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9D5" w:rsidRPr="00A74CF5" w:rsidRDefault="002069D5" w:rsidP="00003AD6">
      <w:pPr>
        <w:shd w:val="clear" w:color="auto" w:fill="FFFFFF"/>
        <w:rPr>
          <w:rFonts w:ascii="Arial" w:hAnsi="Arial" w:cs="Arial"/>
          <w:b/>
          <w:spacing w:val="-4"/>
          <w:sz w:val="22"/>
          <w:szCs w:val="22"/>
        </w:rPr>
      </w:pPr>
    </w:p>
    <w:p w:rsidR="00003AD6" w:rsidRPr="00A74CF5" w:rsidRDefault="00003AD6" w:rsidP="00003AD6">
      <w:pPr>
        <w:shd w:val="clear" w:color="auto" w:fill="FFFFFF"/>
        <w:rPr>
          <w:rFonts w:ascii="Arial" w:hAnsi="Arial" w:cs="Arial"/>
          <w:b/>
          <w:spacing w:val="-4"/>
          <w:sz w:val="22"/>
          <w:szCs w:val="22"/>
        </w:rPr>
      </w:pPr>
    </w:p>
    <w:p w:rsidR="00170C8B" w:rsidRPr="00A74CF5" w:rsidRDefault="00170C8B" w:rsidP="00170C8B">
      <w:pPr>
        <w:shd w:val="clear" w:color="auto" w:fill="FFFFFF"/>
        <w:jc w:val="center"/>
        <w:rPr>
          <w:rFonts w:ascii="Arial" w:hAnsi="Arial" w:cs="Arial"/>
          <w:b/>
          <w:spacing w:val="-4"/>
          <w:sz w:val="22"/>
          <w:szCs w:val="22"/>
        </w:rPr>
      </w:pPr>
    </w:p>
    <w:p w:rsidR="00E70AB6" w:rsidRDefault="00E70AB6" w:rsidP="00047988">
      <w:pPr>
        <w:shd w:val="clear" w:color="auto" w:fill="FFFFFF"/>
        <w:jc w:val="center"/>
        <w:rPr>
          <w:rFonts w:ascii="Arial" w:hAnsi="Arial" w:cs="Arial"/>
          <w:b/>
          <w:spacing w:val="-4"/>
          <w:sz w:val="22"/>
          <w:szCs w:val="22"/>
        </w:rPr>
      </w:pPr>
    </w:p>
    <w:p w:rsidR="00AB5769" w:rsidRDefault="00AB5769" w:rsidP="00047988">
      <w:pPr>
        <w:shd w:val="clear" w:color="auto" w:fill="FFFFFF"/>
        <w:jc w:val="center"/>
        <w:rPr>
          <w:rFonts w:ascii="Arial" w:hAnsi="Arial" w:cs="Arial"/>
          <w:b/>
          <w:spacing w:val="-4"/>
          <w:sz w:val="22"/>
          <w:szCs w:val="22"/>
        </w:rPr>
      </w:pPr>
    </w:p>
    <w:p w:rsidR="00AB5769" w:rsidRDefault="00AB5769" w:rsidP="00047988">
      <w:pPr>
        <w:shd w:val="clear" w:color="auto" w:fill="FFFFFF"/>
        <w:jc w:val="center"/>
        <w:rPr>
          <w:rFonts w:ascii="Arial" w:hAnsi="Arial" w:cs="Arial"/>
          <w:b/>
          <w:spacing w:val="-4"/>
          <w:sz w:val="22"/>
          <w:szCs w:val="22"/>
        </w:rPr>
      </w:pPr>
    </w:p>
    <w:p w:rsidR="00AB5769" w:rsidRDefault="00AB5769" w:rsidP="00047988">
      <w:pPr>
        <w:shd w:val="clear" w:color="auto" w:fill="FFFFFF"/>
        <w:jc w:val="center"/>
        <w:rPr>
          <w:rFonts w:ascii="Arial" w:hAnsi="Arial" w:cs="Arial"/>
          <w:b/>
          <w:spacing w:val="-4"/>
          <w:sz w:val="22"/>
          <w:szCs w:val="22"/>
        </w:rPr>
      </w:pPr>
    </w:p>
    <w:p w:rsidR="00AB5769" w:rsidRPr="00A74CF5" w:rsidRDefault="00E713AB" w:rsidP="00E713AB">
      <w:pPr>
        <w:shd w:val="clear" w:color="auto" w:fill="FFFFFF"/>
        <w:tabs>
          <w:tab w:val="left" w:pos="5805"/>
        </w:tabs>
        <w:rPr>
          <w:rFonts w:ascii="Arial" w:hAnsi="Arial" w:cs="Arial"/>
          <w:b/>
          <w:spacing w:val="-4"/>
          <w:sz w:val="22"/>
          <w:szCs w:val="22"/>
        </w:rPr>
      </w:pPr>
      <w:r>
        <w:rPr>
          <w:rFonts w:ascii="Arial" w:hAnsi="Arial"/>
          <w:b/>
          <w:sz w:val="22"/>
          <w:szCs w:val="22"/>
        </w:rPr>
        <w:tab/>
      </w:r>
    </w:p>
    <w:p w:rsidR="008F584D" w:rsidRPr="00A74CF5" w:rsidRDefault="008F584D" w:rsidP="00047988">
      <w:pPr>
        <w:shd w:val="clear" w:color="auto" w:fill="FFFFFF"/>
        <w:jc w:val="center"/>
        <w:rPr>
          <w:rFonts w:ascii="Arial" w:hAnsi="Arial" w:cs="Arial"/>
          <w:b/>
          <w:spacing w:val="-4"/>
          <w:sz w:val="22"/>
          <w:szCs w:val="22"/>
        </w:rPr>
      </w:pPr>
    </w:p>
    <w:p w:rsidR="00E70AB6" w:rsidRDefault="00E232CD" w:rsidP="00E232CD">
      <w:pPr>
        <w:shd w:val="clear" w:color="auto" w:fill="FFFFFF"/>
        <w:tabs>
          <w:tab w:val="left" w:pos="6885"/>
        </w:tabs>
        <w:rPr>
          <w:rFonts w:ascii="Arial" w:hAnsi="Arial" w:cs="Arial"/>
          <w:b/>
          <w:spacing w:val="-4"/>
          <w:sz w:val="22"/>
          <w:szCs w:val="22"/>
        </w:rPr>
      </w:pPr>
      <w:r>
        <w:rPr>
          <w:rFonts w:ascii="Arial" w:hAnsi="Arial"/>
          <w:b/>
          <w:sz w:val="22"/>
          <w:szCs w:val="22"/>
        </w:rPr>
        <w:tab/>
      </w:r>
    </w:p>
    <w:p w:rsidR="00AB5769" w:rsidRDefault="00AB5769" w:rsidP="00047988">
      <w:pPr>
        <w:shd w:val="clear" w:color="auto" w:fill="FFFFFF"/>
        <w:jc w:val="center"/>
        <w:rPr>
          <w:rFonts w:ascii="Arial" w:hAnsi="Arial" w:cs="Arial"/>
          <w:b/>
          <w:spacing w:val="-4"/>
          <w:sz w:val="22"/>
          <w:szCs w:val="22"/>
        </w:rPr>
      </w:pPr>
    </w:p>
    <w:p w:rsidR="00AB5769" w:rsidRPr="00A74CF5" w:rsidRDefault="00AB5769" w:rsidP="00047988">
      <w:pPr>
        <w:shd w:val="clear" w:color="auto" w:fill="FFFFFF"/>
        <w:jc w:val="center"/>
        <w:rPr>
          <w:rFonts w:ascii="Arial" w:hAnsi="Arial" w:cs="Arial"/>
          <w:b/>
          <w:spacing w:val="-4"/>
          <w:sz w:val="22"/>
          <w:szCs w:val="22"/>
        </w:rPr>
      </w:pPr>
    </w:p>
    <w:p w:rsidR="00E70AB6" w:rsidRPr="00A74CF5" w:rsidRDefault="00E70AB6" w:rsidP="00047988">
      <w:pPr>
        <w:shd w:val="clear" w:color="auto" w:fill="FFFFFF"/>
        <w:jc w:val="center"/>
        <w:rPr>
          <w:rFonts w:ascii="Arial" w:hAnsi="Arial" w:cs="Arial"/>
          <w:b/>
          <w:spacing w:val="-4"/>
          <w:sz w:val="22"/>
          <w:szCs w:val="22"/>
        </w:rPr>
      </w:pPr>
    </w:p>
    <w:p w:rsidR="00E70AB6" w:rsidRPr="00A74CF5" w:rsidRDefault="00E70AB6" w:rsidP="00047988">
      <w:pPr>
        <w:shd w:val="clear" w:color="auto" w:fill="FFFFFF"/>
        <w:jc w:val="center"/>
        <w:rPr>
          <w:rFonts w:ascii="Arial" w:hAnsi="Arial" w:cs="Arial"/>
          <w:b/>
          <w:spacing w:val="-4"/>
          <w:sz w:val="22"/>
          <w:szCs w:val="22"/>
        </w:rPr>
      </w:pPr>
    </w:p>
    <w:p w:rsidR="00E70AB6" w:rsidRPr="00A74CF5" w:rsidRDefault="00E70AB6" w:rsidP="00047988">
      <w:pPr>
        <w:shd w:val="clear" w:color="auto" w:fill="FFFFFF"/>
        <w:jc w:val="center"/>
        <w:rPr>
          <w:rFonts w:ascii="Arial" w:hAnsi="Arial" w:cs="Arial"/>
          <w:b/>
          <w:spacing w:val="-4"/>
          <w:sz w:val="22"/>
          <w:szCs w:val="22"/>
        </w:rPr>
      </w:pPr>
    </w:p>
    <w:p w:rsidR="009F6D1A" w:rsidRPr="009F6D1A" w:rsidRDefault="00047988" w:rsidP="00047988">
      <w:pPr>
        <w:shd w:val="clear" w:color="auto" w:fill="FFFFFF"/>
        <w:jc w:val="center"/>
        <w:rPr>
          <w:rFonts w:ascii="Arial" w:hAnsi="Arial" w:cs="Arial"/>
          <w:b/>
          <w:spacing w:val="-4"/>
          <w:sz w:val="40"/>
          <w:szCs w:val="40"/>
        </w:rPr>
      </w:pPr>
      <w:r>
        <w:rPr>
          <w:rFonts w:ascii="Arial" w:hAnsi="Arial"/>
          <w:b/>
          <w:sz w:val="40"/>
          <w:szCs w:val="40"/>
        </w:rPr>
        <w:t>REPORT OF THE ADMINISTRATORS</w:t>
      </w:r>
    </w:p>
    <w:p w:rsidR="009F6D1A" w:rsidRDefault="009F6D1A" w:rsidP="00047988">
      <w:pPr>
        <w:shd w:val="clear" w:color="auto" w:fill="FFFFFF"/>
        <w:jc w:val="center"/>
        <w:rPr>
          <w:rFonts w:ascii="Arial" w:hAnsi="Arial" w:cs="Arial"/>
          <w:b/>
          <w:spacing w:val="-4"/>
          <w:sz w:val="32"/>
          <w:szCs w:val="32"/>
        </w:rPr>
      </w:pPr>
    </w:p>
    <w:p w:rsidR="00047988" w:rsidRPr="009F6D1A" w:rsidRDefault="00047988" w:rsidP="00047988">
      <w:pPr>
        <w:shd w:val="clear" w:color="auto" w:fill="FFFFFF"/>
        <w:jc w:val="center"/>
        <w:rPr>
          <w:rFonts w:ascii="Arial" w:hAnsi="Arial" w:cs="Arial"/>
          <w:b/>
          <w:spacing w:val="-4"/>
          <w:sz w:val="36"/>
          <w:szCs w:val="36"/>
        </w:rPr>
      </w:pPr>
      <w:r>
        <w:rPr>
          <w:rFonts w:ascii="Arial" w:hAnsi="Arial"/>
          <w:b/>
          <w:sz w:val="36"/>
          <w:szCs w:val="36"/>
        </w:rPr>
        <w:t xml:space="preserve"> 2018 H1</w:t>
      </w:r>
    </w:p>
    <w:p w:rsidR="00796DA4" w:rsidRPr="00A74CF5" w:rsidRDefault="00796DA4" w:rsidP="00047988">
      <w:pPr>
        <w:shd w:val="clear" w:color="auto" w:fill="FFFFFF"/>
        <w:jc w:val="center"/>
        <w:rPr>
          <w:rFonts w:ascii="Arial" w:hAnsi="Arial" w:cs="Arial"/>
          <w:b/>
          <w:spacing w:val="-4"/>
          <w:sz w:val="32"/>
          <w:szCs w:val="32"/>
        </w:rPr>
      </w:pPr>
    </w:p>
    <w:p w:rsidR="00AB5769" w:rsidRDefault="00AB5769" w:rsidP="00047988">
      <w:pPr>
        <w:shd w:val="clear" w:color="auto" w:fill="FFFFFF"/>
        <w:jc w:val="center"/>
        <w:rPr>
          <w:rFonts w:ascii="Arial" w:hAnsi="Arial" w:cs="Arial"/>
          <w:b/>
          <w:sz w:val="32"/>
          <w:szCs w:val="32"/>
        </w:rPr>
      </w:pPr>
    </w:p>
    <w:p w:rsidR="00F22FA3" w:rsidRDefault="00F22FA3" w:rsidP="00F22FA3">
      <w:pPr>
        <w:shd w:val="clear" w:color="auto" w:fill="FFFFFF"/>
        <w:jc w:val="center"/>
        <w:rPr>
          <w:rFonts w:ascii="Arial" w:hAnsi="Arial" w:cs="Arial"/>
          <w:b/>
          <w:sz w:val="32"/>
          <w:szCs w:val="32"/>
        </w:rPr>
      </w:pPr>
      <w:r>
        <w:rPr>
          <w:rFonts w:ascii="Arial" w:hAnsi="Arial"/>
          <w:b/>
          <w:sz w:val="32"/>
          <w:szCs w:val="32"/>
        </w:rPr>
        <w:t>Period</w:t>
      </w:r>
    </w:p>
    <w:p w:rsidR="003C7678" w:rsidRDefault="009F6D1A" w:rsidP="00F22FA3">
      <w:pPr>
        <w:shd w:val="clear" w:color="auto" w:fill="FFFFFF"/>
        <w:jc w:val="center"/>
        <w:rPr>
          <w:rFonts w:ascii="Arial" w:hAnsi="Arial" w:cs="Arial"/>
          <w:b/>
          <w:spacing w:val="-4"/>
          <w:sz w:val="32"/>
          <w:szCs w:val="32"/>
        </w:rPr>
      </w:pPr>
      <w:r>
        <w:rPr>
          <w:rFonts w:ascii="Arial" w:hAnsi="Arial"/>
          <w:b/>
          <w:sz w:val="32"/>
          <w:szCs w:val="32"/>
        </w:rPr>
        <w:t>(January - June 2018)</w:t>
      </w:r>
    </w:p>
    <w:p w:rsidR="00F22FA3" w:rsidRDefault="00F22FA3" w:rsidP="00F22FA3">
      <w:pPr>
        <w:shd w:val="clear" w:color="auto" w:fill="FFFFFF"/>
        <w:jc w:val="center"/>
        <w:rPr>
          <w:rFonts w:ascii="Arial" w:hAnsi="Arial" w:cs="Arial"/>
          <w:b/>
          <w:spacing w:val="-4"/>
          <w:sz w:val="32"/>
          <w:szCs w:val="32"/>
        </w:rPr>
      </w:pPr>
    </w:p>
    <w:p w:rsidR="00F22FA3" w:rsidRPr="0075026A" w:rsidRDefault="007239FA" w:rsidP="00F22FA3">
      <w:pPr>
        <w:shd w:val="clear" w:color="auto" w:fill="FFFFFF"/>
        <w:jc w:val="center"/>
        <w:rPr>
          <w:rFonts w:ascii="Arial" w:hAnsi="Arial" w:cs="Arial"/>
          <w:spacing w:val="-4"/>
          <w:sz w:val="24"/>
          <w:szCs w:val="24"/>
        </w:rPr>
      </w:pPr>
      <w:r>
        <w:rPr>
          <w:rFonts w:ascii="Arial" w:hAnsi="Arial"/>
          <w:sz w:val="24"/>
          <w:szCs w:val="24"/>
        </w:rPr>
        <w:t>prepared in compliance with Art. 223 of the ASF Regulation no. 5/2018 and Art. 55 of the EGO 109/2011 regarding the corporate governance of the public enterprises</w:t>
      </w:r>
    </w:p>
    <w:p w:rsidR="00170C8B" w:rsidRPr="0075026A" w:rsidRDefault="00170C8B" w:rsidP="00170C8B">
      <w:pPr>
        <w:shd w:val="clear" w:color="auto" w:fill="FFFFFF"/>
        <w:jc w:val="center"/>
        <w:rPr>
          <w:rFonts w:ascii="Arial" w:hAnsi="Arial" w:cs="Arial"/>
          <w:spacing w:val="-4"/>
          <w:sz w:val="24"/>
          <w:szCs w:val="24"/>
        </w:rPr>
      </w:pPr>
    </w:p>
    <w:p w:rsidR="00170C8B" w:rsidRPr="0075026A" w:rsidRDefault="00170C8B" w:rsidP="00170C8B">
      <w:pPr>
        <w:shd w:val="clear" w:color="auto" w:fill="FFFFFF"/>
        <w:jc w:val="center"/>
        <w:rPr>
          <w:rFonts w:ascii="Arial" w:hAnsi="Arial" w:cs="Arial"/>
          <w:spacing w:val="-4"/>
          <w:sz w:val="24"/>
          <w:szCs w:val="24"/>
        </w:rPr>
      </w:pPr>
    </w:p>
    <w:p w:rsidR="00C1463A" w:rsidRPr="0075026A" w:rsidRDefault="00C1463A" w:rsidP="00E04104">
      <w:pPr>
        <w:shd w:val="clear" w:color="auto" w:fill="FFFFFF"/>
        <w:ind w:firstLine="86"/>
        <w:rPr>
          <w:rFonts w:ascii="Arial" w:hAnsi="Arial" w:cs="Arial"/>
          <w:color w:val="FF0000"/>
          <w:sz w:val="24"/>
          <w:szCs w:val="24"/>
        </w:rPr>
      </w:pPr>
    </w:p>
    <w:p w:rsidR="008F584D" w:rsidRPr="00A74CF5" w:rsidRDefault="008F584D" w:rsidP="00E04104">
      <w:pPr>
        <w:shd w:val="clear" w:color="auto" w:fill="FFFFFF"/>
        <w:ind w:firstLine="86"/>
        <w:rPr>
          <w:rFonts w:ascii="Arial" w:hAnsi="Arial" w:cs="Arial"/>
          <w:b/>
          <w:color w:val="FF0000"/>
          <w:sz w:val="22"/>
          <w:szCs w:val="22"/>
        </w:rPr>
      </w:pPr>
    </w:p>
    <w:p w:rsidR="00090F8B" w:rsidRDefault="00090F8B" w:rsidP="00564B3E">
      <w:pPr>
        <w:shd w:val="clear" w:color="auto" w:fill="FFFFFF"/>
        <w:rPr>
          <w:rFonts w:ascii="Arial" w:hAnsi="Arial" w:cs="Arial"/>
          <w:b/>
          <w:color w:val="FF0000"/>
          <w:sz w:val="22"/>
          <w:szCs w:val="22"/>
        </w:rPr>
      </w:pPr>
    </w:p>
    <w:p w:rsidR="00090F8B" w:rsidRDefault="00090F8B" w:rsidP="00E04104">
      <w:pPr>
        <w:shd w:val="clear" w:color="auto" w:fill="FFFFFF"/>
        <w:ind w:firstLine="86"/>
        <w:rPr>
          <w:rFonts w:ascii="Arial" w:hAnsi="Arial" w:cs="Arial"/>
          <w:b/>
          <w:color w:val="FF0000"/>
          <w:sz w:val="22"/>
          <w:szCs w:val="22"/>
        </w:rPr>
      </w:pPr>
    </w:p>
    <w:p w:rsidR="00090F8B" w:rsidRPr="00A74CF5" w:rsidRDefault="00090F8B" w:rsidP="00E04104">
      <w:pPr>
        <w:shd w:val="clear" w:color="auto" w:fill="FFFFFF"/>
        <w:ind w:firstLine="86"/>
        <w:rPr>
          <w:rFonts w:ascii="Arial" w:hAnsi="Arial" w:cs="Arial"/>
          <w:b/>
          <w:color w:val="FF0000"/>
          <w:sz w:val="22"/>
          <w:szCs w:val="22"/>
        </w:rPr>
      </w:pPr>
    </w:p>
    <w:p w:rsidR="00A74CF5" w:rsidRDefault="00A74CF5" w:rsidP="00E04104">
      <w:pPr>
        <w:shd w:val="clear" w:color="auto" w:fill="FFFFFF"/>
        <w:ind w:firstLine="86"/>
        <w:rPr>
          <w:rFonts w:ascii="Arial" w:hAnsi="Arial" w:cs="Arial"/>
          <w:b/>
          <w:color w:val="FF0000"/>
          <w:sz w:val="22"/>
          <w:szCs w:val="22"/>
        </w:rPr>
      </w:pPr>
    </w:p>
    <w:p w:rsidR="009F6D1A" w:rsidRDefault="009F6D1A" w:rsidP="00E04104">
      <w:pPr>
        <w:shd w:val="clear" w:color="auto" w:fill="FFFFFF"/>
        <w:ind w:firstLine="86"/>
        <w:rPr>
          <w:rFonts w:ascii="Arial" w:hAnsi="Arial" w:cs="Arial"/>
          <w:b/>
          <w:color w:val="FF0000"/>
          <w:sz w:val="22"/>
          <w:szCs w:val="22"/>
        </w:rPr>
      </w:pPr>
    </w:p>
    <w:p w:rsidR="009F6D1A" w:rsidRDefault="009F6D1A" w:rsidP="00E04104">
      <w:pPr>
        <w:shd w:val="clear" w:color="auto" w:fill="FFFFFF"/>
        <w:ind w:firstLine="86"/>
        <w:rPr>
          <w:rFonts w:ascii="Arial" w:hAnsi="Arial" w:cs="Arial"/>
          <w:b/>
          <w:color w:val="FF0000"/>
          <w:sz w:val="22"/>
          <w:szCs w:val="22"/>
        </w:rPr>
      </w:pPr>
    </w:p>
    <w:p w:rsidR="009F6D1A" w:rsidRDefault="009F6D1A" w:rsidP="00E04104">
      <w:pPr>
        <w:shd w:val="clear" w:color="auto" w:fill="FFFFFF"/>
        <w:ind w:firstLine="86"/>
        <w:rPr>
          <w:rFonts w:ascii="Arial" w:hAnsi="Arial" w:cs="Arial"/>
          <w:b/>
          <w:color w:val="FF0000"/>
          <w:sz w:val="22"/>
          <w:szCs w:val="22"/>
        </w:rPr>
      </w:pPr>
    </w:p>
    <w:p w:rsidR="009F6D1A" w:rsidRDefault="009F6D1A" w:rsidP="00E04104">
      <w:pPr>
        <w:shd w:val="clear" w:color="auto" w:fill="FFFFFF"/>
        <w:ind w:firstLine="86"/>
        <w:rPr>
          <w:rFonts w:ascii="Arial" w:hAnsi="Arial" w:cs="Arial"/>
          <w:b/>
          <w:color w:val="FF0000"/>
          <w:sz w:val="22"/>
          <w:szCs w:val="22"/>
        </w:rPr>
      </w:pPr>
    </w:p>
    <w:p w:rsidR="009F6D1A" w:rsidRDefault="009F6D1A" w:rsidP="00E04104">
      <w:pPr>
        <w:shd w:val="clear" w:color="auto" w:fill="FFFFFF"/>
        <w:ind w:firstLine="86"/>
        <w:rPr>
          <w:rFonts w:ascii="Arial" w:hAnsi="Arial" w:cs="Arial"/>
          <w:b/>
          <w:color w:val="FF0000"/>
          <w:sz w:val="22"/>
          <w:szCs w:val="22"/>
        </w:rPr>
      </w:pPr>
    </w:p>
    <w:p w:rsidR="008F584D" w:rsidRDefault="008F584D" w:rsidP="00907FDF">
      <w:pPr>
        <w:shd w:val="clear" w:color="auto" w:fill="FFFFFF"/>
        <w:rPr>
          <w:rFonts w:ascii="Arial" w:hAnsi="Arial" w:cs="Arial"/>
          <w:b/>
          <w:color w:val="FF0000"/>
          <w:sz w:val="22"/>
          <w:szCs w:val="22"/>
        </w:rPr>
      </w:pPr>
    </w:p>
    <w:p w:rsidR="00564B3E" w:rsidRDefault="00564B3E" w:rsidP="00907FDF">
      <w:pPr>
        <w:shd w:val="clear" w:color="auto" w:fill="FFFFFF"/>
        <w:rPr>
          <w:rFonts w:ascii="Arial" w:hAnsi="Arial" w:cs="Arial"/>
          <w:b/>
          <w:color w:val="FF0000"/>
          <w:sz w:val="22"/>
          <w:szCs w:val="22"/>
        </w:rPr>
      </w:pPr>
    </w:p>
    <w:p w:rsidR="00564B3E" w:rsidRDefault="00564B3E" w:rsidP="00907FDF">
      <w:pPr>
        <w:shd w:val="clear" w:color="auto" w:fill="FFFFFF"/>
        <w:rPr>
          <w:rFonts w:ascii="Arial" w:hAnsi="Arial" w:cs="Arial"/>
          <w:b/>
          <w:color w:val="FF0000"/>
          <w:sz w:val="22"/>
          <w:szCs w:val="22"/>
        </w:rPr>
      </w:pPr>
    </w:p>
    <w:p w:rsidR="00564B3E" w:rsidRDefault="00564B3E" w:rsidP="00907FDF">
      <w:pPr>
        <w:shd w:val="clear" w:color="auto" w:fill="FFFFFF"/>
        <w:rPr>
          <w:rFonts w:ascii="Arial" w:hAnsi="Arial" w:cs="Arial"/>
          <w:b/>
          <w:color w:val="FF0000"/>
          <w:sz w:val="22"/>
          <w:szCs w:val="22"/>
        </w:rPr>
      </w:pPr>
    </w:p>
    <w:p w:rsidR="00907FDF" w:rsidRPr="00A74CF5" w:rsidRDefault="00907FDF" w:rsidP="00907FDF">
      <w:pPr>
        <w:shd w:val="clear" w:color="auto" w:fill="FFFFFF"/>
        <w:rPr>
          <w:rFonts w:ascii="Arial" w:hAnsi="Arial" w:cs="Arial"/>
          <w:b/>
          <w:color w:val="FF0000"/>
          <w:sz w:val="22"/>
          <w:szCs w:val="22"/>
        </w:rPr>
      </w:pPr>
    </w:p>
    <w:p w:rsidR="004C633A" w:rsidRPr="00A74CF5" w:rsidRDefault="004C633A" w:rsidP="004731BB">
      <w:pPr>
        <w:shd w:val="clear" w:color="auto" w:fill="FFFFFF"/>
        <w:rPr>
          <w:rFonts w:ascii="Arial" w:hAnsi="Arial" w:cs="Arial"/>
          <w:b/>
          <w:color w:val="FF0000"/>
          <w:sz w:val="22"/>
          <w:szCs w:val="22"/>
        </w:rPr>
      </w:pPr>
    </w:p>
    <w:p w:rsidR="00556136" w:rsidRPr="00EF2D1F" w:rsidRDefault="00E713AB" w:rsidP="00EF2D1F">
      <w:pPr>
        <w:shd w:val="clear" w:color="auto" w:fill="FFFFFF"/>
        <w:rPr>
          <w:rFonts w:ascii="Arial" w:hAnsi="Arial" w:cs="Arial"/>
          <w:b/>
          <w:color w:val="FF0000"/>
          <w:sz w:val="22"/>
          <w:szCs w:val="22"/>
        </w:rPr>
      </w:pPr>
      <w:r>
        <w:rPr>
          <w:noProof/>
          <w:lang w:eastAsia="en-US"/>
        </w:rPr>
        <w:drawing>
          <wp:inline distT="0" distB="0" distL="0" distR="0">
            <wp:extent cx="5935345" cy="79687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796875"/>
                    </a:xfrm>
                    <a:prstGeom prst="rect">
                      <a:avLst/>
                    </a:prstGeom>
                    <a:noFill/>
                    <a:ln>
                      <a:noFill/>
                    </a:ln>
                  </pic:spPr>
                </pic:pic>
              </a:graphicData>
            </a:graphic>
          </wp:inline>
        </w:drawing>
      </w:r>
    </w:p>
    <w:p w:rsidR="00526B7B" w:rsidRDefault="00526B7B" w:rsidP="00511715">
      <w:pPr>
        <w:shd w:val="clear" w:color="auto" w:fill="FFFFFF"/>
        <w:jc w:val="center"/>
        <w:rPr>
          <w:rFonts w:ascii="Arial" w:hAnsi="Arial" w:cs="Arial"/>
          <w:b/>
          <w:spacing w:val="-10"/>
          <w:sz w:val="28"/>
          <w:szCs w:val="28"/>
          <w:u w:val="single"/>
        </w:rPr>
      </w:pPr>
    </w:p>
    <w:p w:rsidR="000E52BE" w:rsidRPr="002F13CC" w:rsidRDefault="00ED6529" w:rsidP="00511715">
      <w:pPr>
        <w:shd w:val="clear" w:color="auto" w:fill="FFFFFF"/>
        <w:jc w:val="center"/>
        <w:rPr>
          <w:rFonts w:ascii="Arial" w:hAnsi="Arial" w:cs="Arial"/>
          <w:b/>
          <w:color w:val="1F4E79" w:themeColor="accent1" w:themeShade="80"/>
          <w:spacing w:val="-10"/>
          <w:sz w:val="28"/>
          <w:szCs w:val="28"/>
          <w:u w:val="single"/>
        </w:rPr>
      </w:pPr>
      <w:r>
        <w:rPr>
          <w:rFonts w:ascii="Arial" w:hAnsi="Arial"/>
          <w:b/>
          <w:color w:val="1F4E79" w:themeColor="accent1" w:themeShade="80"/>
          <w:sz w:val="28"/>
          <w:szCs w:val="28"/>
          <w:u w:val="single"/>
        </w:rPr>
        <w:t>CONTENTS</w:t>
      </w:r>
    </w:p>
    <w:p w:rsidR="00526B7B" w:rsidRDefault="00526B7B" w:rsidP="00511715">
      <w:pPr>
        <w:shd w:val="clear" w:color="auto" w:fill="FFFFFF"/>
        <w:jc w:val="center"/>
        <w:rPr>
          <w:rFonts w:ascii="Arial" w:hAnsi="Arial" w:cs="Arial"/>
          <w:b/>
          <w:spacing w:val="-10"/>
          <w:sz w:val="28"/>
          <w:szCs w:val="28"/>
          <w:u w:val="single"/>
        </w:rPr>
      </w:pPr>
    </w:p>
    <w:p w:rsidR="00556136" w:rsidRDefault="00556136" w:rsidP="00511715">
      <w:pPr>
        <w:shd w:val="clear" w:color="auto" w:fill="FFFFFF"/>
        <w:jc w:val="center"/>
        <w:rPr>
          <w:rFonts w:ascii="Arial" w:hAnsi="Arial" w:cs="Arial"/>
          <w:b/>
          <w:spacing w:val="-10"/>
          <w:sz w:val="22"/>
          <w:szCs w:val="22"/>
          <w:u w:val="single"/>
        </w:rPr>
      </w:pPr>
    </w:p>
    <w:tbl>
      <w:tblPr>
        <w:tblStyle w:val="TableGrid2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8233"/>
        <w:gridCol w:w="634"/>
      </w:tblGrid>
      <w:tr w:rsidR="00052F94" w:rsidRPr="00052F94" w:rsidTr="00285908">
        <w:tc>
          <w:tcPr>
            <w:tcW w:w="767" w:type="dxa"/>
          </w:tcPr>
          <w:p w:rsidR="00052F94" w:rsidRPr="00052F94" w:rsidRDefault="00052F94" w:rsidP="00052F94">
            <w:pPr>
              <w:widowControl/>
              <w:autoSpaceDE/>
              <w:autoSpaceDN/>
              <w:adjustRightInd/>
              <w:spacing w:line="276" w:lineRule="auto"/>
              <w:jc w:val="both"/>
              <w:rPr>
                <w:rFonts w:ascii="Arial" w:hAnsi="Arial" w:cs="Arial"/>
                <w:b/>
                <w:color w:val="1F4E79" w:themeColor="accent1" w:themeShade="80"/>
              </w:rPr>
            </w:pPr>
            <w:r>
              <w:rPr>
                <w:rFonts w:ascii="Arial" w:hAnsi="Arial"/>
                <w:b/>
                <w:color w:val="1F4E79" w:themeColor="accent1" w:themeShade="80"/>
              </w:rPr>
              <w:t>1.</w:t>
            </w:r>
          </w:p>
        </w:tc>
        <w:tc>
          <w:tcPr>
            <w:tcW w:w="8233" w:type="dxa"/>
          </w:tcPr>
          <w:p w:rsidR="00052F94" w:rsidRPr="00052F94" w:rsidRDefault="00052F94" w:rsidP="00052F94">
            <w:pPr>
              <w:widowControl/>
              <w:autoSpaceDE/>
              <w:autoSpaceDN/>
              <w:adjustRightInd/>
              <w:spacing w:line="276" w:lineRule="auto"/>
              <w:rPr>
                <w:rFonts w:ascii="Arial" w:hAnsi="Arial" w:cs="Arial"/>
                <w:b/>
                <w:color w:val="1F4E79" w:themeColor="accent1" w:themeShade="80"/>
              </w:rPr>
            </w:pPr>
            <w:r>
              <w:rPr>
                <w:rFonts w:ascii="Arial" w:hAnsi="Arial"/>
                <w:b/>
                <w:color w:val="1F4E79" w:themeColor="accent1" w:themeShade="80"/>
              </w:rPr>
              <w:t>COMPANY PRESENTATION</w:t>
            </w:r>
          </w:p>
        </w:tc>
        <w:tc>
          <w:tcPr>
            <w:tcW w:w="634" w:type="dxa"/>
          </w:tcPr>
          <w:p w:rsidR="00052F94" w:rsidRPr="00052F94" w:rsidRDefault="00FC01EC" w:rsidP="00052F94">
            <w:pPr>
              <w:widowControl/>
              <w:autoSpaceDE/>
              <w:autoSpaceDN/>
              <w:adjustRightInd/>
              <w:spacing w:line="276" w:lineRule="auto"/>
              <w:jc w:val="right"/>
              <w:rPr>
                <w:rFonts w:ascii="Arial" w:hAnsi="Arial" w:cs="Arial"/>
                <w:b/>
                <w:color w:val="1F4E79" w:themeColor="accent1" w:themeShade="80"/>
              </w:rPr>
            </w:pPr>
            <w:r>
              <w:rPr>
                <w:rFonts w:ascii="Arial" w:hAnsi="Arial"/>
                <w:b/>
                <w:color w:val="1F4E79" w:themeColor="accent1" w:themeShade="80"/>
              </w:rPr>
              <w:t>3</w:t>
            </w:r>
          </w:p>
        </w:tc>
      </w:tr>
      <w:tr w:rsidR="00052F94" w:rsidRPr="00052F94" w:rsidTr="00285908">
        <w:tc>
          <w:tcPr>
            <w:tcW w:w="767" w:type="dxa"/>
          </w:tcPr>
          <w:p w:rsidR="00052F94" w:rsidRPr="00052F94" w:rsidRDefault="00FC01EC" w:rsidP="00052F94">
            <w:pPr>
              <w:widowControl/>
              <w:autoSpaceDE/>
              <w:autoSpaceDN/>
              <w:adjustRightInd/>
              <w:spacing w:line="276" w:lineRule="auto"/>
              <w:jc w:val="both"/>
              <w:rPr>
                <w:rFonts w:ascii="Arial" w:hAnsi="Arial" w:cs="Arial"/>
              </w:rPr>
            </w:pPr>
            <w:r>
              <w:rPr>
                <w:rFonts w:ascii="Arial" w:hAnsi="Arial"/>
              </w:rPr>
              <w:t>1.1</w:t>
            </w:r>
          </w:p>
        </w:tc>
        <w:tc>
          <w:tcPr>
            <w:tcW w:w="8233" w:type="dxa"/>
          </w:tcPr>
          <w:p w:rsidR="00052F94" w:rsidRPr="00052F94" w:rsidRDefault="00052F94" w:rsidP="00052F94">
            <w:pPr>
              <w:widowControl/>
              <w:autoSpaceDE/>
              <w:autoSpaceDN/>
              <w:adjustRightInd/>
              <w:spacing w:line="276" w:lineRule="auto"/>
              <w:rPr>
                <w:rFonts w:ascii="Arial" w:hAnsi="Arial" w:cs="Arial"/>
              </w:rPr>
            </w:pPr>
            <w:r>
              <w:rPr>
                <w:rFonts w:ascii="Arial" w:hAnsi="Arial"/>
              </w:rPr>
              <w:t>Report and issuer identification data</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rPr>
              <w:t>3</w:t>
            </w:r>
          </w:p>
        </w:tc>
      </w:tr>
      <w:tr w:rsidR="00052F94" w:rsidRPr="00052F94" w:rsidTr="00285908">
        <w:tc>
          <w:tcPr>
            <w:tcW w:w="767" w:type="dxa"/>
          </w:tcPr>
          <w:p w:rsidR="00052F94" w:rsidRPr="00052F94" w:rsidRDefault="00FC01EC" w:rsidP="00FC01EC">
            <w:pPr>
              <w:widowControl/>
              <w:autoSpaceDE/>
              <w:autoSpaceDN/>
              <w:adjustRightInd/>
              <w:spacing w:line="276" w:lineRule="auto"/>
              <w:jc w:val="both"/>
              <w:rPr>
                <w:rFonts w:ascii="Arial" w:hAnsi="Arial" w:cs="Arial"/>
              </w:rPr>
            </w:pPr>
            <w:r>
              <w:rPr>
                <w:rFonts w:ascii="Arial" w:hAnsi="Arial"/>
              </w:rPr>
              <w:t>1.2</w:t>
            </w:r>
          </w:p>
        </w:tc>
        <w:tc>
          <w:tcPr>
            <w:tcW w:w="8233" w:type="dxa"/>
          </w:tcPr>
          <w:p w:rsidR="00052F94" w:rsidRPr="00052F94" w:rsidRDefault="00052F94" w:rsidP="00052F94">
            <w:pPr>
              <w:widowControl/>
              <w:autoSpaceDE/>
              <w:autoSpaceDN/>
              <w:adjustRightInd/>
              <w:spacing w:line="276" w:lineRule="auto"/>
              <w:rPr>
                <w:rFonts w:ascii="Arial" w:hAnsi="Arial" w:cs="Arial"/>
              </w:rPr>
            </w:pPr>
            <w:r>
              <w:rPr>
                <w:rFonts w:ascii="Arial" w:hAnsi="Arial"/>
              </w:rPr>
              <w:t>Main activities</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rPr>
              <w:t>4</w:t>
            </w:r>
          </w:p>
        </w:tc>
      </w:tr>
      <w:tr w:rsidR="00052F94" w:rsidRPr="00052F94" w:rsidTr="00285908">
        <w:tc>
          <w:tcPr>
            <w:tcW w:w="767" w:type="dxa"/>
          </w:tcPr>
          <w:p w:rsidR="00052F94" w:rsidRPr="00052F94" w:rsidRDefault="00052F94" w:rsidP="00FC01EC">
            <w:pPr>
              <w:widowControl/>
              <w:autoSpaceDE/>
              <w:autoSpaceDN/>
              <w:adjustRightInd/>
              <w:spacing w:line="276" w:lineRule="auto"/>
              <w:jc w:val="both"/>
              <w:rPr>
                <w:rFonts w:ascii="Arial" w:hAnsi="Arial" w:cs="Arial"/>
              </w:rPr>
            </w:pPr>
            <w:r>
              <w:rPr>
                <w:rFonts w:ascii="Arial" w:hAnsi="Arial"/>
              </w:rPr>
              <w:t>1.3</w:t>
            </w:r>
          </w:p>
        </w:tc>
        <w:tc>
          <w:tcPr>
            <w:tcW w:w="8233" w:type="dxa"/>
          </w:tcPr>
          <w:p w:rsidR="00052F94" w:rsidRPr="00052F94" w:rsidRDefault="00052F94" w:rsidP="00052F94">
            <w:pPr>
              <w:widowControl/>
              <w:autoSpaceDE/>
              <w:autoSpaceDN/>
              <w:adjustRightInd/>
              <w:spacing w:line="276" w:lineRule="auto"/>
              <w:rPr>
                <w:rFonts w:ascii="Arial" w:hAnsi="Arial" w:cs="Arial"/>
              </w:rPr>
            </w:pPr>
            <w:r>
              <w:rPr>
                <w:rFonts w:ascii="Arial" w:hAnsi="Arial"/>
              </w:rPr>
              <w:t>The company’s mission, vision and values</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rPr>
              <w:t>4</w:t>
            </w:r>
          </w:p>
        </w:tc>
      </w:tr>
      <w:tr w:rsidR="00052F94" w:rsidRPr="00052F94" w:rsidTr="00285908">
        <w:tc>
          <w:tcPr>
            <w:tcW w:w="767" w:type="dxa"/>
          </w:tcPr>
          <w:p w:rsidR="00052F94" w:rsidRPr="00052F94" w:rsidRDefault="00052F94" w:rsidP="00FC01EC">
            <w:pPr>
              <w:widowControl/>
              <w:autoSpaceDE/>
              <w:autoSpaceDN/>
              <w:adjustRightInd/>
              <w:spacing w:line="276" w:lineRule="auto"/>
              <w:jc w:val="both"/>
              <w:rPr>
                <w:rFonts w:ascii="Arial" w:hAnsi="Arial" w:cs="Arial"/>
              </w:rPr>
            </w:pPr>
            <w:r>
              <w:rPr>
                <w:rFonts w:ascii="Arial" w:hAnsi="Arial"/>
              </w:rPr>
              <w:t>1.4</w:t>
            </w:r>
          </w:p>
        </w:tc>
        <w:tc>
          <w:tcPr>
            <w:tcW w:w="8233" w:type="dxa"/>
          </w:tcPr>
          <w:p w:rsidR="00052F94" w:rsidRPr="00052F94" w:rsidRDefault="00052F94" w:rsidP="00052F94">
            <w:pPr>
              <w:widowControl/>
              <w:autoSpaceDE/>
              <w:autoSpaceDN/>
              <w:adjustRightInd/>
              <w:spacing w:line="276" w:lineRule="auto"/>
              <w:rPr>
                <w:rFonts w:ascii="Arial" w:hAnsi="Arial" w:cs="Arial"/>
              </w:rPr>
            </w:pPr>
            <w:r>
              <w:rPr>
                <w:rFonts w:ascii="Arial" w:hAnsi="Arial"/>
              </w:rPr>
              <w:t xml:space="preserve">Shareholding </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rPr>
              <w:t>4</w:t>
            </w:r>
          </w:p>
        </w:tc>
      </w:tr>
      <w:tr w:rsidR="00052F94" w:rsidRPr="00052F94" w:rsidTr="00285908">
        <w:tc>
          <w:tcPr>
            <w:tcW w:w="767" w:type="dxa"/>
          </w:tcPr>
          <w:p w:rsidR="00052F94" w:rsidRPr="00052F94" w:rsidRDefault="00052F94" w:rsidP="00FC01EC">
            <w:pPr>
              <w:widowControl/>
              <w:autoSpaceDE/>
              <w:autoSpaceDN/>
              <w:adjustRightInd/>
              <w:spacing w:line="276" w:lineRule="auto"/>
              <w:jc w:val="both"/>
              <w:rPr>
                <w:rFonts w:ascii="Arial" w:hAnsi="Arial" w:cs="Arial"/>
              </w:rPr>
            </w:pPr>
            <w:r>
              <w:rPr>
                <w:rFonts w:ascii="Arial" w:hAnsi="Arial"/>
              </w:rPr>
              <w:t>1.5</w:t>
            </w:r>
          </w:p>
        </w:tc>
        <w:tc>
          <w:tcPr>
            <w:tcW w:w="8233" w:type="dxa"/>
          </w:tcPr>
          <w:p w:rsidR="00052F94" w:rsidRPr="00052F94" w:rsidRDefault="00052F94" w:rsidP="00052F94">
            <w:pPr>
              <w:widowControl/>
              <w:autoSpaceDE/>
              <w:autoSpaceDN/>
              <w:adjustRightInd/>
              <w:spacing w:line="276" w:lineRule="auto"/>
              <w:rPr>
                <w:rFonts w:ascii="Arial" w:hAnsi="Arial" w:cs="Arial"/>
              </w:rPr>
            </w:pPr>
            <w:r>
              <w:rPr>
                <w:rFonts w:ascii="Arial" w:hAnsi="Arial"/>
              </w:rPr>
              <w:t>Company Organization</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rPr>
              <w:t>5</w:t>
            </w:r>
          </w:p>
        </w:tc>
      </w:tr>
      <w:tr w:rsidR="00052F94" w:rsidRPr="00052F94" w:rsidTr="00285908">
        <w:tc>
          <w:tcPr>
            <w:tcW w:w="767" w:type="dxa"/>
          </w:tcPr>
          <w:p w:rsidR="00052F94" w:rsidRPr="00052F94" w:rsidRDefault="00052F94" w:rsidP="00FC01EC">
            <w:pPr>
              <w:widowControl/>
              <w:autoSpaceDE/>
              <w:autoSpaceDN/>
              <w:adjustRightInd/>
              <w:spacing w:line="276" w:lineRule="auto"/>
              <w:jc w:val="both"/>
              <w:rPr>
                <w:rFonts w:ascii="Arial" w:hAnsi="Arial" w:cs="Arial"/>
              </w:rPr>
            </w:pPr>
            <w:r>
              <w:rPr>
                <w:rFonts w:ascii="Arial" w:hAnsi="Arial"/>
              </w:rPr>
              <w:t>1.6</w:t>
            </w:r>
          </w:p>
        </w:tc>
        <w:tc>
          <w:tcPr>
            <w:tcW w:w="8233" w:type="dxa"/>
          </w:tcPr>
          <w:p w:rsidR="00052F94" w:rsidRPr="00052F94" w:rsidRDefault="00052F94" w:rsidP="00052F94">
            <w:pPr>
              <w:widowControl/>
              <w:autoSpaceDE/>
              <w:autoSpaceDN/>
              <w:adjustRightInd/>
              <w:spacing w:line="276" w:lineRule="auto"/>
              <w:rPr>
                <w:rFonts w:ascii="Arial" w:hAnsi="Arial" w:cs="Arial"/>
              </w:rPr>
            </w:pPr>
            <w:r>
              <w:rPr>
                <w:rFonts w:ascii="Arial" w:hAnsi="Arial"/>
              </w:rPr>
              <w:t>Development Strategic objectives</w:t>
            </w:r>
          </w:p>
        </w:tc>
        <w:tc>
          <w:tcPr>
            <w:tcW w:w="634" w:type="dxa"/>
          </w:tcPr>
          <w:p w:rsidR="00052F94" w:rsidRPr="00052F94" w:rsidRDefault="00FC01EC" w:rsidP="00052F94">
            <w:pPr>
              <w:widowControl/>
              <w:autoSpaceDE/>
              <w:autoSpaceDN/>
              <w:adjustRightInd/>
              <w:spacing w:line="276" w:lineRule="auto"/>
              <w:jc w:val="right"/>
              <w:rPr>
                <w:rFonts w:ascii="Arial" w:hAnsi="Arial" w:cs="Arial"/>
              </w:rPr>
            </w:pPr>
            <w:r>
              <w:rPr>
                <w:rFonts w:ascii="Arial" w:hAnsi="Arial"/>
              </w:rPr>
              <w:t>5</w:t>
            </w:r>
          </w:p>
        </w:tc>
      </w:tr>
      <w:tr w:rsidR="00052F94" w:rsidRPr="00052F94" w:rsidTr="00285908">
        <w:tc>
          <w:tcPr>
            <w:tcW w:w="767" w:type="dxa"/>
          </w:tcPr>
          <w:p w:rsidR="00052F94" w:rsidRPr="00052F94" w:rsidRDefault="00052F94" w:rsidP="00052F94">
            <w:pPr>
              <w:widowControl/>
              <w:autoSpaceDE/>
              <w:autoSpaceDN/>
              <w:adjustRightInd/>
              <w:spacing w:line="276" w:lineRule="auto"/>
              <w:jc w:val="both"/>
              <w:rPr>
                <w:rFonts w:ascii="Arial" w:hAnsi="Arial" w:cs="Arial"/>
                <w:b/>
                <w:color w:val="1F4E79" w:themeColor="accent1" w:themeShade="80"/>
              </w:rPr>
            </w:pPr>
            <w:r>
              <w:rPr>
                <w:rFonts w:ascii="Arial" w:hAnsi="Arial"/>
                <w:b/>
                <w:color w:val="1F4E79" w:themeColor="accent1" w:themeShade="80"/>
              </w:rPr>
              <w:t>2.</w:t>
            </w:r>
          </w:p>
        </w:tc>
        <w:tc>
          <w:tcPr>
            <w:tcW w:w="8233" w:type="dxa"/>
          </w:tcPr>
          <w:p w:rsidR="00052F94" w:rsidRPr="00052F94" w:rsidRDefault="00FC01EC" w:rsidP="00052F94">
            <w:pPr>
              <w:widowControl/>
              <w:autoSpaceDE/>
              <w:autoSpaceDN/>
              <w:adjustRightInd/>
              <w:spacing w:line="276" w:lineRule="auto"/>
              <w:rPr>
                <w:rFonts w:ascii="Arial" w:hAnsi="Arial" w:cs="Arial"/>
                <w:b/>
                <w:color w:val="1F4E79" w:themeColor="accent1" w:themeShade="80"/>
              </w:rPr>
            </w:pPr>
            <w:r>
              <w:rPr>
                <w:rFonts w:ascii="Arial" w:hAnsi="Arial"/>
                <w:b/>
                <w:color w:val="1F4E79" w:themeColor="accent1" w:themeShade="80"/>
              </w:rPr>
              <w:t>CONPET - EXECUTIVE SUMMARY</w:t>
            </w:r>
          </w:p>
        </w:tc>
        <w:tc>
          <w:tcPr>
            <w:tcW w:w="634" w:type="dxa"/>
          </w:tcPr>
          <w:p w:rsidR="00052F94" w:rsidRPr="00052F94" w:rsidRDefault="00FC01EC" w:rsidP="00052F94">
            <w:pPr>
              <w:widowControl/>
              <w:autoSpaceDE/>
              <w:autoSpaceDN/>
              <w:adjustRightInd/>
              <w:spacing w:line="276" w:lineRule="auto"/>
              <w:jc w:val="right"/>
              <w:rPr>
                <w:rFonts w:ascii="Arial" w:hAnsi="Arial" w:cs="Arial"/>
                <w:b/>
                <w:color w:val="1F4E79" w:themeColor="accent1" w:themeShade="80"/>
              </w:rPr>
            </w:pPr>
            <w:r>
              <w:rPr>
                <w:rFonts w:ascii="Arial" w:hAnsi="Arial"/>
                <w:b/>
                <w:color w:val="1F4E79" w:themeColor="accent1" w:themeShade="80"/>
              </w:rPr>
              <w:t>6</w:t>
            </w:r>
          </w:p>
        </w:tc>
      </w:tr>
      <w:tr w:rsidR="00FC01EC" w:rsidRPr="00052F94" w:rsidTr="00285908">
        <w:tc>
          <w:tcPr>
            <w:tcW w:w="767" w:type="dxa"/>
          </w:tcPr>
          <w:p w:rsidR="00FC01EC" w:rsidRPr="00052F94" w:rsidRDefault="00FC01EC" w:rsidP="00FC01EC">
            <w:pPr>
              <w:widowControl/>
              <w:autoSpaceDE/>
              <w:autoSpaceDN/>
              <w:adjustRightInd/>
              <w:spacing w:line="276" w:lineRule="auto"/>
              <w:jc w:val="both"/>
              <w:rPr>
                <w:rFonts w:ascii="Arial" w:hAnsi="Arial" w:cs="Arial"/>
              </w:rPr>
            </w:pPr>
            <w:r>
              <w:rPr>
                <w:rFonts w:ascii="Arial" w:hAnsi="Arial"/>
              </w:rPr>
              <w:t>2.1</w:t>
            </w:r>
          </w:p>
        </w:tc>
        <w:tc>
          <w:tcPr>
            <w:tcW w:w="8233" w:type="dxa"/>
            <w:vAlign w:val="center"/>
          </w:tcPr>
          <w:p w:rsidR="00FC01EC" w:rsidRPr="00FC01EC" w:rsidRDefault="00FC01EC" w:rsidP="00FC01EC">
            <w:pPr>
              <w:overflowPunct w:val="0"/>
              <w:jc w:val="both"/>
              <w:textAlignment w:val="baseline"/>
              <w:rPr>
                <w:rFonts w:ascii="Arial" w:hAnsi="Arial" w:cs="Arial"/>
                <w:color w:val="000000" w:themeColor="text1"/>
                <w:sz w:val="24"/>
                <w:szCs w:val="24"/>
              </w:rPr>
            </w:pPr>
            <w:r>
              <w:rPr>
                <w:rFonts w:ascii="Arial" w:hAnsi="Arial"/>
                <w:color w:val="000000" w:themeColor="text1"/>
                <w:sz w:val="24"/>
                <w:szCs w:val="24"/>
              </w:rPr>
              <w:t xml:space="preserve">Operating activity indicators </w:t>
            </w:r>
          </w:p>
        </w:tc>
        <w:tc>
          <w:tcPr>
            <w:tcW w:w="634" w:type="dxa"/>
          </w:tcPr>
          <w:p w:rsidR="00FC01EC" w:rsidRPr="00052F94" w:rsidRDefault="00FC01EC" w:rsidP="00FC01EC">
            <w:pPr>
              <w:widowControl/>
              <w:autoSpaceDE/>
              <w:autoSpaceDN/>
              <w:adjustRightInd/>
              <w:spacing w:line="276" w:lineRule="auto"/>
              <w:jc w:val="right"/>
              <w:rPr>
                <w:rFonts w:ascii="Arial" w:hAnsi="Arial" w:cs="Arial"/>
              </w:rPr>
            </w:pPr>
            <w:r>
              <w:rPr>
                <w:rFonts w:ascii="Arial" w:hAnsi="Arial"/>
              </w:rPr>
              <w:t>6</w:t>
            </w:r>
          </w:p>
        </w:tc>
      </w:tr>
      <w:tr w:rsidR="00FC01EC" w:rsidRPr="00052F94" w:rsidTr="00285908">
        <w:tc>
          <w:tcPr>
            <w:tcW w:w="767" w:type="dxa"/>
          </w:tcPr>
          <w:p w:rsidR="00FC01EC" w:rsidRPr="00052F94" w:rsidRDefault="00FC01EC" w:rsidP="00FC01EC">
            <w:pPr>
              <w:widowControl/>
              <w:autoSpaceDE/>
              <w:autoSpaceDN/>
              <w:adjustRightInd/>
              <w:spacing w:line="276" w:lineRule="auto"/>
              <w:jc w:val="both"/>
              <w:rPr>
                <w:rFonts w:ascii="Arial" w:hAnsi="Arial" w:cs="Arial"/>
              </w:rPr>
            </w:pPr>
            <w:r>
              <w:rPr>
                <w:rFonts w:ascii="Arial" w:hAnsi="Arial"/>
              </w:rPr>
              <w:t>2.2</w:t>
            </w:r>
          </w:p>
        </w:tc>
        <w:tc>
          <w:tcPr>
            <w:tcW w:w="8233" w:type="dxa"/>
            <w:vAlign w:val="center"/>
          </w:tcPr>
          <w:p w:rsidR="00FC01EC" w:rsidRPr="00FC01EC" w:rsidRDefault="00FC01EC" w:rsidP="00FC01EC">
            <w:pPr>
              <w:overflowPunct w:val="0"/>
              <w:jc w:val="both"/>
              <w:textAlignment w:val="baseline"/>
              <w:rPr>
                <w:rFonts w:ascii="Arial" w:hAnsi="Arial" w:cs="Arial"/>
                <w:color w:val="000000" w:themeColor="text1"/>
                <w:sz w:val="24"/>
                <w:szCs w:val="24"/>
              </w:rPr>
            </w:pPr>
            <w:r>
              <w:rPr>
                <w:rFonts w:ascii="Arial" w:hAnsi="Arial"/>
                <w:color w:val="000000" w:themeColor="text1"/>
                <w:sz w:val="24"/>
                <w:szCs w:val="24"/>
              </w:rPr>
              <w:t>Economic-financial Indicators</w:t>
            </w:r>
          </w:p>
        </w:tc>
        <w:tc>
          <w:tcPr>
            <w:tcW w:w="634" w:type="dxa"/>
          </w:tcPr>
          <w:p w:rsidR="00FC01EC" w:rsidRPr="00052F94" w:rsidRDefault="00FC01EC" w:rsidP="00FC01EC">
            <w:pPr>
              <w:widowControl/>
              <w:autoSpaceDE/>
              <w:autoSpaceDN/>
              <w:adjustRightInd/>
              <w:spacing w:line="276" w:lineRule="auto"/>
              <w:jc w:val="right"/>
              <w:rPr>
                <w:rFonts w:ascii="Arial" w:hAnsi="Arial" w:cs="Arial"/>
              </w:rPr>
            </w:pPr>
            <w:r>
              <w:rPr>
                <w:rFonts w:ascii="Arial" w:hAnsi="Arial"/>
              </w:rPr>
              <w:t>7</w:t>
            </w:r>
          </w:p>
        </w:tc>
      </w:tr>
      <w:tr w:rsidR="00FC01EC" w:rsidRPr="00052F94" w:rsidTr="00285908">
        <w:tc>
          <w:tcPr>
            <w:tcW w:w="767" w:type="dxa"/>
          </w:tcPr>
          <w:p w:rsidR="00FC01EC" w:rsidRPr="00052F94" w:rsidRDefault="00FC01EC" w:rsidP="00FC01EC">
            <w:pPr>
              <w:widowControl/>
              <w:autoSpaceDE/>
              <w:autoSpaceDN/>
              <w:adjustRightInd/>
              <w:spacing w:line="276" w:lineRule="auto"/>
              <w:jc w:val="both"/>
              <w:rPr>
                <w:rFonts w:ascii="Arial" w:hAnsi="Arial" w:cs="Arial"/>
              </w:rPr>
            </w:pPr>
            <w:r>
              <w:rPr>
                <w:rFonts w:ascii="Arial" w:hAnsi="Arial"/>
              </w:rPr>
              <w:t>2.3</w:t>
            </w:r>
          </w:p>
        </w:tc>
        <w:tc>
          <w:tcPr>
            <w:tcW w:w="8233" w:type="dxa"/>
            <w:vAlign w:val="center"/>
          </w:tcPr>
          <w:p w:rsidR="00FC01EC" w:rsidRPr="00FC01EC" w:rsidRDefault="00FC01EC" w:rsidP="00FC01EC">
            <w:pPr>
              <w:rPr>
                <w:color w:val="000000" w:themeColor="text1"/>
              </w:rPr>
            </w:pPr>
            <w:r>
              <w:rPr>
                <w:rFonts w:ascii="Arial" w:hAnsi="Arial"/>
                <w:bCs/>
                <w:color w:val="000000" w:themeColor="text1"/>
                <w:sz w:val="24"/>
                <w:szCs w:val="24"/>
              </w:rPr>
              <w:t>Investments</w:t>
            </w:r>
          </w:p>
        </w:tc>
        <w:tc>
          <w:tcPr>
            <w:tcW w:w="634" w:type="dxa"/>
          </w:tcPr>
          <w:p w:rsidR="00FC01EC" w:rsidRPr="00052F94" w:rsidRDefault="00FC01EC" w:rsidP="00FC01EC">
            <w:pPr>
              <w:widowControl/>
              <w:autoSpaceDE/>
              <w:autoSpaceDN/>
              <w:adjustRightInd/>
              <w:spacing w:line="276" w:lineRule="auto"/>
              <w:jc w:val="right"/>
              <w:rPr>
                <w:rFonts w:ascii="Arial" w:hAnsi="Arial" w:cs="Arial"/>
              </w:rPr>
            </w:pPr>
            <w:r>
              <w:rPr>
                <w:rFonts w:ascii="Arial" w:hAnsi="Arial"/>
              </w:rPr>
              <w:t>7</w:t>
            </w:r>
          </w:p>
        </w:tc>
      </w:tr>
      <w:tr w:rsidR="00FC01EC" w:rsidRPr="00052F94" w:rsidTr="00285908">
        <w:tc>
          <w:tcPr>
            <w:tcW w:w="767" w:type="dxa"/>
          </w:tcPr>
          <w:p w:rsidR="00FC01EC" w:rsidRPr="00052F94" w:rsidRDefault="00FC01EC" w:rsidP="00FC01EC">
            <w:pPr>
              <w:widowControl/>
              <w:autoSpaceDE/>
              <w:autoSpaceDN/>
              <w:adjustRightInd/>
              <w:spacing w:line="276" w:lineRule="auto"/>
              <w:jc w:val="both"/>
              <w:rPr>
                <w:rFonts w:ascii="Arial" w:hAnsi="Arial" w:cs="Arial"/>
              </w:rPr>
            </w:pPr>
            <w:r>
              <w:rPr>
                <w:rFonts w:ascii="Arial" w:hAnsi="Arial"/>
              </w:rPr>
              <w:t>2.4</w:t>
            </w:r>
          </w:p>
        </w:tc>
        <w:tc>
          <w:tcPr>
            <w:tcW w:w="8233" w:type="dxa"/>
            <w:vAlign w:val="center"/>
          </w:tcPr>
          <w:p w:rsidR="00FC01EC" w:rsidRPr="00FC01EC" w:rsidRDefault="00FC01EC" w:rsidP="00FC01EC">
            <w:pPr>
              <w:jc w:val="both"/>
              <w:rPr>
                <w:rFonts w:ascii="Arial" w:hAnsi="Arial" w:cs="Arial"/>
                <w:color w:val="000000" w:themeColor="text1"/>
                <w:sz w:val="24"/>
                <w:szCs w:val="24"/>
              </w:rPr>
            </w:pPr>
            <w:r>
              <w:rPr>
                <w:rFonts w:ascii="Arial" w:hAnsi="Arial"/>
                <w:color w:val="000000" w:themeColor="text1"/>
                <w:sz w:val="24"/>
                <w:szCs w:val="24"/>
              </w:rPr>
              <w:t xml:space="preserve">Company’s Stock Market indicators </w:t>
            </w:r>
          </w:p>
        </w:tc>
        <w:tc>
          <w:tcPr>
            <w:tcW w:w="634" w:type="dxa"/>
          </w:tcPr>
          <w:p w:rsidR="00FC01EC" w:rsidRPr="00052F94" w:rsidRDefault="00FC01EC" w:rsidP="00FC01EC">
            <w:pPr>
              <w:widowControl/>
              <w:autoSpaceDE/>
              <w:autoSpaceDN/>
              <w:adjustRightInd/>
              <w:spacing w:line="276" w:lineRule="auto"/>
              <w:jc w:val="right"/>
              <w:rPr>
                <w:rFonts w:ascii="Arial" w:hAnsi="Arial" w:cs="Arial"/>
              </w:rPr>
            </w:pPr>
            <w:r>
              <w:rPr>
                <w:rFonts w:ascii="Arial" w:hAnsi="Arial"/>
              </w:rPr>
              <w:t>8</w:t>
            </w:r>
          </w:p>
        </w:tc>
      </w:tr>
      <w:tr w:rsidR="00052F94" w:rsidRPr="00052F94" w:rsidTr="00285908">
        <w:tc>
          <w:tcPr>
            <w:tcW w:w="767" w:type="dxa"/>
          </w:tcPr>
          <w:p w:rsidR="00052F94" w:rsidRPr="00052F94" w:rsidRDefault="00052F94" w:rsidP="00052F94">
            <w:pPr>
              <w:widowControl/>
              <w:autoSpaceDE/>
              <w:autoSpaceDN/>
              <w:adjustRightInd/>
              <w:spacing w:line="276" w:lineRule="auto"/>
              <w:jc w:val="both"/>
              <w:rPr>
                <w:rFonts w:ascii="Arial" w:hAnsi="Arial" w:cs="Arial"/>
                <w:b/>
                <w:color w:val="1F4E79" w:themeColor="accent1" w:themeShade="80"/>
              </w:rPr>
            </w:pPr>
            <w:r>
              <w:rPr>
                <w:rFonts w:ascii="Arial" w:hAnsi="Arial"/>
                <w:b/>
                <w:color w:val="1F4E79" w:themeColor="accent1" w:themeShade="80"/>
              </w:rPr>
              <w:t>3.</w:t>
            </w:r>
          </w:p>
        </w:tc>
        <w:tc>
          <w:tcPr>
            <w:tcW w:w="8233" w:type="dxa"/>
          </w:tcPr>
          <w:p w:rsidR="00052F94" w:rsidRPr="00052F94" w:rsidRDefault="00FC01EC" w:rsidP="00052F94">
            <w:pPr>
              <w:widowControl/>
              <w:autoSpaceDE/>
              <w:autoSpaceDN/>
              <w:adjustRightInd/>
              <w:spacing w:line="276" w:lineRule="auto"/>
              <w:rPr>
                <w:rFonts w:ascii="Arial" w:hAnsi="Arial" w:cs="Arial"/>
                <w:b/>
                <w:color w:val="1F4E79" w:themeColor="accent1" w:themeShade="80"/>
              </w:rPr>
            </w:pPr>
            <w:r>
              <w:rPr>
                <w:rFonts w:ascii="Arial" w:hAnsi="Arial"/>
                <w:b/>
                <w:color w:val="1F4E79" w:themeColor="accent1" w:themeShade="80"/>
              </w:rPr>
              <w:t>ANALYSIS OF THE COMPANY’S BUSINESS</w:t>
            </w:r>
          </w:p>
        </w:tc>
        <w:tc>
          <w:tcPr>
            <w:tcW w:w="634" w:type="dxa"/>
          </w:tcPr>
          <w:p w:rsidR="00052F94" w:rsidRPr="00052F94" w:rsidRDefault="00FC01EC" w:rsidP="00052F94">
            <w:pPr>
              <w:widowControl/>
              <w:autoSpaceDE/>
              <w:autoSpaceDN/>
              <w:adjustRightInd/>
              <w:spacing w:line="276" w:lineRule="auto"/>
              <w:jc w:val="right"/>
              <w:rPr>
                <w:rFonts w:ascii="Arial" w:hAnsi="Arial" w:cs="Arial"/>
                <w:b/>
                <w:color w:val="1F4E79" w:themeColor="accent1" w:themeShade="80"/>
              </w:rPr>
            </w:pPr>
            <w:r>
              <w:rPr>
                <w:rFonts w:ascii="Arial" w:hAnsi="Arial"/>
                <w:b/>
                <w:color w:val="1F4E79" w:themeColor="accent1" w:themeShade="80"/>
              </w:rPr>
              <w:t>9</w:t>
            </w:r>
          </w:p>
        </w:tc>
      </w:tr>
      <w:tr w:rsidR="00052F94" w:rsidRPr="00052F94" w:rsidTr="00285908">
        <w:tc>
          <w:tcPr>
            <w:tcW w:w="767" w:type="dxa"/>
          </w:tcPr>
          <w:p w:rsidR="00052F94" w:rsidRPr="00052F94" w:rsidRDefault="00052F94" w:rsidP="00052F94">
            <w:pPr>
              <w:widowControl/>
              <w:autoSpaceDE/>
              <w:autoSpaceDN/>
              <w:adjustRightInd/>
              <w:spacing w:line="276" w:lineRule="auto"/>
              <w:jc w:val="both"/>
              <w:rPr>
                <w:rFonts w:ascii="Arial" w:hAnsi="Arial" w:cs="Arial"/>
              </w:rPr>
            </w:pPr>
            <w:r>
              <w:rPr>
                <w:rFonts w:ascii="Arial" w:hAnsi="Arial"/>
              </w:rPr>
              <w:t>3.1.</w:t>
            </w:r>
          </w:p>
        </w:tc>
        <w:tc>
          <w:tcPr>
            <w:tcW w:w="8233" w:type="dxa"/>
          </w:tcPr>
          <w:p w:rsidR="00052F94" w:rsidRPr="00052F94" w:rsidRDefault="008C7A7F" w:rsidP="00052F94">
            <w:pPr>
              <w:widowControl/>
              <w:autoSpaceDE/>
              <w:autoSpaceDN/>
              <w:adjustRightInd/>
              <w:spacing w:line="276" w:lineRule="auto"/>
              <w:rPr>
                <w:rFonts w:ascii="Arial" w:hAnsi="Arial" w:cs="Arial"/>
              </w:rPr>
            </w:pPr>
            <w:r>
              <w:rPr>
                <w:rFonts w:ascii="Arial" w:hAnsi="Arial"/>
              </w:rPr>
              <w:t>Analysis of the operating activity</w:t>
            </w:r>
          </w:p>
        </w:tc>
        <w:tc>
          <w:tcPr>
            <w:tcW w:w="634" w:type="dxa"/>
          </w:tcPr>
          <w:p w:rsidR="00052F94" w:rsidRPr="00052F94" w:rsidRDefault="008C7A7F" w:rsidP="00052F94">
            <w:pPr>
              <w:widowControl/>
              <w:autoSpaceDE/>
              <w:autoSpaceDN/>
              <w:adjustRightInd/>
              <w:spacing w:line="276" w:lineRule="auto"/>
              <w:jc w:val="right"/>
              <w:rPr>
                <w:rFonts w:ascii="Arial" w:hAnsi="Arial" w:cs="Arial"/>
              </w:rPr>
            </w:pPr>
            <w:r>
              <w:rPr>
                <w:rFonts w:ascii="Arial" w:hAnsi="Arial"/>
              </w:rPr>
              <w:t>9</w:t>
            </w:r>
          </w:p>
        </w:tc>
      </w:tr>
      <w:tr w:rsidR="008C7A7F" w:rsidRPr="00052F94" w:rsidTr="00285908">
        <w:tc>
          <w:tcPr>
            <w:tcW w:w="767" w:type="dxa"/>
          </w:tcPr>
          <w:p w:rsidR="008C7A7F" w:rsidRPr="00052F94" w:rsidRDefault="008C7A7F" w:rsidP="00052F94">
            <w:pPr>
              <w:widowControl/>
              <w:autoSpaceDE/>
              <w:autoSpaceDN/>
              <w:adjustRightInd/>
              <w:spacing w:line="276" w:lineRule="auto"/>
              <w:jc w:val="both"/>
              <w:rPr>
                <w:rFonts w:ascii="Arial" w:hAnsi="Arial" w:cs="Arial"/>
              </w:rPr>
            </w:pPr>
            <w:r>
              <w:rPr>
                <w:rFonts w:ascii="Arial" w:hAnsi="Arial"/>
              </w:rPr>
              <w:t>3.1.1</w:t>
            </w:r>
          </w:p>
        </w:tc>
        <w:tc>
          <w:tcPr>
            <w:tcW w:w="8233" w:type="dxa"/>
          </w:tcPr>
          <w:p w:rsidR="008C7A7F" w:rsidRPr="00052F94" w:rsidRDefault="008C7A7F" w:rsidP="00052F94">
            <w:pPr>
              <w:widowControl/>
              <w:autoSpaceDE/>
              <w:autoSpaceDN/>
              <w:adjustRightInd/>
              <w:spacing w:line="276" w:lineRule="auto"/>
              <w:rPr>
                <w:rFonts w:ascii="Arial" w:hAnsi="Arial" w:cs="Arial"/>
              </w:rPr>
            </w:pPr>
            <w:r>
              <w:rPr>
                <w:rFonts w:ascii="Arial" w:hAnsi="Arial"/>
              </w:rPr>
              <w:t>The Regulation Framework</w:t>
            </w:r>
          </w:p>
        </w:tc>
        <w:tc>
          <w:tcPr>
            <w:tcW w:w="634" w:type="dxa"/>
          </w:tcPr>
          <w:p w:rsidR="008C7A7F" w:rsidRPr="00052F94" w:rsidRDefault="008C7A7F" w:rsidP="00052F94">
            <w:pPr>
              <w:widowControl/>
              <w:autoSpaceDE/>
              <w:autoSpaceDN/>
              <w:adjustRightInd/>
              <w:spacing w:line="276" w:lineRule="auto"/>
              <w:jc w:val="right"/>
              <w:rPr>
                <w:rFonts w:ascii="Arial" w:hAnsi="Arial" w:cs="Arial"/>
              </w:rPr>
            </w:pPr>
            <w:r>
              <w:rPr>
                <w:rFonts w:ascii="Arial" w:hAnsi="Arial"/>
              </w:rPr>
              <w:t>9</w:t>
            </w:r>
          </w:p>
        </w:tc>
      </w:tr>
      <w:tr w:rsidR="008C7A7F" w:rsidRPr="00052F94" w:rsidTr="00285908">
        <w:tc>
          <w:tcPr>
            <w:tcW w:w="767" w:type="dxa"/>
          </w:tcPr>
          <w:p w:rsidR="008C7A7F" w:rsidRPr="00052F94" w:rsidRDefault="008C7A7F" w:rsidP="008C7A7F">
            <w:pPr>
              <w:widowControl/>
              <w:autoSpaceDE/>
              <w:autoSpaceDN/>
              <w:adjustRightInd/>
              <w:spacing w:line="276" w:lineRule="auto"/>
              <w:jc w:val="both"/>
              <w:rPr>
                <w:rFonts w:ascii="Arial" w:hAnsi="Arial" w:cs="Arial"/>
              </w:rPr>
            </w:pPr>
            <w:r>
              <w:rPr>
                <w:rFonts w:ascii="Arial" w:hAnsi="Arial"/>
              </w:rPr>
              <w:t>3.1.2</w:t>
            </w:r>
          </w:p>
        </w:tc>
        <w:tc>
          <w:tcPr>
            <w:tcW w:w="8233" w:type="dxa"/>
            <w:vAlign w:val="center"/>
          </w:tcPr>
          <w:p w:rsidR="008C7A7F" w:rsidRPr="008C7A7F" w:rsidRDefault="008C7A7F" w:rsidP="008C7A7F">
            <w:r>
              <w:rPr>
                <w:rFonts w:ascii="Arial" w:hAnsi="Arial"/>
              </w:rPr>
              <w:t>The crude oil, condensate and rich gas business</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rPr>
              <w:t>9</w:t>
            </w:r>
          </w:p>
        </w:tc>
      </w:tr>
      <w:tr w:rsidR="008C7A7F" w:rsidRPr="00052F94" w:rsidTr="00285908">
        <w:tc>
          <w:tcPr>
            <w:tcW w:w="767" w:type="dxa"/>
          </w:tcPr>
          <w:p w:rsidR="008C7A7F" w:rsidRDefault="008C7A7F" w:rsidP="008C7A7F">
            <w:pPr>
              <w:widowControl/>
              <w:autoSpaceDE/>
              <w:autoSpaceDN/>
              <w:adjustRightInd/>
              <w:spacing w:line="276" w:lineRule="auto"/>
              <w:jc w:val="both"/>
              <w:rPr>
                <w:rFonts w:ascii="Arial" w:hAnsi="Arial" w:cs="Arial"/>
              </w:rPr>
            </w:pPr>
            <w:r>
              <w:rPr>
                <w:rFonts w:ascii="Arial" w:hAnsi="Arial"/>
              </w:rPr>
              <w:t>3.1.3</w:t>
            </w:r>
          </w:p>
        </w:tc>
        <w:tc>
          <w:tcPr>
            <w:tcW w:w="8233" w:type="dxa"/>
            <w:vAlign w:val="center"/>
          </w:tcPr>
          <w:p w:rsidR="008C7A7F" w:rsidRPr="008C7A7F" w:rsidRDefault="008C7A7F" w:rsidP="008C7A7F">
            <w:pPr>
              <w:overflowPunct w:val="0"/>
              <w:jc w:val="both"/>
              <w:textAlignment w:val="baseline"/>
              <w:rPr>
                <w:rFonts w:ascii="Arial" w:hAnsi="Arial" w:cs="Arial"/>
              </w:rPr>
            </w:pPr>
            <w:r>
              <w:rPr>
                <w:rFonts w:ascii="Arial" w:hAnsi="Arial"/>
              </w:rPr>
              <w:t>Other activities</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rPr>
              <w:t>14</w:t>
            </w:r>
          </w:p>
        </w:tc>
      </w:tr>
      <w:tr w:rsidR="008C7A7F" w:rsidRPr="00052F94" w:rsidTr="00285908">
        <w:tc>
          <w:tcPr>
            <w:tcW w:w="767" w:type="dxa"/>
          </w:tcPr>
          <w:p w:rsidR="008C7A7F" w:rsidRDefault="008C7A7F" w:rsidP="008C7A7F">
            <w:pPr>
              <w:widowControl/>
              <w:autoSpaceDE/>
              <w:autoSpaceDN/>
              <w:adjustRightInd/>
              <w:spacing w:line="276" w:lineRule="auto"/>
              <w:jc w:val="both"/>
              <w:rPr>
                <w:rFonts w:ascii="Arial" w:hAnsi="Arial" w:cs="Arial"/>
              </w:rPr>
            </w:pPr>
            <w:r>
              <w:rPr>
                <w:rFonts w:ascii="Arial" w:hAnsi="Arial"/>
              </w:rPr>
              <w:t>3.1.4</w:t>
            </w:r>
          </w:p>
        </w:tc>
        <w:tc>
          <w:tcPr>
            <w:tcW w:w="8233" w:type="dxa"/>
            <w:vAlign w:val="center"/>
          </w:tcPr>
          <w:p w:rsidR="008C7A7F" w:rsidRPr="008C7A7F" w:rsidRDefault="008C7A7F" w:rsidP="008C7A7F">
            <w:pPr>
              <w:overflowPunct w:val="0"/>
              <w:jc w:val="both"/>
              <w:textAlignment w:val="baseline"/>
              <w:rPr>
                <w:rFonts w:ascii="Arial" w:hAnsi="Arial" w:cs="Arial"/>
              </w:rPr>
            </w:pPr>
            <w:r>
              <w:rPr>
                <w:rFonts w:ascii="Arial" w:hAnsi="Arial"/>
              </w:rPr>
              <w:t>Assessment of the operating activity</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rPr>
              <w:t>14</w:t>
            </w:r>
          </w:p>
        </w:tc>
      </w:tr>
      <w:tr w:rsidR="008C7A7F" w:rsidRPr="00052F94" w:rsidTr="00285908">
        <w:tc>
          <w:tcPr>
            <w:tcW w:w="767" w:type="dxa"/>
          </w:tcPr>
          <w:p w:rsidR="008C7A7F" w:rsidRDefault="008C7A7F" w:rsidP="008C7A7F">
            <w:pPr>
              <w:widowControl/>
              <w:autoSpaceDE/>
              <w:autoSpaceDN/>
              <w:adjustRightInd/>
              <w:spacing w:line="276" w:lineRule="auto"/>
              <w:jc w:val="both"/>
              <w:rPr>
                <w:rFonts w:ascii="Arial" w:hAnsi="Arial" w:cs="Arial"/>
              </w:rPr>
            </w:pPr>
            <w:r>
              <w:rPr>
                <w:rFonts w:ascii="Arial" w:hAnsi="Arial"/>
              </w:rPr>
              <w:t>3.1.5</w:t>
            </w:r>
          </w:p>
        </w:tc>
        <w:tc>
          <w:tcPr>
            <w:tcW w:w="8233" w:type="dxa"/>
            <w:vAlign w:val="center"/>
          </w:tcPr>
          <w:p w:rsidR="008C7A7F" w:rsidRPr="008C7A7F" w:rsidRDefault="008C7A7F" w:rsidP="008C7A7F">
            <w:pPr>
              <w:jc w:val="both"/>
              <w:rPr>
                <w:rFonts w:ascii="Arial" w:hAnsi="Arial" w:cs="Arial"/>
              </w:rPr>
            </w:pPr>
            <w:r>
              <w:rPr>
                <w:rFonts w:ascii="Arial" w:hAnsi="Arial"/>
              </w:rPr>
              <w:t>Procurement</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rPr>
              <w:t>15</w:t>
            </w:r>
          </w:p>
        </w:tc>
      </w:tr>
      <w:tr w:rsidR="008C7A7F" w:rsidRPr="00052F94" w:rsidTr="00285908">
        <w:tc>
          <w:tcPr>
            <w:tcW w:w="767" w:type="dxa"/>
          </w:tcPr>
          <w:p w:rsidR="008C7A7F" w:rsidRDefault="008C7A7F" w:rsidP="008C7A7F">
            <w:pPr>
              <w:widowControl/>
              <w:autoSpaceDE/>
              <w:autoSpaceDN/>
              <w:adjustRightInd/>
              <w:spacing w:line="276" w:lineRule="auto"/>
              <w:jc w:val="both"/>
              <w:rPr>
                <w:rFonts w:ascii="Arial" w:hAnsi="Arial" w:cs="Arial"/>
              </w:rPr>
            </w:pPr>
            <w:r>
              <w:rPr>
                <w:rFonts w:ascii="Arial" w:hAnsi="Arial"/>
              </w:rPr>
              <w:t>3.1.6</w:t>
            </w:r>
          </w:p>
        </w:tc>
        <w:tc>
          <w:tcPr>
            <w:tcW w:w="8233" w:type="dxa"/>
            <w:vAlign w:val="center"/>
          </w:tcPr>
          <w:p w:rsidR="008C7A7F" w:rsidRPr="008C7A7F" w:rsidRDefault="008C7A7F" w:rsidP="008C7A7F">
            <w:pPr>
              <w:overflowPunct w:val="0"/>
              <w:jc w:val="both"/>
              <w:textAlignment w:val="baseline"/>
              <w:rPr>
                <w:rFonts w:ascii="Arial" w:hAnsi="Arial" w:cs="Arial"/>
              </w:rPr>
            </w:pPr>
            <w:r>
              <w:rPr>
                <w:rFonts w:ascii="Arial" w:hAnsi="Arial"/>
              </w:rPr>
              <w:t>Company mergers and reorganizations, procurements and disposals of assets during 2018 H1</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rPr>
              <w:t>15</w:t>
            </w:r>
          </w:p>
        </w:tc>
      </w:tr>
      <w:tr w:rsidR="008C7A7F" w:rsidRPr="00052F94" w:rsidTr="00285908">
        <w:tc>
          <w:tcPr>
            <w:tcW w:w="767" w:type="dxa"/>
          </w:tcPr>
          <w:p w:rsidR="008C7A7F" w:rsidRDefault="008C7A7F" w:rsidP="008C7A7F">
            <w:pPr>
              <w:widowControl/>
              <w:autoSpaceDE/>
              <w:autoSpaceDN/>
              <w:adjustRightInd/>
              <w:spacing w:line="276" w:lineRule="auto"/>
              <w:jc w:val="both"/>
              <w:rPr>
                <w:rFonts w:ascii="Arial" w:hAnsi="Arial" w:cs="Arial"/>
              </w:rPr>
            </w:pPr>
            <w:r>
              <w:rPr>
                <w:rFonts w:ascii="Arial" w:hAnsi="Arial"/>
              </w:rPr>
              <w:t>3.1.7</w:t>
            </w:r>
          </w:p>
        </w:tc>
        <w:tc>
          <w:tcPr>
            <w:tcW w:w="8233" w:type="dxa"/>
            <w:vAlign w:val="center"/>
          </w:tcPr>
          <w:p w:rsidR="008C7A7F" w:rsidRPr="008C7A7F" w:rsidRDefault="008C7A7F" w:rsidP="008C7A7F">
            <w:r>
              <w:rPr>
                <w:rFonts w:ascii="Arial" w:hAnsi="Arial"/>
              </w:rPr>
              <w:t xml:space="preserve">Assessment of human resources and social dialog activity </w:t>
            </w:r>
          </w:p>
        </w:tc>
        <w:tc>
          <w:tcPr>
            <w:tcW w:w="634" w:type="dxa"/>
          </w:tcPr>
          <w:p w:rsidR="008C7A7F" w:rsidRPr="00052F94" w:rsidRDefault="008C7A7F" w:rsidP="008C7A7F">
            <w:pPr>
              <w:widowControl/>
              <w:autoSpaceDE/>
              <w:autoSpaceDN/>
              <w:adjustRightInd/>
              <w:spacing w:line="276" w:lineRule="auto"/>
              <w:jc w:val="right"/>
              <w:rPr>
                <w:rFonts w:ascii="Arial" w:hAnsi="Arial" w:cs="Arial"/>
              </w:rPr>
            </w:pPr>
            <w:r>
              <w:rPr>
                <w:rFonts w:ascii="Arial" w:hAnsi="Arial"/>
              </w:rPr>
              <w:t>15</w:t>
            </w:r>
          </w:p>
        </w:tc>
      </w:tr>
      <w:tr w:rsidR="008C7A7F" w:rsidRPr="00052F94" w:rsidTr="00285908">
        <w:tc>
          <w:tcPr>
            <w:tcW w:w="767" w:type="dxa"/>
          </w:tcPr>
          <w:p w:rsidR="008C7A7F" w:rsidRPr="00052F94" w:rsidRDefault="00EF2D1F" w:rsidP="008C7A7F">
            <w:pPr>
              <w:widowControl/>
              <w:autoSpaceDE/>
              <w:autoSpaceDN/>
              <w:adjustRightInd/>
              <w:spacing w:line="276" w:lineRule="auto"/>
              <w:jc w:val="both"/>
              <w:rPr>
                <w:rFonts w:ascii="Arial" w:hAnsi="Arial" w:cs="Arial"/>
              </w:rPr>
            </w:pPr>
            <w:r>
              <w:rPr>
                <w:rFonts w:ascii="Arial" w:hAnsi="Arial"/>
              </w:rPr>
              <w:t>3.2</w:t>
            </w:r>
          </w:p>
        </w:tc>
        <w:tc>
          <w:tcPr>
            <w:tcW w:w="8233" w:type="dxa"/>
          </w:tcPr>
          <w:p w:rsidR="008C7A7F" w:rsidRPr="00052F94" w:rsidRDefault="00EF2D1F" w:rsidP="008C7A7F">
            <w:pPr>
              <w:widowControl/>
              <w:autoSpaceDE/>
              <w:autoSpaceDN/>
              <w:adjustRightInd/>
              <w:spacing w:line="276" w:lineRule="auto"/>
              <w:rPr>
                <w:rFonts w:ascii="Arial" w:hAnsi="Arial" w:cs="Arial"/>
              </w:rPr>
            </w:pPr>
            <w:r>
              <w:rPr>
                <w:rFonts w:ascii="Arial" w:hAnsi="Arial"/>
              </w:rPr>
              <w:t>Investments achieved in 2018 H1 as compared to the program of 2018 H1</w:t>
            </w:r>
          </w:p>
        </w:tc>
        <w:tc>
          <w:tcPr>
            <w:tcW w:w="634" w:type="dxa"/>
          </w:tcPr>
          <w:p w:rsidR="008C7A7F" w:rsidRPr="00052F94" w:rsidRDefault="00EF2D1F" w:rsidP="008C7A7F">
            <w:pPr>
              <w:widowControl/>
              <w:autoSpaceDE/>
              <w:autoSpaceDN/>
              <w:adjustRightInd/>
              <w:spacing w:line="276" w:lineRule="auto"/>
              <w:jc w:val="right"/>
              <w:rPr>
                <w:rFonts w:ascii="Arial" w:hAnsi="Arial" w:cs="Arial"/>
              </w:rPr>
            </w:pPr>
            <w:r>
              <w:rPr>
                <w:rFonts w:ascii="Arial" w:hAnsi="Arial"/>
              </w:rPr>
              <w:t>17</w:t>
            </w:r>
          </w:p>
        </w:tc>
      </w:tr>
      <w:tr w:rsidR="008C7A7F" w:rsidRPr="00052F94" w:rsidTr="00285908">
        <w:tc>
          <w:tcPr>
            <w:tcW w:w="767" w:type="dxa"/>
          </w:tcPr>
          <w:p w:rsidR="008C7A7F" w:rsidRPr="00052F94" w:rsidRDefault="00EF2D1F" w:rsidP="008C7A7F">
            <w:pPr>
              <w:widowControl/>
              <w:autoSpaceDE/>
              <w:autoSpaceDN/>
              <w:adjustRightInd/>
              <w:spacing w:line="276" w:lineRule="auto"/>
              <w:jc w:val="both"/>
              <w:rPr>
                <w:rFonts w:ascii="Arial" w:hAnsi="Arial" w:cs="Arial"/>
              </w:rPr>
            </w:pPr>
            <w:r>
              <w:rPr>
                <w:rFonts w:ascii="Arial" w:hAnsi="Arial"/>
              </w:rPr>
              <w:t>3.3</w:t>
            </w:r>
          </w:p>
        </w:tc>
        <w:tc>
          <w:tcPr>
            <w:tcW w:w="8233" w:type="dxa"/>
          </w:tcPr>
          <w:p w:rsidR="008C7A7F" w:rsidRPr="00052F94" w:rsidRDefault="00EF2D1F" w:rsidP="008C7A7F">
            <w:pPr>
              <w:widowControl/>
              <w:autoSpaceDE/>
              <w:autoSpaceDN/>
              <w:adjustRightInd/>
              <w:spacing w:line="276" w:lineRule="auto"/>
              <w:rPr>
                <w:rFonts w:ascii="Arial" w:hAnsi="Arial" w:cs="Arial"/>
              </w:rPr>
            </w:pPr>
            <w:r>
              <w:rPr>
                <w:rFonts w:ascii="Arial" w:hAnsi="Arial"/>
              </w:rPr>
              <w:t>Analysis of the financial business</w:t>
            </w:r>
          </w:p>
        </w:tc>
        <w:tc>
          <w:tcPr>
            <w:tcW w:w="634" w:type="dxa"/>
          </w:tcPr>
          <w:p w:rsidR="008C7A7F" w:rsidRPr="00052F94" w:rsidRDefault="00EF2D1F" w:rsidP="008C7A7F">
            <w:pPr>
              <w:widowControl/>
              <w:autoSpaceDE/>
              <w:autoSpaceDN/>
              <w:adjustRightInd/>
              <w:spacing w:line="276" w:lineRule="auto"/>
              <w:jc w:val="right"/>
              <w:rPr>
                <w:rFonts w:ascii="Arial" w:hAnsi="Arial" w:cs="Arial"/>
              </w:rPr>
            </w:pPr>
            <w:r>
              <w:rPr>
                <w:rFonts w:ascii="Arial" w:hAnsi="Arial"/>
              </w:rPr>
              <w:t>21</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Pr>
                <w:rFonts w:ascii="Arial" w:hAnsi="Arial"/>
              </w:rPr>
              <w:t>3.3.1</w:t>
            </w:r>
          </w:p>
        </w:tc>
        <w:tc>
          <w:tcPr>
            <w:tcW w:w="8233" w:type="dxa"/>
            <w:vAlign w:val="center"/>
          </w:tcPr>
          <w:p w:rsidR="00EF2D1F" w:rsidRPr="00EF2D1F" w:rsidRDefault="00EF2D1F" w:rsidP="00EF2D1F">
            <w:pPr>
              <w:rPr>
                <w:rFonts w:ascii="Arial" w:hAnsi="Arial" w:cs="Arial"/>
              </w:rPr>
            </w:pPr>
            <w:r>
              <w:rPr>
                <w:rFonts w:ascii="Arial" w:hAnsi="Arial"/>
              </w:rPr>
              <w:t>Report grounds</w:t>
            </w:r>
          </w:p>
        </w:tc>
        <w:tc>
          <w:tcPr>
            <w:tcW w:w="634" w:type="dxa"/>
          </w:tcPr>
          <w:p w:rsidR="00EF2D1F" w:rsidRPr="00052F94" w:rsidRDefault="00EF2D1F" w:rsidP="00EF2D1F">
            <w:pPr>
              <w:widowControl/>
              <w:autoSpaceDE/>
              <w:autoSpaceDN/>
              <w:adjustRightInd/>
              <w:spacing w:line="276" w:lineRule="auto"/>
              <w:jc w:val="right"/>
              <w:rPr>
                <w:rFonts w:ascii="Arial" w:hAnsi="Arial" w:cs="Arial"/>
              </w:rPr>
            </w:pPr>
            <w:r>
              <w:rPr>
                <w:rFonts w:ascii="Arial" w:hAnsi="Arial"/>
              </w:rPr>
              <w:t>21</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Pr>
                <w:rFonts w:ascii="Arial" w:hAnsi="Arial"/>
              </w:rPr>
              <w:t>3.3.2</w:t>
            </w:r>
          </w:p>
        </w:tc>
        <w:tc>
          <w:tcPr>
            <w:tcW w:w="8233" w:type="dxa"/>
            <w:vAlign w:val="center"/>
          </w:tcPr>
          <w:p w:rsidR="00EF2D1F" w:rsidRPr="00EF2D1F" w:rsidRDefault="00EF2D1F" w:rsidP="00EF2D1F">
            <w:r>
              <w:rPr>
                <w:rFonts w:ascii="Arial" w:hAnsi="Arial"/>
              </w:rPr>
              <w:t>Statement of the Financial Standing at June 30, 2018</w:t>
            </w:r>
          </w:p>
        </w:tc>
        <w:tc>
          <w:tcPr>
            <w:tcW w:w="634" w:type="dxa"/>
          </w:tcPr>
          <w:p w:rsidR="00EF2D1F" w:rsidRPr="00052F94" w:rsidRDefault="00EF2D1F" w:rsidP="00EF2D1F">
            <w:pPr>
              <w:widowControl/>
              <w:autoSpaceDE/>
              <w:autoSpaceDN/>
              <w:adjustRightInd/>
              <w:spacing w:line="276" w:lineRule="auto"/>
              <w:jc w:val="right"/>
              <w:rPr>
                <w:rFonts w:ascii="Arial" w:hAnsi="Arial" w:cs="Arial"/>
              </w:rPr>
            </w:pPr>
            <w:r>
              <w:rPr>
                <w:rFonts w:ascii="Arial" w:hAnsi="Arial"/>
              </w:rPr>
              <w:t>22</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Pr>
                <w:rFonts w:ascii="Arial" w:hAnsi="Arial"/>
              </w:rPr>
              <w:t>3.3.3</w:t>
            </w:r>
          </w:p>
        </w:tc>
        <w:tc>
          <w:tcPr>
            <w:tcW w:w="8233" w:type="dxa"/>
            <w:vAlign w:val="center"/>
          </w:tcPr>
          <w:p w:rsidR="00EF2D1F" w:rsidRPr="00EF2D1F" w:rsidRDefault="00EF2D1F" w:rsidP="00EF2D1F">
            <w:r>
              <w:rPr>
                <w:rFonts w:ascii="Arial" w:hAnsi="Arial"/>
                <w:bCs/>
              </w:rPr>
              <w:t>Profit &amp; Loss Account for the period January - June 2018</w:t>
            </w:r>
          </w:p>
        </w:tc>
        <w:tc>
          <w:tcPr>
            <w:tcW w:w="634" w:type="dxa"/>
          </w:tcPr>
          <w:p w:rsidR="00EF2D1F" w:rsidRPr="00052F94" w:rsidRDefault="00EF2D1F" w:rsidP="00EF2D1F">
            <w:pPr>
              <w:widowControl/>
              <w:autoSpaceDE/>
              <w:autoSpaceDN/>
              <w:adjustRightInd/>
              <w:spacing w:line="276" w:lineRule="auto"/>
              <w:jc w:val="right"/>
              <w:rPr>
                <w:rFonts w:ascii="Arial" w:hAnsi="Arial" w:cs="Arial"/>
              </w:rPr>
            </w:pPr>
            <w:r>
              <w:rPr>
                <w:rFonts w:ascii="Arial" w:hAnsi="Arial"/>
              </w:rPr>
              <w:t>23</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Pr>
                <w:rFonts w:ascii="Arial" w:hAnsi="Arial"/>
              </w:rPr>
              <w:t>3.3.4</w:t>
            </w:r>
          </w:p>
        </w:tc>
        <w:tc>
          <w:tcPr>
            <w:tcW w:w="8233" w:type="dxa"/>
            <w:vAlign w:val="center"/>
          </w:tcPr>
          <w:p w:rsidR="00EF2D1F" w:rsidRPr="00EF2D1F" w:rsidRDefault="00EF2D1F" w:rsidP="00EF2D1F">
            <w:pPr>
              <w:jc w:val="both"/>
              <w:rPr>
                <w:rFonts w:ascii="Arial" w:hAnsi="Arial" w:cs="Arial"/>
              </w:rPr>
            </w:pPr>
            <w:r>
              <w:rPr>
                <w:rFonts w:ascii="Arial" w:hAnsi="Arial"/>
              </w:rPr>
              <w:t xml:space="preserve">Main Economic-financial Indicators </w:t>
            </w:r>
          </w:p>
        </w:tc>
        <w:tc>
          <w:tcPr>
            <w:tcW w:w="634" w:type="dxa"/>
          </w:tcPr>
          <w:p w:rsidR="00EF2D1F" w:rsidRPr="00052F94" w:rsidRDefault="00EF2D1F" w:rsidP="00EF2D1F">
            <w:pPr>
              <w:widowControl/>
              <w:autoSpaceDE/>
              <w:autoSpaceDN/>
              <w:adjustRightInd/>
              <w:spacing w:line="276" w:lineRule="auto"/>
              <w:jc w:val="right"/>
              <w:rPr>
                <w:rFonts w:ascii="Arial" w:hAnsi="Arial" w:cs="Arial"/>
              </w:rPr>
            </w:pPr>
            <w:r>
              <w:rPr>
                <w:rFonts w:ascii="Arial" w:hAnsi="Arial"/>
              </w:rPr>
              <w:t>27</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Pr>
                <w:rFonts w:ascii="Arial" w:hAnsi="Arial"/>
              </w:rPr>
              <w:t>3.3.5</w:t>
            </w:r>
          </w:p>
        </w:tc>
        <w:tc>
          <w:tcPr>
            <w:tcW w:w="8233" w:type="dxa"/>
            <w:vAlign w:val="center"/>
          </w:tcPr>
          <w:p w:rsidR="00EF2D1F" w:rsidRPr="00EF2D1F" w:rsidRDefault="00EF2D1F" w:rsidP="00EF2D1F">
            <w:pPr>
              <w:tabs>
                <w:tab w:val="left" w:pos="450"/>
              </w:tabs>
              <w:rPr>
                <w:rFonts w:ascii="Arial" w:hAnsi="Arial" w:cs="Arial"/>
              </w:rPr>
            </w:pPr>
            <w:r>
              <w:rPr>
                <w:rFonts w:ascii="Arial" w:hAnsi="Arial"/>
              </w:rPr>
              <w:t>Cash-flow</w:t>
            </w:r>
          </w:p>
        </w:tc>
        <w:tc>
          <w:tcPr>
            <w:tcW w:w="634" w:type="dxa"/>
          </w:tcPr>
          <w:p w:rsidR="00EF2D1F" w:rsidRPr="00052F94" w:rsidRDefault="00EF2D1F" w:rsidP="00EF2D1F">
            <w:pPr>
              <w:widowControl/>
              <w:autoSpaceDE/>
              <w:autoSpaceDN/>
              <w:adjustRightInd/>
              <w:spacing w:line="276" w:lineRule="auto"/>
              <w:jc w:val="right"/>
              <w:rPr>
                <w:rFonts w:ascii="Arial" w:hAnsi="Arial" w:cs="Arial"/>
              </w:rPr>
            </w:pPr>
            <w:r>
              <w:rPr>
                <w:rFonts w:ascii="Arial" w:hAnsi="Arial"/>
              </w:rPr>
              <w:t>27</w:t>
            </w:r>
          </w:p>
        </w:tc>
      </w:tr>
      <w:tr w:rsidR="00EF2D1F" w:rsidRPr="00052F94" w:rsidTr="00285908">
        <w:tc>
          <w:tcPr>
            <w:tcW w:w="767" w:type="dxa"/>
          </w:tcPr>
          <w:p w:rsidR="00EF2D1F" w:rsidRPr="00052F94" w:rsidRDefault="00EF2D1F" w:rsidP="00EF2D1F">
            <w:pPr>
              <w:widowControl/>
              <w:autoSpaceDE/>
              <w:autoSpaceDN/>
              <w:adjustRightInd/>
              <w:spacing w:line="276" w:lineRule="auto"/>
              <w:jc w:val="both"/>
              <w:rPr>
                <w:rFonts w:ascii="Arial" w:hAnsi="Arial" w:cs="Arial"/>
              </w:rPr>
            </w:pPr>
            <w:r>
              <w:rPr>
                <w:rFonts w:ascii="Arial" w:hAnsi="Arial"/>
              </w:rPr>
              <w:t>3.3.6</w:t>
            </w:r>
          </w:p>
        </w:tc>
        <w:tc>
          <w:tcPr>
            <w:tcW w:w="8233" w:type="dxa"/>
            <w:vAlign w:val="center"/>
          </w:tcPr>
          <w:p w:rsidR="00EF2D1F" w:rsidRPr="00EF2D1F" w:rsidRDefault="00EF2D1F" w:rsidP="00EF2D1F">
            <w:pPr>
              <w:jc w:val="both"/>
              <w:rPr>
                <w:rFonts w:ascii="Arial" w:hAnsi="Arial" w:cs="Arial"/>
                <w:bCs/>
              </w:rPr>
            </w:pPr>
            <w:r>
              <w:rPr>
                <w:rFonts w:ascii="Arial" w:hAnsi="Arial"/>
                <w:bCs/>
              </w:rPr>
              <w:t>Related Parties Transactions</w:t>
            </w:r>
          </w:p>
        </w:tc>
        <w:tc>
          <w:tcPr>
            <w:tcW w:w="634" w:type="dxa"/>
          </w:tcPr>
          <w:p w:rsidR="00EF2D1F" w:rsidRPr="00052F94" w:rsidRDefault="006D5205" w:rsidP="00EF2D1F">
            <w:pPr>
              <w:widowControl/>
              <w:autoSpaceDE/>
              <w:autoSpaceDN/>
              <w:adjustRightInd/>
              <w:spacing w:line="276" w:lineRule="auto"/>
              <w:jc w:val="right"/>
              <w:rPr>
                <w:rFonts w:ascii="Arial" w:hAnsi="Arial" w:cs="Arial"/>
              </w:rPr>
            </w:pPr>
            <w:r>
              <w:rPr>
                <w:rFonts w:ascii="Arial" w:hAnsi="Arial"/>
              </w:rPr>
              <w:t>29</w:t>
            </w:r>
          </w:p>
        </w:tc>
      </w:tr>
      <w:tr w:rsidR="00E97560" w:rsidRPr="00052F94" w:rsidTr="00285908">
        <w:tc>
          <w:tcPr>
            <w:tcW w:w="767" w:type="dxa"/>
          </w:tcPr>
          <w:p w:rsidR="00E97560" w:rsidRDefault="00E97560" w:rsidP="00EF2D1F">
            <w:pPr>
              <w:widowControl/>
              <w:autoSpaceDE/>
              <w:autoSpaceDN/>
              <w:adjustRightInd/>
              <w:spacing w:line="276" w:lineRule="auto"/>
              <w:jc w:val="both"/>
              <w:rPr>
                <w:rFonts w:ascii="Arial" w:hAnsi="Arial" w:cs="Arial"/>
              </w:rPr>
            </w:pPr>
            <w:r>
              <w:rPr>
                <w:rFonts w:ascii="Arial" w:hAnsi="Arial"/>
              </w:rPr>
              <w:t>3.4</w:t>
            </w:r>
          </w:p>
        </w:tc>
        <w:tc>
          <w:tcPr>
            <w:tcW w:w="8233" w:type="dxa"/>
            <w:vAlign w:val="center"/>
          </w:tcPr>
          <w:p w:rsidR="00E97560" w:rsidRPr="00EF2D1F" w:rsidRDefault="0090558A" w:rsidP="00EF2D1F">
            <w:pPr>
              <w:jc w:val="both"/>
              <w:rPr>
                <w:rFonts w:ascii="Arial" w:hAnsi="Arial" w:cs="Arial"/>
                <w:bCs/>
              </w:rPr>
            </w:pPr>
            <w:r>
              <w:rPr>
                <w:rFonts w:ascii="Arial" w:hAnsi="Arial"/>
                <w:bCs/>
              </w:rPr>
              <w:t>Other aspects</w:t>
            </w:r>
          </w:p>
        </w:tc>
        <w:tc>
          <w:tcPr>
            <w:tcW w:w="634" w:type="dxa"/>
          </w:tcPr>
          <w:p w:rsidR="00E97560" w:rsidRDefault="00E97560" w:rsidP="00EF2D1F">
            <w:pPr>
              <w:widowControl/>
              <w:autoSpaceDE/>
              <w:autoSpaceDN/>
              <w:adjustRightInd/>
              <w:spacing w:line="276" w:lineRule="auto"/>
              <w:jc w:val="right"/>
              <w:rPr>
                <w:rFonts w:ascii="Arial" w:hAnsi="Arial" w:cs="Arial"/>
              </w:rPr>
            </w:pPr>
            <w:r>
              <w:rPr>
                <w:rFonts w:ascii="Arial" w:hAnsi="Arial"/>
              </w:rPr>
              <w:t>29</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rPr>
              <w:t>3.4.1</w:t>
            </w:r>
          </w:p>
        </w:tc>
        <w:tc>
          <w:tcPr>
            <w:tcW w:w="8233" w:type="dxa"/>
            <w:vAlign w:val="center"/>
          </w:tcPr>
          <w:p w:rsidR="0090558A" w:rsidRPr="0090558A" w:rsidRDefault="0090558A" w:rsidP="0090558A">
            <w:pPr>
              <w:pStyle w:val="BodyText"/>
              <w:rPr>
                <w:rFonts w:cs="Arial"/>
                <w:sz w:val="22"/>
              </w:rPr>
            </w:pPr>
            <w:r>
              <w:rPr>
                <w:sz w:val="22"/>
              </w:rPr>
              <w:t>State of the lands not included in the share capital</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rPr>
              <w:t>29</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rPr>
              <w:t>3.4.2</w:t>
            </w:r>
          </w:p>
        </w:tc>
        <w:tc>
          <w:tcPr>
            <w:tcW w:w="8233" w:type="dxa"/>
            <w:vAlign w:val="center"/>
          </w:tcPr>
          <w:p w:rsidR="0090558A" w:rsidRPr="0090558A" w:rsidRDefault="0090558A" w:rsidP="0090558A">
            <w:r>
              <w:rPr>
                <w:rFonts w:ascii="Arial" w:hAnsi="Arial"/>
              </w:rPr>
              <w:t>Litigations</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rPr>
              <w:t>29</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rPr>
              <w:t>3.5</w:t>
            </w:r>
          </w:p>
        </w:tc>
        <w:tc>
          <w:tcPr>
            <w:tcW w:w="8233" w:type="dxa"/>
            <w:vAlign w:val="center"/>
          </w:tcPr>
          <w:p w:rsidR="0090558A" w:rsidRPr="00EF2D1F" w:rsidRDefault="0090558A" w:rsidP="0090558A">
            <w:pPr>
              <w:jc w:val="both"/>
              <w:rPr>
                <w:rFonts w:ascii="Arial" w:hAnsi="Arial" w:cs="Arial"/>
                <w:bCs/>
              </w:rPr>
            </w:pPr>
            <w:r>
              <w:rPr>
                <w:rFonts w:ascii="Arial" w:hAnsi="Arial"/>
                <w:bCs/>
              </w:rPr>
              <w:t>Analysis of the corporate business</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rPr>
              <w:t>35</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rPr>
              <w:t>3.5.1</w:t>
            </w:r>
          </w:p>
        </w:tc>
        <w:tc>
          <w:tcPr>
            <w:tcW w:w="8233" w:type="dxa"/>
            <w:vAlign w:val="center"/>
          </w:tcPr>
          <w:p w:rsidR="0090558A" w:rsidRPr="0090558A" w:rsidRDefault="0090558A" w:rsidP="0090558A">
            <w:r>
              <w:rPr>
                <w:rFonts w:ascii="Arial" w:hAnsi="Arial"/>
                <w:bCs/>
              </w:rPr>
              <w:t>Capital market business</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rPr>
              <w:t>35</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rPr>
              <w:t>3.5.2</w:t>
            </w:r>
          </w:p>
        </w:tc>
        <w:tc>
          <w:tcPr>
            <w:tcW w:w="8233" w:type="dxa"/>
            <w:vAlign w:val="center"/>
          </w:tcPr>
          <w:p w:rsidR="0090558A" w:rsidRPr="0090558A" w:rsidRDefault="0090558A" w:rsidP="0090558A">
            <w:pPr>
              <w:shd w:val="clear" w:color="auto" w:fill="FFFFFF"/>
              <w:rPr>
                <w:rFonts w:ascii="Arial" w:hAnsi="Arial" w:cs="Arial"/>
                <w:bCs/>
                <w:spacing w:val="-2"/>
              </w:rPr>
            </w:pPr>
            <w:r>
              <w:rPr>
                <w:rFonts w:ascii="Arial" w:hAnsi="Arial"/>
                <w:bCs/>
              </w:rPr>
              <w:t>Corporate Governance</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rPr>
              <w:t>38</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rPr>
              <w:t>3.5.3</w:t>
            </w:r>
          </w:p>
        </w:tc>
        <w:tc>
          <w:tcPr>
            <w:tcW w:w="8233" w:type="dxa"/>
            <w:vAlign w:val="center"/>
          </w:tcPr>
          <w:p w:rsidR="0090558A" w:rsidRPr="0090558A" w:rsidRDefault="0090558A" w:rsidP="0090558A">
            <w:r>
              <w:rPr>
                <w:rFonts w:ascii="Arial" w:hAnsi="Arial"/>
                <w:bCs/>
                <w:iCs/>
              </w:rPr>
              <w:t xml:space="preserve">The Executive Management  </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rPr>
              <w:t>47</w:t>
            </w:r>
          </w:p>
        </w:tc>
      </w:tr>
      <w:tr w:rsidR="0090558A" w:rsidRPr="00052F94" w:rsidTr="00285908">
        <w:tc>
          <w:tcPr>
            <w:tcW w:w="767" w:type="dxa"/>
          </w:tcPr>
          <w:p w:rsidR="0090558A" w:rsidRDefault="0090558A" w:rsidP="0090558A">
            <w:pPr>
              <w:widowControl/>
              <w:autoSpaceDE/>
              <w:autoSpaceDN/>
              <w:adjustRightInd/>
              <w:spacing w:line="276" w:lineRule="auto"/>
              <w:jc w:val="both"/>
              <w:rPr>
                <w:rFonts w:ascii="Arial" w:hAnsi="Arial" w:cs="Arial"/>
              </w:rPr>
            </w:pPr>
            <w:r>
              <w:rPr>
                <w:rFonts w:ascii="Arial" w:hAnsi="Arial"/>
              </w:rPr>
              <w:t>3.5.4</w:t>
            </w:r>
          </w:p>
        </w:tc>
        <w:tc>
          <w:tcPr>
            <w:tcW w:w="8233" w:type="dxa"/>
            <w:vAlign w:val="center"/>
          </w:tcPr>
          <w:p w:rsidR="0090558A" w:rsidRPr="0090558A" w:rsidRDefault="0090558A" w:rsidP="0090558A">
            <w:pPr>
              <w:rPr>
                <w:rFonts w:ascii="Arial" w:hAnsi="Arial" w:cs="Arial"/>
              </w:rPr>
            </w:pPr>
            <w:r>
              <w:rPr>
                <w:rFonts w:ascii="Arial" w:hAnsi="Arial"/>
              </w:rPr>
              <w:t>Activity regarding the sponsorship concluded in 2018 H1</w:t>
            </w:r>
          </w:p>
        </w:tc>
        <w:tc>
          <w:tcPr>
            <w:tcW w:w="634" w:type="dxa"/>
          </w:tcPr>
          <w:p w:rsidR="0090558A" w:rsidRDefault="0090558A" w:rsidP="0090558A">
            <w:pPr>
              <w:widowControl/>
              <w:autoSpaceDE/>
              <w:autoSpaceDN/>
              <w:adjustRightInd/>
              <w:spacing w:line="276" w:lineRule="auto"/>
              <w:jc w:val="right"/>
              <w:rPr>
                <w:rFonts w:ascii="Arial" w:hAnsi="Arial" w:cs="Arial"/>
              </w:rPr>
            </w:pPr>
            <w:r>
              <w:rPr>
                <w:rFonts w:ascii="Arial" w:hAnsi="Arial"/>
              </w:rPr>
              <w:t>47</w:t>
            </w:r>
          </w:p>
        </w:tc>
      </w:tr>
      <w:tr w:rsidR="0090558A" w:rsidRPr="00052F94" w:rsidTr="00285908">
        <w:trPr>
          <w:trHeight w:val="469"/>
        </w:trPr>
        <w:tc>
          <w:tcPr>
            <w:tcW w:w="767" w:type="dxa"/>
            <w:vAlign w:val="center"/>
          </w:tcPr>
          <w:p w:rsidR="0090558A" w:rsidRPr="0066123C" w:rsidRDefault="0090558A" w:rsidP="0090558A">
            <w:pPr>
              <w:widowControl/>
              <w:autoSpaceDE/>
              <w:autoSpaceDN/>
              <w:adjustRightInd/>
              <w:spacing w:line="276" w:lineRule="auto"/>
              <w:jc w:val="both"/>
              <w:rPr>
                <w:rFonts w:ascii="Arial" w:hAnsi="Arial" w:cs="Arial"/>
                <w:b/>
                <w:color w:val="1F4E79" w:themeColor="accent1" w:themeShade="80"/>
              </w:rPr>
            </w:pPr>
            <w:r>
              <w:rPr>
                <w:rFonts w:ascii="Arial" w:hAnsi="Arial"/>
                <w:b/>
                <w:color w:val="1F4E79" w:themeColor="accent1" w:themeShade="80"/>
              </w:rPr>
              <w:t>4.</w:t>
            </w:r>
          </w:p>
        </w:tc>
        <w:tc>
          <w:tcPr>
            <w:tcW w:w="8233" w:type="dxa"/>
            <w:vAlign w:val="center"/>
          </w:tcPr>
          <w:p w:rsidR="0090558A" w:rsidRPr="0066123C" w:rsidRDefault="0090558A" w:rsidP="0066123C">
            <w:pPr>
              <w:jc w:val="both"/>
              <w:rPr>
                <w:rFonts w:ascii="Arial" w:hAnsi="Arial" w:cs="Arial"/>
                <w:b/>
                <w:bCs/>
                <w:color w:val="1F4E79" w:themeColor="accent1" w:themeShade="80"/>
              </w:rPr>
            </w:pPr>
            <w:r>
              <w:rPr>
                <w:rFonts w:ascii="Arial" w:hAnsi="Arial"/>
                <w:b/>
                <w:bCs/>
                <w:color w:val="1F4E79" w:themeColor="accent1" w:themeShade="80"/>
              </w:rPr>
              <w:t>2018 H1 RELEVANT</w:t>
            </w:r>
            <w:r w:rsidR="00E94F41">
              <w:rPr>
                <w:rFonts w:ascii="Arial" w:hAnsi="Arial"/>
                <w:b/>
                <w:bCs/>
                <w:color w:val="1F4E79" w:themeColor="accent1" w:themeShade="80"/>
              </w:rPr>
              <w:t xml:space="preserve"> </w:t>
            </w:r>
            <w:r>
              <w:rPr>
                <w:rFonts w:ascii="Arial" w:hAnsi="Arial"/>
                <w:b/>
                <w:bCs/>
                <w:color w:val="1F4E79" w:themeColor="accent1" w:themeShade="80"/>
              </w:rPr>
              <w:t xml:space="preserve">CORPORATE EVENTS </w:t>
            </w:r>
          </w:p>
        </w:tc>
        <w:tc>
          <w:tcPr>
            <w:tcW w:w="634" w:type="dxa"/>
          </w:tcPr>
          <w:p w:rsidR="0090558A" w:rsidRPr="0090558A" w:rsidRDefault="0090558A" w:rsidP="0090558A">
            <w:pPr>
              <w:widowControl/>
              <w:autoSpaceDE/>
              <w:autoSpaceDN/>
              <w:adjustRightInd/>
              <w:spacing w:line="276" w:lineRule="auto"/>
              <w:jc w:val="right"/>
              <w:rPr>
                <w:rFonts w:ascii="Arial" w:hAnsi="Arial" w:cs="Arial"/>
                <w:b/>
                <w:color w:val="1F4E79" w:themeColor="accent1" w:themeShade="80"/>
              </w:rPr>
            </w:pPr>
            <w:r>
              <w:rPr>
                <w:rFonts w:ascii="Arial" w:hAnsi="Arial"/>
                <w:b/>
                <w:color w:val="1F4E79" w:themeColor="accent1" w:themeShade="80"/>
              </w:rPr>
              <w:t>48</w:t>
            </w:r>
          </w:p>
        </w:tc>
      </w:tr>
      <w:tr w:rsidR="0066123C" w:rsidRPr="00052F94" w:rsidTr="00285908">
        <w:trPr>
          <w:trHeight w:val="419"/>
        </w:trPr>
        <w:tc>
          <w:tcPr>
            <w:tcW w:w="767" w:type="dxa"/>
            <w:vAlign w:val="center"/>
          </w:tcPr>
          <w:p w:rsidR="0066123C" w:rsidRPr="0090558A" w:rsidRDefault="0066123C" w:rsidP="0090558A">
            <w:pPr>
              <w:widowControl/>
              <w:autoSpaceDE/>
              <w:autoSpaceDN/>
              <w:adjustRightInd/>
              <w:spacing w:line="276" w:lineRule="auto"/>
              <w:jc w:val="both"/>
              <w:rPr>
                <w:rFonts w:ascii="Arial" w:hAnsi="Arial" w:cs="Arial"/>
                <w:b/>
                <w:color w:val="1F4E79" w:themeColor="accent1" w:themeShade="80"/>
              </w:rPr>
            </w:pPr>
            <w:r>
              <w:rPr>
                <w:rFonts w:ascii="Arial" w:hAnsi="Arial"/>
                <w:b/>
                <w:color w:val="1F4E79" w:themeColor="accent1" w:themeShade="80"/>
              </w:rPr>
              <w:t>5</w:t>
            </w:r>
          </w:p>
        </w:tc>
        <w:tc>
          <w:tcPr>
            <w:tcW w:w="8233" w:type="dxa"/>
            <w:vAlign w:val="center"/>
          </w:tcPr>
          <w:p w:rsidR="0066123C" w:rsidRPr="0090558A" w:rsidRDefault="0044486D" w:rsidP="0066123C">
            <w:pPr>
              <w:widowControl/>
              <w:autoSpaceDE/>
              <w:autoSpaceDN/>
              <w:adjustRightInd/>
              <w:spacing w:before="240" w:line="276" w:lineRule="auto"/>
              <w:contextualSpacing/>
              <w:jc w:val="both"/>
              <w:rPr>
                <w:rFonts w:ascii="Arial" w:hAnsi="Arial" w:cs="Arial"/>
                <w:b/>
                <w:bCs/>
                <w:color w:val="1F4E79" w:themeColor="accent1" w:themeShade="80"/>
              </w:rPr>
            </w:pPr>
            <w:r>
              <w:rPr>
                <w:rFonts w:ascii="Arial" w:hAnsi="Arial"/>
                <w:b/>
                <w:color w:val="1F4E79" w:themeColor="accent1" w:themeShade="80"/>
              </w:rPr>
              <w:t>PRESENTATION</w:t>
            </w:r>
            <w:r w:rsidR="0066123C">
              <w:rPr>
                <w:rFonts w:ascii="Arial" w:hAnsi="Arial"/>
                <w:b/>
                <w:color w:val="1F4E79" w:themeColor="accent1" w:themeShade="80"/>
              </w:rPr>
              <w:t xml:space="preserve"> OF THE INTERIM FINANCIAL STATEMENTS</w:t>
            </w:r>
          </w:p>
        </w:tc>
        <w:tc>
          <w:tcPr>
            <w:tcW w:w="634" w:type="dxa"/>
          </w:tcPr>
          <w:p w:rsidR="0066123C" w:rsidRPr="0090558A" w:rsidRDefault="0066123C" w:rsidP="0090558A">
            <w:pPr>
              <w:widowControl/>
              <w:autoSpaceDE/>
              <w:autoSpaceDN/>
              <w:adjustRightInd/>
              <w:spacing w:line="276" w:lineRule="auto"/>
              <w:jc w:val="right"/>
              <w:rPr>
                <w:rFonts w:ascii="Arial" w:hAnsi="Arial" w:cs="Arial"/>
                <w:b/>
                <w:color w:val="1F4E79" w:themeColor="accent1" w:themeShade="80"/>
              </w:rPr>
            </w:pPr>
            <w:r>
              <w:rPr>
                <w:rFonts w:ascii="Arial" w:hAnsi="Arial"/>
                <w:b/>
                <w:color w:val="1F4E79" w:themeColor="accent1" w:themeShade="80"/>
              </w:rPr>
              <w:t>49</w:t>
            </w:r>
          </w:p>
        </w:tc>
      </w:tr>
      <w:tr w:rsidR="0090558A" w:rsidRPr="00052F94" w:rsidTr="00285908">
        <w:tc>
          <w:tcPr>
            <w:tcW w:w="767" w:type="dxa"/>
          </w:tcPr>
          <w:p w:rsidR="0090558A" w:rsidRPr="00E97560" w:rsidRDefault="0090558A" w:rsidP="0090558A">
            <w:pPr>
              <w:widowControl/>
              <w:autoSpaceDE/>
              <w:autoSpaceDN/>
              <w:adjustRightInd/>
              <w:spacing w:line="276" w:lineRule="auto"/>
              <w:jc w:val="both"/>
              <w:rPr>
                <w:rFonts w:ascii="Arial" w:hAnsi="Arial" w:cs="Arial"/>
                <w:color w:val="1F4E79" w:themeColor="accent1" w:themeShade="80"/>
              </w:rPr>
            </w:pPr>
          </w:p>
        </w:tc>
        <w:tc>
          <w:tcPr>
            <w:tcW w:w="8233" w:type="dxa"/>
            <w:vAlign w:val="center"/>
          </w:tcPr>
          <w:p w:rsidR="0090558A" w:rsidRPr="0066123C" w:rsidRDefault="0090558A" w:rsidP="0090558A">
            <w:pPr>
              <w:jc w:val="both"/>
              <w:rPr>
                <w:rFonts w:ascii="Arial" w:hAnsi="Arial" w:cs="Arial"/>
                <w:b/>
                <w:bCs/>
                <w:color w:val="1F4E79" w:themeColor="accent1" w:themeShade="80"/>
              </w:rPr>
            </w:pPr>
            <w:r>
              <w:rPr>
                <w:rFonts w:ascii="Arial" w:hAnsi="Arial"/>
                <w:b/>
                <w:bCs/>
                <w:color w:val="1F4E79" w:themeColor="accent1" w:themeShade="80"/>
              </w:rPr>
              <w:t>ANNEXES</w:t>
            </w:r>
          </w:p>
        </w:tc>
        <w:tc>
          <w:tcPr>
            <w:tcW w:w="634" w:type="dxa"/>
          </w:tcPr>
          <w:p w:rsidR="0090558A" w:rsidRPr="0066123C" w:rsidRDefault="006D5205" w:rsidP="0090558A">
            <w:pPr>
              <w:widowControl/>
              <w:autoSpaceDE/>
              <w:autoSpaceDN/>
              <w:adjustRightInd/>
              <w:spacing w:line="276" w:lineRule="auto"/>
              <w:jc w:val="right"/>
              <w:rPr>
                <w:rFonts w:ascii="Arial" w:hAnsi="Arial" w:cs="Arial"/>
                <w:b/>
                <w:color w:val="1F4E79" w:themeColor="accent1" w:themeShade="80"/>
              </w:rPr>
            </w:pPr>
            <w:r>
              <w:rPr>
                <w:rFonts w:ascii="Arial" w:hAnsi="Arial"/>
                <w:b/>
                <w:color w:val="1F4E79" w:themeColor="accent1" w:themeShade="80"/>
              </w:rPr>
              <w:t>50</w:t>
            </w:r>
          </w:p>
        </w:tc>
      </w:tr>
    </w:tbl>
    <w:p w:rsidR="00B211F4" w:rsidRDefault="00B211F4" w:rsidP="00511715">
      <w:pPr>
        <w:shd w:val="clear" w:color="auto" w:fill="FFFFFF"/>
        <w:jc w:val="center"/>
        <w:rPr>
          <w:rFonts w:ascii="Arial" w:hAnsi="Arial" w:cs="Arial"/>
          <w:b/>
          <w:spacing w:val="-10"/>
          <w:sz w:val="22"/>
          <w:szCs w:val="22"/>
          <w:u w:val="single"/>
        </w:rPr>
      </w:pPr>
    </w:p>
    <w:p w:rsidR="00285908" w:rsidRDefault="00285908" w:rsidP="00511715">
      <w:pPr>
        <w:shd w:val="clear" w:color="auto" w:fill="FFFFFF"/>
        <w:jc w:val="center"/>
        <w:rPr>
          <w:rFonts w:ascii="Arial" w:hAnsi="Arial" w:cs="Arial"/>
          <w:b/>
          <w:spacing w:val="-10"/>
          <w:sz w:val="22"/>
          <w:szCs w:val="22"/>
          <w:u w:val="single"/>
        </w:rPr>
      </w:pPr>
    </w:p>
    <w:p w:rsidR="00740567" w:rsidRDefault="00740567" w:rsidP="00511715">
      <w:pPr>
        <w:shd w:val="clear" w:color="auto" w:fill="FFFFFF"/>
        <w:jc w:val="center"/>
        <w:rPr>
          <w:rFonts w:ascii="Arial" w:hAnsi="Arial" w:cs="Arial"/>
          <w:b/>
          <w:spacing w:val="-10"/>
          <w:sz w:val="22"/>
          <w:szCs w:val="22"/>
          <w:u w:val="single"/>
        </w:rPr>
      </w:pPr>
    </w:p>
    <w:p w:rsidR="00740567" w:rsidRDefault="00740567" w:rsidP="00511715">
      <w:pPr>
        <w:shd w:val="clear" w:color="auto" w:fill="FFFFFF"/>
        <w:jc w:val="center"/>
        <w:rPr>
          <w:rFonts w:ascii="Arial" w:hAnsi="Arial" w:cs="Arial"/>
          <w:b/>
          <w:spacing w:val="-10"/>
          <w:sz w:val="22"/>
          <w:szCs w:val="22"/>
          <w:u w:val="single"/>
        </w:rPr>
      </w:pPr>
    </w:p>
    <w:p w:rsidR="00740567" w:rsidRPr="00574A8F" w:rsidRDefault="00740567" w:rsidP="00511715">
      <w:pPr>
        <w:shd w:val="clear" w:color="auto" w:fill="FFFFFF"/>
        <w:jc w:val="center"/>
        <w:rPr>
          <w:rFonts w:ascii="Arial" w:hAnsi="Arial" w:cs="Arial"/>
          <w:b/>
          <w:spacing w:val="-10"/>
          <w:sz w:val="22"/>
          <w:szCs w:val="22"/>
          <w:u w:val="single"/>
        </w:rPr>
      </w:pPr>
    </w:p>
    <w:p w:rsidR="00052F94" w:rsidRDefault="00052F94" w:rsidP="00BE1B97">
      <w:pPr>
        <w:widowControl/>
        <w:tabs>
          <w:tab w:val="left" w:pos="0"/>
        </w:tabs>
        <w:autoSpaceDE/>
        <w:autoSpaceDN/>
        <w:adjustRightInd/>
        <w:rPr>
          <w:rFonts w:ascii="Arial" w:hAnsi="Arial" w:cs="Arial"/>
          <w:sz w:val="22"/>
          <w:szCs w:val="22"/>
          <w:lang w:eastAsia="en-US"/>
        </w:rPr>
      </w:pPr>
    </w:p>
    <w:p w:rsidR="0002420B" w:rsidRPr="009828D6" w:rsidRDefault="00564B3E" w:rsidP="00564B3E">
      <w:pPr>
        <w:widowControl/>
        <w:tabs>
          <w:tab w:val="left" w:pos="0"/>
        </w:tabs>
        <w:autoSpaceDE/>
        <w:autoSpaceDN/>
        <w:adjustRightInd/>
        <w:rPr>
          <w:rFonts w:ascii="Arial" w:hAnsi="Arial" w:cs="Arial"/>
          <w:b/>
          <w:bCs/>
          <w:color w:val="1F4E79" w:themeColor="accent1" w:themeShade="80"/>
          <w:sz w:val="28"/>
          <w:szCs w:val="28"/>
        </w:rPr>
      </w:pPr>
      <w:r>
        <w:rPr>
          <w:rFonts w:ascii="Arial" w:hAnsi="Arial"/>
          <w:b/>
          <w:bCs/>
          <w:color w:val="1F4E79" w:themeColor="accent1" w:themeShade="80"/>
          <w:sz w:val="28"/>
          <w:szCs w:val="28"/>
        </w:rPr>
        <w:t>1. COMPANY PRESENTATION</w:t>
      </w:r>
    </w:p>
    <w:p w:rsidR="00564B3E" w:rsidRPr="009828D6" w:rsidRDefault="00BE1B97" w:rsidP="00D87DA4">
      <w:pPr>
        <w:pStyle w:val="ListParagraph"/>
        <w:numPr>
          <w:ilvl w:val="1"/>
          <w:numId w:val="31"/>
        </w:numPr>
        <w:shd w:val="clear" w:color="auto" w:fill="FFFFFF"/>
        <w:spacing w:before="245"/>
        <w:rPr>
          <w:rFonts w:ascii="Arial" w:hAnsi="Arial" w:cs="Arial"/>
          <w:b/>
          <w:bCs/>
          <w:color w:val="1F4E79" w:themeColor="accent1" w:themeShade="80"/>
          <w:sz w:val="24"/>
          <w:szCs w:val="24"/>
        </w:rPr>
      </w:pPr>
      <w:r>
        <w:rPr>
          <w:rFonts w:ascii="Arial" w:hAnsi="Arial"/>
          <w:b/>
          <w:bCs/>
          <w:color w:val="1F4E79" w:themeColor="accent1" w:themeShade="80"/>
          <w:sz w:val="24"/>
          <w:szCs w:val="24"/>
        </w:rPr>
        <w:t>Report and issuer identification data</w:t>
      </w:r>
    </w:p>
    <w:tbl>
      <w:tblPr>
        <w:tblW w:w="9781" w:type="dxa"/>
        <w:jc w:val="center"/>
        <w:tblLook w:val="01E0" w:firstRow="1" w:lastRow="1" w:firstColumn="1" w:lastColumn="1" w:noHBand="0" w:noVBand="0"/>
      </w:tblPr>
      <w:tblGrid>
        <w:gridCol w:w="10"/>
        <w:gridCol w:w="5000"/>
        <w:gridCol w:w="4771"/>
      </w:tblGrid>
      <w:tr w:rsidR="0028276A" w:rsidRPr="00A74CF5" w:rsidTr="00B7227F">
        <w:trPr>
          <w:trHeight w:val="1822"/>
          <w:jc w:val="center"/>
        </w:trPr>
        <w:tc>
          <w:tcPr>
            <w:tcW w:w="5010" w:type="dxa"/>
            <w:gridSpan w:val="2"/>
          </w:tcPr>
          <w:p w:rsidR="000057A2" w:rsidRPr="00A74CF5" w:rsidRDefault="0028276A" w:rsidP="0028276A">
            <w:pPr>
              <w:widowControl/>
              <w:autoSpaceDE/>
              <w:autoSpaceDN/>
              <w:adjustRightInd/>
              <w:rPr>
                <w:rFonts w:ascii="Arial" w:hAnsi="Arial" w:cs="Arial"/>
                <w:sz w:val="22"/>
                <w:szCs w:val="22"/>
              </w:rPr>
            </w:pPr>
            <w:r>
              <w:rPr>
                <w:rFonts w:ascii="Arial" w:hAnsi="Arial"/>
                <w:sz w:val="22"/>
                <w:szCs w:val="22"/>
              </w:rPr>
              <w:t xml:space="preserve">Bi-yearly Report </w:t>
            </w:r>
          </w:p>
          <w:p w:rsidR="0028276A" w:rsidRDefault="0028276A" w:rsidP="000057A2">
            <w:pPr>
              <w:widowControl/>
              <w:autoSpaceDE/>
              <w:autoSpaceDN/>
              <w:adjustRightInd/>
              <w:rPr>
                <w:rFonts w:ascii="Arial" w:hAnsi="Arial" w:cs="Arial"/>
                <w:sz w:val="22"/>
                <w:szCs w:val="22"/>
              </w:rPr>
            </w:pPr>
            <w:r>
              <w:rPr>
                <w:rFonts w:ascii="Arial" w:hAnsi="Arial"/>
                <w:sz w:val="22"/>
                <w:szCs w:val="22"/>
              </w:rPr>
              <w:t>Prepared in compliance with:</w:t>
            </w:r>
          </w:p>
          <w:p w:rsidR="004468E2" w:rsidRPr="00A74CF5" w:rsidRDefault="004468E2" w:rsidP="000057A2">
            <w:pPr>
              <w:widowControl/>
              <w:autoSpaceDE/>
              <w:autoSpaceDN/>
              <w:adjustRightInd/>
              <w:rPr>
                <w:rFonts w:ascii="Arial" w:hAnsi="Arial" w:cs="Arial"/>
                <w:sz w:val="22"/>
                <w:szCs w:val="22"/>
                <w:lang w:eastAsia="en-US"/>
              </w:rPr>
            </w:pPr>
          </w:p>
        </w:tc>
        <w:tc>
          <w:tcPr>
            <w:tcW w:w="4771" w:type="dxa"/>
            <w:vAlign w:val="center"/>
          </w:tcPr>
          <w:p w:rsidR="0028276A" w:rsidRDefault="0028276A" w:rsidP="009E43D9">
            <w:pPr>
              <w:widowControl/>
              <w:jc w:val="both"/>
              <w:rPr>
                <w:rFonts w:ascii="Arial" w:hAnsi="Arial" w:cs="Arial"/>
                <w:sz w:val="22"/>
                <w:szCs w:val="22"/>
              </w:rPr>
            </w:pPr>
            <w:r>
              <w:rPr>
                <w:rFonts w:ascii="Arial" w:hAnsi="Arial"/>
                <w:sz w:val="22"/>
                <w:szCs w:val="22"/>
              </w:rPr>
              <w:t>the provisions of Articles 65 of Law no. 24/ 2017 regarding the issuers of financial instruments and market operations;</w:t>
            </w:r>
          </w:p>
          <w:p w:rsidR="00696528" w:rsidRPr="00696528" w:rsidRDefault="002B6A42" w:rsidP="00696528">
            <w:pPr>
              <w:widowControl/>
              <w:rPr>
                <w:rFonts w:ascii="Arial" w:hAnsi="Arial" w:cs="Arial"/>
                <w:sz w:val="22"/>
                <w:szCs w:val="22"/>
              </w:rPr>
            </w:pPr>
            <w:r>
              <w:rPr>
                <w:rFonts w:ascii="Arial" w:hAnsi="Arial"/>
                <w:sz w:val="22"/>
                <w:szCs w:val="22"/>
              </w:rPr>
              <w:t>Annex 14 of Regulation on 5/10.05.2018</w:t>
            </w:r>
          </w:p>
          <w:p w:rsidR="00696528" w:rsidRPr="00696528" w:rsidRDefault="00696528" w:rsidP="00696528">
            <w:pPr>
              <w:widowControl/>
              <w:rPr>
                <w:rFonts w:ascii="Arial" w:hAnsi="Arial" w:cs="Arial"/>
                <w:sz w:val="22"/>
                <w:szCs w:val="22"/>
              </w:rPr>
            </w:pPr>
            <w:r>
              <w:rPr>
                <w:rFonts w:ascii="Arial" w:hAnsi="Arial"/>
                <w:sz w:val="22"/>
                <w:szCs w:val="22"/>
              </w:rPr>
              <w:t>On the issuers of financial instruments and market operations;</w:t>
            </w:r>
          </w:p>
          <w:p w:rsidR="00F3392B" w:rsidRPr="00A74CF5" w:rsidRDefault="00F3392B" w:rsidP="009E43D9">
            <w:pPr>
              <w:widowControl/>
              <w:jc w:val="both"/>
              <w:rPr>
                <w:rFonts w:ascii="Arial" w:hAnsi="Arial" w:cs="Arial"/>
                <w:sz w:val="22"/>
                <w:szCs w:val="22"/>
              </w:rPr>
            </w:pPr>
            <w:r>
              <w:rPr>
                <w:rFonts w:ascii="Arial" w:hAnsi="Arial"/>
                <w:sz w:val="22"/>
                <w:szCs w:val="22"/>
              </w:rPr>
              <w:t>EGO 109/2011 regarding the corporate governance of the public enterprises (amended pursuant to Law no. 111/2016).</w:t>
            </w:r>
          </w:p>
          <w:p w:rsidR="0028276A" w:rsidRPr="00A74CF5" w:rsidRDefault="0028276A" w:rsidP="0028276A">
            <w:pPr>
              <w:widowControl/>
              <w:autoSpaceDE/>
              <w:autoSpaceDN/>
              <w:adjustRightInd/>
              <w:jc w:val="both"/>
              <w:rPr>
                <w:rFonts w:ascii="Arial" w:hAnsi="Arial" w:cs="Arial"/>
                <w:sz w:val="22"/>
                <w:szCs w:val="22"/>
                <w:lang w:eastAsia="en-US"/>
              </w:rPr>
            </w:pPr>
          </w:p>
        </w:tc>
      </w:tr>
      <w:tr w:rsidR="0028276A" w:rsidRPr="00A74CF5" w:rsidTr="00B7227F">
        <w:trPr>
          <w:trHeight w:val="264"/>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Date of the report</w:t>
            </w:r>
          </w:p>
        </w:tc>
        <w:tc>
          <w:tcPr>
            <w:tcW w:w="4771" w:type="dxa"/>
            <w:vAlign w:val="center"/>
          </w:tcPr>
          <w:p w:rsidR="0028276A" w:rsidRPr="00C526CF" w:rsidRDefault="00E94F41" w:rsidP="00724D37">
            <w:pPr>
              <w:widowControl/>
              <w:autoSpaceDE/>
              <w:autoSpaceDN/>
              <w:adjustRightInd/>
              <w:rPr>
                <w:rFonts w:ascii="Arial" w:hAnsi="Arial" w:cs="Arial"/>
                <w:color w:val="FF0000"/>
                <w:sz w:val="22"/>
                <w:szCs w:val="22"/>
              </w:rPr>
            </w:pPr>
            <w:r>
              <w:rPr>
                <w:rFonts w:ascii="Arial" w:hAnsi="Arial"/>
                <w:sz w:val="22"/>
                <w:szCs w:val="22"/>
              </w:rPr>
              <w:t>09.08.</w:t>
            </w:r>
            <w:r w:rsidR="00B7227F">
              <w:rPr>
                <w:rFonts w:ascii="Arial" w:hAnsi="Arial"/>
                <w:sz w:val="22"/>
                <w:szCs w:val="22"/>
              </w:rPr>
              <w:t>2018</w:t>
            </w:r>
          </w:p>
        </w:tc>
      </w:tr>
      <w:tr w:rsidR="0028276A" w:rsidRPr="00A74CF5" w:rsidTr="00B7227F">
        <w:trPr>
          <w:trHeight w:val="519"/>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 xml:space="preserve">Company’s name </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CONPET S.A.</w:t>
            </w:r>
          </w:p>
        </w:tc>
      </w:tr>
      <w:tr w:rsidR="0028276A" w:rsidRPr="00A74CF5" w:rsidTr="00B7227F">
        <w:trPr>
          <w:trHeight w:val="780"/>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Registered Offices</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No. 1-3, Anul 1848 Street, Ploiesti Prahova County, Zip Code 100559,</w:t>
            </w:r>
          </w:p>
        </w:tc>
      </w:tr>
      <w:tr w:rsidR="0028276A" w:rsidRPr="00A74CF5" w:rsidTr="00B7227F">
        <w:trPr>
          <w:trHeight w:val="519"/>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Telephone/facsimile Number</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0244 401360 / 0244 516451</w:t>
            </w:r>
          </w:p>
        </w:tc>
      </w:tr>
      <w:tr w:rsidR="0028276A" w:rsidRPr="00A74CF5" w:rsidTr="00B7227F">
        <w:trPr>
          <w:trHeight w:val="519"/>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E-mail / Internet</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3F1507" w:rsidP="0028276A">
            <w:pPr>
              <w:widowControl/>
              <w:autoSpaceDE/>
              <w:autoSpaceDN/>
              <w:adjustRightInd/>
              <w:rPr>
                <w:rFonts w:ascii="Arial" w:hAnsi="Arial" w:cs="Arial"/>
                <w:sz w:val="22"/>
                <w:szCs w:val="22"/>
              </w:rPr>
            </w:pPr>
            <w:hyperlink r:id="rId9" w:history="1">
              <w:r w:rsidR="00A53EA5">
                <w:rPr>
                  <w:rFonts w:ascii="Arial" w:hAnsi="Arial"/>
                  <w:sz w:val="22"/>
                  <w:szCs w:val="22"/>
                  <w:u w:val="single"/>
                </w:rPr>
                <w:t>conpet@conpet.ro</w:t>
              </w:r>
            </w:hyperlink>
            <w:r w:rsidR="00A53EA5">
              <w:rPr>
                <w:rFonts w:ascii="Arial" w:hAnsi="Arial"/>
                <w:sz w:val="22"/>
                <w:szCs w:val="22"/>
              </w:rPr>
              <w:t xml:space="preserve"> / </w:t>
            </w:r>
            <w:hyperlink r:id="rId10" w:history="1">
              <w:r w:rsidR="00A53EA5">
                <w:rPr>
                  <w:rFonts w:ascii="Arial" w:hAnsi="Arial"/>
                  <w:color w:val="0000FF"/>
                  <w:sz w:val="22"/>
                  <w:szCs w:val="22"/>
                  <w:u w:val="single"/>
                </w:rPr>
                <w:t>www.conpet.ro</w:t>
              </w:r>
            </w:hyperlink>
          </w:p>
        </w:tc>
      </w:tr>
      <w:tr w:rsidR="0028276A" w:rsidRPr="00A74CF5" w:rsidTr="00B7227F">
        <w:trPr>
          <w:trHeight w:val="519"/>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Trade Identification Number at the Trade Register Office</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1350020</w:t>
            </w:r>
          </w:p>
        </w:tc>
      </w:tr>
      <w:tr w:rsidR="0028276A" w:rsidRPr="00A74CF5" w:rsidTr="00B7227F">
        <w:trPr>
          <w:trHeight w:val="506"/>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Trade Registry Number</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J29/6/22.01.1991</w:t>
            </w:r>
          </w:p>
        </w:tc>
      </w:tr>
      <w:tr w:rsidR="0028276A" w:rsidRPr="00A74CF5" w:rsidTr="00B7227F">
        <w:trPr>
          <w:trHeight w:val="780"/>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AB5769" w:rsidRDefault="00AB5769"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The regulated market trading the issued securities</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Bucharest Stock Exchange, Premium category</w:t>
            </w:r>
          </w:p>
        </w:tc>
      </w:tr>
      <w:tr w:rsidR="0028276A" w:rsidRPr="00A74CF5" w:rsidTr="00B7227F">
        <w:trPr>
          <w:trHeight w:val="519"/>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Subscribed and entirely paid-up share capital</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28,569,842.40 RON</w:t>
            </w:r>
          </w:p>
        </w:tc>
      </w:tr>
      <w:tr w:rsidR="0028276A" w:rsidRPr="00A74CF5" w:rsidTr="00B7227F">
        <w:trPr>
          <w:trHeight w:val="780"/>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 xml:space="preserve">Main features of the issued securities </w:t>
            </w:r>
          </w:p>
        </w:tc>
        <w:tc>
          <w:tcPr>
            <w:tcW w:w="4771" w:type="dxa"/>
            <w:shd w:val="clear" w:color="auto" w:fill="auto"/>
            <w:vAlign w:val="center"/>
          </w:tcPr>
          <w:p w:rsidR="0028276A" w:rsidRPr="00346AA5" w:rsidRDefault="0028276A" w:rsidP="0028276A">
            <w:pPr>
              <w:widowControl/>
              <w:autoSpaceDE/>
              <w:autoSpaceDN/>
              <w:adjustRightInd/>
              <w:rPr>
                <w:rFonts w:ascii="Arial" w:hAnsi="Arial" w:cs="Arial"/>
                <w:sz w:val="22"/>
                <w:szCs w:val="22"/>
                <w:lang w:eastAsia="en-US"/>
              </w:rPr>
            </w:pPr>
          </w:p>
          <w:p w:rsidR="0028276A" w:rsidRPr="00346AA5" w:rsidRDefault="0028276A" w:rsidP="0028276A">
            <w:pPr>
              <w:widowControl/>
              <w:autoSpaceDE/>
              <w:autoSpaceDN/>
              <w:adjustRightInd/>
              <w:rPr>
                <w:rFonts w:ascii="Arial" w:hAnsi="Arial" w:cs="Arial"/>
                <w:sz w:val="22"/>
                <w:szCs w:val="22"/>
              </w:rPr>
            </w:pPr>
            <w:r>
              <w:rPr>
                <w:rFonts w:ascii="Arial" w:hAnsi="Arial"/>
                <w:sz w:val="22"/>
                <w:szCs w:val="22"/>
              </w:rPr>
              <w:t>8,657,528 shares with a nominal value of 3.3 RON/share</w:t>
            </w:r>
          </w:p>
        </w:tc>
      </w:tr>
      <w:tr w:rsidR="0028276A" w:rsidRPr="00A74CF5" w:rsidTr="00564B3E">
        <w:trPr>
          <w:trHeight w:val="461"/>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lang w:eastAsia="en-US"/>
              </w:rPr>
            </w:pPr>
          </w:p>
          <w:p w:rsidR="00AB5769" w:rsidRDefault="00AB5769"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 xml:space="preserve">Total market value  </w:t>
            </w:r>
          </w:p>
          <w:p w:rsidR="0028276A" w:rsidRPr="00A74CF5" w:rsidRDefault="0028276A" w:rsidP="0028276A">
            <w:pPr>
              <w:widowControl/>
              <w:autoSpaceDE/>
              <w:autoSpaceDN/>
              <w:adjustRightInd/>
              <w:rPr>
                <w:rFonts w:ascii="Arial" w:hAnsi="Arial" w:cs="Arial"/>
                <w:sz w:val="22"/>
                <w:szCs w:val="22"/>
                <w:lang w:eastAsia="en-US"/>
              </w:rPr>
            </w:pPr>
          </w:p>
        </w:tc>
        <w:tc>
          <w:tcPr>
            <w:tcW w:w="4771" w:type="dxa"/>
            <w:vAlign w:val="center"/>
          </w:tcPr>
          <w:p w:rsidR="0028276A" w:rsidRPr="0088609B" w:rsidRDefault="0028276A" w:rsidP="0028276A">
            <w:pPr>
              <w:widowControl/>
              <w:autoSpaceDE/>
              <w:autoSpaceDN/>
              <w:adjustRightInd/>
              <w:rPr>
                <w:rFonts w:ascii="Arial" w:hAnsi="Arial" w:cs="Arial"/>
                <w:sz w:val="22"/>
                <w:szCs w:val="22"/>
                <w:lang w:eastAsia="en-US"/>
              </w:rPr>
            </w:pPr>
          </w:p>
          <w:p w:rsidR="0028276A" w:rsidRPr="0088609B" w:rsidRDefault="004468E2" w:rsidP="00346AA5">
            <w:pPr>
              <w:widowControl/>
              <w:autoSpaceDE/>
              <w:autoSpaceDN/>
              <w:adjustRightInd/>
              <w:rPr>
                <w:rFonts w:ascii="Arial" w:hAnsi="Arial" w:cs="Arial"/>
                <w:sz w:val="22"/>
                <w:szCs w:val="22"/>
              </w:rPr>
            </w:pPr>
            <w:r>
              <w:rPr>
                <w:rFonts w:ascii="Arial" w:hAnsi="Arial"/>
                <w:sz w:val="22"/>
                <w:szCs w:val="22"/>
              </w:rPr>
              <w:t>779,177,520 RON (90 RON/share at  29.06.2018)</w:t>
            </w:r>
          </w:p>
        </w:tc>
      </w:tr>
      <w:tr w:rsidR="0028276A" w:rsidRPr="00A74CF5" w:rsidTr="00B7227F">
        <w:trPr>
          <w:trHeight w:val="780"/>
          <w:jc w:val="center"/>
        </w:trPr>
        <w:tc>
          <w:tcPr>
            <w:tcW w:w="5010" w:type="dxa"/>
            <w:gridSpan w:val="2"/>
            <w:vAlign w:val="center"/>
          </w:tcPr>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Applied accounting standard</w:t>
            </w:r>
          </w:p>
        </w:tc>
        <w:tc>
          <w:tcPr>
            <w:tcW w:w="4771" w:type="dxa"/>
            <w:vAlign w:val="center"/>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C916DE">
            <w:pPr>
              <w:widowControl/>
              <w:autoSpaceDE/>
              <w:autoSpaceDN/>
              <w:adjustRightInd/>
              <w:rPr>
                <w:rFonts w:ascii="Arial" w:hAnsi="Arial" w:cs="Arial"/>
                <w:sz w:val="22"/>
                <w:szCs w:val="22"/>
              </w:rPr>
            </w:pPr>
            <w:r>
              <w:rPr>
                <w:rFonts w:ascii="Arial" w:hAnsi="Arial"/>
                <w:sz w:val="22"/>
                <w:szCs w:val="22"/>
              </w:rPr>
              <w:t>International Accounting Standard no. 34 - „Interim Financial Reporting”</w:t>
            </w:r>
          </w:p>
        </w:tc>
      </w:tr>
      <w:tr w:rsidR="0028276A" w:rsidRPr="00A74CF5" w:rsidTr="00B7227F">
        <w:trPr>
          <w:trHeight w:val="1288"/>
          <w:jc w:val="center"/>
        </w:trPr>
        <w:tc>
          <w:tcPr>
            <w:tcW w:w="5010" w:type="dxa"/>
            <w:gridSpan w:val="2"/>
          </w:tcPr>
          <w:p w:rsidR="0028276A" w:rsidRPr="00A74CF5" w:rsidRDefault="0028276A" w:rsidP="0028276A">
            <w:pPr>
              <w:widowControl/>
              <w:autoSpaceDE/>
              <w:autoSpaceDN/>
              <w:adjustRightInd/>
              <w:rPr>
                <w:rFonts w:ascii="Arial" w:hAnsi="Arial" w:cs="Arial"/>
                <w:sz w:val="22"/>
                <w:szCs w:val="22"/>
                <w:lang w:eastAsia="en-US"/>
              </w:rPr>
            </w:pPr>
          </w:p>
          <w:p w:rsidR="0028276A" w:rsidRPr="00A74CF5" w:rsidRDefault="0028276A" w:rsidP="0028276A">
            <w:pPr>
              <w:widowControl/>
              <w:autoSpaceDE/>
              <w:autoSpaceDN/>
              <w:adjustRightInd/>
              <w:rPr>
                <w:rFonts w:ascii="Arial" w:hAnsi="Arial" w:cs="Arial"/>
                <w:sz w:val="22"/>
                <w:szCs w:val="22"/>
              </w:rPr>
            </w:pPr>
            <w:r>
              <w:rPr>
                <w:rFonts w:ascii="Arial" w:hAnsi="Arial"/>
                <w:sz w:val="22"/>
                <w:szCs w:val="22"/>
              </w:rPr>
              <w:t>Auditing</w:t>
            </w:r>
          </w:p>
        </w:tc>
        <w:tc>
          <w:tcPr>
            <w:tcW w:w="4771" w:type="dxa"/>
          </w:tcPr>
          <w:p w:rsidR="0028276A" w:rsidRPr="00A74CF5" w:rsidRDefault="0028276A" w:rsidP="0028276A">
            <w:pPr>
              <w:widowControl/>
              <w:autoSpaceDE/>
              <w:autoSpaceDN/>
              <w:adjustRightInd/>
              <w:rPr>
                <w:rFonts w:ascii="Arial" w:hAnsi="Arial" w:cs="Arial"/>
                <w:sz w:val="22"/>
                <w:szCs w:val="22"/>
                <w:lang w:eastAsia="en-US"/>
              </w:rPr>
            </w:pPr>
          </w:p>
          <w:p w:rsidR="009E43D9" w:rsidRPr="00EA06B8" w:rsidRDefault="0028276A" w:rsidP="0028276A">
            <w:pPr>
              <w:widowControl/>
              <w:autoSpaceDE/>
              <w:autoSpaceDN/>
              <w:adjustRightInd/>
              <w:rPr>
                <w:rFonts w:ascii="Arial" w:hAnsi="Arial" w:cs="Arial"/>
                <w:color w:val="FF0000"/>
                <w:sz w:val="22"/>
                <w:szCs w:val="22"/>
              </w:rPr>
            </w:pPr>
            <w:r>
              <w:rPr>
                <w:rFonts w:ascii="Arial" w:hAnsi="Arial"/>
                <w:sz w:val="22"/>
                <w:szCs w:val="22"/>
              </w:rPr>
              <w:t xml:space="preserve">The Interim Financial Statements concluded at 30.06.2018 have been revised </w:t>
            </w:r>
          </w:p>
          <w:p w:rsidR="00072D3E" w:rsidRPr="00A74CF5" w:rsidRDefault="00072D3E" w:rsidP="0028276A">
            <w:pPr>
              <w:widowControl/>
              <w:autoSpaceDE/>
              <w:autoSpaceDN/>
              <w:adjustRightInd/>
              <w:rPr>
                <w:rFonts w:ascii="Arial" w:hAnsi="Arial" w:cs="Arial"/>
                <w:sz w:val="22"/>
                <w:szCs w:val="22"/>
                <w:lang w:eastAsia="en-US"/>
              </w:rPr>
            </w:pPr>
          </w:p>
        </w:tc>
      </w:tr>
      <w:tr w:rsidR="00405B2D" w:rsidRPr="00A74CF5" w:rsidTr="00B7227F">
        <w:tblPrEx>
          <w:jc w:val="left"/>
          <w:tblCellMar>
            <w:left w:w="0" w:type="dxa"/>
            <w:right w:w="0" w:type="dxa"/>
          </w:tblCellMar>
          <w:tblLook w:val="04A0" w:firstRow="1" w:lastRow="0" w:firstColumn="1" w:lastColumn="0" w:noHBand="0" w:noVBand="1"/>
        </w:tblPrEx>
        <w:trPr>
          <w:gridBefore w:val="1"/>
          <w:wBefore w:w="10" w:type="dxa"/>
          <w:trHeight w:val="331"/>
        </w:trPr>
        <w:tc>
          <w:tcPr>
            <w:tcW w:w="9771"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62" w:type="dxa"/>
              <w:bottom w:w="0" w:type="dxa"/>
              <w:right w:w="62" w:type="dxa"/>
            </w:tcMar>
            <w:vAlign w:val="center"/>
          </w:tcPr>
          <w:p w:rsidR="00170C8B" w:rsidRDefault="00170C8B" w:rsidP="00BD09E3">
            <w:pPr>
              <w:widowControl/>
              <w:autoSpaceDE/>
              <w:autoSpaceDN/>
              <w:adjustRightInd/>
              <w:rPr>
                <w:rFonts w:ascii="Arial" w:hAnsi="Arial" w:cs="Arial"/>
                <w:b/>
                <w:sz w:val="22"/>
                <w:szCs w:val="22"/>
                <w:lang w:eastAsia="en-US"/>
              </w:rPr>
            </w:pPr>
          </w:p>
          <w:p w:rsidR="00934797" w:rsidRDefault="00934797" w:rsidP="00BD09E3">
            <w:pPr>
              <w:widowControl/>
              <w:autoSpaceDE/>
              <w:autoSpaceDN/>
              <w:adjustRightInd/>
              <w:rPr>
                <w:rFonts w:ascii="Arial" w:hAnsi="Arial" w:cs="Arial"/>
                <w:b/>
                <w:sz w:val="22"/>
                <w:szCs w:val="22"/>
                <w:lang w:eastAsia="en-US"/>
              </w:rPr>
            </w:pPr>
          </w:p>
          <w:p w:rsidR="00564B3E" w:rsidRPr="00A74CF5" w:rsidRDefault="00564B3E" w:rsidP="00BD09E3">
            <w:pPr>
              <w:widowControl/>
              <w:autoSpaceDE/>
              <w:autoSpaceDN/>
              <w:adjustRightInd/>
              <w:rPr>
                <w:rFonts w:ascii="Arial" w:hAnsi="Arial" w:cs="Arial"/>
                <w:b/>
                <w:sz w:val="22"/>
                <w:szCs w:val="22"/>
                <w:lang w:eastAsia="en-US"/>
              </w:rPr>
            </w:pPr>
          </w:p>
          <w:p w:rsidR="0043743F" w:rsidRDefault="0043743F" w:rsidP="00BD09E3">
            <w:pPr>
              <w:widowControl/>
              <w:autoSpaceDE/>
              <w:autoSpaceDN/>
              <w:adjustRightInd/>
              <w:rPr>
                <w:rFonts w:ascii="Arial" w:hAnsi="Arial" w:cs="Arial"/>
                <w:b/>
                <w:sz w:val="22"/>
                <w:szCs w:val="22"/>
                <w:lang w:eastAsia="en-US"/>
              </w:rPr>
            </w:pPr>
          </w:p>
          <w:p w:rsidR="00BA5EE2" w:rsidRDefault="00BA5EE2" w:rsidP="00BD09E3">
            <w:pPr>
              <w:widowControl/>
              <w:autoSpaceDE/>
              <w:autoSpaceDN/>
              <w:adjustRightInd/>
              <w:rPr>
                <w:rFonts w:ascii="Arial" w:hAnsi="Arial" w:cs="Arial"/>
                <w:b/>
                <w:color w:val="5B9BD5" w:themeColor="accent1"/>
                <w:sz w:val="22"/>
                <w:szCs w:val="22"/>
                <w:lang w:eastAsia="en-US"/>
              </w:rPr>
            </w:pPr>
          </w:p>
          <w:p w:rsidR="00556136" w:rsidRPr="003605B2" w:rsidRDefault="00556136" w:rsidP="00BD09E3">
            <w:pPr>
              <w:widowControl/>
              <w:autoSpaceDE/>
              <w:autoSpaceDN/>
              <w:adjustRightInd/>
              <w:rPr>
                <w:rFonts w:ascii="Arial" w:hAnsi="Arial" w:cs="Arial"/>
                <w:b/>
                <w:color w:val="5B9BD5" w:themeColor="accent1"/>
                <w:sz w:val="22"/>
                <w:szCs w:val="22"/>
                <w:lang w:eastAsia="en-US"/>
              </w:rPr>
            </w:pPr>
          </w:p>
          <w:p w:rsidR="006F2A2B" w:rsidRPr="009828D6" w:rsidRDefault="006F2A2B" w:rsidP="006F2A2B">
            <w:pPr>
              <w:jc w:val="both"/>
              <w:rPr>
                <w:rFonts w:ascii="Arial" w:hAnsi="Arial" w:cs="Arial"/>
                <w:b/>
                <w:color w:val="1F4E79" w:themeColor="accent1" w:themeShade="80"/>
                <w:w w:val="105"/>
                <w:sz w:val="24"/>
                <w:szCs w:val="24"/>
              </w:rPr>
            </w:pPr>
            <w:r>
              <w:rPr>
                <w:rFonts w:ascii="Arial" w:hAnsi="Arial"/>
                <w:b/>
                <w:color w:val="1F4E79" w:themeColor="accent1" w:themeShade="80"/>
                <w:sz w:val="24"/>
                <w:szCs w:val="24"/>
              </w:rPr>
              <w:t>1.2 Main activities</w:t>
            </w:r>
          </w:p>
          <w:p w:rsidR="006F2A2B" w:rsidRPr="006F2A2B" w:rsidRDefault="006F2A2B" w:rsidP="006F2A2B">
            <w:pPr>
              <w:jc w:val="both"/>
              <w:rPr>
                <w:rFonts w:ascii="Arial" w:hAnsi="Arial" w:cs="Arial"/>
                <w:b/>
                <w:color w:val="1F4E79" w:themeColor="accent1" w:themeShade="80"/>
                <w:w w:val="105"/>
                <w:sz w:val="22"/>
                <w:szCs w:val="22"/>
              </w:rPr>
            </w:pPr>
          </w:p>
          <w:p w:rsidR="006F2A2B" w:rsidRPr="006F2A2B" w:rsidRDefault="006F2A2B" w:rsidP="006F2A2B">
            <w:pPr>
              <w:pStyle w:val="Text"/>
              <w:spacing w:after="0" w:line="276" w:lineRule="auto"/>
              <w:rPr>
                <w:rFonts w:ascii="Arial" w:hAnsi="Arial" w:cs="Arial"/>
                <w:szCs w:val="22"/>
              </w:rPr>
            </w:pPr>
            <w:r>
              <w:rPr>
                <w:rFonts w:ascii="Arial" w:hAnsi="Arial"/>
                <w:szCs w:val="22"/>
              </w:rPr>
              <w:t>CONPET is a joint-stock company, established as per the Company’s Act no. 31/1990, republished, further amendments and completions, and it performs its activity in compliance with the Romanian laws and the Articles of Incorporation. CONPET is a State-held company, listed at the Bucharest Stock Exchange, under COTE symbol.</w:t>
            </w:r>
          </w:p>
          <w:p w:rsidR="006F2A2B" w:rsidRPr="006F2A2B" w:rsidRDefault="006F2A2B" w:rsidP="006F2A2B">
            <w:pPr>
              <w:jc w:val="both"/>
              <w:rPr>
                <w:rFonts w:ascii="Arial" w:hAnsi="Arial" w:cs="Arial"/>
                <w:b/>
                <w:color w:val="1F4E79" w:themeColor="accent1" w:themeShade="80"/>
                <w:w w:val="105"/>
                <w:sz w:val="22"/>
                <w:szCs w:val="22"/>
              </w:rPr>
            </w:pPr>
          </w:p>
          <w:p w:rsidR="006F2A2B" w:rsidRPr="009828D6" w:rsidRDefault="006F2A2B" w:rsidP="006F2A2B">
            <w:pPr>
              <w:pStyle w:val="Text"/>
              <w:spacing w:after="0"/>
              <w:rPr>
                <w:rFonts w:ascii="Arial" w:hAnsi="Arial" w:cs="Arial"/>
                <w:b/>
                <w:bCs/>
                <w:color w:val="1F4E79" w:themeColor="accent1" w:themeShade="80"/>
                <w:sz w:val="24"/>
                <w:szCs w:val="24"/>
              </w:rPr>
            </w:pPr>
            <w:r>
              <w:rPr>
                <w:rFonts w:ascii="Arial" w:hAnsi="Arial"/>
                <w:b/>
                <w:bCs/>
                <w:color w:val="1F4E79" w:themeColor="accent1" w:themeShade="80"/>
                <w:sz w:val="24"/>
                <w:szCs w:val="24"/>
              </w:rPr>
              <w:t>1.3 The company’s mission, vision and values</w:t>
            </w:r>
          </w:p>
          <w:p w:rsidR="006F2A2B" w:rsidRPr="006F2A2B" w:rsidRDefault="006F2A2B" w:rsidP="006F2A2B">
            <w:pPr>
              <w:widowControl/>
              <w:tabs>
                <w:tab w:val="left" w:pos="1140"/>
              </w:tabs>
              <w:spacing w:line="276" w:lineRule="auto"/>
              <w:jc w:val="both"/>
              <w:rPr>
                <w:rFonts w:ascii="Arial" w:eastAsiaTheme="minorHAnsi" w:hAnsi="Arial" w:cs="Arial"/>
                <w:b/>
                <w:bCs/>
                <w:sz w:val="22"/>
                <w:szCs w:val="22"/>
                <w:lang w:eastAsia="en-US"/>
              </w:rPr>
            </w:pPr>
          </w:p>
          <w:p w:rsidR="006F2A2B" w:rsidRPr="006F2A2B" w:rsidRDefault="006F2A2B" w:rsidP="006F2A2B">
            <w:pPr>
              <w:widowControl/>
              <w:tabs>
                <w:tab w:val="left" w:pos="1140"/>
              </w:tabs>
              <w:spacing w:line="276" w:lineRule="auto"/>
              <w:jc w:val="both"/>
              <w:rPr>
                <w:rFonts w:ascii="Arial" w:eastAsiaTheme="minorHAnsi" w:hAnsi="Arial" w:cs="Arial"/>
                <w:sz w:val="22"/>
                <w:szCs w:val="22"/>
              </w:rPr>
            </w:pPr>
            <w:r>
              <w:rPr>
                <w:rFonts w:ascii="Arial" w:hAnsi="Arial"/>
                <w:b/>
                <w:bCs/>
                <w:sz w:val="22"/>
                <w:szCs w:val="22"/>
              </w:rPr>
              <w:t>Mission</w:t>
            </w:r>
            <w:r w:rsidR="00545220">
              <w:rPr>
                <w:rFonts w:ascii="Arial" w:hAnsi="Arial"/>
                <w:b/>
                <w:bCs/>
                <w:sz w:val="22"/>
                <w:szCs w:val="22"/>
              </w:rPr>
              <w:t xml:space="preserve"> </w:t>
            </w:r>
            <w:r>
              <w:rPr>
                <w:rFonts w:ascii="Arial" w:hAnsi="Arial"/>
                <w:sz w:val="22"/>
                <w:szCs w:val="22"/>
              </w:rPr>
              <w:t>CONPET mission is the operation of the National Transport System via Pipelines under safe and secure conditions, providing free access to the system’s available capacity to all the inquirers, authorized legal persons, under equal conditions, on a non-discriminatory and transparent basis.</w:t>
            </w:r>
          </w:p>
          <w:p w:rsidR="006F2A2B" w:rsidRPr="006F2A2B" w:rsidRDefault="006F2A2B" w:rsidP="006F2A2B">
            <w:pPr>
              <w:widowControl/>
              <w:tabs>
                <w:tab w:val="left" w:pos="1140"/>
              </w:tabs>
              <w:spacing w:line="276" w:lineRule="auto"/>
              <w:rPr>
                <w:rFonts w:ascii="Arial" w:eastAsiaTheme="minorHAnsi" w:hAnsi="Arial" w:cs="Arial"/>
                <w:sz w:val="22"/>
                <w:szCs w:val="22"/>
                <w:lang w:val="x-none" w:eastAsia="en-US"/>
              </w:rPr>
            </w:pPr>
          </w:p>
          <w:p w:rsidR="006F2A2B" w:rsidRPr="006F2A2B" w:rsidRDefault="006F2A2B" w:rsidP="006F2A2B">
            <w:pPr>
              <w:widowControl/>
              <w:tabs>
                <w:tab w:val="left" w:pos="1140"/>
              </w:tabs>
              <w:spacing w:line="276" w:lineRule="auto"/>
              <w:jc w:val="both"/>
              <w:rPr>
                <w:rFonts w:ascii="Arial" w:eastAsiaTheme="minorHAnsi" w:hAnsi="Arial" w:cs="Arial"/>
                <w:sz w:val="22"/>
                <w:szCs w:val="22"/>
              </w:rPr>
            </w:pPr>
            <w:r>
              <w:rPr>
                <w:rFonts w:ascii="Arial" w:hAnsi="Arial"/>
                <w:b/>
                <w:bCs/>
                <w:sz w:val="22"/>
                <w:szCs w:val="22"/>
              </w:rPr>
              <w:t>The company’s vision</w:t>
            </w:r>
            <w:r>
              <w:rPr>
                <w:rFonts w:ascii="Arial" w:hAnsi="Arial"/>
                <w:sz w:val="22"/>
                <w:szCs w:val="22"/>
              </w:rPr>
              <w:t xml:space="preserve">  targets the maintenance of its position of strategic player in the Romanian oil industry, acting as crude oil, ethane and rich gas carrier via pipelines and by rail and on the prospects, becoming a regional player.</w:t>
            </w:r>
          </w:p>
          <w:p w:rsidR="006F2A2B" w:rsidRPr="006F2A2B" w:rsidRDefault="006F2A2B" w:rsidP="006F2A2B">
            <w:pPr>
              <w:widowControl/>
              <w:tabs>
                <w:tab w:val="left" w:pos="1140"/>
              </w:tabs>
              <w:spacing w:line="276" w:lineRule="auto"/>
              <w:jc w:val="both"/>
              <w:rPr>
                <w:rFonts w:ascii="Arial" w:eastAsiaTheme="minorHAnsi" w:hAnsi="Arial" w:cs="Arial"/>
                <w:b/>
                <w:bCs/>
                <w:sz w:val="22"/>
                <w:szCs w:val="22"/>
                <w:lang w:val="x-none" w:eastAsia="en-US"/>
              </w:rPr>
            </w:pPr>
          </w:p>
          <w:p w:rsidR="006F2A2B" w:rsidRPr="006F2A2B" w:rsidRDefault="006F2A2B" w:rsidP="006F2A2B">
            <w:pPr>
              <w:widowControl/>
              <w:tabs>
                <w:tab w:val="left" w:pos="1140"/>
              </w:tabs>
              <w:spacing w:line="276" w:lineRule="auto"/>
              <w:jc w:val="both"/>
              <w:rPr>
                <w:rFonts w:ascii="Arial" w:eastAsiaTheme="minorHAnsi" w:hAnsi="Arial" w:cs="Arial"/>
                <w:sz w:val="22"/>
                <w:szCs w:val="22"/>
              </w:rPr>
            </w:pPr>
            <w:r>
              <w:rPr>
                <w:rFonts w:ascii="Arial" w:hAnsi="Arial"/>
                <w:b/>
                <w:bCs/>
                <w:sz w:val="22"/>
                <w:szCs w:val="22"/>
              </w:rPr>
              <w:t xml:space="preserve">The company values </w:t>
            </w:r>
            <w:r>
              <w:rPr>
                <w:rFonts w:ascii="Arial" w:hAnsi="Arial"/>
                <w:sz w:val="22"/>
                <w:szCs w:val="22"/>
              </w:rPr>
              <w:t>have been identified and are oriented for:</w:t>
            </w:r>
          </w:p>
          <w:p w:rsidR="006F2A2B" w:rsidRPr="006F2A2B" w:rsidRDefault="006F2A2B" w:rsidP="00D87DA4">
            <w:pPr>
              <w:widowControl/>
              <w:numPr>
                <w:ilvl w:val="0"/>
                <w:numId w:val="14"/>
              </w:numPr>
              <w:tabs>
                <w:tab w:val="left" w:pos="1140"/>
              </w:tabs>
              <w:autoSpaceDE/>
              <w:autoSpaceDN/>
              <w:adjustRightInd/>
              <w:spacing w:line="276" w:lineRule="auto"/>
              <w:jc w:val="both"/>
              <w:rPr>
                <w:rFonts w:ascii="Arial" w:eastAsiaTheme="minorHAnsi" w:hAnsi="Arial" w:cs="Arial"/>
                <w:sz w:val="22"/>
                <w:szCs w:val="22"/>
              </w:rPr>
            </w:pPr>
            <w:r>
              <w:rPr>
                <w:rFonts w:ascii="Arial" w:hAnsi="Arial"/>
                <w:sz w:val="22"/>
                <w:szCs w:val="22"/>
              </w:rPr>
              <w:t>ongoing learning and training;</w:t>
            </w:r>
          </w:p>
          <w:p w:rsidR="006F2A2B" w:rsidRPr="006F2A2B" w:rsidRDefault="006F2A2B" w:rsidP="00D87DA4">
            <w:pPr>
              <w:widowControl/>
              <w:numPr>
                <w:ilvl w:val="0"/>
                <w:numId w:val="14"/>
              </w:numPr>
              <w:tabs>
                <w:tab w:val="left" w:pos="1140"/>
              </w:tabs>
              <w:autoSpaceDE/>
              <w:autoSpaceDN/>
              <w:adjustRightInd/>
              <w:spacing w:line="276" w:lineRule="auto"/>
              <w:jc w:val="both"/>
              <w:rPr>
                <w:rFonts w:ascii="Arial" w:eastAsiaTheme="minorHAnsi" w:hAnsi="Arial" w:cs="Arial"/>
                <w:sz w:val="22"/>
                <w:szCs w:val="22"/>
              </w:rPr>
            </w:pPr>
            <w:r>
              <w:rPr>
                <w:rFonts w:ascii="Arial" w:hAnsi="Arial"/>
                <w:sz w:val="22"/>
                <w:szCs w:val="22"/>
              </w:rPr>
              <w:t>concern for people and environment;</w:t>
            </w:r>
          </w:p>
          <w:p w:rsidR="006F2A2B" w:rsidRPr="006F2A2B" w:rsidRDefault="006F2A2B" w:rsidP="00D87DA4">
            <w:pPr>
              <w:widowControl/>
              <w:numPr>
                <w:ilvl w:val="0"/>
                <w:numId w:val="14"/>
              </w:numPr>
              <w:tabs>
                <w:tab w:val="left" w:pos="1140"/>
              </w:tabs>
              <w:autoSpaceDE/>
              <w:autoSpaceDN/>
              <w:adjustRightInd/>
              <w:spacing w:line="276" w:lineRule="auto"/>
              <w:jc w:val="both"/>
              <w:rPr>
                <w:rFonts w:ascii="Arial" w:eastAsiaTheme="minorHAnsi" w:hAnsi="Arial" w:cs="Arial"/>
                <w:sz w:val="22"/>
                <w:szCs w:val="22"/>
              </w:rPr>
            </w:pPr>
            <w:r>
              <w:rPr>
                <w:rFonts w:ascii="Arial" w:hAnsi="Arial"/>
                <w:sz w:val="22"/>
                <w:szCs w:val="22"/>
              </w:rPr>
              <w:t>openness and quality improvement;</w:t>
            </w:r>
          </w:p>
          <w:p w:rsidR="006F2A2B" w:rsidRPr="006F2A2B" w:rsidRDefault="006F2A2B" w:rsidP="00D87DA4">
            <w:pPr>
              <w:widowControl/>
              <w:numPr>
                <w:ilvl w:val="0"/>
                <w:numId w:val="14"/>
              </w:numPr>
              <w:tabs>
                <w:tab w:val="left" w:pos="1140"/>
              </w:tabs>
              <w:autoSpaceDE/>
              <w:autoSpaceDN/>
              <w:adjustRightInd/>
              <w:spacing w:line="276" w:lineRule="auto"/>
              <w:jc w:val="both"/>
              <w:rPr>
                <w:rFonts w:ascii="Arial" w:eastAsiaTheme="minorHAnsi" w:hAnsi="Arial" w:cs="Arial"/>
                <w:sz w:val="22"/>
                <w:szCs w:val="22"/>
              </w:rPr>
            </w:pPr>
            <w:r>
              <w:rPr>
                <w:rFonts w:ascii="Arial" w:hAnsi="Arial"/>
                <w:sz w:val="22"/>
                <w:szCs w:val="22"/>
              </w:rPr>
              <w:t>flexibility and dynamism;</w:t>
            </w:r>
          </w:p>
          <w:p w:rsidR="006F2A2B" w:rsidRDefault="006F2A2B" w:rsidP="00D87DA4">
            <w:pPr>
              <w:widowControl/>
              <w:numPr>
                <w:ilvl w:val="0"/>
                <w:numId w:val="14"/>
              </w:numPr>
              <w:tabs>
                <w:tab w:val="left" w:pos="1140"/>
              </w:tabs>
              <w:autoSpaceDE/>
              <w:autoSpaceDN/>
              <w:adjustRightInd/>
              <w:spacing w:line="276" w:lineRule="auto"/>
              <w:jc w:val="both"/>
              <w:rPr>
                <w:rFonts w:ascii="Arial" w:eastAsiaTheme="minorHAnsi" w:hAnsi="Arial" w:cs="Arial"/>
                <w:sz w:val="22"/>
                <w:szCs w:val="22"/>
              </w:rPr>
            </w:pPr>
            <w:r>
              <w:rPr>
                <w:rFonts w:ascii="Arial" w:hAnsi="Arial"/>
                <w:sz w:val="22"/>
                <w:szCs w:val="22"/>
              </w:rPr>
              <w:t xml:space="preserve">communication and cooperation. </w:t>
            </w:r>
          </w:p>
          <w:p w:rsidR="006F2A2B" w:rsidRDefault="006F2A2B"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6F2A2B" w:rsidRPr="009828D6" w:rsidRDefault="006F2A2B" w:rsidP="006F2A2B">
            <w:pPr>
              <w:jc w:val="both"/>
              <w:rPr>
                <w:rFonts w:ascii="Arial" w:hAnsi="Arial" w:cs="Arial"/>
                <w:b/>
                <w:color w:val="1F4E79" w:themeColor="accent1" w:themeShade="80"/>
                <w:spacing w:val="3"/>
                <w:sz w:val="24"/>
                <w:szCs w:val="24"/>
              </w:rPr>
            </w:pPr>
            <w:r>
              <w:rPr>
                <w:rFonts w:ascii="Arial" w:hAnsi="Arial"/>
                <w:b/>
                <w:color w:val="1F4E79" w:themeColor="accent1" w:themeShade="80"/>
                <w:sz w:val="24"/>
                <w:szCs w:val="24"/>
              </w:rPr>
              <w:t xml:space="preserve">1.4 Shareholding </w:t>
            </w:r>
          </w:p>
          <w:p w:rsidR="006F2A2B" w:rsidRPr="006F2A2B" w:rsidRDefault="006F2A2B" w:rsidP="006F2A2B">
            <w:pPr>
              <w:jc w:val="both"/>
              <w:rPr>
                <w:b/>
                <w:color w:val="FF0000"/>
                <w:spacing w:val="1"/>
                <w:w w:val="105"/>
                <w:sz w:val="24"/>
                <w:szCs w:val="24"/>
              </w:rPr>
            </w:pPr>
          </w:p>
          <w:p w:rsidR="006F2A2B" w:rsidRPr="00934797" w:rsidRDefault="006F2A2B" w:rsidP="006F2A2B">
            <w:pPr>
              <w:widowControl/>
              <w:overflowPunct w:val="0"/>
              <w:spacing w:line="276" w:lineRule="auto"/>
              <w:jc w:val="both"/>
              <w:textAlignment w:val="baseline"/>
              <w:rPr>
                <w:rFonts w:ascii="Arial" w:hAnsi="Arial" w:cs="Arial"/>
                <w:sz w:val="22"/>
                <w:szCs w:val="22"/>
              </w:rPr>
            </w:pPr>
            <w:r>
              <w:rPr>
                <w:rFonts w:ascii="Arial" w:hAnsi="Arial"/>
                <w:sz w:val="22"/>
                <w:szCs w:val="22"/>
              </w:rPr>
              <w:t>The shareholding’s synthetic structure, at reference date 30.06.2018, is as follows:</w:t>
            </w:r>
          </w:p>
          <w:p w:rsidR="006F2A2B" w:rsidRPr="00934797" w:rsidRDefault="006F2A2B" w:rsidP="00D87DA4">
            <w:pPr>
              <w:widowControl/>
              <w:numPr>
                <w:ilvl w:val="0"/>
                <w:numId w:val="18"/>
              </w:numPr>
              <w:overflowPunct w:val="0"/>
              <w:autoSpaceDE/>
              <w:autoSpaceDN/>
              <w:adjustRightInd/>
              <w:spacing w:after="200" w:line="276" w:lineRule="auto"/>
              <w:contextualSpacing/>
              <w:jc w:val="both"/>
              <w:textAlignment w:val="baseline"/>
              <w:rPr>
                <w:rFonts w:ascii="Arial" w:eastAsia="Calibri" w:hAnsi="Arial" w:cs="Arial"/>
                <w:sz w:val="22"/>
                <w:szCs w:val="22"/>
              </w:rPr>
            </w:pPr>
            <w:r>
              <w:rPr>
                <w:rFonts w:ascii="Arial" w:hAnsi="Arial"/>
                <w:sz w:val="22"/>
                <w:szCs w:val="22"/>
              </w:rPr>
              <w:t>58.7162% - the Romanian State by the Ministry of Energy;</w:t>
            </w:r>
          </w:p>
          <w:p w:rsidR="006F2A2B" w:rsidRPr="00934797" w:rsidRDefault="006F2A2B" w:rsidP="00D87DA4">
            <w:pPr>
              <w:widowControl/>
              <w:numPr>
                <w:ilvl w:val="0"/>
                <w:numId w:val="18"/>
              </w:numPr>
              <w:overflowPunct w:val="0"/>
              <w:autoSpaceDE/>
              <w:autoSpaceDN/>
              <w:adjustRightInd/>
              <w:spacing w:after="200" w:line="276" w:lineRule="auto"/>
              <w:contextualSpacing/>
              <w:jc w:val="both"/>
              <w:textAlignment w:val="baseline"/>
              <w:rPr>
                <w:rFonts w:ascii="Arial" w:eastAsia="Calibri" w:hAnsi="Arial" w:cs="Arial"/>
                <w:sz w:val="22"/>
                <w:szCs w:val="22"/>
              </w:rPr>
            </w:pPr>
            <w:r>
              <w:rPr>
                <w:rFonts w:ascii="Arial" w:hAnsi="Arial"/>
                <w:sz w:val="22"/>
                <w:szCs w:val="22"/>
              </w:rPr>
              <w:t>41.2838% - Free float</w:t>
            </w:r>
          </w:p>
          <w:p w:rsidR="006F2A2B" w:rsidRPr="006F2A2B" w:rsidRDefault="006F2A2B" w:rsidP="006F2A2B">
            <w:pPr>
              <w:widowControl/>
              <w:overflowPunct w:val="0"/>
              <w:autoSpaceDE/>
              <w:autoSpaceDN/>
              <w:adjustRightInd/>
              <w:spacing w:after="200" w:line="276" w:lineRule="auto"/>
              <w:ind w:left="1440"/>
              <w:contextualSpacing/>
              <w:jc w:val="both"/>
              <w:textAlignment w:val="baseline"/>
              <w:rPr>
                <w:rFonts w:eastAsia="Calibri"/>
                <w:sz w:val="24"/>
                <w:szCs w:val="24"/>
                <w:lang w:eastAsia="en-US"/>
              </w:rPr>
            </w:pP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2228"/>
              <w:gridCol w:w="1941"/>
            </w:tblGrid>
            <w:tr w:rsidR="006F2A2B" w:rsidRPr="00934797" w:rsidTr="001D229E">
              <w:trPr>
                <w:trHeight w:val="533"/>
                <w:jc w:val="center"/>
              </w:trPr>
              <w:tc>
                <w:tcPr>
                  <w:tcW w:w="4321" w:type="dxa"/>
                  <w:shd w:val="clear" w:color="auto" w:fill="DEEAF6" w:themeFill="accent1" w:themeFillTint="33"/>
                  <w:vAlign w:val="center"/>
                </w:tcPr>
                <w:p w:rsidR="006F2A2B" w:rsidRPr="00934797" w:rsidRDefault="006F2A2B" w:rsidP="003605B2">
                  <w:pPr>
                    <w:widowControl/>
                    <w:autoSpaceDE/>
                    <w:autoSpaceDN/>
                    <w:adjustRightInd/>
                    <w:jc w:val="center"/>
                    <w:rPr>
                      <w:rFonts w:ascii="Arial" w:hAnsi="Arial" w:cs="Arial"/>
                      <w:b/>
                    </w:rPr>
                  </w:pPr>
                  <w:r>
                    <w:rPr>
                      <w:rFonts w:ascii="Arial" w:hAnsi="Arial"/>
                      <w:b/>
                    </w:rPr>
                    <w:t>Shareholder’s Name</w:t>
                  </w:r>
                </w:p>
              </w:tc>
              <w:tc>
                <w:tcPr>
                  <w:tcW w:w="2228" w:type="dxa"/>
                  <w:shd w:val="clear" w:color="auto" w:fill="DEEAF6" w:themeFill="accent1" w:themeFillTint="33"/>
                  <w:vAlign w:val="center"/>
                </w:tcPr>
                <w:p w:rsidR="006F2A2B" w:rsidRPr="00934797" w:rsidRDefault="006F2A2B" w:rsidP="006F2A2B">
                  <w:pPr>
                    <w:widowControl/>
                    <w:autoSpaceDE/>
                    <w:autoSpaceDN/>
                    <w:adjustRightInd/>
                    <w:jc w:val="center"/>
                    <w:rPr>
                      <w:rFonts w:ascii="Arial" w:hAnsi="Arial" w:cs="Arial"/>
                      <w:b/>
                    </w:rPr>
                  </w:pPr>
                  <w:r>
                    <w:rPr>
                      <w:rFonts w:ascii="Arial" w:hAnsi="Arial"/>
                      <w:b/>
                    </w:rPr>
                    <w:t>Number of shares</w:t>
                  </w:r>
                </w:p>
              </w:tc>
              <w:tc>
                <w:tcPr>
                  <w:tcW w:w="1941" w:type="dxa"/>
                  <w:shd w:val="clear" w:color="auto" w:fill="DEEAF6" w:themeFill="accent1" w:themeFillTint="33"/>
                  <w:vAlign w:val="center"/>
                </w:tcPr>
                <w:p w:rsidR="006F2A2B" w:rsidRPr="00934797" w:rsidRDefault="006F2A2B" w:rsidP="006F2A2B">
                  <w:pPr>
                    <w:widowControl/>
                    <w:autoSpaceDE/>
                    <w:autoSpaceDN/>
                    <w:adjustRightInd/>
                    <w:jc w:val="center"/>
                    <w:rPr>
                      <w:rFonts w:ascii="Arial" w:hAnsi="Arial" w:cs="Arial"/>
                      <w:b/>
                    </w:rPr>
                  </w:pPr>
                  <w:r>
                    <w:rPr>
                      <w:rFonts w:ascii="Arial" w:hAnsi="Arial"/>
                      <w:b/>
                    </w:rPr>
                    <w:t>Percentage%</w:t>
                  </w:r>
                </w:p>
              </w:tc>
            </w:tr>
            <w:tr w:rsidR="006F2A2B" w:rsidRPr="00934797" w:rsidTr="001D229E">
              <w:trPr>
                <w:trHeight w:val="238"/>
                <w:jc w:val="center"/>
              </w:trPr>
              <w:tc>
                <w:tcPr>
                  <w:tcW w:w="4321" w:type="dxa"/>
                  <w:shd w:val="clear" w:color="auto" w:fill="auto"/>
                </w:tcPr>
                <w:p w:rsidR="006F2A2B" w:rsidRPr="00934797" w:rsidRDefault="006F2A2B" w:rsidP="006F2A2B">
                  <w:pPr>
                    <w:widowControl/>
                    <w:autoSpaceDE/>
                    <w:autoSpaceDN/>
                    <w:adjustRightInd/>
                    <w:rPr>
                      <w:rFonts w:ascii="Arial" w:hAnsi="Arial" w:cs="Arial"/>
                    </w:rPr>
                  </w:pPr>
                  <w:r>
                    <w:rPr>
                      <w:rFonts w:ascii="Arial" w:hAnsi="Arial"/>
                    </w:rPr>
                    <w:t>The Romanian State by the Ministry of Energy</w:t>
                  </w:r>
                </w:p>
              </w:tc>
              <w:tc>
                <w:tcPr>
                  <w:tcW w:w="2228" w:type="dxa"/>
                  <w:shd w:val="clear" w:color="auto" w:fill="auto"/>
                  <w:vAlign w:val="center"/>
                </w:tcPr>
                <w:p w:rsidR="006F2A2B" w:rsidRPr="00934797" w:rsidRDefault="006F2A2B" w:rsidP="006F2A2B">
                  <w:pPr>
                    <w:widowControl/>
                    <w:autoSpaceDE/>
                    <w:autoSpaceDN/>
                    <w:adjustRightInd/>
                    <w:jc w:val="center"/>
                    <w:rPr>
                      <w:rFonts w:ascii="Arial" w:hAnsi="Arial" w:cs="Arial"/>
                      <w:bCs/>
                    </w:rPr>
                  </w:pPr>
                  <w:r>
                    <w:rPr>
                      <w:rFonts w:ascii="Arial" w:hAnsi="Arial"/>
                      <w:bCs/>
                    </w:rPr>
                    <w:t>5,083,372</w:t>
                  </w:r>
                </w:p>
              </w:tc>
              <w:tc>
                <w:tcPr>
                  <w:tcW w:w="1941" w:type="dxa"/>
                  <w:shd w:val="clear" w:color="auto" w:fill="auto"/>
                  <w:vAlign w:val="center"/>
                </w:tcPr>
                <w:p w:rsidR="006F2A2B" w:rsidRPr="00934797" w:rsidRDefault="006F2A2B" w:rsidP="006F2A2B">
                  <w:pPr>
                    <w:widowControl/>
                    <w:autoSpaceDE/>
                    <w:autoSpaceDN/>
                    <w:adjustRightInd/>
                    <w:jc w:val="center"/>
                    <w:rPr>
                      <w:rFonts w:ascii="Arial" w:hAnsi="Arial" w:cs="Arial"/>
                      <w:bCs/>
                    </w:rPr>
                  </w:pPr>
                  <w:r>
                    <w:rPr>
                      <w:rFonts w:ascii="Arial" w:hAnsi="Arial"/>
                      <w:bCs/>
                    </w:rPr>
                    <w:t>58.7162%</w:t>
                  </w:r>
                </w:p>
              </w:tc>
            </w:tr>
            <w:tr w:rsidR="006F2A2B" w:rsidRPr="00934797" w:rsidTr="001D229E">
              <w:trPr>
                <w:trHeight w:val="238"/>
                <w:jc w:val="center"/>
              </w:trPr>
              <w:tc>
                <w:tcPr>
                  <w:tcW w:w="4321" w:type="dxa"/>
                  <w:shd w:val="clear" w:color="auto" w:fill="auto"/>
                </w:tcPr>
                <w:p w:rsidR="006F2A2B" w:rsidRPr="00934797" w:rsidRDefault="006F2A2B" w:rsidP="006F2A2B">
                  <w:pPr>
                    <w:widowControl/>
                    <w:autoSpaceDE/>
                    <w:autoSpaceDN/>
                    <w:adjustRightInd/>
                    <w:rPr>
                      <w:rFonts w:ascii="Arial" w:hAnsi="Arial" w:cs="Arial"/>
                    </w:rPr>
                  </w:pPr>
                  <w:r>
                    <w:rPr>
                      <w:rFonts w:ascii="Arial" w:hAnsi="Arial"/>
                    </w:rPr>
                    <w:t xml:space="preserve">Legal persons </w:t>
                  </w:r>
                </w:p>
              </w:tc>
              <w:tc>
                <w:tcPr>
                  <w:tcW w:w="2228" w:type="dxa"/>
                  <w:shd w:val="clear" w:color="auto" w:fill="auto"/>
                  <w:vAlign w:val="center"/>
                </w:tcPr>
                <w:p w:rsidR="006F2A2B" w:rsidRPr="00934797" w:rsidRDefault="00B7227F" w:rsidP="006F2A2B">
                  <w:pPr>
                    <w:widowControl/>
                    <w:autoSpaceDE/>
                    <w:autoSpaceDN/>
                    <w:adjustRightInd/>
                    <w:jc w:val="center"/>
                    <w:rPr>
                      <w:rFonts w:ascii="Arial" w:hAnsi="Arial" w:cs="Arial"/>
                    </w:rPr>
                  </w:pPr>
                  <w:r>
                    <w:rPr>
                      <w:rFonts w:ascii="Arial" w:hAnsi="Arial"/>
                    </w:rPr>
                    <w:t>2,536,458</w:t>
                  </w:r>
                </w:p>
              </w:tc>
              <w:tc>
                <w:tcPr>
                  <w:tcW w:w="1941" w:type="dxa"/>
                  <w:shd w:val="clear" w:color="auto" w:fill="auto"/>
                  <w:vAlign w:val="center"/>
                </w:tcPr>
                <w:p w:rsidR="006F2A2B" w:rsidRPr="00934797" w:rsidRDefault="006F2A2B" w:rsidP="00B7227F">
                  <w:pPr>
                    <w:widowControl/>
                    <w:autoSpaceDE/>
                    <w:autoSpaceDN/>
                    <w:adjustRightInd/>
                    <w:jc w:val="center"/>
                    <w:rPr>
                      <w:rFonts w:ascii="Arial" w:hAnsi="Arial" w:cs="Arial"/>
                    </w:rPr>
                  </w:pPr>
                  <w:r>
                    <w:rPr>
                      <w:rFonts w:ascii="Arial" w:hAnsi="Arial"/>
                    </w:rPr>
                    <w:t>29.2977%</w:t>
                  </w:r>
                </w:p>
              </w:tc>
            </w:tr>
            <w:tr w:rsidR="006F2A2B" w:rsidRPr="00934797" w:rsidTr="001D229E">
              <w:trPr>
                <w:trHeight w:val="238"/>
                <w:jc w:val="center"/>
              </w:trPr>
              <w:tc>
                <w:tcPr>
                  <w:tcW w:w="4321" w:type="dxa"/>
                  <w:shd w:val="clear" w:color="auto" w:fill="auto"/>
                </w:tcPr>
                <w:p w:rsidR="006F2A2B" w:rsidRPr="00934797" w:rsidRDefault="006F2A2B" w:rsidP="006F2A2B">
                  <w:pPr>
                    <w:widowControl/>
                    <w:autoSpaceDE/>
                    <w:autoSpaceDN/>
                    <w:adjustRightInd/>
                    <w:rPr>
                      <w:rFonts w:ascii="Arial" w:hAnsi="Arial" w:cs="Arial"/>
                    </w:rPr>
                  </w:pPr>
                  <w:r>
                    <w:rPr>
                      <w:rFonts w:ascii="Arial" w:hAnsi="Arial"/>
                    </w:rPr>
                    <w:t>Natural Persons</w:t>
                  </w:r>
                </w:p>
              </w:tc>
              <w:tc>
                <w:tcPr>
                  <w:tcW w:w="2228" w:type="dxa"/>
                  <w:shd w:val="clear" w:color="auto" w:fill="auto"/>
                  <w:vAlign w:val="center"/>
                </w:tcPr>
                <w:p w:rsidR="006F2A2B" w:rsidRPr="00934797" w:rsidRDefault="00B7227F" w:rsidP="006F2A2B">
                  <w:pPr>
                    <w:widowControl/>
                    <w:autoSpaceDE/>
                    <w:autoSpaceDN/>
                    <w:adjustRightInd/>
                    <w:jc w:val="center"/>
                    <w:rPr>
                      <w:rFonts w:ascii="Arial" w:hAnsi="Arial" w:cs="Arial"/>
                      <w:bCs/>
                    </w:rPr>
                  </w:pPr>
                  <w:r>
                    <w:rPr>
                      <w:rFonts w:ascii="Arial" w:hAnsi="Arial"/>
                      <w:bCs/>
                    </w:rPr>
                    <w:t>1,037,698</w:t>
                  </w:r>
                </w:p>
              </w:tc>
              <w:tc>
                <w:tcPr>
                  <w:tcW w:w="1941" w:type="dxa"/>
                  <w:shd w:val="clear" w:color="auto" w:fill="auto"/>
                  <w:vAlign w:val="center"/>
                </w:tcPr>
                <w:p w:rsidR="006F2A2B" w:rsidRPr="00934797" w:rsidRDefault="00B7227F" w:rsidP="006F2A2B">
                  <w:pPr>
                    <w:widowControl/>
                    <w:autoSpaceDE/>
                    <w:autoSpaceDN/>
                    <w:adjustRightInd/>
                    <w:jc w:val="center"/>
                    <w:rPr>
                      <w:rFonts w:ascii="Arial" w:hAnsi="Arial" w:cs="Arial"/>
                      <w:bCs/>
                    </w:rPr>
                  </w:pPr>
                  <w:r>
                    <w:rPr>
                      <w:rFonts w:ascii="Arial" w:hAnsi="Arial"/>
                      <w:bCs/>
                    </w:rPr>
                    <w:t>11.9861%</w:t>
                  </w:r>
                </w:p>
              </w:tc>
            </w:tr>
            <w:tr w:rsidR="006F2A2B" w:rsidRPr="00934797" w:rsidTr="001D229E">
              <w:trPr>
                <w:trHeight w:val="60"/>
                <w:jc w:val="center"/>
              </w:trPr>
              <w:tc>
                <w:tcPr>
                  <w:tcW w:w="4321" w:type="dxa"/>
                  <w:shd w:val="clear" w:color="auto" w:fill="auto"/>
                </w:tcPr>
                <w:p w:rsidR="006F2A2B" w:rsidRPr="00934797" w:rsidRDefault="006F2A2B" w:rsidP="006F2A2B">
                  <w:pPr>
                    <w:widowControl/>
                    <w:autoSpaceDE/>
                    <w:autoSpaceDN/>
                    <w:adjustRightInd/>
                    <w:rPr>
                      <w:rFonts w:ascii="Arial" w:hAnsi="Arial" w:cs="Arial"/>
                      <w:b/>
                    </w:rPr>
                  </w:pPr>
                  <w:r>
                    <w:rPr>
                      <w:rFonts w:ascii="Arial" w:hAnsi="Arial"/>
                      <w:b/>
                    </w:rPr>
                    <w:t xml:space="preserve">Total </w:t>
                  </w:r>
                </w:p>
              </w:tc>
              <w:tc>
                <w:tcPr>
                  <w:tcW w:w="2228" w:type="dxa"/>
                  <w:shd w:val="clear" w:color="auto" w:fill="auto"/>
                  <w:vAlign w:val="center"/>
                </w:tcPr>
                <w:p w:rsidR="006F2A2B" w:rsidRPr="00934797" w:rsidRDefault="006F2A2B" w:rsidP="006F2A2B">
                  <w:pPr>
                    <w:widowControl/>
                    <w:autoSpaceDE/>
                    <w:autoSpaceDN/>
                    <w:adjustRightInd/>
                    <w:jc w:val="center"/>
                    <w:rPr>
                      <w:rFonts w:ascii="Arial" w:hAnsi="Arial" w:cs="Arial"/>
                      <w:b/>
                    </w:rPr>
                  </w:pPr>
                  <w:r>
                    <w:rPr>
                      <w:rFonts w:ascii="Arial" w:hAnsi="Arial"/>
                      <w:b/>
                    </w:rPr>
                    <w:t>8,657,528</w:t>
                  </w:r>
                </w:p>
              </w:tc>
              <w:tc>
                <w:tcPr>
                  <w:tcW w:w="1941" w:type="dxa"/>
                  <w:shd w:val="clear" w:color="auto" w:fill="auto"/>
                  <w:vAlign w:val="center"/>
                </w:tcPr>
                <w:p w:rsidR="006F2A2B" w:rsidRPr="00934797" w:rsidRDefault="006F2A2B" w:rsidP="006F2A2B">
                  <w:pPr>
                    <w:widowControl/>
                    <w:autoSpaceDE/>
                    <w:autoSpaceDN/>
                    <w:adjustRightInd/>
                    <w:jc w:val="center"/>
                    <w:rPr>
                      <w:rFonts w:ascii="Arial" w:hAnsi="Arial" w:cs="Arial"/>
                      <w:b/>
                    </w:rPr>
                  </w:pPr>
                  <w:r>
                    <w:rPr>
                      <w:rFonts w:ascii="Arial" w:hAnsi="Arial"/>
                      <w:b/>
                    </w:rPr>
                    <w:t>100.0000%</w:t>
                  </w:r>
                </w:p>
              </w:tc>
            </w:tr>
          </w:tbl>
          <w:p w:rsidR="006F2A2B" w:rsidRPr="006F2A2B" w:rsidRDefault="006F2A2B" w:rsidP="006F2A2B">
            <w:pPr>
              <w:jc w:val="center"/>
              <w:rPr>
                <w:i/>
                <w:spacing w:val="1"/>
                <w:w w:val="105"/>
                <w:sz w:val="18"/>
                <w:szCs w:val="18"/>
              </w:rPr>
            </w:pPr>
          </w:p>
          <w:p w:rsidR="006F2A2B" w:rsidRPr="008F5405" w:rsidRDefault="006F2A2B" w:rsidP="006F2A2B">
            <w:pPr>
              <w:jc w:val="center"/>
              <w:rPr>
                <w:rFonts w:ascii="Arial" w:hAnsi="Arial" w:cs="Arial"/>
                <w:spacing w:val="1"/>
                <w:w w:val="105"/>
                <w:sz w:val="16"/>
                <w:szCs w:val="16"/>
              </w:rPr>
            </w:pPr>
            <w:r>
              <w:rPr>
                <w:rFonts w:ascii="Arial" w:hAnsi="Arial"/>
                <w:sz w:val="16"/>
                <w:szCs w:val="16"/>
              </w:rPr>
              <w:t>Table 1 - CONPET S.A. Shareholding Structure at 30.06.2018</w:t>
            </w:r>
          </w:p>
          <w:p w:rsidR="006F2A2B" w:rsidRPr="006F2A2B" w:rsidRDefault="006F2A2B" w:rsidP="006F2A2B">
            <w:pPr>
              <w:jc w:val="both"/>
              <w:rPr>
                <w:spacing w:val="1"/>
                <w:w w:val="105"/>
                <w:sz w:val="24"/>
                <w:szCs w:val="24"/>
              </w:rPr>
            </w:pPr>
          </w:p>
          <w:p w:rsidR="006F2A2B" w:rsidRPr="00934797" w:rsidRDefault="006F2A2B" w:rsidP="006F2A2B">
            <w:pPr>
              <w:autoSpaceDE/>
              <w:spacing w:line="276" w:lineRule="auto"/>
              <w:jc w:val="both"/>
              <w:rPr>
                <w:rFonts w:ascii="Arial" w:hAnsi="Arial" w:cs="Arial"/>
                <w:sz w:val="22"/>
                <w:szCs w:val="22"/>
              </w:rPr>
            </w:pPr>
            <w:r>
              <w:rPr>
                <w:rFonts w:ascii="Arial" w:hAnsi="Arial"/>
                <w:sz w:val="22"/>
                <w:szCs w:val="22"/>
              </w:rPr>
              <w:t>The share capital of CONPET at 30.06.2018 is of 28,569,842.40 RON and is divided into 8,657,528 nominative shares, each share with a nominal value of 3.3 RON/share.</w:t>
            </w:r>
          </w:p>
          <w:p w:rsidR="006F2A2B" w:rsidRPr="00934797" w:rsidRDefault="006F2A2B" w:rsidP="006F2A2B">
            <w:pPr>
              <w:autoSpaceDE/>
              <w:spacing w:line="276" w:lineRule="auto"/>
              <w:jc w:val="both"/>
              <w:rPr>
                <w:sz w:val="22"/>
                <w:szCs w:val="22"/>
                <w:lang w:eastAsia="en-US"/>
              </w:rPr>
            </w:pPr>
          </w:p>
          <w:p w:rsidR="006F2A2B" w:rsidRPr="00934797" w:rsidRDefault="006F2A2B" w:rsidP="006F2A2B">
            <w:pPr>
              <w:autoSpaceDE/>
              <w:spacing w:line="276" w:lineRule="auto"/>
              <w:jc w:val="both"/>
              <w:rPr>
                <w:rFonts w:ascii="Arial" w:hAnsi="Arial" w:cs="Arial"/>
                <w:color w:val="000000" w:themeColor="text1"/>
                <w:sz w:val="22"/>
                <w:szCs w:val="22"/>
              </w:rPr>
            </w:pPr>
            <w:r>
              <w:rPr>
                <w:rFonts w:ascii="Arial" w:hAnsi="Arial"/>
                <w:sz w:val="22"/>
                <w:szCs w:val="22"/>
              </w:rPr>
              <w:t xml:space="preserve">CONPET did not perform transactions having as scope its own shares; </w:t>
            </w:r>
            <w:r>
              <w:rPr>
                <w:rFonts w:ascii="Arial" w:hAnsi="Arial"/>
                <w:color w:val="000000" w:themeColor="text1"/>
                <w:sz w:val="22"/>
                <w:szCs w:val="22"/>
              </w:rPr>
              <w:t>consequently, the company d</w:t>
            </w:r>
            <w:r w:rsidR="00E94F41">
              <w:rPr>
                <w:rFonts w:ascii="Arial" w:hAnsi="Arial"/>
                <w:color w:val="000000" w:themeColor="text1"/>
                <w:sz w:val="22"/>
                <w:szCs w:val="22"/>
              </w:rPr>
              <w:t>oes</w:t>
            </w:r>
            <w:r>
              <w:rPr>
                <w:rFonts w:ascii="Arial" w:hAnsi="Arial"/>
                <w:color w:val="000000" w:themeColor="text1"/>
                <w:sz w:val="22"/>
                <w:szCs w:val="22"/>
              </w:rPr>
              <w:t xml:space="preserve"> not hold own shares.</w:t>
            </w:r>
          </w:p>
          <w:p w:rsidR="006F2A2B" w:rsidRDefault="006F2A2B"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B7227F" w:rsidRDefault="00B7227F"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564B3E" w:rsidRDefault="00564B3E"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740567" w:rsidRDefault="00740567"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934797" w:rsidRDefault="00934797"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6F2A2B" w:rsidRPr="006F2A2B" w:rsidRDefault="006F2A2B" w:rsidP="006F2A2B">
            <w:pPr>
              <w:widowControl/>
              <w:tabs>
                <w:tab w:val="left" w:pos="1140"/>
              </w:tabs>
              <w:autoSpaceDE/>
              <w:autoSpaceDN/>
              <w:adjustRightInd/>
              <w:spacing w:line="276" w:lineRule="auto"/>
              <w:jc w:val="both"/>
              <w:rPr>
                <w:rFonts w:ascii="Arial" w:eastAsiaTheme="minorHAnsi" w:hAnsi="Arial" w:cs="Arial"/>
                <w:sz w:val="22"/>
                <w:szCs w:val="22"/>
                <w:lang w:val="x-none" w:eastAsia="en-US"/>
              </w:rPr>
            </w:pPr>
          </w:p>
          <w:p w:rsidR="006F2A2B" w:rsidRPr="009828D6" w:rsidRDefault="006F2A2B" w:rsidP="006F2A2B">
            <w:pPr>
              <w:shd w:val="clear" w:color="auto" w:fill="FFFFFF"/>
              <w:ind w:left="22"/>
              <w:rPr>
                <w:rFonts w:ascii="Arial" w:hAnsi="Arial" w:cs="Arial"/>
                <w:b/>
                <w:bCs/>
                <w:color w:val="1F4E79" w:themeColor="accent1" w:themeShade="80"/>
                <w:sz w:val="24"/>
                <w:szCs w:val="24"/>
              </w:rPr>
            </w:pPr>
            <w:r>
              <w:rPr>
                <w:rFonts w:ascii="Arial" w:hAnsi="Arial"/>
                <w:b/>
                <w:bCs/>
                <w:color w:val="1F4E79" w:themeColor="accent1" w:themeShade="80"/>
                <w:sz w:val="24"/>
                <w:szCs w:val="24"/>
              </w:rPr>
              <w:t>1.5 Company Organization</w:t>
            </w:r>
          </w:p>
          <w:p w:rsidR="006F2A2B" w:rsidRPr="006F2A2B" w:rsidRDefault="006F2A2B" w:rsidP="006F2A2B">
            <w:pPr>
              <w:shd w:val="clear" w:color="auto" w:fill="FFFFFF"/>
              <w:spacing w:line="276" w:lineRule="auto"/>
              <w:jc w:val="both"/>
              <w:rPr>
                <w:rFonts w:ascii="Arial" w:hAnsi="Arial" w:cs="Arial"/>
                <w:sz w:val="22"/>
                <w:szCs w:val="22"/>
              </w:rPr>
            </w:pPr>
          </w:p>
          <w:p w:rsidR="006F2A2B" w:rsidRPr="006F2A2B" w:rsidRDefault="006F2A2B" w:rsidP="006F2A2B">
            <w:pPr>
              <w:shd w:val="clear" w:color="auto" w:fill="FFFFFF"/>
              <w:spacing w:line="276" w:lineRule="auto"/>
              <w:jc w:val="both"/>
              <w:rPr>
                <w:rFonts w:ascii="Arial" w:hAnsi="Arial" w:cs="Arial"/>
                <w:sz w:val="22"/>
                <w:szCs w:val="22"/>
              </w:rPr>
            </w:pPr>
            <w:r>
              <w:rPr>
                <w:rFonts w:ascii="Arial" w:hAnsi="Arial"/>
                <w:sz w:val="22"/>
                <w:szCs w:val="22"/>
              </w:rPr>
              <w:t xml:space="preserve">CONPET was established 1990, based on the Government Decree no. 1213/1990 regarding the set-up of joint-stock companies in the industry, by taking-over the entire assets and liabilities of I.T.T.C.  Ploieşti, being the first company established in the oil industry in Romania. </w:t>
            </w:r>
          </w:p>
          <w:p w:rsidR="006F2A2B" w:rsidRPr="006F2A2B" w:rsidRDefault="006F2A2B" w:rsidP="006F2A2B">
            <w:pPr>
              <w:spacing w:line="276" w:lineRule="auto"/>
              <w:jc w:val="both"/>
              <w:rPr>
                <w:rFonts w:ascii="Arial" w:hAnsi="Arial" w:cs="Arial"/>
                <w:sz w:val="22"/>
                <w:szCs w:val="22"/>
                <w:lang w:eastAsia="en-US"/>
              </w:rPr>
            </w:pPr>
          </w:p>
          <w:p w:rsidR="006F2A2B" w:rsidRPr="006F2A2B" w:rsidRDefault="006F2A2B" w:rsidP="006F2A2B">
            <w:pPr>
              <w:spacing w:line="276" w:lineRule="auto"/>
              <w:jc w:val="both"/>
              <w:rPr>
                <w:rFonts w:ascii="Arial" w:hAnsi="Arial" w:cs="Arial"/>
                <w:sz w:val="22"/>
                <w:szCs w:val="22"/>
              </w:rPr>
            </w:pPr>
            <w:r>
              <w:rPr>
                <w:rFonts w:ascii="Arial" w:hAnsi="Arial"/>
                <w:sz w:val="22"/>
                <w:szCs w:val="22"/>
              </w:rPr>
              <w:t>Following the take-over of all assets and liabilities of I.T.T.C. Ploiești</w:t>
            </w:r>
            <w:proofErr w:type="gramStart"/>
            <w:r>
              <w:rPr>
                <w:rFonts w:ascii="Arial" w:hAnsi="Arial"/>
                <w:sz w:val="22"/>
                <w:szCs w:val="22"/>
              </w:rPr>
              <w:t>,  CONPET</w:t>
            </w:r>
            <w:proofErr w:type="gramEnd"/>
            <w:r>
              <w:rPr>
                <w:rFonts w:ascii="Arial" w:hAnsi="Arial"/>
                <w:sz w:val="22"/>
                <w:szCs w:val="22"/>
              </w:rPr>
              <w:t xml:space="preserve"> became the operator of the crude oil, rich gas, condensate and ethane National Transport System.  </w:t>
            </w:r>
          </w:p>
          <w:p w:rsidR="006F2A2B" w:rsidRPr="006F2A2B" w:rsidRDefault="006F2A2B" w:rsidP="006F2A2B">
            <w:pPr>
              <w:spacing w:line="276" w:lineRule="auto"/>
              <w:jc w:val="both"/>
              <w:rPr>
                <w:rFonts w:ascii="Arial" w:hAnsi="Arial" w:cs="Arial"/>
                <w:sz w:val="22"/>
                <w:szCs w:val="22"/>
                <w:lang w:eastAsia="en-US"/>
              </w:rPr>
            </w:pPr>
          </w:p>
          <w:p w:rsidR="006F2A2B" w:rsidRPr="006F2A2B" w:rsidRDefault="006F2A2B" w:rsidP="006F2A2B">
            <w:pPr>
              <w:widowControl/>
              <w:overflowPunct w:val="0"/>
              <w:spacing w:line="276" w:lineRule="auto"/>
              <w:jc w:val="both"/>
              <w:textAlignment w:val="baseline"/>
              <w:rPr>
                <w:rFonts w:ascii="Arial" w:hAnsi="Arial" w:cs="Arial"/>
                <w:sz w:val="22"/>
                <w:szCs w:val="22"/>
              </w:rPr>
            </w:pPr>
            <w:r>
              <w:rPr>
                <w:rFonts w:ascii="Arial" w:hAnsi="Arial"/>
                <w:sz w:val="22"/>
                <w:szCs w:val="22"/>
              </w:rPr>
              <w:t xml:space="preserve">Since 2002, CONPET is the concessionnaire of the operation of the crude oil, rich gas, condensate and ethane National Transport System, base on the oil Concession Agreement concluded with the National Agency for Mineral Resources, approved pursuant ot GD no. 793/25.07.2002.  </w:t>
            </w:r>
          </w:p>
          <w:p w:rsidR="006F2A2B" w:rsidRPr="006F2A2B" w:rsidRDefault="006F2A2B" w:rsidP="006F2A2B">
            <w:pPr>
              <w:widowControl/>
              <w:overflowPunct w:val="0"/>
              <w:spacing w:line="276" w:lineRule="auto"/>
              <w:jc w:val="both"/>
              <w:textAlignment w:val="baseline"/>
              <w:rPr>
                <w:rFonts w:ascii="Arial" w:hAnsi="Arial" w:cs="Arial"/>
                <w:sz w:val="22"/>
                <w:szCs w:val="22"/>
                <w:lang w:eastAsia="en-US"/>
              </w:rPr>
            </w:pPr>
          </w:p>
          <w:p w:rsidR="006F2A2B" w:rsidRPr="00C10FB6" w:rsidRDefault="006F2A2B" w:rsidP="006F2A2B">
            <w:pPr>
              <w:widowControl/>
              <w:overflowPunct w:val="0"/>
              <w:spacing w:line="276" w:lineRule="auto"/>
              <w:jc w:val="both"/>
              <w:textAlignment w:val="baseline"/>
              <w:rPr>
                <w:rFonts w:ascii="Arial" w:hAnsi="Arial" w:cs="Arial"/>
                <w:sz w:val="22"/>
                <w:szCs w:val="22"/>
              </w:rPr>
            </w:pPr>
            <w:r>
              <w:rPr>
                <w:rFonts w:ascii="Arial" w:hAnsi="Arial"/>
                <w:sz w:val="22"/>
                <w:szCs w:val="22"/>
              </w:rPr>
              <w:t>The crude oil, rich gas, condensate and ethane National Transport System (NTS)</w:t>
            </w:r>
            <w:r>
              <w:rPr>
                <w:rFonts w:ascii="Arial" w:hAnsi="Arial"/>
                <w:sz w:val="22"/>
                <w:szCs w:val="22"/>
                <w:shd w:val="clear" w:color="auto" w:fill="FFFFFF"/>
              </w:rPr>
              <w:t xml:space="preserve"> is State’s public property and bears strategic importance. </w:t>
            </w:r>
            <w:r>
              <w:rPr>
                <w:rFonts w:ascii="Arial" w:hAnsi="Arial"/>
                <w:sz w:val="22"/>
                <w:szCs w:val="22"/>
              </w:rPr>
              <w:t xml:space="preserve"> </w:t>
            </w:r>
            <w:r>
              <w:rPr>
                <w:rFonts w:ascii="Arial" w:hAnsi="Arial"/>
                <w:sz w:val="22"/>
                <w:szCs w:val="22"/>
                <w:shd w:val="clear" w:color="auto" w:fill="FFFFFF"/>
              </w:rPr>
              <w:t xml:space="preserve"> </w:t>
            </w:r>
            <w:r>
              <w:rPr>
                <w:rFonts w:ascii="Arial" w:hAnsi="Arial"/>
                <w:sz w:val="22"/>
                <w:szCs w:val="22"/>
              </w:rPr>
              <w:t xml:space="preserve"> </w:t>
            </w:r>
          </w:p>
          <w:p w:rsidR="006F2A2B" w:rsidRPr="006F2A2B" w:rsidRDefault="006F2A2B" w:rsidP="006F2A2B">
            <w:pPr>
              <w:widowControl/>
              <w:overflowPunct w:val="0"/>
              <w:spacing w:line="276" w:lineRule="auto"/>
              <w:jc w:val="both"/>
              <w:textAlignment w:val="baseline"/>
              <w:rPr>
                <w:rFonts w:ascii="Arial" w:hAnsi="Arial" w:cs="Arial"/>
                <w:sz w:val="22"/>
                <w:szCs w:val="22"/>
              </w:rPr>
            </w:pPr>
            <w:r>
              <w:rPr>
                <w:rFonts w:ascii="Arial" w:hAnsi="Arial"/>
                <w:sz w:val="22"/>
                <w:szCs w:val="22"/>
              </w:rPr>
              <w:t>The NTS is being defined and regulated pursuant to the Oil Law no. 238/ 7 of June 2004 and the Methodological Norms for the Application of the Oil Law, approved pursuant to GD no. 2075/2004.</w:t>
            </w:r>
          </w:p>
          <w:p w:rsidR="006F2A2B" w:rsidRPr="006F2A2B" w:rsidRDefault="006F2A2B" w:rsidP="006F2A2B">
            <w:pPr>
              <w:widowControl/>
              <w:overflowPunct w:val="0"/>
              <w:spacing w:line="276" w:lineRule="auto"/>
              <w:jc w:val="both"/>
              <w:textAlignment w:val="baseline"/>
              <w:rPr>
                <w:rFonts w:ascii="Arial" w:hAnsi="Arial" w:cs="Arial"/>
                <w:sz w:val="22"/>
                <w:szCs w:val="22"/>
                <w:lang w:eastAsia="en-US"/>
              </w:rPr>
            </w:pPr>
          </w:p>
          <w:p w:rsidR="006F2A2B" w:rsidRPr="006F2A2B" w:rsidRDefault="006F2A2B" w:rsidP="006F2A2B">
            <w:pPr>
              <w:widowControl/>
              <w:overflowPunct w:val="0"/>
              <w:spacing w:line="276" w:lineRule="auto"/>
              <w:jc w:val="both"/>
              <w:textAlignment w:val="baseline"/>
              <w:rPr>
                <w:rFonts w:ascii="Arial" w:hAnsi="Arial" w:cs="Arial"/>
                <w:sz w:val="22"/>
                <w:szCs w:val="22"/>
              </w:rPr>
            </w:pPr>
            <w:r>
              <w:rPr>
                <w:rFonts w:ascii="Arial" w:hAnsi="Arial"/>
                <w:sz w:val="22"/>
                <w:szCs w:val="22"/>
              </w:rPr>
              <w:t>CONPET supplies transport services for its clients both via the crude oil National Transport System concessioned based on the oil concession agreement, as well as by railway tanks, from the loading ramps to the refineries, for the oil areas not connected to the transport major pipelines.</w:t>
            </w:r>
          </w:p>
          <w:p w:rsidR="006F2A2B" w:rsidRPr="006F2A2B" w:rsidRDefault="006F2A2B" w:rsidP="006F2A2B">
            <w:pPr>
              <w:spacing w:line="276" w:lineRule="auto"/>
              <w:jc w:val="both"/>
              <w:rPr>
                <w:rFonts w:ascii="Arial" w:hAnsi="Arial" w:cs="Arial"/>
                <w:sz w:val="22"/>
                <w:szCs w:val="22"/>
                <w:lang w:eastAsia="en-US"/>
              </w:rPr>
            </w:pPr>
          </w:p>
          <w:p w:rsidR="006F2A2B" w:rsidRPr="006F2A2B" w:rsidRDefault="006F2A2B" w:rsidP="00B7227F">
            <w:pPr>
              <w:spacing w:line="276" w:lineRule="auto"/>
              <w:jc w:val="both"/>
              <w:rPr>
                <w:rFonts w:ascii="Arial" w:hAnsi="Arial" w:cs="Arial"/>
                <w:sz w:val="22"/>
                <w:szCs w:val="22"/>
              </w:rPr>
            </w:pPr>
            <w:r>
              <w:rPr>
                <w:rFonts w:ascii="Arial" w:hAnsi="Arial"/>
                <w:sz w:val="22"/>
                <w:szCs w:val="22"/>
              </w:rPr>
              <w:t>The company CONPET performs the activity in the following locations:</w:t>
            </w:r>
          </w:p>
          <w:p w:rsidR="006F2A2B" w:rsidRPr="006F2A2B" w:rsidRDefault="006F2A2B" w:rsidP="00D87DA4">
            <w:pPr>
              <w:widowControl/>
              <w:numPr>
                <w:ilvl w:val="0"/>
                <w:numId w:val="17"/>
              </w:numPr>
              <w:autoSpaceDE/>
              <w:autoSpaceDN/>
              <w:adjustRightInd/>
              <w:spacing w:after="200" w:line="276" w:lineRule="auto"/>
              <w:contextualSpacing/>
              <w:jc w:val="both"/>
              <w:rPr>
                <w:rFonts w:ascii="Arial" w:eastAsia="Calibri" w:hAnsi="Arial" w:cs="Arial"/>
                <w:sz w:val="22"/>
                <w:szCs w:val="22"/>
              </w:rPr>
            </w:pPr>
            <w:r>
              <w:rPr>
                <w:rFonts w:ascii="Arial" w:hAnsi="Arial"/>
                <w:sz w:val="22"/>
                <w:szCs w:val="22"/>
              </w:rPr>
              <w:t>CONPET headquarters: Ploiești Municipality, no. 1-3, Anul 1848 Street, Prahova County;</w:t>
            </w:r>
          </w:p>
          <w:p w:rsidR="006F2A2B" w:rsidRPr="006F2A2B" w:rsidRDefault="006F2A2B" w:rsidP="00D87DA4">
            <w:pPr>
              <w:widowControl/>
              <w:numPr>
                <w:ilvl w:val="0"/>
                <w:numId w:val="17"/>
              </w:numPr>
              <w:autoSpaceDE/>
              <w:autoSpaceDN/>
              <w:adjustRightInd/>
              <w:spacing w:after="200" w:line="276" w:lineRule="auto"/>
              <w:contextualSpacing/>
              <w:jc w:val="both"/>
              <w:rPr>
                <w:rFonts w:ascii="Arial" w:eastAsia="Calibri" w:hAnsi="Arial" w:cs="Arial"/>
                <w:sz w:val="22"/>
                <w:szCs w:val="22"/>
              </w:rPr>
            </w:pPr>
            <w:r>
              <w:rPr>
                <w:rFonts w:ascii="Arial" w:hAnsi="Arial"/>
                <w:sz w:val="22"/>
                <w:szCs w:val="22"/>
              </w:rPr>
              <w:t>CONPET headquarters 2: Ploiești Municipality,  no. 8, Rezervoarelor Street, Prahova County;</w:t>
            </w:r>
          </w:p>
          <w:p w:rsidR="006F2A2B" w:rsidRDefault="006F2A2B" w:rsidP="00D87DA4">
            <w:pPr>
              <w:widowControl/>
              <w:numPr>
                <w:ilvl w:val="0"/>
                <w:numId w:val="17"/>
              </w:numPr>
              <w:autoSpaceDE/>
              <w:autoSpaceDN/>
              <w:adjustRightInd/>
              <w:spacing w:after="200" w:line="276" w:lineRule="auto"/>
              <w:contextualSpacing/>
              <w:jc w:val="both"/>
              <w:rPr>
                <w:rFonts w:ascii="Arial" w:eastAsia="Calibri" w:hAnsi="Arial" w:cs="Arial"/>
                <w:sz w:val="22"/>
                <w:szCs w:val="22"/>
              </w:rPr>
            </w:pPr>
            <w:r>
              <w:rPr>
                <w:rFonts w:ascii="Arial" w:hAnsi="Arial"/>
                <w:sz w:val="22"/>
                <w:szCs w:val="22"/>
              </w:rPr>
              <w:t>56 work sites with headquarters in 20 counties.</w:t>
            </w:r>
          </w:p>
          <w:p w:rsidR="002F7F65" w:rsidRPr="006F2A2B" w:rsidRDefault="002F7F65" w:rsidP="002F7F65">
            <w:pPr>
              <w:widowControl/>
              <w:autoSpaceDE/>
              <w:autoSpaceDN/>
              <w:adjustRightInd/>
              <w:spacing w:after="200" w:line="276" w:lineRule="auto"/>
              <w:ind w:left="720"/>
              <w:contextualSpacing/>
              <w:jc w:val="both"/>
              <w:rPr>
                <w:rFonts w:ascii="Arial" w:eastAsia="Calibri" w:hAnsi="Arial" w:cs="Arial"/>
                <w:sz w:val="22"/>
                <w:szCs w:val="22"/>
                <w:lang w:eastAsia="en-US"/>
              </w:rPr>
            </w:pPr>
          </w:p>
          <w:p w:rsidR="006F2A2B" w:rsidRPr="006F2A2B" w:rsidRDefault="002F7F65" w:rsidP="00B7227F">
            <w:pPr>
              <w:jc w:val="both"/>
              <w:rPr>
                <w:rFonts w:ascii="Arial" w:hAnsi="Arial" w:cs="Arial"/>
                <w:sz w:val="22"/>
                <w:szCs w:val="22"/>
              </w:rPr>
            </w:pPr>
            <w:r>
              <w:rPr>
                <w:rFonts w:ascii="Arial" w:hAnsi="Arial"/>
                <w:sz w:val="22"/>
                <w:szCs w:val="22"/>
              </w:rPr>
              <w:t xml:space="preserve">The operational and administrative activities covering 20 counties are organized per divisions, and inside the divisions per business sectors, according to their territorial spread.  </w:t>
            </w:r>
          </w:p>
          <w:p w:rsidR="006F2A2B" w:rsidRPr="006F2A2B" w:rsidRDefault="006F2A2B" w:rsidP="006F2A2B">
            <w:pPr>
              <w:shd w:val="clear" w:color="auto" w:fill="FFFFFF"/>
              <w:rPr>
                <w:rFonts w:ascii="Arial" w:hAnsi="Arial" w:cs="Arial"/>
                <w:b/>
                <w:bCs/>
                <w:color w:val="FF0000"/>
                <w:sz w:val="22"/>
                <w:szCs w:val="22"/>
              </w:rPr>
            </w:pPr>
          </w:p>
          <w:p w:rsidR="006F2A2B" w:rsidRPr="009828D6" w:rsidRDefault="006F2A2B" w:rsidP="006F2A2B">
            <w:pPr>
              <w:shd w:val="clear" w:color="auto" w:fill="FFFFFF"/>
              <w:rPr>
                <w:rFonts w:ascii="Arial" w:hAnsi="Arial" w:cs="Arial"/>
                <w:b/>
                <w:bCs/>
                <w:color w:val="1F4E79" w:themeColor="accent1" w:themeShade="80"/>
                <w:sz w:val="24"/>
                <w:szCs w:val="24"/>
              </w:rPr>
            </w:pPr>
            <w:r>
              <w:rPr>
                <w:rFonts w:ascii="Arial" w:hAnsi="Arial"/>
                <w:b/>
                <w:bCs/>
                <w:color w:val="1F4E79" w:themeColor="accent1" w:themeShade="80"/>
                <w:sz w:val="24"/>
                <w:szCs w:val="24"/>
              </w:rPr>
              <w:t>1.6 Development Strategic Objectives</w:t>
            </w:r>
          </w:p>
          <w:p w:rsidR="006F2A2B" w:rsidRPr="006F2A2B" w:rsidRDefault="006F2A2B" w:rsidP="006F2A2B">
            <w:pPr>
              <w:shd w:val="clear" w:color="auto" w:fill="FFFFFF"/>
              <w:rPr>
                <w:rFonts w:ascii="Arial" w:hAnsi="Arial" w:cs="Arial"/>
                <w:b/>
                <w:bCs/>
                <w:color w:val="FF0000"/>
                <w:sz w:val="22"/>
                <w:szCs w:val="22"/>
              </w:rPr>
            </w:pPr>
          </w:p>
          <w:p w:rsidR="006F2A2B" w:rsidRPr="006F2A2B" w:rsidRDefault="006F2A2B" w:rsidP="006F2A2B">
            <w:pPr>
              <w:widowControl/>
              <w:shd w:val="clear" w:color="auto" w:fill="FFFFFF"/>
              <w:autoSpaceDE/>
              <w:autoSpaceDN/>
              <w:adjustRightInd/>
              <w:textAlignment w:val="baseline"/>
              <w:rPr>
                <w:rFonts w:ascii="Arial" w:hAnsi="Arial" w:cs="Arial"/>
                <w:sz w:val="22"/>
                <w:szCs w:val="22"/>
              </w:rPr>
            </w:pPr>
            <w:r>
              <w:rPr>
                <w:rFonts w:ascii="Arial" w:hAnsi="Arial"/>
                <w:sz w:val="22"/>
                <w:szCs w:val="22"/>
              </w:rPr>
              <w:t>For strengthening the market position and development of the core business, the Board of Administration, set, pursuant to the Administration Plan, the following strategic objectives:</w:t>
            </w:r>
          </w:p>
          <w:p w:rsidR="006F2A2B" w:rsidRPr="006F2A2B" w:rsidRDefault="006F2A2B" w:rsidP="00D87DA4">
            <w:pPr>
              <w:widowControl/>
              <w:numPr>
                <w:ilvl w:val="0"/>
                <w:numId w:val="16"/>
              </w:numPr>
              <w:shd w:val="clear" w:color="auto" w:fill="FFFFFF"/>
              <w:autoSpaceDE/>
              <w:autoSpaceDN/>
              <w:adjustRightInd/>
              <w:spacing w:line="276" w:lineRule="auto"/>
              <w:textAlignment w:val="baseline"/>
              <w:rPr>
                <w:rFonts w:ascii="Arial" w:hAnsi="Arial" w:cs="Arial"/>
                <w:sz w:val="22"/>
                <w:szCs w:val="22"/>
              </w:rPr>
            </w:pPr>
            <w:r>
              <w:rPr>
                <w:rFonts w:ascii="Arial" w:hAnsi="Arial"/>
                <w:sz w:val="22"/>
                <w:szCs w:val="22"/>
              </w:rPr>
              <w:t>Development of new activities, related to the core business;</w:t>
            </w:r>
          </w:p>
          <w:p w:rsidR="006F2A2B" w:rsidRPr="006F2A2B" w:rsidRDefault="006F2A2B" w:rsidP="00D87DA4">
            <w:pPr>
              <w:widowControl/>
              <w:numPr>
                <w:ilvl w:val="0"/>
                <w:numId w:val="16"/>
              </w:numPr>
              <w:shd w:val="clear" w:color="auto" w:fill="FFFFFF"/>
              <w:autoSpaceDE/>
              <w:autoSpaceDN/>
              <w:adjustRightInd/>
              <w:spacing w:line="276" w:lineRule="auto"/>
              <w:textAlignment w:val="baseline"/>
              <w:rPr>
                <w:rFonts w:ascii="Arial" w:hAnsi="Arial" w:cs="Arial"/>
                <w:sz w:val="22"/>
                <w:szCs w:val="22"/>
              </w:rPr>
            </w:pPr>
            <w:r>
              <w:rPr>
                <w:rFonts w:ascii="Arial" w:hAnsi="Arial"/>
                <w:sz w:val="22"/>
                <w:szCs w:val="22"/>
              </w:rPr>
              <w:t>Defining the Company as a regional player;</w:t>
            </w:r>
          </w:p>
          <w:p w:rsidR="006F2A2B" w:rsidRPr="006F2A2B" w:rsidRDefault="006F2A2B" w:rsidP="00D87DA4">
            <w:pPr>
              <w:widowControl/>
              <w:numPr>
                <w:ilvl w:val="0"/>
                <w:numId w:val="16"/>
              </w:numPr>
              <w:shd w:val="clear" w:color="auto" w:fill="FFFFFF"/>
              <w:autoSpaceDE/>
              <w:autoSpaceDN/>
              <w:adjustRightInd/>
              <w:spacing w:line="276" w:lineRule="auto"/>
              <w:textAlignment w:val="baseline"/>
              <w:rPr>
                <w:rFonts w:ascii="Arial" w:hAnsi="Arial" w:cs="Arial"/>
                <w:sz w:val="22"/>
                <w:szCs w:val="22"/>
              </w:rPr>
            </w:pPr>
            <w:r>
              <w:rPr>
                <w:rFonts w:ascii="Arial" w:hAnsi="Arial"/>
                <w:sz w:val="22"/>
                <w:szCs w:val="22"/>
              </w:rPr>
              <w:t>Modern financial approach of the business;</w:t>
            </w:r>
          </w:p>
          <w:p w:rsidR="006F2A2B" w:rsidRPr="006F2A2B" w:rsidRDefault="006F2A2B" w:rsidP="00D87DA4">
            <w:pPr>
              <w:widowControl/>
              <w:numPr>
                <w:ilvl w:val="0"/>
                <w:numId w:val="16"/>
              </w:numPr>
              <w:shd w:val="clear" w:color="auto" w:fill="FFFFFF"/>
              <w:autoSpaceDE/>
              <w:autoSpaceDN/>
              <w:adjustRightInd/>
              <w:spacing w:after="270" w:line="276" w:lineRule="auto"/>
              <w:textAlignment w:val="baseline"/>
              <w:rPr>
                <w:rFonts w:ascii="Arial" w:hAnsi="Arial" w:cs="Arial"/>
                <w:sz w:val="22"/>
                <w:szCs w:val="22"/>
              </w:rPr>
            </w:pPr>
            <w:r>
              <w:rPr>
                <w:rFonts w:ascii="Arial" w:hAnsi="Arial"/>
                <w:sz w:val="22"/>
                <w:szCs w:val="22"/>
              </w:rPr>
              <w:t>Decrease of operating expenses.</w:t>
            </w:r>
          </w:p>
          <w:p w:rsidR="006F2A2B" w:rsidRPr="006F2A2B" w:rsidRDefault="006F2A2B" w:rsidP="00DC3009">
            <w:pPr>
              <w:widowControl/>
              <w:shd w:val="clear" w:color="auto" w:fill="FFFFFF"/>
              <w:autoSpaceDE/>
              <w:autoSpaceDN/>
              <w:adjustRightInd/>
              <w:spacing w:line="276" w:lineRule="auto"/>
              <w:textAlignment w:val="baseline"/>
              <w:rPr>
                <w:rFonts w:ascii="Arial" w:hAnsi="Arial" w:cs="Arial"/>
                <w:sz w:val="22"/>
                <w:szCs w:val="22"/>
              </w:rPr>
            </w:pPr>
            <w:r>
              <w:rPr>
                <w:rFonts w:ascii="Arial" w:hAnsi="Arial"/>
                <w:sz w:val="22"/>
                <w:szCs w:val="22"/>
              </w:rPr>
              <w:t>In this context, the key elements of CONPET S.A. strategy are:</w:t>
            </w:r>
          </w:p>
          <w:p w:rsidR="006F2A2B" w:rsidRDefault="006F2A2B" w:rsidP="00D87DA4">
            <w:pPr>
              <w:widowControl/>
              <w:numPr>
                <w:ilvl w:val="0"/>
                <w:numId w:val="15"/>
              </w:numPr>
              <w:shd w:val="clear" w:color="auto" w:fill="FFFFFF"/>
              <w:autoSpaceDE/>
              <w:autoSpaceDN/>
              <w:adjustRightInd/>
              <w:spacing w:line="276" w:lineRule="auto"/>
              <w:ind w:left="652" w:hanging="270"/>
              <w:jc w:val="both"/>
              <w:textAlignment w:val="baseline"/>
              <w:rPr>
                <w:rFonts w:ascii="Arial" w:hAnsi="Arial" w:cs="Arial"/>
                <w:sz w:val="22"/>
                <w:szCs w:val="22"/>
              </w:rPr>
            </w:pPr>
            <w:r>
              <w:rPr>
                <w:rFonts w:ascii="Arial" w:hAnsi="Arial"/>
                <w:bCs/>
                <w:sz w:val="22"/>
                <w:szCs w:val="22"/>
              </w:rPr>
              <w:t>income stimulation</w:t>
            </w:r>
            <w:r>
              <w:rPr>
                <w:rFonts w:ascii="Arial" w:hAnsi="Arial"/>
                <w:sz w:val="22"/>
                <w:szCs w:val="22"/>
              </w:rPr>
              <w:t xml:space="preserve"> by accessing new business areas and initiation of new income generating activities (leasing storage facilities and rail infrastructure, development of atypical transports of crude oil and oil products);</w:t>
            </w:r>
          </w:p>
          <w:p w:rsidR="00564B3E" w:rsidRPr="006F2A2B" w:rsidRDefault="00564B3E" w:rsidP="00564B3E">
            <w:pPr>
              <w:widowControl/>
              <w:shd w:val="clear" w:color="auto" w:fill="FFFFFF"/>
              <w:autoSpaceDE/>
              <w:autoSpaceDN/>
              <w:adjustRightInd/>
              <w:spacing w:line="276" w:lineRule="auto"/>
              <w:jc w:val="both"/>
              <w:textAlignment w:val="baseline"/>
              <w:rPr>
                <w:rFonts w:ascii="Arial" w:hAnsi="Arial" w:cs="Arial"/>
                <w:sz w:val="22"/>
                <w:szCs w:val="22"/>
                <w:lang w:eastAsia="en-US"/>
              </w:rPr>
            </w:pPr>
          </w:p>
          <w:p w:rsidR="006F2A2B" w:rsidRPr="00564B3E" w:rsidRDefault="006F2A2B" w:rsidP="00D87DA4">
            <w:pPr>
              <w:widowControl/>
              <w:numPr>
                <w:ilvl w:val="0"/>
                <w:numId w:val="15"/>
              </w:numPr>
              <w:shd w:val="clear" w:color="auto" w:fill="FFFFFF"/>
              <w:autoSpaceDE/>
              <w:autoSpaceDN/>
              <w:adjustRightInd/>
              <w:spacing w:line="276" w:lineRule="auto"/>
              <w:ind w:left="652" w:hanging="292"/>
              <w:jc w:val="both"/>
              <w:textAlignment w:val="baseline"/>
              <w:rPr>
                <w:rFonts w:ascii="Arial" w:hAnsi="Arial" w:cs="Arial"/>
                <w:sz w:val="22"/>
                <w:szCs w:val="22"/>
              </w:rPr>
            </w:pPr>
            <w:r>
              <w:rPr>
                <w:rFonts w:ascii="Arial" w:hAnsi="Arial"/>
                <w:bCs/>
                <w:sz w:val="22"/>
                <w:szCs w:val="22"/>
              </w:rPr>
              <w:lastRenderedPageBreak/>
              <w:t>improvement of the National Transport Network</w:t>
            </w:r>
            <w:r>
              <w:rPr>
                <w:rFonts w:ascii="Arial" w:hAnsi="Arial"/>
                <w:sz w:val="22"/>
                <w:szCs w:val="22"/>
              </w:rPr>
              <w:t xml:space="preserve"> by the implementation of the leak detection and location system, modernization of the cathodic protection system and of the monitoring system, data control and collection, renewal of the pipeline network, implementation of a program for the rehabilitation and resizing of the tank farm, adapted to the transported quantities;</w:t>
            </w:r>
          </w:p>
          <w:p w:rsidR="006F2A2B" w:rsidRPr="006F2A2B" w:rsidRDefault="006F2A2B" w:rsidP="00D87DA4">
            <w:pPr>
              <w:widowControl/>
              <w:numPr>
                <w:ilvl w:val="0"/>
                <w:numId w:val="15"/>
              </w:numPr>
              <w:shd w:val="clear" w:color="auto" w:fill="FFFFFF"/>
              <w:autoSpaceDE/>
              <w:autoSpaceDN/>
              <w:adjustRightInd/>
              <w:spacing w:line="276" w:lineRule="auto"/>
              <w:ind w:left="652" w:hanging="292"/>
              <w:jc w:val="both"/>
              <w:textAlignment w:val="baseline"/>
              <w:rPr>
                <w:rFonts w:ascii="Arial" w:hAnsi="Arial" w:cs="Arial"/>
                <w:sz w:val="22"/>
                <w:szCs w:val="22"/>
              </w:rPr>
            </w:pPr>
            <w:r>
              <w:rPr>
                <w:rFonts w:ascii="Arial" w:hAnsi="Arial"/>
                <w:bCs/>
                <w:sz w:val="22"/>
                <w:szCs w:val="22"/>
              </w:rPr>
              <w:t>improvement of the business efficiency</w:t>
            </w:r>
            <w:r>
              <w:rPr>
                <w:rFonts w:ascii="Arial" w:hAnsi="Arial"/>
                <w:sz w:val="22"/>
                <w:szCs w:val="22"/>
              </w:rPr>
              <w:t xml:space="preserve"> by the reduction of the technological consumptions within the storage and transport processes, minimization of the energy, fuels and lubricants consumptions, reduction of the operating costs following the redefinition of the necessary related to pipeline infrastructure;</w:t>
            </w:r>
          </w:p>
          <w:p w:rsidR="006F2A2B" w:rsidRPr="006F2A2B" w:rsidRDefault="006F2A2B" w:rsidP="00D87DA4">
            <w:pPr>
              <w:widowControl/>
              <w:numPr>
                <w:ilvl w:val="0"/>
                <w:numId w:val="15"/>
              </w:numPr>
              <w:shd w:val="clear" w:color="auto" w:fill="FFFFFF"/>
              <w:autoSpaceDE/>
              <w:autoSpaceDN/>
              <w:adjustRightInd/>
              <w:spacing w:line="276" w:lineRule="auto"/>
              <w:ind w:left="652" w:hanging="292"/>
              <w:jc w:val="both"/>
              <w:textAlignment w:val="baseline"/>
              <w:rPr>
                <w:rFonts w:ascii="Arial" w:hAnsi="Arial" w:cs="Arial"/>
                <w:b/>
                <w:bCs/>
                <w:sz w:val="22"/>
                <w:szCs w:val="22"/>
              </w:rPr>
            </w:pPr>
            <w:r>
              <w:rPr>
                <w:rFonts w:ascii="Arial" w:hAnsi="Arial"/>
                <w:bCs/>
                <w:sz w:val="22"/>
                <w:szCs w:val="22"/>
              </w:rPr>
              <w:t>interconnection of the crude oil national transport system</w:t>
            </w:r>
            <w:r>
              <w:rPr>
                <w:rFonts w:ascii="Arial" w:hAnsi="Arial"/>
                <w:sz w:val="22"/>
                <w:szCs w:val="22"/>
              </w:rPr>
              <w:t xml:space="preserve"> to the regional and European networks.</w:t>
            </w:r>
            <w:r>
              <w:rPr>
                <w:rFonts w:ascii="Arial" w:hAnsi="Arial"/>
                <w:sz w:val="22"/>
                <w:szCs w:val="22"/>
              </w:rPr>
              <w:cr/>
            </w:r>
            <w:r>
              <w:rPr>
                <w:rFonts w:ascii="Arial" w:hAnsi="Arial"/>
                <w:sz w:val="22"/>
                <w:szCs w:val="22"/>
              </w:rPr>
              <w:br/>
            </w:r>
          </w:p>
          <w:p w:rsidR="0043743F" w:rsidRPr="00A74CF5" w:rsidRDefault="0043743F" w:rsidP="00BD09E3">
            <w:pPr>
              <w:widowControl/>
              <w:autoSpaceDE/>
              <w:autoSpaceDN/>
              <w:adjustRightInd/>
              <w:rPr>
                <w:rFonts w:ascii="Arial" w:hAnsi="Arial" w:cs="Arial"/>
                <w:b/>
                <w:sz w:val="22"/>
                <w:szCs w:val="22"/>
                <w:lang w:eastAsia="en-US"/>
              </w:rPr>
            </w:pPr>
          </w:p>
        </w:tc>
      </w:tr>
    </w:tbl>
    <w:p w:rsidR="00816479" w:rsidRPr="009828D6" w:rsidRDefault="00DC3009" w:rsidP="00DC3009">
      <w:pPr>
        <w:pStyle w:val="ListParagraph"/>
        <w:overflowPunct w:val="0"/>
        <w:ind w:left="0"/>
        <w:jc w:val="both"/>
        <w:textAlignment w:val="baseline"/>
        <w:rPr>
          <w:rFonts w:ascii="Arial" w:hAnsi="Arial" w:cs="Arial"/>
          <w:b/>
          <w:color w:val="1F4E79" w:themeColor="accent1" w:themeShade="80"/>
          <w:sz w:val="28"/>
          <w:szCs w:val="28"/>
        </w:rPr>
      </w:pPr>
      <w:r>
        <w:rPr>
          <w:rFonts w:ascii="Arial" w:hAnsi="Arial"/>
          <w:b/>
          <w:color w:val="1F4E79" w:themeColor="accent1" w:themeShade="80"/>
          <w:sz w:val="28"/>
          <w:szCs w:val="28"/>
        </w:rPr>
        <w:lastRenderedPageBreak/>
        <w:t>2. CONPET - EXECUTIVE SUMMARY</w:t>
      </w:r>
    </w:p>
    <w:p w:rsidR="008A1756" w:rsidRPr="009828D6" w:rsidRDefault="008A1756" w:rsidP="008A1756">
      <w:pPr>
        <w:pStyle w:val="ListParagraph"/>
        <w:overflowPunct w:val="0"/>
        <w:ind w:left="0"/>
        <w:jc w:val="both"/>
        <w:textAlignment w:val="baseline"/>
        <w:rPr>
          <w:rFonts w:ascii="Arial" w:hAnsi="Arial" w:cs="Arial"/>
          <w:b/>
          <w:color w:val="1F4E79" w:themeColor="accent1" w:themeShade="80"/>
          <w:sz w:val="24"/>
          <w:szCs w:val="24"/>
        </w:rPr>
      </w:pPr>
    </w:p>
    <w:p w:rsidR="00A70183" w:rsidRPr="009828D6" w:rsidRDefault="002A775C" w:rsidP="00D87DA4">
      <w:pPr>
        <w:pStyle w:val="ListParagraph"/>
        <w:numPr>
          <w:ilvl w:val="1"/>
          <w:numId w:val="19"/>
        </w:numPr>
        <w:overflowPunct w:val="0"/>
        <w:jc w:val="both"/>
        <w:textAlignment w:val="baseline"/>
        <w:rPr>
          <w:rFonts w:ascii="Arial" w:hAnsi="Arial" w:cs="Arial"/>
          <w:b/>
          <w:color w:val="1F4E79" w:themeColor="accent1" w:themeShade="80"/>
          <w:sz w:val="24"/>
          <w:szCs w:val="24"/>
        </w:rPr>
      </w:pPr>
      <w:r>
        <w:rPr>
          <w:rFonts w:ascii="Arial" w:hAnsi="Arial"/>
          <w:b/>
          <w:color w:val="1F4E79" w:themeColor="accent1" w:themeShade="80"/>
          <w:sz w:val="24"/>
          <w:szCs w:val="24"/>
        </w:rPr>
        <w:t xml:space="preserve"> Operating Activity Indicators </w:t>
      </w:r>
    </w:p>
    <w:p w:rsidR="00A70183" w:rsidRPr="00265255" w:rsidRDefault="00A70183" w:rsidP="00A70183">
      <w:pPr>
        <w:pStyle w:val="ListParagraph"/>
        <w:shd w:val="clear" w:color="auto" w:fill="FFFFFF"/>
        <w:spacing w:after="0"/>
        <w:ind w:left="284"/>
        <w:jc w:val="both"/>
        <w:rPr>
          <w:rFonts w:ascii="Arial" w:hAnsi="Arial" w:cs="Arial"/>
          <w:b/>
          <w:color w:val="5B9BD5" w:themeColor="accent1"/>
          <w:spacing w:val="-10"/>
        </w:rPr>
      </w:pPr>
    </w:p>
    <w:p w:rsidR="00A70183" w:rsidRPr="00DC3009" w:rsidRDefault="00A70183" w:rsidP="00DC3009">
      <w:pPr>
        <w:shd w:val="clear" w:color="auto" w:fill="FFFFFF"/>
        <w:spacing w:line="276" w:lineRule="auto"/>
        <w:jc w:val="both"/>
        <w:rPr>
          <w:rFonts w:ascii="Arial" w:hAnsi="Arial" w:cs="Arial"/>
          <w:spacing w:val="-10"/>
          <w:sz w:val="22"/>
          <w:szCs w:val="22"/>
        </w:rPr>
      </w:pPr>
      <w:r>
        <w:rPr>
          <w:rFonts w:ascii="Arial" w:hAnsi="Arial"/>
          <w:sz w:val="22"/>
          <w:szCs w:val="22"/>
        </w:rPr>
        <w:t>The evolution of the product volumes (crude oil, condensate and rich gas), transported via the National Transport System (NTS), during January - June 2018,  vs. the Revenues and Expenditure Budget and the similar period last year, by transport subsystems, is contained in the table below:</w:t>
      </w:r>
    </w:p>
    <w:p w:rsidR="00A70183" w:rsidRDefault="00A70183" w:rsidP="00A70183">
      <w:pPr>
        <w:shd w:val="clear" w:color="auto" w:fill="FFFFFF"/>
        <w:jc w:val="both"/>
        <w:rPr>
          <w:spacing w:val="-10"/>
          <w:sz w:val="24"/>
          <w:szCs w:val="24"/>
        </w:rPr>
      </w:pPr>
    </w:p>
    <w:tbl>
      <w:tblPr>
        <w:tblW w:w="9326" w:type="dxa"/>
        <w:tblInd w:w="-10" w:type="dxa"/>
        <w:tblLook w:val="04A0" w:firstRow="1" w:lastRow="0" w:firstColumn="1" w:lastColumn="0" w:noHBand="0" w:noVBand="1"/>
      </w:tblPr>
      <w:tblGrid>
        <w:gridCol w:w="2765"/>
        <w:gridCol w:w="1112"/>
        <w:gridCol w:w="1117"/>
        <w:gridCol w:w="1117"/>
        <w:gridCol w:w="1850"/>
        <w:gridCol w:w="1365"/>
      </w:tblGrid>
      <w:tr w:rsidR="00DC3009" w:rsidRPr="00CD41C3" w:rsidTr="00DC3009">
        <w:trPr>
          <w:trHeight w:val="284"/>
          <w:tblHeader/>
        </w:trPr>
        <w:tc>
          <w:tcPr>
            <w:tcW w:w="3132"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rsidR="00DC3009" w:rsidRDefault="00DC3009" w:rsidP="001D229E">
            <w:pPr>
              <w:widowControl/>
              <w:autoSpaceDE/>
              <w:autoSpaceDN/>
              <w:adjustRightInd/>
              <w:jc w:val="center"/>
              <w:rPr>
                <w:rFonts w:ascii="Arial" w:hAnsi="Arial" w:cs="Arial"/>
                <w:b/>
                <w:bCs/>
                <w:color w:val="000000"/>
              </w:rPr>
            </w:pPr>
            <w:r>
              <w:rPr>
                <w:rFonts w:ascii="Arial" w:hAnsi="Arial"/>
                <w:b/>
                <w:bCs/>
                <w:color w:val="000000"/>
              </w:rPr>
              <w:t xml:space="preserve">Indicators </w:t>
            </w:r>
          </w:p>
          <w:p w:rsidR="00DC3009" w:rsidRPr="00CD41C3" w:rsidRDefault="00DC3009" w:rsidP="001D229E">
            <w:pPr>
              <w:widowControl/>
              <w:autoSpaceDE/>
              <w:autoSpaceDN/>
              <w:adjustRightInd/>
              <w:jc w:val="center"/>
              <w:rPr>
                <w:rFonts w:ascii="Arial" w:hAnsi="Arial" w:cs="Arial"/>
                <w:b/>
                <w:bCs/>
                <w:color w:val="000000"/>
              </w:rPr>
            </w:pPr>
            <w:r>
              <w:rPr>
                <w:rFonts w:ascii="Arial" w:hAnsi="Arial"/>
                <w:b/>
                <w:bCs/>
                <w:color w:val="000000"/>
              </w:rPr>
              <w:t>(Thousand tons)</w:t>
            </w:r>
          </w:p>
        </w:tc>
        <w:tc>
          <w:tcPr>
            <w:tcW w:w="1114"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rsidR="00DC3009" w:rsidRPr="00CD41C3" w:rsidRDefault="00DC3009" w:rsidP="001D229E">
            <w:pPr>
              <w:widowControl/>
              <w:autoSpaceDE/>
              <w:autoSpaceDN/>
              <w:adjustRightInd/>
              <w:jc w:val="center"/>
              <w:rPr>
                <w:rFonts w:ascii="Arial" w:hAnsi="Arial" w:cs="Arial"/>
                <w:b/>
                <w:bCs/>
                <w:color w:val="000000"/>
              </w:rPr>
            </w:pPr>
            <w:r>
              <w:rPr>
                <w:rFonts w:ascii="Arial" w:hAnsi="Arial"/>
                <w:b/>
                <w:bCs/>
                <w:color w:val="000000"/>
              </w:rPr>
              <w:t>Achieved  2018 H1</w:t>
            </w:r>
          </w:p>
        </w:tc>
        <w:tc>
          <w:tcPr>
            <w:tcW w:w="1114" w:type="dxa"/>
            <w:vMerge w:val="restart"/>
            <w:tcBorders>
              <w:top w:val="single" w:sz="8" w:space="0" w:color="auto"/>
              <w:left w:val="single" w:sz="8" w:space="0" w:color="auto"/>
              <w:bottom w:val="single" w:sz="8" w:space="0" w:color="000000"/>
              <w:right w:val="single" w:sz="8" w:space="0" w:color="auto"/>
            </w:tcBorders>
            <w:shd w:val="clear" w:color="000000" w:fill="DEEAF6"/>
            <w:noWrap/>
            <w:vAlign w:val="center"/>
            <w:hideMark/>
          </w:tcPr>
          <w:p w:rsidR="00DC3009" w:rsidRPr="00CD41C3" w:rsidRDefault="00DC3009" w:rsidP="001D229E">
            <w:pPr>
              <w:widowControl/>
              <w:autoSpaceDE/>
              <w:autoSpaceDN/>
              <w:adjustRightInd/>
              <w:jc w:val="center"/>
              <w:rPr>
                <w:rFonts w:ascii="Arial" w:hAnsi="Arial" w:cs="Arial"/>
                <w:b/>
                <w:bCs/>
                <w:color w:val="000000"/>
              </w:rPr>
            </w:pPr>
            <w:r>
              <w:rPr>
                <w:rFonts w:ascii="Arial" w:hAnsi="Arial"/>
                <w:b/>
                <w:bCs/>
                <w:color w:val="000000"/>
              </w:rPr>
              <w:t>Budget Semester I 2018</w:t>
            </w:r>
          </w:p>
        </w:tc>
        <w:tc>
          <w:tcPr>
            <w:tcW w:w="1114" w:type="dxa"/>
            <w:vMerge w:val="restart"/>
            <w:tcBorders>
              <w:top w:val="single" w:sz="8" w:space="0" w:color="auto"/>
              <w:left w:val="single" w:sz="8" w:space="0" w:color="auto"/>
              <w:bottom w:val="single" w:sz="8" w:space="0" w:color="000000"/>
              <w:right w:val="single" w:sz="8" w:space="0" w:color="auto"/>
            </w:tcBorders>
            <w:shd w:val="clear" w:color="000000" w:fill="DEEAF6"/>
            <w:noWrap/>
            <w:vAlign w:val="center"/>
            <w:hideMark/>
          </w:tcPr>
          <w:p w:rsidR="00DC3009" w:rsidRPr="00CD41C3" w:rsidRDefault="00DC3009" w:rsidP="001D229E">
            <w:pPr>
              <w:widowControl/>
              <w:autoSpaceDE/>
              <w:autoSpaceDN/>
              <w:adjustRightInd/>
              <w:jc w:val="center"/>
              <w:rPr>
                <w:rFonts w:ascii="Arial" w:hAnsi="Arial" w:cs="Arial"/>
                <w:b/>
                <w:bCs/>
                <w:color w:val="000000"/>
              </w:rPr>
            </w:pPr>
            <w:r>
              <w:rPr>
                <w:rFonts w:ascii="Arial" w:hAnsi="Arial"/>
                <w:b/>
                <w:bCs/>
                <w:color w:val="000000"/>
              </w:rPr>
              <w:t>Achieved Semester I 2017</w:t>
            </w:r>
          </w:p>
        </w:tc>
        <w:tc>
          <w:tcPr>
            <w:tcW w:w="1459" w:type="dxa"/>
            <w:tcBorders>
              <w:top w:val="single" w:sz="8" w:space="0" w:color="auto"/>
              <w:left w:val="nil"/>
              <w:right w:val="single" w:sz="8" w:space="0" w:color="auto"/>
            </w:tcBorders>
            <w:shd w:val="clear" w:color="000000" w:fill="DEEAF6"/>
            <w:vAlign w:val="center"/>
            <w:hideMark/>
          </w:tcPr>
          <w:p w:rsidR="00DC3009" w:rsidRPr="00CD41C3" w:rsidRDefault="00DC3009" w:rsidP="001D229E">
            <w:pPr>
              <w:widowControl/>
              <w:autoSpaceDE/>
              <w:autoSpaceDN/>
              <w:adjustRightInd/>
              <w:jc w:val="center"/>
              <w:rPr>
                <w:rFonts w:ascii="Arial" w:hAnsi="Arial" w:cs="Arial"/>
                <w:b/>
                <w:bCs/>
                <w:color w:val="000000"/>
              </w:rPr>
            </w:pPr>
            <w:r>
              <w:rPr>
                <w:rFonts w:ascii="Arial" w:hAnsi="Arial"/>
                <w:b/>
                <w:bCs/>
                <w:color w:val="000000"/>
              </w:rPr>
              <w:t>Variation%</w:t>
            </w:r>
          </w:p>
        </w:tc>
        <w:tc>
          <w:tcPr>
            <w:tcW w:w="1393" w:type="dxa"/>
            <w:tcBorders>
              <w:top w:val="single" w:sz="8" w:space="0" w:color="auto"/>
              <w:left w:val="nil"/>
              <w:right w:val="single" w:sz="8" w:space="0" w:color="auto"/>
            </w:tcBorders>
            <w:shd w:val="clear" w:color="000000" w:fill="DEEAF6"/>
            <w:vAlign w:val="center"/>
            <w:hideMark/>
          </w:tcPr>
          <w:p w:rsidR="00DC3009" w:rsidRPr="00CD41C3" w:rsidRDefault="00DC3009" w:rsidP="001D229E">
            <w:pPr>
              <w:widowControl/>
              <w:autoSpaceDE/>
              <w:autoSpaceDN/>
              <w:adjustRightInd/>
              <w:jc w:val="center"/>
              <w:rPr>
                <w:rFonts w:ascii="Arial" w:hAnsi="Arial" w:cs="Arial"/>
                <w:b/>
                <w:bCs/>
                <w:color w:val="000000"/>
              </w:rPr>
            </w:pPr>
            <w:r>
              <w:rPr>
                <w:rFonts w:ascii="Arial" w:hAnsi="Arial"/>
                <w:b/>
                <w:bCs/>
                <w:color w:val="000000"/>
              </w:rPr>
              <w:t>Variation%</w:t>
            </w:r>
          </w:p>
        </w:tc>
      </w:tr>
      <w:tr w:rsidR="00DC3009" w:rsidRPr="00CD41C3" w:rsidTr="00DC3009">
        <w:trPr>
          <w:trHeight w:val="284"/>
          <w:tblHeader/>
        </w:trPr>
        <w:tc>
          <w:tcPr>
            <w:tcW w:w="3132" w:type="dxa"/>
            <w:vMerge/>
            <w:tcBorders>
              <w:top w:val="single" w:sz="8" w:space="0" w:color="auto"/>
              <w:left w:val="single" w:sz="8" w:space="0" w:color="auto"/>
              <w:bottom w:val="single" w:sz="8" w:space="0" w:color="000000"/>
              <w:right w:val="single" w:sz="8" w:space="0" w:color="auto"/>
            </w:tcBorders>
            <w:vAlign w:val="center"/>
            <w:hideMark/>
          </w:tcPr>
          <w:p w:rsidR="00DC3009" w:rsidRPr="00CD41C3" w:rsidRDefault="00DC3009" w:rsidP="001D229E">
            <w:pPr>
              <w:widowControl/>
              <w:autoSpaceDE/>
              <w:autoSpaceDN/>
              <w:adjustRightInd/>
              <w:rPr>
                <w:rFonts w:ascii="Arial" w:hAnsi="Arial" w:cs="Arial"/>
                <w:b/>
                <w:bCs/>
                <w:color w:val="000000"/>
                <w:lang w:eastAsia="en-US"/>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rsidR="00DC3009" w:rsidRPr="00CD41C3" w:rsidRDefault="00DC3009" w:rsidP="001D229E">
            <w:pPr>
              <w:widowControl/>
              <w:autoSpaceDE/>
              <w:autoSpaceDN/>
              <w:adjustRightInd/>
              <w:rPr>
                <w:rFonts w:ascii="Arial" w:hAnsi="Arial" w:cs="Arial"/>
                <w:b/>
                <w:bCs/>
                <w:color w:val="000000"/>
                <w:lang w:eastAsia="en-US"/>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rsidR="00DC3009" w:rsidRPr="00CD41C3" w:rsidRDefault="00DC3009" w:rsidP="001D229E">
            <w:pPr>
              <w:widowControl/>
              <w:autoSpaceDE/>
              <w:autoSpaceDN/>
              <w:adjustRightInd/>
              <w:rPr>
                <w:rFonts w:ascii="Arial" w:hAnsi="Arial" w:cs="Arial"/>
                <w:b/>
                <w:bCs/>
                <w:color w:val="000000"/>
                <w:lang w:eastAsia="en-US"/>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rsidR="00DC3009" w:rsidRPr="00CD41C3" w:rsidRDefault="00DC3009" w:rsidP="001D229E">
            <w:pPr>
              <w:widowControl/>
              <w:autoSpaceDE/>
              <w:autoSpaceDN/>
              <w:adjustRightInd/>
              <w:rPr>
                <w:rFonts w:ascii="Arial" w:hAnsi="Arial" w:cs="Arial"/>
                <w:b/>
                <w:bCs/>
                <w:color w:val="000000"/>
                <w:lang w:eastAsia="en-US"/>
              </w:rPr>
            </w:pPr>
          </w:p>
        </w:tc>
        <w:tc>
          <w:tcPr>
            <w:tcW w:w="1459" w:type="dxa"/>
            <w:tcBorders>
              <w:top w:val="nil"/>
              <w:left w:val="nil"/>
              <w:bottom w:val="single" w:sz="4" w:space="0" w:color="auto"/>
              <w:right w:val="single" w:sz="8" w:space="0" w:color="auto"/>
            </w:tcBorders>
            <w:shd w:val="clear" w:color="000000" w:fill="DEEAF6"/>
            <w:vAlign w:val="center"/>
            <w:hideMark/>
          </w:tcPr>
          <w:p w:rsidR="00DC3009" w:rsidRPr="00CD41C3" w:rsidRDefault="00DC3009" w:rsidP="00AB3FBA">
            <w:pPr>
              <w:widowControl/>
              <w:autoSpaceDE/>
              <w:autoSpaceDN/>
              <w:adjustRightInd/>
              <w:jc w:val="center"/>
              <w:rPr>
                <w:rFonts w:ascii="Arial" w:hAnsi="Arial" w:cs="Arial"/>
                <w:b/>
                <w:bCs/>
                <w:color w:val="000000"/>
              </w:rPr>
            </w:pPr>
            <w:r>
              <w:rPr>
                <w:rFonts w:ascii="Arial" w:hAnsi="Arial"/>
                <w:b/>
                <w:bCs/>
                <w:color w:val="000000"/>
              </w:rPr>
              <w:t>Achieved/Budget 2018</w:t>
            </w:r>
          </w:p>
        </w:tc>
        <w:tc>
          <w:tcPr>
            <w:tcW w:w="1393" w:type="dxa"/>
            <w:tcBorders>
              <w:top w:val="nil"/>
              <w:left w:val="nil"/>
              <w:bottom w:val="single" w:sz="4" w:space="0" w:color="auto"/>
              <w:right w:val="single" w:sz="8" w:space="0" w:color="auto"/>
            </w:tcBorders>
            <w:shd w:val="clear" w:color="000000" w:fill="DEEAF6"/>
            <w:vAlign w:val="center"/>
            <w:hideMark/>
          </w:tcPr>
          <w:p w:rsidR="00DC3009" w:rsidRPr="00CD41C3" w:rsidRDefault="00545220" w:rsidP="001D229E">
            <w:pPr>
              <w:widowControl/>
              <w:autoSpaceDE/>
              <w:autoSpaceDN/>
              <w:adjustRightInd/>
              <w:jc w:val="center"/>
              <w:rPr>
                <w:rFonts w:ascii="Arial" w:hAnsi="Arial" w:cs="Arial"/>
                <w:b/>
                <w:bCs/>
                <w:color w:val="000000"/>
              </w:rPr>
            </w:pPr>
            <w:r>
              <w:rPr>
                <w:rFonts w:ascii="Arial" w:hAnsi="Arial"/>
                <w:b/>
                <w:bCs/>
                <w:color w:val="000000"/>
              </w:rPr>
              <w:t xml:space="preserve"> 2018/</w:t>
            </w:r>
            <w:r w:rsidR="00DF7835">
              <w:rPr>
                <w:rFonts w:ascii="Arial" w:hAnsi="Arial"/>
                <w:b/>
                <w:bCs/>
                <w:color w:val="000000"/>
              </w:rPr>
              <w:t>2017</w:t>
            </w:r>
          </w:p>
        </w:tc>
      </w:tr>
      <w:tr w:rsidR="00DC3009" w:rsidRPr="00CD41C3" w:rsidTr="00DC3009">
        <w:trPr>
          <w:trHeight w:val="612"/>
        </w:trPr>
        <w:tc>
          <w:tcPr>
            <w:tcW w:w="3132" w:type="dxa"/>
            <w:tcBorders>
              <w:top w:val="nil"/>
              <w:left w:val="single" w:sz="8" w:space="0" w:color="auto"/>
              <w:bottom w:val="single" w:sz="8" w:space="0" w:color="auto"/>
              <w:right w:val="single" w:sz="8" w:space="0" w:color="auto"/>
            </w:tcBorders>
            <w:shd w:val="clear" w:color="000000" w:fill="FFFFFF"/>
            <w:vAlign w:val="center"/>
            <w:hideMark/>
          </w:tcPr>
          <w:p w:rsidR="00DC3009" w:rsidRPr="00CD41C3" w:rsidRDefault="00DC3009" w:rsidP="00DC3009">
            <w:pPr>
              <w:widowControl/>
              <w:autoSpaceDE/>
              <w:autoSpaceDN/>
              <w:adjustRightInd/>
              <w:rPr>
                <w:rFonts w:ascii="Arial" w:hAnsi="Arial" w:cs="Arial"/>
                <w:color w:val="000000"/>
              </w:rPr>
            </w:pPr>
            <w:r>
              <w:rPr>
                <w:rFonts w:ascii="Arial" w:hAnsi="Arial"/>
                <w:color w:val="000000"/>
              </w:rPr>
              <w:t xml:space="preserve">Quantities transported on the domestic subsystem </w:t>
            </w:r>
            <w:r>
              <w:rPr>
                <w:rFonts w:ascii="Arial" w:hAnsi="Arial"/>
                <w:bCs/>
                <w:color w:val="000000"/>
              </w:rPr>
              <w:t xml:space="preserve"> </w:t>
            </w:r>
          </w:p>
        </w:tc>
        <w:tc>
          <w:tcPr>
            <w:tcW w:w="1114" w:type="dxa"/>
            <w:tcBorders>
              <w:top w:val="nil"/>
              <w:left w:val="nil"/>
              <w:bottom w:val="single" w:sz="8" w:space="0" w:color="auto"/>
              <w:right w:val="single" w:sz="8" w:space="0" w:color="auto"/>
            </w:tcBorders>
            <w:shd w:val="clear" w:color="000000" w:fill="FFFFFF"/>
            <w:vAlign w:val="center"/>
            <w:hideMark/>
          </w:tcPr>
          <w:p w:rsidR="00DC3009" w:rsidRPr="006752DD" w:rsidRDefault="00DC3009" w:rsidP="001D229E">
            <w:pPr>
              <w:widowControl/>
              <w:autoSpaceDE/>
              <w:autoSpaceDN/>
              <w:adjustRightInd/>
              <w:jc w:val="right"/>
              <w:rPr>
                <w:rFonts w:ascii="Arial" w:hAnsi="Arial" w:cs="Arial"/>
                <w:color w:val="000000"/>
              </w:rPr>
            </w:pPr>
            <w:r>
              <w:rPr>
                <w:rFonts w:ascii="Arial" w:hAnsi="Arial"/>
                <w:color w:val="000000"/>
              </w:rPr>
              <w:t>1,758</w:t>
            </w:r>
          </w:p>
        </w:tc>
        <w:tc>
          <w:tcPr>
            <w:tcW w:w="1114" w:type="dxa"/>
            <w:tcBorders>
              <w:top w:val="nil"/>
              <w:left w:val="nil"/>
              <w:bottom w:val="single" w:sz="8" w:space="0" w:color="auto"/>
              <w:right w:val="single" w:sz="8" w:space="0" w:color="auto"/>
            </w:tcBorders>
            <w:shd w:val="clear" w:color="000000" w:fill="FFFFFF"/>
            <w:noWrap/>
            <w:vAlign w:val="center"/>
          </w:tcPr>
          <w:p w:rsidR="00DC3009" w:rsidRPr="006752DD" w:rsidRDefault="00DC3009" w:rsidP="001D229E">
            <w:pPr>
              <w:jc w:val="right"/>
              <w:rPr>
                <w:rFonts w:ascii="Arial" w:hAnsi="Arial" w:cs="Arial"/>
                <w:color w:val="000000"/>
              </w:rPr>
            </w:pPr>
            <w:r>
              <w:rPr>
                <w:rFonts w:ascii="Arial" w:hAnsi="Arial"/>
                <w:color w:val="000000"/>
              </w:rPr>
              <w:t>1,703</w:t>
            </w:r>
          </w:p>
        </w:tc>
        <w:tc>
          <w:tcPr>
            <w:tcW w:w="1114" w:type="dxa"/>
            <w:tcBorders>
              <w:top w:val="nil"/>
              <w:left w:val="nil"/>
              <w:bottom w:val="single" w:sz="8" w:space="0" w:color="auto"/>
              <w:right w:val="single" w:sz="8" w:space="0" w:color="auto"/>
            </w:tcBorders>
            <w:shd w:val="clear" w:color="000000" w:fill="FFFFFF"/>
            <w:noWrap/>
            <w:vAlign w:val="center"/>
          </w:tcPr>
          <w:p w:rsidR="00DC3009" w:rsidRPr="006752DD" w:rsidRDefault="00DC3009" w:rsidP="001D229E">
            <w:pPr>
              <w:jc w:val="right"/>
              <w:rPr>
                <w:rFonts w:ascii="Arial" w:hAnsi="Arial" w:cs="Arial"/>
                <w:color w:val="000000"/>
              </w:rPr>
            </w:pPr>
            <w:r>
              <w:rPr>
                <w:rFonts w:ascii="Arial" w:hAnsi="Arial"/>
                <w:color w:val="000000"/>
              </w:rPr>
              <w:t>1,785</w:t>
            </w:r>
          </w:p>
        </w:tc>
        <w:tc>
          <w:tcPr>
            <w:tcW w:w="1459" w:type="dxa"/>
            <w:tcBorders>
              <w:top w:val="single" w:sz="4" w:space="0" w:color="auto"/>
              <w:left w:val="nil"/>
              <w:bottom w:val="single" w:sz="8" w:space="0" w:color="auto"/>
              <w:right w:val="single" w:sz="8" w:space="0" w:color="auto"/>
            </w:tcBorders>
            <w:shd w:val="clear" w:color="000000" w:fill="FFFFFF"/>
            <w:vAlign w:val="center"/>
            <w:hideMark/>
          </w:tcPr>
          <w:p w:rsidR="00DC3009" w:rsidRPr="006752DD" w:rsidRDefault="00DC3009" w:rsidP="00DC3009">
            <w:pPr>
              <w:jc w:val="right"/>
              <w:rPr>
                <w:rFonts w:ascii="Arial" w:hAnsi="Arial" w:cs="Arial"/>
                <w:color w:val="000000"/>
              </w:rPr>
            </w:pPr>
            <w:r>
              <w:rPr>
                <w:rFonts w:ascii="Arial" w:hAnsi="Arial"/>
                <w:b/>
                <w:bCs/>
                <w:color w:val="000000"/>
              </w:rPr>
              <w:t>▲</w:t>
            </w:r>
            <w:r>
              <w:rPr>
                <w:rFonts w:ascii="Arial" w:hAnsi="Arial"/>
                <w:color w:val="000000"/>
              </w:rPr>
              <w:t>3.23%</w:t>
            </w:r>
          </w:p>
        </w:tc>
        <w:tc>
          <w:tcPr>
            <w:tcW w:w="1393" w:type="dxa"/>
            <w:tcBorders>
              <w:top w:val="single" w:sz="4" w:space="0" w:color="auto"/>
              <w:left w:val="nil"/>
              <w:bottom w:val="single" w:sz="8" w:space="0" w:color="auto"/>
              <w:right w:val="single" w:sz="8" w:space="0" w:color="auto"/>
            </w:tcBorders>
            <w:shd w:val="clear" w:color="000000" w:fill="FFFFFF"/>
            <w:vAlign w:val="center"/>
            <w:hideMark/>
          </w:tcPr>
          <w:p w:rsidR="00DC3009" w:rsidRPr="006752DD" w:rsidRDefault="00DC3009" w:rsidP="00DC3009">
            <w:pPr>
              <w:jc w:val="right"/>
              <w:rPr>
                <w:rFonts w:ascii="Arial" w:hAnsi="Arial" w:cs="Arial"/>
                <w:color w:val="000000"/>
              </w:rPr>
            </w:pPr>
            <w:r>
              <w:rPr>
                <w:rFonts w:ascii="Arial" w:hAnsi="Arial"/>
                <w:bCs/>
                <w:color w:val="000000"/>
              </w:rPr>
              <w:t>▼</w:t>
            </w:r>
            <w:r w:rsidR="003133FD">
              <w:rPr>
                <w:rFonts w:ascii="Arial" w:hAnsi="Arial"/>
                <w:bCs/>
                <w:color w:val="000000"/>
              </w:rPr>
              <w:t>1,</w:t>
            </w:r>
            <w:r>
              <w:rPr>
                <w:rFonts w:ascii="Arial" w:hAnsi="Arial"/>
                <w:color w:val="000000"/>
              </w:rPr>
              <w:t>51%</w:t>
            </w:r>
          </w:p>
        </w:tc>
      </w:tr>
      <w:tr w:rsidR="00DC3009" w:rsidRPr="00CD41C3" w:rsidTr="00DC3009">
        <w:trPr>
          <w:trHeight w:val="405"/>
        </w:trPr>
        <w:tc>
          <w:tcPr>
            <w:tcW w:w="3132" w:type="dxa"/>
            <w:tcBorders>
              <w:top w:val="nil"/>
              <w:left w:val="single" w:sz="8" w:space="0" w:color="auto"/>
              <w:bottom w:val="single" w:sz="8" w:space="0" w:color="auto"/>
              <w:right w:val="single" w:sz="8" w:space="0" w:color="auto"/>
            </w:tcBorders>
            <w:shd w:val="clear" w:color="000000" w:fill="FFFFFF"/>
            <w:vAlign w:val="center"/>
            <w:hideMark/>
          </w:tcPr>
          <w:p w:rsidR="00DC3009" w:rsidRPr="00CD41C3" w:rsidRDefault="00DC3009" w:rsidP="001D229E">
            <w:pPr>
              <w:widowControl/>
              <w:autoSpaceDE/>
              <w:autoSpaceDN/>
              <w:adjustRightInd/>
              <w:rPr>
                <w:rFonts w:ascii="Arial" w:hAnsi="Arial" w:cs="Arial"/>
                <w:color w:val="000000"/>
              </w:rPr>
            </w:pPr>
            <w:r>
              <w:rPr>
                <w:rFonts w:ascii="Arial" w:hAnsi="Arial"/>
                <w:color w:val="000000"/>
              </w:rPr>
              <w:t>Quantities transported on the import subsystem</w:t>
            </w:r>
            <w:r>
              <w:rPr>
                <w:rFonts w:ascii="Arial" w:hAnsi="Arial"/>
                <w:bCs/>
                <w:color w:val="000000"/>
              </w:rPr>
              <w:t xml:space="preserve"> </w:t>
            </w:r>
          </w:p>
        </w:tc>
        <w:tc>
          <w:tcPr>
            <w:tcW w:w="1114" w:type="dxa"/>
            <w:tcBorders>
              <w:top w:val="nil"/>
              <w:left w:val="nil"/>
              <w:bottom w:val="single" w:sz="8" w:space="0" w:color="auto"/>
              <w:right w:val="single" w:sz="8" w:space="0" w:color="auto"/>
            </w:tcBorders>
            <w:shd w:val="clear" w:color="000000" w:fill="FFFFFF"/>
            <w:vAlign w:val="center"/>
            <w:hideMark/>
          </w:tcPr>
          <w:p w:rsidR="00DC3009" w:rsidRPr="006752DD" w:rsidRDefault="00DC3009" w:rsidP="001D229E">
            <w:pPr>
              <w:jc w:val="right"/>
              <w:rPr>
                <w:rFonts w:ascii="Arial" w:hAnsi="Arial" w:cs="Arial"/>
                <w:color w:val="000000"/>
              </w:rPr>
            </w:pPr>
            <w:r>
              <w:rPr>
                <w:rFonts w:ascii="Arial" w:hAnsi="Arial"/>
                <w:color w:val="000000"/>
              </w:rPr>
              <w:t>1,540</w:t>
            </w:r>
          </w:p>
        </w:tc>
        <w:tc>
          <w:tcPr>
            <w:tcW w:w="1114" w:type="dxa"/>
            <w:tcBorders>
              <w:top w:val="nil"/>
              <w:left w:val="nil"/>
              <w:bottom w:val="single" w:sz="8" w:space="0" w:color="auto"/>
              <w:right w:val="single" w:sz="8" w:space="0" w:color="auto"/>
            </w:tcBorders>
            <w:shd w:val="clear" w:color="000000" w:fill="FFFFFF"/>
            <w:noWrap/>
            <w:vAlign w:val="center"/>
          </w:tcPr>
          <w:p w:rsidR="00DC3009" w:rsidRPr="006752DD" w:rsidRDefault="00DC3009" w:rsidP="001D229E">
            <w:pPr>
              <w:jc w:val="right"/>
              <w:rPr>
                <w:rFonts w:ascii="Arial" w:hAnsi="Arial" w:cs="Arial"/>
                <w:color w:val="000000"/>
              </w:rPr>
            </w:pPr>
            <w:r>
              <w:rPr>
                <w:rFonts w:ascii="Arial" w:hAnsi="Arial"/>
                <w:color w:val="000000"/>
              </w:rPr>
              <w:t>1,514</w:t>
            </w:r>
          </w:p>
        </w:tc>
        <w:tc>
          <w:tcPr>
            <w:tcW w:w="1114" w:type="dxa"/>
            <w:tcBorders>
              <w:top w:val="nil"/>
              <w:left w:val="nil"/>
              <w:bottom w:val="single" w:sz="8" w:space="0" w:color="auto"/>
              <w:right w:val="single" w:sz="8" w:space="0" w:color="auto"/>
            </w:tcBorders>
            <w:shd w:val="clear" w:color="000000" w:fill="FFFFFF"/>
            <w:noWrap/>
            <w:vAlign w:val="center"/>
          </w:tcPr>
          <w:p w:rsidR="00DC3009" w:rsidRPr="006752DD" w:rsidRDefault="00DC3009" w:rsidP="001D229E">
            <w:pPr>
              <w:jc w:val="right"/>
              <w:rPr>
                <w:rFonts w:ascii="Arial" w:hAnsi="Arial" w:cs="Arial"/>
                <w:color w:val="000000"/>
              </w:rPr>
            </w:pPr>
            <w:r>
              <w:rPr>
                <w:rFonts w:ascii="Arial" w:hAnsi="Arial"/>
                <w:color w:val="000000"/>
              </w:rPr>
              <w:t>1,427</w:t>
            </w:r>
          </w:p>
        </w:tc>
        <w:tc>
          <w:tcPr>
            <w:tcW w:w="1459" w:type="dxa"/>
            <w:tcBorders>
              <w:top w:val="nil"/>
              <w:left w:val="nil"/>
              <w:bottom w:val="single" w:sz="8" w:space="0" w:color="auto"/>
              <w:right w:val="single" w:sz="8" w:space="0" w:color="auto"/>
            </w:tcBorders>
            <w:shd w:val="clear" w:color="000000" w:fill="FFFFFF"/>
            <w:vAlign w:val="center"/>
            <w:hideMark/>
          </w:tcPr>
          <w:p w:rsidR="00DC3009" w:rsidRPr="006752DD" w:rsidRDefault="00DC3009" w:rsidP="00DC3009">
            <w:pPr>
              <w:jc w:val="right"/>
              <w:rPr>
                <w:rFonts w:ascii="Arial" w:hAnsi="Arial" w:cs="Arial"/>
                <w:color w:val="000000"/>
              </w:rPr>
            </w:pPr>
            <w:r>
              <w:rPr>
                <w:rFonts w:ascii="Arial" w:hAnsi="Arial"/>
                <w:b/>
                <w:bCs/>
                <w:color w:val="000000"/>
              </w:rPr>
              <w:t>▲</w:t>
            </w:r>
            <w:r>
              <w:rPr>
                <w:rFonts w:ascii="Arial" w:hAnsi="Arial"/>
                <w:color w:val="000000"/>
              </w:rPr>
              <w:t>1.72%</w:t>
            </w:r>
          </w:p>
        </w:tc>
        <w:tc>
          <w:tcPr>
            <w:tcW w:w="1393" w:type="dxa"/>
            <w:tcBorders>
              <w:top w:val="nil"/>
              <w:left w:val="nil"/>
              <w:bottom w:val="single" w:sz="8" w:space="0" w:color="auto"/>
              <w:right w:val="single" w:sz="8" w:space="0" w:color="auto"/>
            </w:tcBorders>
            <w:shd w:val="clear" w:color="000000" w:fill="FFFFFF"/>
            <w:vAlign w:val="center"/>
            <w:hideMark/>
          </w:tcPr>
          <w:p w:rsidR="00DC3009" w:rsidRPr="006752DD" w:rsidRDefault="00DC3009" w:rsidP="001D229E">
            <w:pPr>
              <w:jc w:val="right"/>
              <w:rPr>
                <w:rFonts w:ascii="Arial" w:hAnsi="Arial" w:cs="Arial"/>
                <w:color w:val="000000"/>
              </w:rPr>
            </w:pPr>
            <w:r>
              <w:rPr>
                <w:rFonts w:ascii="Arial" w:hAnsi="Arial"/>
                <w:b/>
                <w:bCs/>
                <w:color w:val="000000"/>
              </w:rPr>
              <w:t>▲</w:t>
            </w:r>
            <w:r>
              <w:rPr>
                <w:rFonts w:ascii="Arial" w:hAnsi="Arial"/>
                <w:color w:val="000000"/>
              </w:rPr>
              <w:t>7.92%</w:t>
            </w:r>
          </w:p>
        </w:tc>
      </w:tr>
      <w:tr w:rsidR="00DC3009" w:rsidRPr="00CD41C3" w:rsidTr="00DC3009">
        <w:trPr>
          <w:trHeight w:val="327"/>
        </w:trPr>
        <w:tc>
          <w:tcPr>
            <w:tcW w:w="3132" w:type="dxa"/>
            <w:tcBorders>
              <w:top w:val="nil"/>
              <w:left w:val="single" w:sz="8" w:space="0" w:color="auto"/>
              <w:bottom w:val="single" w:sz="8" w:space="0" w:color="auto"/>
              <w:right w:val="single" w:sz="8" w:space="0" w:color="auto"/>
            </w:tcBorders>
            <w:shd w:val="clear" w:color="000000" w:fill="DEEAF6"/>
            <w:vAlign w:val="center"/>
            <w:hideMark/>
          </w:tcPr>
          <w:p w:rsidR="00DC3009" w:rsidRPr="00CD41C3" w:rsidRDefault="00DC3009" w:rsidP="00565349">
            <w:pPr>
              <w:widowControl/>
              <w:autoSpaceDE/>
              <w:autoSpaceDN/>
              <w:adjustRightInd/>
              <w:rPr>
                <w:rFonts w:ascii="Arial" w:hAnsi="Arial" w:cs="Arial"/>
                <w:b/>
                <w:bCs/>
                <w:color w:val="000000"/>
              </w:rPr>
            </w:pPr>
            <w:r>
              <w:rPr>
                <w:rFonts w:ascii="Arial" w:hAnsi="Arial"/>
                <w:b/>
                <w:bCs/>
                <w:color w:val="000000"/>
              </w:rPr>
              <w:t xml:space="preserve">Total </w:t>
            </w:r>
          </w:p>
        </w:tc>
        <w:tc>
          <w:tcPr>
            <w:tcW w:w="1114" w:type="dxa"/>
            <w:tcBorders>
              <w:top w:val="nil"/>
              <w:left w:val="nil"/>
              <w:bottom w:val="single" w:sz="8" w:space="0" w:color="auto"/>
              <w:right w:val="single" w:sz="8" w:space="0" w:color="auto"/>
            </w:tcBorders>
            <w:shd w:val="clear" w:color="000000" w:fill="DEEAF6"/>
            <w:vAlign w:val="center"/>
            <w:hideMark/>
          </w:tcPr>
          <w:p w:rsidR="00DC3009" w:rsidRPr="006752DD" w:rsidRDefault="00DC3009" w:rsidP="001D229E">
            <w:pPr>
              <w:jc w:val="right"/>
              <w:rPr>
                <w:rFonts w:ascii="Arial" w:hAnsi="Arial" w:cs="Arial"/>
                <w:b/>
                <w:bCs/>
                <w:color w:val="000000"/>
              </w:rPr>
            </w:pPr>
            <w:r>
              <w:rPr>
                <w:rFonts w:ascii="Arial" w:hAnsi="Arial"/>
                <w:b/>
                <w:bCs/>
                <w:color w:val="000000"/>
              </w:rPr>
              <w:t>3,298</w:t>
            </w:r>
          </w:p>
        </w:tc>
        <w:tc>
          <w:tcPr>
            <w:tcW w:w="1114" w:type="dxa"/>
            <w:tcBorders>
              <w:top w:val="nil"/>
              <w:left w:val="nil"/>
              <w:bottom w:val="single" w:sz="8" w:space="0" w:color="auto"/>
              <w:right w:val="single" w:sz="8" w:space="0" w:color="auto"/>
            </w:tcBorders>
            <w:shd w:val="clear" w:color="000000" w:fill="DEEAF6"/>
            <w:noWrap/>
            <w:vAlign w:val="center"/>
          </w:tcPr>
          <w:p w:rsidR="00DC3009" w:rsidRPr="006752DD" w:rsidRDefault="00DC3009" w:rsidP="001D229E">
            <w:pPr>
              <w:jc w:val="right"/>
              <w:rPr>
                <w:rFonts w:ascii="Arial" w:hAnsi="Arial" w:cs="Arial"/>
                <w:b/>
                <w:bCs/>
                <w:color w:val="000000"/>
              </w:rPr>
            </w:pPr>
            <w:r>
              <w:rPr>
                <w:rFonts w:ascii="Arial" w:hAnsi="Arial"/>
                <w:b/>
                <w:bCs/>
                <w:color w:val="000000"/>
              </w:rPr>
              <w:t>3,217</w:t>
            </w:r>
          </w:p>
        </w:tc>
        <w:tc>
          <w:tcPr>
            <w:tcW w:w="1114" w:type="dxa"/>
            <w:tcBorders>
              <w:top w:val="nil"/>
              <w:left w:val="nil"/>
              <w:bottom w:val="single" w:sz="8" w:space="0" w:color="auto"/>
              <w:right w:val="single" w:sz="8" w:space="0" w:color="auto"/>
            </w:tcBorders>
            <w:shd w:val="clear" w:color="000000" w:fill="DEEAF6"/>
            <w:noWrap/>
            <w:vAlign w:val="center"/>
          </w:tcPr>
          <w:p w:rsidR="00DC3009" w:rsidRPr="006752DD" w:rsidRDefault="00DC3009" w:rsidP="001D229E">
            <w:pPr>
              <w:jc w:val="right"/>
              <w:rPr>
                <w:rFonts w:ascii="Arial" w:hAnsi="Arial" w:cs="Arial"/>
                <w:b/>
                <w:bCs/>
                <w:color w:val="000000"/>
              </w:rPr>
            </w:pPr>
            <w:r>
              <w:rPr>
                <w:rFonts w:ascii="Arial" w:hAnsi="Arial"/>
                <w:b/>
                <w:bCs/>
                <w:color w:val="000000"/>
              </w:rPr>
              <w:t>3,212</w:t>
            </w:r>
          </w:p>
        </w:tc>
        <w:tc>
          <w:tcPr>
            <w:tcW w:w="1459" w:type="dxa"/>
            <w:tcBorders>
              <w:top w:val="nil"/>
              <w:left w:val="nil"/>
              <w:bottom w:val="single" w:sz="8" w:space="0" w:color="auto"/>
              <w:right w:val="single" w:sz="8" w:space="0" w:color="auto"/>
            </w:tcBorders>
            <w:shd w:val="clear" w:color="000000" w:fill="DDEBF7"/>
            <w:vAlign w:val="center"/>
            <w:hideMark/>
          </w:tcPr>
          <w:p w:rsidR="00DC3009" w:rsidRPr="006752DD" w:rsidRDefault="00DC3009" w:rsidP="001D229E">
            <w:pPr>
              <w:jc w:val="right"/>
              <w:rPr>
                <w:rFonts w:ascii="Arial" w:hAnsi="Arial" w:cs="Arial"/>
                <w:b/>
                <w:bCs/>
                <w:color w:val="000000"/>
              </w:rPr>
            </w:pPr>
            <w:r>
              <w:rPr>
                <w:rFonts w:ascii="Arial" w:hAnsi="Arial"/>
                <w:b/>
                <w:bCs/>
                <w:color w:val="000000"/>
              </w:rPr>
              <w:t>▲2.52%</w:t>
            </w:r>
          </w:p>
        </w:tc>
        <w:tc>
          <w:tcPr>
            <w:tcW w:w="1393" w:type="dxa"/>
            <w:tcBorders>
              <w:top w:val="nil"/>
              <w:left w:val="nil"/>
              <w:bottom w:val="single" w:sz="8" w:space="0" w:color="auto"/>
              <w:right w:val="single" w:sz="8" w:space="0" w:color="auto"/>
            </w:tcBorders>
            <w:shd w:val="clear" w:color="000000" w:fill="DDEBF7"/>
            <w:vAlign w:val="center"/>
            <w:hideMark/>
          </w:tcPr>
          <w:p w:rsidR="00DC3009" w:rsidRPr="006752DD" w:rsidRDefault="00DC3009" w:rsidP="00DC3009">
            <w:pPr>
              <w:jc w:val="right"/>
              <w:rPr>
                <w:rFonts w:ascii="Arial" w:hAnsi="Arial" w:cs="Arial"/>
                <w:b/>
                <w:bCs/>
                <w:color w:val="000000"/>
              </w:rPr>
            </w:pPr>
            <w:r>
              <w:rPr>
                <w:rFonts w:ascii="Arial" w:hAnsi="Arial"/>
                <w:b/>
                <w:bCs/>
                <w:color w:val="000000"/>
              </w:rPr>
              <w:t>▲2.68%</w:t>
            </w:r>
          </w:p>
        </w:tc>
      </w:tr>
    </w:tbl>
    <w:p w:rsidR="00A70183" w:rsidRDefault="00A70183" w:rsidP="00A70183">
      <w:pPr>
        <w:jc w:val="center"/>
        <w:rPr>
          <w:rFonts w:ascii="Arial" w:hAnsi="Arial" w:cs="Arial"/>
          <w:i/>
          <w:spacing w:val="-10"/>
          <w:sz w:val="18"/>
          <w:szCs w:val="18"/>
        </w:rPr>
      </w:pPr>
    </w:p>
    <w:p w:rsidR="008F5405" w:rsidRPr="00490F6D" w:rsidRDefault="00A70183" w:rsidP="00490F6D">
      <w:pPr>
        <w:jc w:val="center"/>
        <w:rPr>
          <w:rFonts w:ascii="Arial" w:hAnsi="Arial" w:cs="Arial"/>
          <w:sz w:val="16"/>
          <w:szCs w:val="16"/>
        </w:rPr>
      </w:pPr>
      <w:r>
        <w:rPr>
          <w:rFonts w:ascii="Arial" w:hAnsi="Arial"/>
          <w:sz w:val="16"/>
          <w:szCs w:val="16"/>
        </w:rPr>
        <w:t>Table 2 - Evolution of the volumes transported in 2018 H1 as compared to 2018 Budget and the similar period in 2017</w:t>
      </w:r>
    </w:p>
    <w:p w:rsidR="00A70183" w:rsidRDefault="00A70183" w:rsidP="00A70183"/>
    <w:p w:rsidR="00DC3009" w:rsidRDefault="003F1507" w:rsidP="00DC3009">
      <w:pPr>
        <w:jc w:val="center"/>
      </w:pPr>
      <w:r>
        <w:rPr>
          <w:noProof/>
          <w:lang w:eastAsia="en-US"/>
        </w:rPr>
        <w:lastRenderedPageBreak/>
        <w:drawing>
          <wp:inline distT="0" distB="0" distL="0" distR="0" wp14:anchorId="7E5E122A" wp14:editId="670A05F4">
            <wp:extent cx="4209494" cy="30562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9965" cy="3063857"/>
                    </a:xfrm>
                    <a:prstGeom prst="rect">
                      <a:avLst/>
                    </a:prstGeom>
                  </pic:spPr>
                </pic:pic>
              </a:graphicData>
            </a:graphic>
          </wp:inline>
        </w:drawing>
      </w:r>
    </w:p>
    <w:p w:rsidR="00A70183" w:rsidRPr="00A70183" w:rsidRDefault="00A70183" w:rsidP="00A70183">
      <w:pPr>
        <w:shd w:val="clear" w:color="auto" w:fill="FFFFFF"/>
        <w:jc w:val="both"/>
        <w:rPr>
          <w:noProof/>
        </w:rPr>
      </w:pPr>
    </w:p>
    <w:p w:rsidR="009435DD" w:rsidRDefault="00A70183" w:rsidP="0061753E">
      <w:pPr>
        <w:shd w:val="clear" w:color="auto" w:fill="FFFFFF"/>
        <w:jc w:val="center"/>
        <w:rPr>
          <w:rFonts w:ascii="Arial" w:hAnsi="Arial" w:cs="Arial"/>
          <w:bCs/>
          <w:kern w:val="24"/>
          <w:sz w:val="16"/>
          <w:szCs w:val="16"/>
        </w:rPr>
      </w:pPr>
      <w:r>
        <w:rPr>
          <w:rFonts w:ascii="Arial" w:hAnsi="Arial"/>
          <w:bCs/>
          <w:sz w:val="16"/>
          <w:szCs w:val="16"/>
        </w:rPr>
        <w:t>Chart 1 - Evolution of the quantities transported on the domestic and import subsystems (thousand tons)</w:t>
      </w:r>
    </w:p>
    <w:p w:rsidR="0061753E" w:rsidRPr="0061753E" w:rsidRDefault="0061753E" w:rsidP="0061753E">
      <w:pPr>
        <w:shd w:val="clear" w:color="auto" w:fill="FFFFFF"/>
        <w:jc w:val="center"/>
        <w:rPr>
          <w:rFonts w:ascii="Arial" w:hAnsi="Arial" w:cs="Arial"/>
          <w:bCs/>
          <w:kern w:val="24"/>
          <w:sz w:val="16"/>
          <w:szCs w:val="16"/>
        </w:rPr>
      </w:pPr>
    </w:p>
    <w:p w:rsidR="00456736" w:rsidRPr="009828D6" w:rsidRDefault="00883D54" w:rsidP="00D87DA4">
      <w:pPr>
        <w:pStyle w:val="ListParagraph"/>
        <w:numPr>
          <w:ilvl w:val="1"/>
          <w:numId w:val="19"/>
        </w:numPr>
        <w:overflowPunct w:val="0"/>
        <w:jc w:val="both"/>
        <w:textAlignment w:val="baseline"/>
        <w:rPr>
          <w:rFonts w:ascii="Arial" w:hAnsi="Arial" w:cs="Arial"/>
          <w:b/>
          <w:color w:val="1F4E79" w:themeColor="accent1" w:themeShade="80"/>
          <w:sz w:val="24"/>
          <w:szCs w:val="24"/>
        </w:rPr>
      </w:pPr>
      <w:r>
        <w:rPr>
          <w:rFonts w:ascii="Arial" w:hAnsi="Arial"/>
          <w:b/>
          <w:color w:val="1F4E79" w:themeColor="accent1" w:themeShade="80"/>
          <w:sz w:val="24"/>
          <w:szCs w:val="24"/>
        </w:rPr>
        <w:t xml:space="preserve"> Economic-financial Indicators</w:t>
      </w:r>
    </w:p>
    <w:p w:rsidR="00456736" w:rsidRDefault="00456736" w:rsidP="00C349EC">
      <w:pPr>
        <w:widowControl/>
        <w:autoSpaceDE/>
        <w:autoSpaceDN/>
        <w:adjustRightInd/>
        <w:spacing w:line="276" w:lineRule="auto"/>
        <w:jc w:val="both"/>
        <w:rPr>
          <w:rFonts w:ascii="Arial" w:hAnsi="Arial"/>
          <w:sz w:val="22"/>
          <w:szCs w:val="22"/>
        </w:rPr>
      </w:pPr>
      <w:r>
        <w:rPr>
          <w:rFonts w:ascii="Arial" w:hAnsi="Arial"/>
          <w:sz w:val="22"/>
          <w:szCs w:val="22"/>
        </w:rPr>
        <w:t>The main economic-financial Indicators of the company achieved during January - June 2018, as compared to the ones foreseen in the Budget and to the similar period in 2017, are presented in the table below, as follows:</w:t>
      </w:r>
    </w:p>
    <w:p w:rsidR="003133FD" w:rsidRDefault="003133FD" w:rsidP="00C349EC">
      <w:pPr>
        <w:widowControl/>
        <w:autoSpaceDE/>
        <w:autoSpaceDN/>
        <w:adjustRightInd/>
        <w:spacing w:line="276" w:lineRule="auto"/>
        <w:jc w:val="both"/>
        <w:rPr>
          <w:rFonts w:ascii="Arial" w:hAnsi="Arial"/>
          <w:sz w:val="22"/>
          <w:szCs w:val="22"/>
        </w:rPr>
      </w:pPr>
    </w:p>
    <w:p w:rsidR="003133FD" w:rsidRDefault="003133FD" w:rsidP="00C349EC">
      <w:pPr>
        <w:widowControl/>
        <w:autoSpaceDE/>
        <w:autoSpaceDN/>
        <w:adjustRightInd/>
        <w:spacing w:line="276" w:lineRule="auto"/>
        <w:jc w:val="both"/>
        <w:rPr>
          <w:rFonts w:ascii="Arial" w:hAnsi="Arial"/>
          <w:sz w:val="22"/>
          <w:szCs w:val="22"/>
        </w:rPr>
      </w:pPr>
    </w:p>
    <w:tbl>
      <w:tblPr>
        <w:tblW w:w="9535" w:type="dxa"/>
        <w:jc w:val="center"/>
        <w:tblLayout w:type="fixed"/>
        <w:tblLook w:val="04A0" w:firstRow="1" w:lastRow="0" w:firstColumn="1" w:lastColumn="0" w:noHBand="0" w:noVBand="1"/>
      </w:tblPr>
      <w:tblGrid>
        <w:gridCol w:w="3685"/>
        <w:gridCol w:w="1170"/>
        <w:gridCol w:w="1080"/>
        <w:gridCol w:w="1260"/>
        <w:gridCol w:w="1170"/>
        <w:gridCol w:w="1170"/>
      </w:tblGrid>
      <w:tr w:rsidR="003133FD" w:rsidRPr="00456736" w:rsidTr="00FE5316">
        <w:trPr>
          <w:trHeight w:val="456"/>
          <w:tblHeader/>
          <w:jc w:val="center"/>
        </w:trPr>
        <w:tc>
          <w:tcPr>
            <w:tcW w:w="3685"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noWrap/>
            <w:vAlign w:val="center"/>
            <w:hideMark/>
          </w:tcPr>
          <w:p w:rsidR="003133FD" w:rsidRPr="00456736" w:rsidRDefault="003133FD" w:rsidP="0069376E">
            <w:pPr>
              <w:widowControl/>
              <w:autoSpaceDE/>
              <w:autoSpaceDN/>
              <w:adjustRightInd/>
              <w:jc w:val="center"/>
              <w:rPr>
                <w:rFonts w:ascii="Arial" w:hAnsi="Arial" w:cs="Arial"/>
                <w:b/>
                <w:bCs/>
                <w:color w:val="000000"/>
                <w:lang w:eastAsia="en-US"/>
              </w:rPr>
            </w:pPr>
            <w:r w:rsidRPr="00456736">
              <w:rPr>
                <w:rFonts w:ascii="Arial" w:hAnsi="Arial" w:cs="Arial"/>
                <w:b/>
                <w:bCs/>
                <w:color w:val="000000"/>
                <w:lang w:eastAsia="en-US"/>
              </w:rPr>
              <w:t>Indi</w:t>
            </w:r>
            <w:r w:rsidR="0069376E">
              <w:rPr>
                <w:rFonts w:ascii="Arial" w:hAnsi="Arial" w:cs="Arial"/>
                <w:b/>
                <w:bCs/>
                <w:color w:val="000000"/>
                <w:lang w:eastAsia="en-US"/>
              </w:rPr>
              <w:t>cators</w:t>
            </w:r>
          </w:p>
        </w:tc>
        <w:tc>
          <w:tcPr>
            <w:tcW w:w="3510"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3133FD" w:rsidRPr="00456736" w:rsidRDefault="003133FD" w:rsidP="0069376E">
            <w:pPr>
              <w:widowControl/>
              <w:autoSpaceDE/>
              <w:autoSpaceDN/>
              <w:adjustRightInd/>
              <w:jc w:val="center"/>
              <w:rPr>
                <w:rFonts w:ascii="Arial" w:hAnsi="Arial" w:cs="Arial"/>
                <w:b/>
                <w:bCs/>
                <w:color w:val="000000"/>
                <w:lang w:eastAsia="en-US"/>
              </w:rPr>
            </w:pPr>
            <w:r w:rsidRPr="00456736">
              <w:rPr>
                <w:rFonts w:ascii="Arial" w:hAnsi="Arial" w:cs="Arial"/>
                <w:b/>
                <w:bCs/>
                <w:color w:val="000000"/>
                <w:lang w:eastAsia="en-US"/>
              </w:rPr>
              <w:t xml:space="preserve"> </w:t>
            </w:r>
            <w:r w:rsidR="0069376E">
              <w:rPr>
                <w:rFonts w:ascii="Arial" w:hAnsi="Arial" w:cs="Arial"/>
                <w:b/>
                <w:bCs/>
                <w:color w:val="000000"/>
                <w:lang w:eastAsia="en-US"/>
              </w:rPr>
              <w:t>H</w:t>
            </w:r>
            <w:r>
              <w:rPr>
                <w:rFonts w:ascii="Arial" w:hAnsi="Arial" w:cs="Arial"/>
                <w:b/>
                <w:bCs/>
                <w:color w:val="000000"/>
                <w:lang w:eastAsia="en-US"/>
              </w:rPr>
              <w:t xml:space="preserve"> I</w:t>
            </w:r>
            <w:r w:rsidRPr="00456736">
              <w:rPr>
                <w:rFonts w:ascii="Arial" w:hAnsi="Arial" w:cs="Arial"/>
                <w:b/>
                <w:bCs/>
                <w:color w:val="000000"/>
                <w:lang w:eastAsia="en-US"/>
              </w:rPr>
              <w:t xml:space="preserve"> 2018</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3133FD" w:rsidRPr="00456736" w:rsidRDefault="003133FD" w:rsidP="005853B1">
            <w:pPr>
              <w:widowControl/>
              <w:autoSpaceDE/>
              <w:autoSpaceDN/>
              <w:adjustRightInd/>
              <w:jc w:val="center"/>
              <w:rPr>
                <w:rFonts w:ascii="Arial" w:hAnsi="Arial" w:cs="Arial"/>
                <w:b/>
                <w:bCs/>
                <w:color w:val="000000"/>
                <w:lang w:eastAsia="en-US"/>
              </w:rPr>
            </w:pPr>
            <w:r w:rsidRPr="00456736">
              <w:rPr>
                <w:rFonts w:ascii="Arial" w:hAnsi="Arial" w:cs="Arial"/>
                <w:b/>
                <w:bCs/>
                <w:color w:val="000000"/>
                <w:lang w:eastAsia="en-US"/>
              </w:rPr>
              <w:t xml:space="preserve"> </w:t>
            </w:r>
            <w:r w:rsidR="00FE5316">
              <w:rPr>
                <w:rFonts w:ascii="Arial" w:hAnsi="Arial" w:cs="Arial"/>
                <w:b/>
                <w:bCs/>
                <w:color w:val="000000"/>
                <w:lang w:eastAsia="en-US"/>
              </w:rPr>
              <w:t xml:space="preserve">Achieved </w:t>
            </w:r>
            <w:r w:rsidRPr="00456736">
              <w:rPr>
                <w:rFonts w:ascii="Arial" w:hAnsi="Arial" w:cs="Arial"/>
                <w:b/>
                <w:bCs/>
                <w:color w:val="000000"/>
                <w:lang w:eastAsia="en-US"/>
              </w:rPr>
              <w:t>2017</w:t>
            </w:r>
            <w:r w:rsidR="005853B1">
              <w:rPr>
                <w:rFonts w:ascii="Arial" w:hAnsi="Arial" w:cs="Arial"/>
                <w:b/>
                <w:bCs/>
                <w:color w:val="000000"/>
                <w:lang w:eastAsia="en-US"/>
              </w:rPr>
              <w:t xml:space="preserve"> </w:t>
            </w:r>
            <w:r w:rsidR="005853B1">
              <w:rPr>
                <w:rFonts w:ascii="Arial" w:hAnsi="Arial" w:cs="Arial"/>
                <w:b/>
                <w:bCs/>
                <w:color w:val="000000"/>
                <w:lang w:eastAsia="en-US"/>
              </w:rPr>
              <w:t>H1</w:t>
            </w:r>
          </w:p>
        </w:tc>
        <w:tc>
          <w:tcPr>
            <w:tcW w:w="117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3133FD" w:rsidRPr="00456736" w:rsidRDefault="003133FD" w:rsidP="003F1507">
            <w:pPr>
              <w:widowControl/>
              <w:autoSpaceDE/>
              <w:autoSpaceDN/>
              <w:adjustRightInd/>
              <w:jc w:val="center"/>
              <w:rPr>
                <w:rFonts w:ascii="Arial" w:hAnsi="Arial" w:cs="Arial"/>
                <w:b/>
                <w:bCs/>
                <w:color w:val="000000"/>
                <w:lang w:eastAsia="en-US"/>
              </w:rPr>
            </w:pPr>
            <w:r>
              <w:rPr>
                <w:rFonts w:ascii="Arial" w:hAnsi="Arial" w:cs="Arial"/>
                <w:b/>
                <w:bCs/>
                <w:color w:val="000000"/>
                <w:lang w:eastAsia="en-US"/>
              </w:rPr>
              <w:t>% V</w:t>
            </w:r>
            <w:r w:rsidR="00FE5316">
              <w:rPr>
                <w:rFonts w:ascii="Arial" w:hAnsi="Arial" w:cs="Arial"/>
                <w:b/>
                <w:bCs/>
                <w:color w:val="000000"/>
                <w:lang w:eastAsia="en-US"/>
              </w:rPr>
              <w:t>ariation</w:t>
            </w:r>
          </w:p>
        </w:tc>
      </w:tr>
      <w:tr w:rsidR="00FE5316" w:rsidRPr="00456736" w:rsidTr="00FE5316">
        <w:trPr>
          <w:trHeight w:val="536"/>
          <w:tblHeader/>
          <w:jc w:val="center"/>
        </w:trPr>
        <w:tc>
          <w:tcPr>
            <w:tcW w:w="3685"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FE5316" w:rsidRPr="00456736" w:rsidRDefault="00FE5316" w:rsidP="00FE5316">
            <w:pPr>
              <w:widowControl/>
              <w:autoSpaceDE/>
              <w:autoSpaceDN/>
              <w:adjustRightInd/>
              <w:rPr>
                <w:rFonts w:ascii="Arial" w:hAnsi="Arial" w:cs="Arial"/>
                <w:b/>
                <w:bCs/>
                <w:color w:val="000000"/>
                <w:lang w:eastAsia="en-US"/>
              </w:rPr>
            </w:pPr>
          </w:p>
        </w:tc>
        <w:tc>
          <w:tcPr>
            <w:tcW w:w="1170" w:type="dxa"/>
            <w:tcBorders>
              <w:top w:val="nil"/>
              <w:left w:val="nil"/>
              <w:bottom w:val="single" w:sz="4" w:space="0" w:color="auto"/>
              <w:right w:val="single" w:sz="4" w:space="0" w:color="auto"/>
            </w:tcBorders>
            <w:shd w:val="clear" w:color="auto" w:fill="DEEAF6" w:themeFill="accent1" w:themeFillTint="33"/>
            <w:vAlign w:val="center"/>
            <w:hideMark/>
          </w:tcPr>
          <w:p w:rsidR="00FE5316" w:rsidRPr="00CD41C3" w:rsidRDefault="00FE5316" w:rsidP="00FE5316">
            <w:pPr>
              <w:widowControl/>
              <w:autoSpaceDE/>
              <w:autoSpaceDN/>
              <w:adjustRightInd/>
              <w:jc w:val="center"/>
              <w:rPr>
                <w:rFonts w:ascii="Arial" w:hAnsi="Arial" w:cs="Arial"/>
                <w:b/>
                <w:bCs/>
                <w:color w:val="000000"/>
              </w:rPr>
            </w:pPr>
            <w:r>
              <w:rPr>
                <w:rFonts w:ascii="Arial" w:hAnsi="Arial"/>
                <w:b/>
                <w:bCs/>
                <w:color w:val="000000"/>
              </w:rPr>
              <w:t>Achieved</w:t>
            </w:r>
          </w:p>
        </w:tc>
        <w:tc>
          <w:tcPr>
            <w:tcW w:w="1080" w:type="dxa"/>
            <w:tcBorders>
              <w:top w:val="nil"/>
              <w:left w:val="nil"/>
              <w:bottom w:val="single" w:sz="4" w:space="0" w:color="auto"/>
              <w:right w:val="single" w:sz="4" w:space="0" w:color="auto"/>
            </w:tcBorders>
            <w:shd w:val="clear" w:color="auto" w:fill="DEEAF6" w:themeFill="accent1" w:themeFillTint="33"/>
            <w:vAlign w:val="center"/>
            <w:hideMark/>
          </w:tcPr>
          <w:p w:rsidR="00FE5316" w:rsidRPr="00E20089" w:rsidRDefault="00FE5316" w:rsidP="005853B1">
            <w:pPr>
              <w:widowControl/>
              <w:autoSpaceDE/>
              <w:autoSpaceDN/>
              <w:adjustRightInd/>
              <w:jc w:val="center"/>
              <w:rPr>
                <w:rFonts w:ascii="Arial" w:hAnsi="Arial" w:cs="Arial"/>
                <w:b/>
                <w:color w:val="000000"/>
                <w:lang w:eastAsia="en-US"/>
              </w:rPr>
            </w:pPr>
            <w:r w:rsidRPr="00E20089">
              <w:rPr>
                <w:rFonts w:ascii="Arial" w:hAnsi="Arial" w:cs="Arial"/>
                <w:b/>
                <w:color w:val="000000"/>
                <w:lang w:eastAsia="en-US"/>
              </w:rPr>
              <w:t>B</w:t>
            </w:r>
            <w:r w:rsidR="005853B1">
              <w:rPr>
                <w:rFonts w:ascii="Arial" w:hAnsi="Arial" w:cs="Arial"/>
                <w:b/>
                <w:color w:val="000000"/>
                <w:lang w:eastAsia="en-US"/>
              </w:rPr>
              <w:t>udget</w:t>
            </w:r>
          </w:p>
        </w:tc>
        <w:tc>
          <w:tcPr>
            <w:tcW w:w="1260" w:type="dxa"/>
            <w:tcBorders>
              <w:top w:val="nil"/>
              <w:left w:val="nil"/>
              <w:bottom w:val="single" w:sz="4" w:space="0" w:color="auto"/>
              <w:right w:val="single" w:sz="4" w:space="0" w:color="auto"/>
            </w:tcBorders>
            <w:shd w:val="clear" w:color="auto" w:fill="DEEAF6" w:themeFill="accent1" w:themeFillTint="33"/>
            <w:vAlign w:val="center"/>
            <w:hideMark/>
          </w:tcPr>
          <w:p w:rsidR="00FE5316" w:rsidRPr="00E20089" w:rsidRDefault="00FE5316" w:rsidP="005853B1">
            <w:pPr>
              <w:widowControl/>
              <w:autoSpaceDE/>
              <w:autoSpaceDN/>
              <w:adjustRightInd/>
              <w:jc w:val="center"/>
              <w:rPr>
                <w:rFonts w:ascii="Arial" w:hAnsi="Arial" w:cs="Arial"/>
                <w:b/>
                <w:color w:val="000000"/>
                <w:lang w:eastAsia="en-US"/>
              </w:rPr>
            </w:pPr>
            <w:r>
              <w:rPr>
                <w:rFonts w:ascii="Arial" w:hAnsi="Arial" w:cs="Arial"/>
                <w:b/>
                <w:color w:val="000000"/>
                <w:lang w:eastAsia="en-US"/>
              </w:rPr>
              <w:t>Variation</w:t>
            </w:r>
            <w:r w:rsidRPr="00E20089">
              <w:rPr>
                <w:rFonts w:ascii="Arial" w:hAnsi="Arial" w:cs="Arial"/>
                <w:b/>
                <w:color w:val="000000"/>
                <w:lang w:eastAsia="en-US"/>
              </w:rPr>
              <w:t xml:space="preserve"> %    </w:t>
            </w:r>
            <w:r w:rsidR="005853B1">
              <w:rPr>
                <w:rFonts w:ascii="Arial" w:hAnsi="Arial" w:cs="Arial"/>
                <w:b/>
                <w:color w:val="000000"/>
                <w:lang w:eastAsia="en-US"/>
              </w:rPr>
              <w:t>Achieved</w:t>
            </w:r>
            <w:r w:rsidRPr="00E20089">
              <w:rPr>
                <w:rFonts w:ascii="Arial" w:hAnsi="Arial" w:cs="Arial"/>
                <w:b/>
                <w:color w:val="000000"/>
                <w:lang w:eastAsia="en-US"/>
              </w:rPr>
              <w:t>/B</w:t>
            </w:r>
            <w:r w:rsidR="005853B1">
              <w:rPr>
                <w:rFonts w:ascii="Arial" w:hAnsi="Arial" w:cs="Arial"/>
                <w:b/>
                <w:color w:val="000000"/>
                <w:lang w:eastAsia="en-US"/>
              </w:rPr>
              <w:t>udget</w:t>
            </w:r>
          </w:p>
        </w:tc>
        <w:tc>
          <w:tcPr>
            <w:tcW w:w="1170"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FE5316" w:rsidRPr="00456736" w:rsidRDefault="00FE5316" w:rsidP="00FE5316">
            <w:pPr>
              <w:widowControl/>
              <w:autoSpaceDE/>
              <w:autoSpaceDN/>
              <w:adjustRightInd/>
              <w:rPr>
                <w:rFonts w:ascii="Arial" w:hAnsi="Arial" w:cs="Arial"/>
                <w:b/>
                <w:bCs/>
                <w:color w:val="000000"/>
                <w:lang w:eastAsia="en-US"/>
              </w:rPr>
            </w:pPr>
          </w:p>
        </w:tc>
        <w:tc>
          <w:tcPr>
            <w:tcW w:w="1170" w:type="dxa"/>
            <w:tcBorders>
              <w:top w:val="nil"/>
              <w:left w:val="nil"/>
              <w:bottom w:val="single" w:sz="4" w:space="0" w:color="auto"/>
              <w:right w:val="single" w:sz="4" w:space="0" w:color="auto"/>
            </w:tcBorders>
            <w:shd w:val="clear" w:color="auto" w:fill="DEEAF6" w:themeFill="accent1" w:themeFillTint="33"/>
            <w:vAlign w:val="center"/>
            <w:hideMark/>
          </w:tcPr>
          <w:p w:rsidR="00FE5316" w:rsidRPr="00E20089" w:rsidRDefault="00FE5316" w:rsidP="00FE5316">
            <w:pPr>
              <w:widowControl/>
              <w:autoSpaceDE/>
              <w:autoSpaceDN/>
              <w:adjustRightInd/>
              <w:jc w:val="center"/>
              <w:rPr>
                <w:rFonts w:ascii="Arial" w:hAnsi="Arial" w:cs="Arial"/>
                <w:b/>
                <w:color w:val="000000"/>
                <w:lang w:eastAsia="en-US"/>
              </w:rPr>
            </w:pPr>
            <w:r w:rsidRPr="00E20089">
              <w:rPr>
                <w:rFonts w:ascii="Arial" w:hAnsi="Arial" w:cs="Arial"/>
                <w:b/>
                <w:color w:val="000000"/>
                <w:lang w:eastAsia="en-US"/>
              </w:rPr>
              <w:t>2018/ 2017</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tcPr>
          <w:p w:rsidR="00FE5316" w:rsidRPr="005853B1" w:rsidRDefault="00FE5316" w:rsidP="00FE5316">
            <w:pPr>
              <w:rPr>
                <w:sz w:val="22"/>
                <w:szCs w:val="22"/>
              </w:rPr>
            </w:pPr>
            <w:r w:rsidRPr="005853B1">
              <w:rPr>
                <w:sz w:val="22"/>
                <w:szCs w:val="22"/>
              </w:rPr>
              <w:t>Turnover (thousand RON)</w:t>
            </w:r>
          </w:p>
        </w:tc>
        <w:tc>
          <w:tcPr>
            <w:tcW w:w="1170" w:type="dxa"/>
            <w:tcBorders>
              <w:top w:val="nil"/>
              <w:left w:val="nil"/>
              <w:bottom w:val="single" w:sz="4" w:space="0" w:color="auto"/>
              <w:right w:val="single" w:sz="4" w:space="0" w:color="auto"/>
            </w:tcBorders>
            <w:shd w:val="clear" w:color="auto" w:fill="auto"/>
            <w:noWrap/>
            <w:vAlign w:val="center"/>
          </w:tcPr>
          <w:p w:rsidR="00FE5316" w:rsidRDefault="005853B1" w:rsidP="00FE5316">
            <w:pPr>
              <w:jc w:val="right"/>
              <w:rPr>
                <w:rFonts w:ascii="Arial" w:hAnsi="Arial" w:cs="Arial"/>
                <w:color w:val="000000"/>
              </w:rPr>
            </w:pPr>
            <w:r>
              <w:rPr>
                <w:rFonts w:ascii="Arial" w:hAnsi="Arial" w:cs="Arial"/>
                <w:color w:val="000000"/>
              </w:rPr>
              <w:t>184,</w:t>
            </w:r>
            <w:r w:rsidR="00FE5316">
              <w:rPr>
                <w:rFonts w:ascii="Arial" w:hAnsi="Arial" w:cs="Arial"/>
                <w:color w:val="000000"/>
              </w:rPr>
              <w:t>931</w:t>
            </w:r>
          </w:p>
        </w:tc>
        <w:tc>
          <w:tcPr>
            <w:tcW w:w="1080" w:type="dxa"/>
            <w:tcBorders>
              <w:top w:val="nil"/>
              <w:left w:val="nil"/>
              <w:bottom w:val="single" w:sz="4" w:space="0" w:color="auto"/>
              <w:right w:val="single" w:sz="4" w:space="0" w:color="auto"/>
            </w:tcBorders>
            <w:shd w:val="clear" w:color="auto" w:fill="auto"/>
            <w:noWrap/>
            <w:vAlign w:val="center"/>
          </w:tcPr>
          <w:p w:rsidR="00FE5316" w:rsidRDefault="00FE5316" w:rsidP="00FE5316">
            <w:pPr>
              <w:jc w:val="right"/>
              <w:rPr>
                <w:rFonts w:ascii="Arial" w:hAnsi="Arial" w:cs="Arial"/>
                <w:color w:val="000000"/>
              </w:rPr>
            </w:pPr>
            <w:r>
              <w:rPr>
                <w:rFonts w:ascii="Arial" w:hAnsi="Arial" w:cs="Arial"/>
                <w:color w:val="000000"/>
              </w:rPr>
              <w:t>181,493</w:t>
            </w:r>
          </w:p>
        </w:tc>
        <w:tc>
          <w:tcPr>
            <w:tcW w:w="1260" w:type="dxa"/>
            <w:tcBorders>
              <w:top w:val="nil"/>
              <w:left w:val="nil"/>
              <w:bottom w:val="single" w:sz="4" w:space="0" w:color="auto"/>
              <w:right w:val="single" w:sz="4" w:space="0" w:color="auto"/>
            </w:tcBorders>
            <w:shd w:val="clear" w:color="auto" w:fill="auto"/>
            <w:noWrap/>
            <w:vAlign w:val="center"/>
          </w:tcPr>
          <w:p w:rsidR="00FE5316" w:rsidRDefault="00FE5316" w:rsidP="00FE5316">
            <w:pPr>
              <w:jc w:val="right"/>
              <w:rPr>
                <w:rFonts w:ascii="Arial" w:hAnsi="Arial" w:cs="Arial"/>
                <w:color w:val="000000"/>
              </w:rPr>
            </w:pPr>
            <w:r w:rsidRPr="001C79CF">
              <w:rPr>
                <w:rFonts w:ascii="Arial" w:hAnsi="Arial" w:cs="Arial"/>
                <w:bCs/>
                <w:color w:val="000000"/>
                <w:lang w:eastAsia="en-US"/>
              </w:rPr>
              <w:t>▲</w:t>
            </w:r>
            <w:r>
              <w:rPr>
                <w:rFonts w:ascii="Arial" w:hAnsi="Arial" w:cs="Arial"/>
                <w:color w:val="000000"/>
              </w:rPr>
              <w:t>1.89%</w:t>
            </w:r>
          </w:p>
        </w:tc>
        <w:tc>
          <w:tcPr>
            <w:tcW w:w="1170" w:type="dxa"/>
            <w:tcBorders>
              <w:top w:val="nil"/>
              <w:left w:val="nil"/>
              <w:bottom w:val="single" w:sz="4" w:space="0" w:color="auto"/>
              <w:right w:val="single" w:sz="4" w:space="0" w:color="auto"/>
            </w:tcBorders>
            <w:shd w:val="clear" w:color="auto" w:fill="auto"/>
            <w:noWrap/>
            <w:vAlign w:val="center"/>
          </w:tcPr>
          <w:p w:rsidR="00FE5316" w:rsidRDefault="00FE5316" w:rsidP="00FE5316">
            <w:pPr>
              <w:jc w:val="right"/>
              <w:rPr>
                <w:rFonts w:ascii="Arial" w:hAnsi="Arial" w:cs="Arial"/>
                <w:color w:val="000000"/>
              </w:rPr>
            </w:pPr>
            <w:r>
              <w:rPr>
                <w:rFonts w:ascii="Arial" w:hAnsi="Arial" w:cs="Arial"/>
                <w:color w:val="000000"/>
              </w:rPr>
              <w:t>186,314</w:t>
            </w:r>
          </w:p>
        </w:tc>
        <w:tc>
          <w:tcPr>
            <w:tcW w:w="1170" w:type="dxa"/>
            <w:tcBorders>
              <w:top w:val="nil"/>
              <w:left w:val="nil"/>
              <w:bottom w:val="single" w:sz="4" w:space="0" w:color="auto"/>
              <w:right w:val="single" w:sz="4" w:space="0" w:color="auto"/>
            </w:tcBorders>
            <w:shd w:val="clear" w:color="auto" w:fill="auto"/>
            <w:noWrap/>
            <w:vAlign w:val="center"/>
          </w:tcPr>
          <w:p w:rsidR="00FE5316" w:rsidRDefault="00FE5316" w:rsidP="00FE5316">
            <w:pPr>
              <w:jc w:val="center"/>
              <w:rPr>
                <w:rFonts w:ascii="Arial" w:hAnsi="Arial" w:cs="Arial"/>
                <w:b/>
                <w:bCs/>
                <w:color w:val="000000"/>
              </w:rPr>
            </w:pPr>
            <w:r w:rsidRPr="001C79CF">
              <w:rPr>
                <w:rFonts w:ascii="Arial" w:hAnsi="Arial" w:cs="Arial"/>
                <w:bCs/>
                <w:color w:val="000000"/>
                <w:lang w:eastAsia="en-US"/>
              </w:rPr>
              <w:t>▼</w:t>
            </w:r>
            <w:r>
              <w:rPr>
                <w:rFonts w:ascii="Arial" w:hAnsi="Arial" w:cs="Arial"/>
                <w:bCs/>
                <w:color w:val="000000"/>
              </w:rPr>
              <w:t>0.</w:t>
            </w:r>
            <w:r w:rsidRPr="00026A84">
              <w:rPr>
                <w:rFonts w:ascii="Arial" w:hAnsi="Arial" w:cs="Arial"/>
                <w:bCs/>
                <w:color w:val="000000"/>
              </w:rPr>
              <w:t>74%</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hideMark/>
          </w:tcPr>
          <w:p w:rsidR="00FE5316" w:rsidRPr="005853B1" w:rsidRDefault="00FE5316" w:rsidP="00FE5316">
            <w:pPr>
              <w:rPr>
                <w:sz w:val="22"/>
                <w:szCs w:val="22"/>
              </w:rPr>
            </w:pPr>
            <w:r w:rsidRPr="005853B1">
              <w:rPr>
                <w:sz w:val="22"/>
                <w:szCs w:val="22"/>
              </w:rPr>
              <w:t>Operating Revenues (thousand RON)</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5853B1" w:rsidP="00FE5316">
            <w:pPr>
              <w:widowControl/>
              <w:autoSpaceDE/>
              <w:autoSpaceDN/>
              <w:adjustRightInd/>
              <w:jc w:val="right"/>
              <w:rPr>
                <w:rFonts w:ascii="Arial" w:hAnsi="Arial" w:cs="Arial"/>
                <w:color w:val="000000"/>
              </w:rPr>
            </w:pPr>
            <w:r>
              <w:rPr>
                <w:rFonts w:ascii="Arial" w:hAnsi="Arial" w:cs="Arial"/>
                <w:color w:val="000000"/>
              </w:rPr>
              <w:t>199,</w:t>
            </w:r>
            <w:r w:rsidR="00FE5316" w:rsidRPr="001C79CF">
              <w:rPr>
                <w:rFonts w:ascii="Arial" w:hAnsi="Arial" w:cs="Arial"/>
                <w:color w:val="000000"/>
              </w:rPr>
              <w:t>977</w:t>
            </w:r>
          </w:p>
        </w:tc>
        <w:tc>
          <w:tcPr>
            <w:tcW w:w="108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color w:val="000000"/>
              </w:rPr>
            </w:pPr>
            <w:r>
              <w:rPr>
                <w:rFonts w:ascii="Arial" w:hAnsi="Arial" w:cs="Arial"/>
                <w:color w:val="000000"/>
              </w:rPr>
              <w:t>196,</w:t>
            </w:r>
            <w:r w:rsidRPr="001C79CF">
              <w:rPr>
                <w:rFonts w:ascii="Arial" w:hAnsi="Arial" w:cs="Arial"/>
                <w:color w:val="000000"/>
              </w:rPr>
              <w:t>905</w:t>
            </w:r>
          </w:p>
        </w:tc>
        <w:tc>
          <w:tcPr>
            <w:tcW w:w="126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color w:val="000000"/>
              </w:rPr>
            </w:pPr>
            <w:r w:rsidRPr="001C79CF">
              <w:rPr>
                <w:rFonts w:ascii="Arial" w:hAnsi="Arial" w:cs="Arial"/>
                <w:bCs/>
                <w:color w:val="000000"/>
                <w:lang w:eastAsia="en-US"/>
              </w:rPr>
              <w:t>▲</w:t>
            </w:r>
            <w:r>
              <w:rPr>
                <w:rFonts w:ascii="Arial" w:hAnsi="Arial" w:cs="Arial"/>
                <w:color w:val="000000"/>
              </w:rPr>
              <w:t>1.</w:t>
            </w:r>
            <w:r w:rsidRPr="001C79CF">
              <w:rPr>
                <w:rFonts w:ascii="Arial" w:hAnsi="Arial" w:cs="Arial"/>
                <w:color w:val="000000"/>
              </w:rPr>
              <w:t>56%</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color w:val="000000"/>
              </w:rPr>
            </w:pPr>
            <w:r>
              <w:rPr>
                <w:rFonts w:ascii="Arial" w:hAnsi="Arial" w:cs="Arial"/>
                <w:color w:val="000000"/>
              </w:rPr>
              <w:t>202,</w:t>
            </w:r>
            <w:r w:rsidRPr="001C79CF">
              <w:rPr>
                <w:rFonts w:ascii="Arial" w:hAnsi="Arial" w:cs="Arial"/>
                <w:color w:val="000000"/>
              </w:rPr>
              <w:t>60</w:t>
            </w:r>
            <w:r>
              <w:rPr>
                <w:rFonts w:ascii="Arial" w:hAnsi="Arial" w:cs="Arial"/>
                <w:color w:val="000000"/>
              </w:rPr>
              <w:t>3</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center"/>
              <w:rPr>
                <w:rFonts w:ascii="Arial" w:hAnsi="Arial" w:cs="Arial"/>
                <w:bCs/>
                <w:color w:val="000000"/>
              </w:rPr>
            </w:pPr>
            <w:r w:rsidRPr="001C79CF">
              <w:rPr>
                <w:rFonts w:ascii="Arial" w:hAnsi="Arial" w:cs="Arial"/>
                <w:bCs/>
                <w:color w:val="000000"/>
                <w:lang w:eastAsia="en-US"/>
              </w:rPr>
              <w:t>▼</w:t>
            </w:r>
            <w:r>
              <w:rPr>
                <w:rFonts w:ascii="Arial" w:hAnsi="Arial" w:cs="Arial"/>
                <w:bCs/>
                <w:color w:val="000000"/>
              </w:rPr>
              <w:t>1.</w:t>
            </w:r>
            <w:r w:rsidRPr="001C79CF">
              <w:rPr>
                <w:rFonts w:ascii="Arial" w:hAnsi="Arial" w:cs="Arial"/>
                <w:bCs/>
                <w:color w:val="000000"/>
              </w:rPr>
              <w:t>30%</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hideMark/>
          </w:tcPr>
          <w:p w:rsidR="00FE5316" w:rsidRPr="005853B1" w:rsidRDefault="00FE5316" w:rsidP="00FE5316">
            <w:pPr>
              <w:rPr>
                <w:sz w:val="22"/>
                <w:szCs w:val="22"/>
              </w:rPr>
            </w:pPr>
            <w:r w:rsidRPr="005853B1">
              <w:rPr>
                <w:sz w:val="22"/>
                <w:szCs w:val="22"/>
              </w:rPr>
              <w:t>Operating Expenses (thousand RON)</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5853B1" w:rsidP="00FE5316">
            <w:pPr>
              <w:jc w:val="right"/>
              <w:rPr>
                <w:rFonts w:ascii="Arial" w:hAnsi="Arial" w:cs="Arial"/>
                <w:color w:val="000000"/>
              </w:rPr>
            </w:pPr>
            <w:r>
              <w:rPr>
                <w:rFonts w:ascii="Arial" w:hAnsi="Arial" w:cs="Arial"/>
                <w:color w:val="000000"/>
              </w:rPr>
              <w:t>176,</w:t>
            </w:r>
            <w:r w:rsidR="00FE5316" w:rsidRPr="001C79CF">
              <w:rPr>
                <w:rFonts w:ascii="Arial" w:hAnsi="Arial" w:cs="Arial"/>
                <w:color w:val="000000"/>
              </w:rPr>
              <w:t>722</w:t>
            </w:r>
          </w:p>
        </w:tc>
        <w:tc>
          <w:tcPr>
            <w:tcW w:w="108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color w:val="000000"/>
              </w:rPr>
            </w:pPr>
            <w:r>
              <w:rPr>
                <w:rFonts w:ascii="Arial" w:hAnsi="Arial" w:cs="Arial"/>
                <w:color w:val="000000"/>
              </w:rPr>
              <w:t>173,</w:t>
            </w:r>
            <w:r w:rsidRPr="001C79CF">
              <w:rPr>
                <w:rFonts w:ascii="Arial" w:hAnsi="Arial" w:cs="Arial"/>
                <w:color w:val="000000"/>
              </w:rPr>
              <w:t>039</w:t>
            </w:r>
          </w:p>
        </w:tc>
        <w:tc>
          <w:tcPr>
            <w:tcW w:w="126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color w:val="000000"/>
              </w:rPr>
            </w:pPr>
            <w:r w:rsidRPr="001C79CF">
              <w:rPr>
                <w:rFonts w:ascii="Arial" w:hAnsi="Arial" w:cs="Arial"/>
                <w:bCs/>
                <w:color w:val="000000"/>
                <w:lang w:eastAsia="en-US"/>
              </w:rPr>
              <w:t>▲</w:t>
            </w:r>
            <w:r>
              <w:rPr>
                <w:rFonts w:ascii="Arial" w:hAnsi="Arial" w:cs="Arial"/>
                <w:color w:val="000000"/>
              </w:rPr>
              <w:t>2.</w:t>
            </w:r>
            <w:r w:rsidRPr="001C79CF">
              <w:rPr>
                <w:rFonts w:ascii="Arial" w:hAnsi="Arial" w:cs="Arial"/>
                <w:color w:val="000000"/>
              </w:rPr>
              <w:t>13%</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color w:val="000000"/>
              </w:rPr>
            </w:pPr>
            <w:r w:rsidRPr="001C79CF">
              <w:rPr>
                <w:rFonts w:ascii="Arial" w:hAnsi="Arial" w:cs="Arial"/>
                <w:color w:val="000000"/>
              </w:rPr>
              <w:t>16</w:t>
            </w:r>
            <w:r>
              <w:rPr>
                <w:rFonts w:ascii="Arial" w:hAnsi="Arial" w:cs="Arial"/>
                <w:color w:val="000000"/>
              </w:rPr>
              <w:t>2,1</w:t>
            </w:r>
            <w:r w:rsidRPr="001C79CF">
              <w:rPr>
                <w:rFonts w:ascii="Arial" w:hAnsi="Arial" w:cs="Arial"/>
                <w:color w:val="000000"/>
              </w:rPr>
              <w:t>7</w:t>
            </w:r>
            <w:r>
              <w:rPr>
                <w:rFonts w:ascii="Arial" w:hAnsi="Arial" w:cs="Arial"/>
                <w:color w:val="000000"/>
              </w:rPr>
              <w:t>5</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center"/>
              <w:rPr>
                <w:rFonts w:ascii="Arial" w:hAnsi="Arial" w:cs="Arial"/>
                <w:bCs/>
                <w:color w:val="000000"/>
              </w:rPr>
            </w:pPr>
            <w:r w:rsidRPr="001C79CF">
              <w:rPr>
                <w:rFonts w:ascii="Arial" w:hAnsi="Arial" w:cs="Arial"/>
                <w:bCs/>
                <w:color w:val="000000"/>
                <w:lang w:eastAsia="en-US"/>
              </w:rPr>
              <w:t>▲</w:t>
            </w:r>
            <w:r>
              <w:rPr>
                <w:rFonts w:ascii="Arial" w:hAnsi="Arial" w:cs="Arial"/>
                <w:bCs/>
                <w:color w:val="000000"/>
              </w:rPr>
              <w:t>8.97</w:t>
            </w:r>
            <w:r w:rsidRPr="001C79CF">
              <w:rPr>
                <w:rFonts w:ascii="Arial" w:hAnsi="Arial" w:cs="Arial"/>
                <w:bCs/>
                <w:color w:val="000000"/>
              </w:rPr>
              <w:t>%</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hideMark/>
          </w:tcPr>
          <w:p w:rsidR="00FE5316" w:rsidRPr="005853B1" w:rsidRDefault="00FE5316" w:rsidP="00FE5316">
            <w:pPr>
              <w:rPr>
                <w:sz w:val="22"/>
                <w:szCs w:val="22"/>
              </w:rPr>
            </w:pPr>
            <w:r w:rsidRPr="005853B1">
              <w:rPr>
                <w:sz w:val="22"/>
                <w:szCs w:val="22"/>
              </w:rPr>
              <w:t>Operating Profit (EBIT) (thousand RON)</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5853B1" w:rsidP="00FE5316">
            <w:pPr>
              <w:jc w:val="right"/>
              <w:rPr>
                <w:rFonts w:ascii="Arial" w:hAnsi="Arial" w:cs="Arial"/>
                <w:bCs/>
                <w:color w:val="000000"/>
              </w:rPr>
            </w:pPr>
            <w:r>
              <w:rPr>
                <w:rFonts w:ascii="Arial" w:hAnsi="Arial" w:cs="Arial"/>
                <w:bCs/>
                <w:color w:val="000000"/>
              </w:rPr>
              <w:t>23,</w:t>
            </w:r>
            <w:r w:rsidR="00FE5316" w:rsidRPr="001C79CF">
              <w:rPr>
                <w:rFonts w:ascii="Arial" w:hAnsi="Arial" w:cs="Arial"/>
                <w:bCs/>
                <w:color w:val="000000"/>
              </w:rPr>
              <w:t>255</w:t>
            </w:r>
          </w:p>
        </w:tc>
        <w:tc>
          <w:tcPr>
            <w:tcW w:w="108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bCs/>
                <w:color w:val="000000"/>
              </w:rPr>
            </w:pPr>
            <w:r>
              <w:rPr>
                <w:rFonts w:ascii="Arial" w:hAnsi="Arial" w:cs="Arial"/>
                <w:bCs/>
                <w:color w:val="000000"/>
              </w:rPr>
              <w:t>23,</w:t>
            </w:r>
            <w:r w:rsidRPr="001C79CF">
              <w:rPr>
                <w:rFonts w:ascii="Arial" w:hAnsi="Arial" w:cs="Arial"/>
                <w:bCs/>
                <w:color w:val="000000"/>
              </w:rPr>
              <w:t>866</w:t>
            </w:r>
          </w:p>
        </w:tc>
        <w:tc>
          <w:tcPr>
            <w:tcW w:w="126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bCs/>
                <w:color w:val="000000"/>
              </w:rPr>
            </w:pPr>
            <w:r w:rsidRPr="001C79CF">
              <w:rPr>
                <w:rFonts w:ascii="Arial" w:hAnsi="Arial" w:cs="Arial"/>
                <w:bCs/>
                <w:color w:val="000000"/>
                <w:lang w:eastAsia="en-US"/>
              </w:rPr>
              <w:t>▼2</w:t>
            </w:r>
            <w:r>
              <w:rPr>
                <w:rFonts w:ascii="Arial" w:hAnsi="Arial" w:cs="Arial"/>
                <w:bCs/>
                <w:color w:val="000000"/>
              </w:rPr>
              <w:t>.</w:t>
            </w:r>
            <w:r w:rsidRPr="001C79CF">
              <w:rPr>
                <w:rFonts w:ascii="Arial" w:hAnsi="Arial" w:cs="Arial"/>
                <w:bCs/>
                <w:color w:val="000000"/>
              </w:rPr>
              <w:t>56%</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bCs/>
                <w:color w:val="000000"/>
              </w:rPr>
            </w:pPr>
            <w:r w:rsidRPr="001C79CF">
              <w:rPr>
                <w:rFonts w:ascii="Arial" w:hAnsi="Arial" w:cs="Arial"/>
                <w:bCs/>
                <w:color w:val="000000"/>
              </w:rPr>
              <w:t>4</w:t>
            </w:r>
            <w:r>
              <w:rPr>
                <w:rFonts w:ascii="Arial" w:hAnsi="Arial" w:cs="Arial"/>
                <w:bCs/>
                <w:color w:val="000000"/>
              </w:rPr>
              <w:t>0,428</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center"/>
              <w:rPr>
                <w:rFonts w:ascii="Arial" w:hAnsi="Arial" w:cs="Arial"/>
                <w:bCs/>
                <w:color w:val="000000"/>
              </w:rPr>
            </w:pPr>
            <w:r w:rsidRPr="001C79CF">
              <w:rPr>
                <w:rFonts w:ascii="Arial" w:hAnsi="Arial" w:cs="Arial"/>
                <w:bCs/>
                <w:color w:val="000000"/>
                <w:lang w:eastAsia="en-US"/>
              </w:rPr>
              <w:t>▼</w:t>
            </w:r>
            <w:r w:rsidRPr="001C79CF">
              <w:rPr>
                <w:rFonts w:ascii="Arial" w:hAnsi="Arial" w:cs="Arial"/>
                <w:bCs/>
                <w:color w:val="000000"/>
              </w:rPr>
              <w:t>4</w:t>
            </w:r>
            <w:r>
              <w:rPr>
                <w:rFonts w:ascii="Arial" w:hAnsi="Arial" w:cs="Arial"/>
                <w:bCs/>
                <w:color w:val="000000"/>
              </w:rPr>
              <w:t>2.4</w:t>
            </w:r>
            <w:r w:rsidRPr="001C79CF">
              <w:rPr>
                <w:rFonts w:ascii="Arial" w:hAnsi="Arial" w:cs="Arial"/>
                <w:bCs/>
                <w:color w:val="000000"/>
              </w:rPr>
              <w:t>8%</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hideMark/>
          </w:tcPr>
          <w:p w:rsidR="00FE5316" w:rsidRPr="005853B1" w:rsidRDefault="00FE5316" w:rsidP="00FE5316">
            <w:pPr>
              <w:rPr>
                <w:sz w:val="22"/>
                <w:szCs w:val="22"/>
              </w:rPr>
            </w:pPr>
            <w:r w:rsidRPr="005853B1">
              <w:rPr>
                <w:sz w:val="22"/>
                <w:szCs w:val="22"/>
              </w:rPr>
              <w:t>Operating profit margin (% Operating Revenues)</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5853B1" w:rsidP="00FE5316">
            <w:pPr>
              <w:jc w:val="right"/>
              <w:rPr>
                <w:rFonts w:ascii="Arial" w:hAnsi="Arial" w:cs="Arial"/>
                <w:bCs/>
                <w:color w:val="000000"/>
              </w:rPr>
            </w:pPr>
            <w:r>
              <w:rPr>
                <w:rFonts w:ascii="Arial" w:hAnsi="Arial" w:cs="Arial"/>
                <w:bCs/>
                <w:color w:val="000000"/>
              </w:rPr>
              <w:t>11.</w:t>
            </w:r>
            <w:r w:rsidR="00FE5316" w:rsidRPr="001C79CF">
              <w:rPr>
                <w:rFonts w:ascii="Arial" w:hAnsi="Arial" w:cs="Arial"/>
                <w:bCs/>
                <w:color w:val="000000"/>
              </w:rPr>
              <w:t>63%</w:t>
            </w:r>
          </w:p>
        </w:tc>
        <w:tc>
          <w:tcPr>
            <w:tcW w:w="108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bCs/>
                <w:color w:val="000000"/>
              </w:rPr>
            </w:pPr>
            <w:r>
              <w:rPr>
                <w:rFonts w:ascii="Arial" w:hAnsi="Arial" w:cs="Arial"/>
                <w:bCs/>
                <w:color w:val="000000"/>
              </w:rPr>
              <w:t>12.</w:t>
            </w:r>
            <w:r w:rsidRPr="001C79CF">
              <w:rPr>
                <w:rFonts w:ascii="Arial" w:hAnsi="Arial" w:cs="Arial"/>
                <w:bCs/>
                <w:color w:val="000000"/>
              </w:rPr>
              <w:t>12%</w:t>
            </w:r>
          </w:p>
        </w:tc>
        <w:tc>
          <w:tcPr>
            <w:tcW w:w="126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color w:val="000000"/>
              </w:rPr>
            </w:pPr>
            <w:r w:rsidRPr="001C79CF">
              <w:rPr>
                <w:rFonts w:ascii="Arial" w:hAnsi="Arial" w:cs="Arial"/>
                <w:bCs/>
                <w:color w:val="000000"/>
                <w:lang w:eastAsia="en-US"/>
              </w:rPr>
              <w:t>▼</w:t>
            </w:r>
            <w:r w:rsidRPr="001C79CF">
              <w:rPr>
                <w:rFonts w:ascii="Arial" w:hAnsi="Arial" w:cs="Arial"/>
                <w:color w:val="000000"/>
              </w:rPr>
              <w:t>0</w:t>
            </w:r>
            <w:r>
              <w:rPr>
                <w:rFonts w:ascii="Arial" w:hAnsi="Arial" w:cs="Arial"/>
                <w:color w:val="000000"/>
              </w:rPr>
              <w:t>.</w:t>
            </w:r>
            <w:r w:rsidRPr="001C79CF">
              <w:rPr>
                <w:rFonts w:ascii="Arial" w:hAnsi="Arial" w:cs="Arial"/>
                <w:color w:val="000000"/>
              </w:rPr>
              <w:t>49</w:t>
            </w:r>
            <w:r w:rsidR="005853B1">
              <w:rPr>
                <w:rFonts w:ascii="Arial" w:hAnsi="Arial" w:cs="Arial"/>
                <w:color w:val="000000"/>
              </w:rPr>
              <w:t xml:space="preserve"> </w:t>
            </w:r>
            <w:r w:rsidRPr="001C79CF">
              <w:rPr>
                <w:rFonts w:ascii="Arial" w:hAnsi="Arial" w:cs="Arial"/>
                <w:color w:val="000000"/>
              </w:rPr>
              <w:t>p</w:t>
            </w:r>
            <w:r>
              <w:rPr>
                <w:rFonts w:ascii="Arial" w:hAnsi="Arial" w:cs="Arial"/>
                <w:color w:val="000000"/>
              </w:rPr>
              <w:t>.</w:t>
            </w:r>
            <w:r w:rsidRPr="001C79CF">
              <w:rPr>
                <w:rFonts w:ascii="Arial" w:hAnsi="Arial" w:cs="Arial"/>
                <w:color w:val="000000"/>
              </w:rPr>
              <w:t>p</w:t>
            </w:r>
            <w:r>
              <w:rPr>
                <w:rFonts w:ascii="Arial" w:hAnsi="Arial" w:cs="Arial"/>
                <w:color w:val="000000"/>
              </w:rPr>
              <w:t>.</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bCs/>
                <w:color w:val="000000"/>
              </w:rPr>
            </w:pPr>
            <w:r>
              <w:rPr>
                <w:rFonts w:ascii="Arial" w:hAnsi="Arial" w:cs="Arial"/>
                <w:bCs/>
                <w:color w:val="000000"/>
              </w:rPr>
              <w:t>19.95</w:t>
            </w:r>
            <w:r w:rsidRPr="001C79CF">
              <w:rPr>
                <w:rFonts w:ascii="Arial" w:hAnsi="Arial" w:cs="Arial"/>
                <w:bCs/>
                <w:color w:val="000000"/>
              </w:rPr>
              <w:t>%</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center"/>
              <w:rPr>
                <w:rFonts w:ascii="Arial" w:hAnsi="Arial" w:cs="Arial"/>
                <w:bCs/>
                <w:color w:val="000000"/>
              </w:rPr>
            </w:pPr>
            <w:r w:rsidRPr="001C79CF">
              <w:rPr>
                <w:rFonts w:ascii="Arial" w:hAnsi="Arial" w:cs="Arial"/>
                <w:bCs/>
                <w:color w:val="000000"/>
                <w:lang w:eastAsia="en-US"/>
              </w:rPr>
              <w:t>▼</w:t>
            </w:r>
            <w:r>
              <w:rPr>
                <w:rFonts w:ascii="Arial" w:hAnsi="Arial" w:cs="Arial"/>
                <w:bCs/>
                <w:color w:val="000000"/>
                <w:lang w:eastAsia="en-US"/>
              </w:rPr>
              <w:t>8.32</w:t>
            </w:r>
            <w:r w:rsidRPr="001C79CF">
              <w:rPr>
                <w:rFonts w:ascii="Arial" w:hAnsi="Arial" w:cs="Arial"/>
                <w:bCs/>
                <w:color w:val="000000"/>
                <w:lang w:eastAsia="en-US"/>
              </w:rPr>
              <w:t>p</w:t>
            </w:r>
            <w:r>
              <w:rPr>
                <w:rFonts w:ascii="Arial" w:hAnsi="Arial" w:cs="Arial"/>
                <w:bCs/>
                <w:color w:val="000000"/>
                <w:lang w:eastAsia="en-US"/>
              </w:rPr>
              <w:t>.</w:t>
            </w:r>
            <w:r w:rsidRPr="001C79CF">
              <w:rPr>
                <w:rFonts w:ascii="Arial" w:hAnsi="Arial" w:cs="Arial"/>
                <w:bCs/>
                <w:color w:val="000000"/>
                <w:lang w:eastAsia="en-US"/>
              </w:rPr>
              <w:t>p</w:t>
            </w:r>
            <w:r>
              <w:rPr>
                <w:rFonts w:ascii="Arial" w:hAnsi="Arial" w:cs="Arial"/>
                <w:bCs/>
                <w:color w:val="000000"/>
                <w:lang w:eastAsia="en-US"/>
              </w:rPr>
              <w:t>.</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hideMark/>
          </w:tcPr>
          <w:p w:rsidR="00FE5316" w:rsidRPr="005853B1" w:rsidRDefault="00FE5316" w:rsidP="00FE5316">
            <w:pPr>
              <w:rPr>
                <w:sz w:val="22"/>
                <w:szCs w:val="22"/>
              </w:rPr>
            </w:pPr>
            <w:r w:rsidRPr="005853B1">
              <w:rPr>
                <w:sz w:val="22"/>
                <w:szCs w:val="22"/>
              </w:rPr>
              <w:t>EBITDA (thousand RON)</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5853B1" w:rsidP="00FE5316">
            <w:pPr>
              <w:jc w:val="right"/>
              <w:rPr>
                <w:rFonts w:ascii="Arial" w:hAnsi="Arial" w:cs="Arial"/>
                <w:bCs/>
                <w:color w:val="000000"/>
              </w:rPr>
            </w:pPr>
            <w:r>
              <w:rPr>
                <w:rFonts w:ascii="Arial" w:hAnsi="Arial" w:cs="Arial"/>
                <w:bCs/>
                <w:color w:val="000000"/>
              </w:rPr>
              <w:t>45,</w:t>
            </w:r>
            <w:r w:rsidR="00FE5316" w:rsidRPr="001C79CF">
              <w:rPr>
                <w:rFonts w:ascii="Arial" w:hAnsi="Arial" w:cs="Arial"/>
                <w:bCs/>
                <w:color w:val="000000"/>
              </w:rPr>
              <w:t>497</w:t>
            </w:r>
          </w:p>
        </w:tc>
        <w:tc>
          <w:tcPr>
            <w:tcW w:w="108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bCs/>
                <w:color w:val="000000"/>
              </w:rPr>
            </w:pPr>
            <w:r>
              <w:rPr>
                <w:rFonts w:ascii="Arial" w:hAnsi="Arial" w:cs="Arial"/>
                <w:bCs/>
                <w:color w:val="000000"/>
              </w:rPr>
              <w:t>46,</w:t>
            </w:r>
            <w:r w:rsidRPr="001C79CF">
              <w:rPr>
                <w:rFonts w:ascii="Arial" w:hAnsi="Arial" w:cs="Arial"/>
                <w:bCs/>
                <w:color w:val="000000"/>
              </w:rPr>
              <w:t>20</w:t>
            </w:r>
            <w:r>
              <w:rPr>
                <w:rFonts w:ascii="Arial" w:hAnsi="Arial" w:cs="Arial"/>
                <w:bCs/>
                <w:color w:val="000000"/>
              </w:rPr>
              <w:t>5</w:t>
            </w:r>
          </w:p>
        </w:tc>
        <w:tc>
          <w:tcPr>
            <w:tcW w:w="126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color w:val="000000"/>
              </w:rPr>
            </w:pPr>
            <w:r w:rsidRPr="001C79CF">
              <w:rPr>
                <w:rFonts w:ascii="Arial" w:hAnsi="Arial" w:cs="Arial"/>
                <w:bCs/>
                <w:color w:val="000000"/>
                <w:lang w:eastAsia="en-US"/>
              </w:rPr>
              <w:t>▼</w:t>
            </w:r>
            <w:r>
              <w:rPr>
                <w:rFonts w:ascii="Arial" w:hAnsi="Arial" w:cs="Arial"/>
                <w:color w:val="000000"/>
              </w:rPr>
              <w:t>1.</w:t>
            </w:r>
            <w:r w:rsidRPr="001C79CF">
              <w:rPr>
                <w:rFonts w:ascii="Arial" w:hAnsi="Arial" w:cs="Arial"/>
                <w:color w:val="000000"/>
              </w:rPr>
              <w:t>53%</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2F5162" w:rsidRDefault="00FE5316" w:rsidP="00FE5316">
            <w:pPr>
              <w:widowControl/>
              <w:autoSpaceDE/>
              <w:autoSpaceDN/>
              <w:adjustRightInd/>
              <w:jc w:val="right"/>
              <w:rPr>
                <w:rFonts w:ascii="Arial" w:hAnsi="Arial" w:cs="Arial"/>
                <w:bCs/>
                <w:color w:val="000000"/>
              </w:rPr>
            </w:pPr>
            <w:r w:rsidRPr="002F5162">
              <w:rPr>
                <w:rFonts w:ascii="Arial" w:hAnsi="Arial" w:cs="Arial"/>
                <w:bCs/>
                <w:color w:val="000000"/>
              </w:rPr>
              <w:t>6</w:t>
            </w:r>
            <w:r>
              <w:rPr>
                <w:rFonts w:ascii="Arial" w:hAnsi="Arial" w:cs="Arial"/>
                <w:bCs/>
                <w:color w:val="000000"/>
              </w:rPr>
              <w:t>2,</w:t>
            </w:r>
            <w:r w:rsidRPr="002F5162">
              <w:rPr>
                <w:rFonts w:ascii="Arial" w:hAnsi="Arial" w:cs="Arial"/>
                <w:bCs/>
                <w:color w:val="000000"/>
              </w:rPr>
              <w:t>7</w:t>
            </w:r>
            <w:r>
              <w:rPr>
                <w:rFonts w:ascii="Arial" w:hAnsi="Arial" w:cs="Arial"/>
                <w:bCs/>
                <w:color w:val="000000"/>
              </w:rPr>
              <w:t>08</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2F5162" w:rsidRDefault="00FE5316" w:rsidP="00FE5316">
            <w:pPr>
              <w:jc w:val="center"/>
              <w:rPr>
                <w:rFonts w:ascii="Arial" w:hAnsi="Arial" w:cs="Arial"/>
                <w:bCs/>
                <w:color w:val="000000"/>
              </w:rPr>
            </w:pPr>
            <w:r w:rsidRPr="001C79CF">
              <w:rPr>
                <w:rFonts w:ascii="Arial" w:hAnsi="Arial" w:cs="Arial"/>
                <w:bCs/>
                <w:color w:val="000000"/>
                <w:lang w:eastAsia="en-US"/>
              </w:rPr>
              <w:t>▼</w:t>
            </w:r>
            <w:r>
              <w:rPr>
                <w:rFonts w:ascii="Arial" w:hAnsi="Arial" w:cs="Arial"/>
                <w:bCs/>
                <w:color w:val="000000"/>
                <w:lang w:eastAsia="en-US"/>
              </w:rPr>
              <w:t>27</w:t>
            </w:r>
            <w:r>
              <w:rPr>
                <w:rFonts w:ascii="Arial" w:hAnsi="Arial" w:cs="Arial"/>
                <w:bCs/>
                <w:color w:val="000000"/>
              </w:rPr>
              <w:t>.45</w:t>
            </w:r>
            <w:r w:rsidRPr="002F5162">
              <w:rPr>
                <w:rFonts w:ascii="Arial" w:hAnsi="Arial" w:cs="Arial"/>
                <w:bCs/>
                <w:color w:val="000000"/>
              </w:rPr>
              <w:t>%</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hideMark/>
          </w:tcPr>
          <w:p w:rsidR="00FE5316" w:rsidRPr="005853B1" w:rsidRDefault="00FE5316" w:rsidP="00FE5316">
            <w:pPr>
              <w:rPr>
                <w:sz w:val="22"/>
                <w:szCs w:val="22"/>
              </w:rPr>
            </w:pPr>
            <w:r w:rsidRPr="005853B1">
              <w:rPr>
                <w:sz w:val="22"/>
                <w:szCs w:val="22"/>
              </w:rPr>
              <w:t>Operating Expenses (%Turnover)</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5853B1" w:rsidP="00FE5316">
            <w:pPr>
              <w:jc w:val="right"/>
              <w:rPr>
                <w:rFonts w:ascii="Arial" w:hAnsi="Arial" w:cs="Arial"/>
                <w:color w:val="000000"/>
              </w:rPr>
            </w:pPr>
            <w:r>
              <w:rPr>
                <w:rFonts w:ascii="Arial" w:hAnsi="Arial" w:cs="Arial"/>
                <w:color w:val="000000"/>
              </w:rPr>
              <w:t>95.</w:t>
            </w:r>
            <w:r w:rsidR="00FE5316" w:rsidRPr="001C79CF">
              <w:rPr>
                <w:rFonts w:ascii="Arial" w:hAnsi="Arial" w:cs="Arial"/>
                <w:color w:val="000000"/>
              </w:rPr>
              <w:t>56%</w:t>
            </w:r>
          </w:p>
        </w:tc>
        <w:tc>
          <w:tcPr>
            <w:tcW w:w="108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color w:val="000000"/>
              </w:rPr>
            </w:pPr>
            <w:r>
              <w:rPr>
                <w:rFonts w:ascii="Arial" w:hAnsi="Arial" w:cs="Arial"/>
                <w:color w:val="000000"/>
              </w:rPr>
              <w:t>95.</w:t>
            </w:r>
            <w:r w:rsidRPr="001C79CF">
              <w:rPr>
                <w:rFonts w:ascii="Arial" w:hAnsi="Arial" w:cs="Arial"/>
                <w:color w:val="000000"/>
              </w:rPr>
              <w:t>34%</w:t>
            </w:r>
          </w:p>
        </w:tc>
        <w:tc>
          <w:tcPr>
            <w:tcW w:w="126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color w:val="000000"/>
              </w:rPr>
            </w:pPr>
            <w:r w:rsidRPr="001C79CF">
              <w:rPr>
                <w:rFonts w:ascii="Arial" w:hAnsi="Arial" w:cs="Arial"/>
                <w:bCs/>
                <w:color w:val="000000"/>
                <w:lang w:eastAsia="en-US"/>
              </w:rPr>
              <w:t>▲</w:t>
            </w:r>
            <w:r>
              <w:rPr>
                <w:rFonts w:ascii="Arial" w:hAnsi="Arial" w:cs="Arial"/>
                <w:color w:val="000000"/>
              </w:rPr>
              <w:t>0.</w:t>
            </w:r>
            <w:r w:rsidRPr="001C79CF">
              <w:rPr>
                <w:rFonts w:ascii="Arial" w:hAnsi="Arial" w:cs="Arial"/>
                <w:color w:val="000000"/>
              </w:rPr>
              <w:t>2</w:t>
            </w:r>
            <w:r>
              <w:rPr>
                <w:rFonts w:ascii="Arial" w:hAnsi="Arial" w:cs="Arial"/>
                <w:color w:val="000000"/>
              </w:rPr>
              <w:t>2p.p.</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right"/>
              <w:rPr>
                <w:rFonts w:ascii="Arial" w:hAnsi="Arial" w:cs="Arial"/>
                <w:color w:val="000000"/>
              </w:rPr>
            </w:pPr>
            <w:r w:rsidRPr="001C79CF">
              <w:rPr>
                <w:rFonts w:ascii="Arial" w:hAnsi="Arial" w:cs="Arial"/>
                <w:color w:val="000000"/>
              </w:rPr>
              <w:t>8</w:t>
            </w:r>
            <w:r>
              <w:rPr>
                <w:rFonts w:ascii="Arial" w:hAnsi="Arial" w:cs="Arial"/>
                <w:color w:val="000000"/>
              </w:rPr>
              <w:t>7.</w:t>
            </w:r>
            <w:r w:rsidRPr="001C79CF">
              <w:rPr>
                <w:rFonts w:ascii="Arial" w:hAnsi="Arial" w:cs="Arial"/>
                <w:color w:val="000000"/>
              </w:rPr>
              <w:t>0</w:t>
            </w:r>
            <w:r>
              <w:rPr>
                <w:rFonts w:ascii="Arial" w:hAnsi="Arial" w:cs="Arial"/>
                <w:color w:val="000000"/>
              </w:rPr>
              <w:t>4</w:t>
            </w:r>
            <w:r w:rsidRPr="001C79CF">
              <w:rPr>
                <w:rFonts w:ascii="Arial" w:hAnsi="Arial" w:cs="Arial"/>
                <w:color w:val="000000"/>
              </w:rPr>
              <w:t>%</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1C79CF" w:rsidRDefault="00FE5316" w:rsidP="00FE5316">
            <w:pPr>
              <w:jc w:val="center"/>
              <w:rPr>
                <w:rFonts w:ascii="Arial" w:hAnsi="Arial" w:cs="Arial"/>
                <w:bCs/>
                <w:color w:val="000000"/>
              </w:rPr>
            </w:pPr>
            <w:r w:rsidRPr="001C79CF">
              <w:rPr>
                <w:rFonts w:ascii="Arial" w:hAnsi="Arial" w:cs="Arial"/>
                <w:bCs/>
                <w:color w:val="000000"/>
                <w:lang w:eastAsia="en-US"/>
              </w:rPr>
              <w:t>▲</w:t>
            </w:r>
            <w:r>
              <w:rPr>
                <w:rFonts w:ascii="Arial" w:hAnsi="Arial" w:cs="Arial"/>
                <w:bCs/>
                <w:color w:val="000000"/>
              </w:rPr>
              <w:t>8.52p.p.</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tcPr>
          <w:p w:rsidR="00FE5316" w:rsidRPr="005853B1" w:rsidRDefault="00FE5316" w:rsidP="00FE5316">
            <w:pPr>
              <w:widowControl/>
              <w:autoSpaceDE/>
              <w:autoSpaceDN/>
              <w:adjustRightInd/>
              <w:rPr>
                <w:rFonts w:ascii="Arial" w:hAnsi="Arial" w:cs="Arial"/>
                <w:color w:val="000000"/>
                <w:sz w:val="22"/>
                <w:szCs w:val="22"/>
                <w:lang w:eastAsia="en-US"/>
              </w:rPr>
            </w:pPr>
            <w:r w:rsidRPr="005853B1">
              <w:rPr>
                <w:rFonts w:ascii="Arial" w:hAnsi="Arial" w:cs="Arial"/>
                <w:color w:val="000000"/>
                <w:sz w:val="22"/>
                <w:szCs w:val="22"/>
                <w:lang w:eastAsia="en-US"/>
              </w:rPr>
              <w:t xml:space="preserve">Total revenues </w:t>
            </w:r>
            <w:r w:rsidRPr="005853B1">
              <w:rPr>
                <w:sz w:val="22"/>
                <w:szCs w:val="22"/>
              </w:rPr>
              <w:t>(thousand RON)</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5853B1" w:rsidP="00FE5316">
            <w:pPr>
              <w:jc w:val="right"/>
              <w:rPr>
                <w:rFonts w:ascii="Arial" w:hAnsi="Arial" w:cs="Arial"/>
                <w:color w:val="000000"/>
              </w:rPr>
            </w:pPr>
            <w:r>
              <w:rPr>
                <w:rFonts w:ascii="Arial" w:hAnsi="Arial" w:cs="Arial"/>
                <w:color w:val="000000"/>
              </w:rPr>
              <w:t>202,</w:t>
            </w:r>
            <w:r w:rsidR="00FE5316">
              <w:rPr>
                <w:rFonts w:ascii="Arial" w:hAnsi="Arial" w:cs="Arial"/>
                <w:color w:val="000000"/>
              </w:rPr>
              <w:t>350</w:t>
            </w:r>
          </w:p>
        </w:tc>
        <w:tc>
          <w:tcPr>
            <w:tcW w:w="108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color w:val="000000"/>
              </w:rPr>
            </w:pPr>
            <w:r>
              <w:rPr>
                <w:rFonts w:ascii="Arial" w:hAnsi="Arial" w:cs="Arial"/>
                <w:color w:val="000000"/>
              </w:rPr>
              <w:t>197,714</w:t>
            </w:r>
          </w:p>
        </w:tc>
        <w:tc>
          <w:tcPr>
            <w:tcW w:w="126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bCs/>
                <w:color w:val="000000"/>
                <w:lang w:eastAsia="en-US"/>
              </w:rPr>
            </w:pPr>
            <w:r w:rsidRPr="001C79CF">
              <w:rPr>
                <w:rFonts w:ascii="Arial" w:hAnsi="Arial" w:cs="Arial"/>
                <w:bCs/>
                <w:color w:val="000000"/>
                <w:lang w:eastAsia="en-US"/>
              </w:rPr>
              <w:t>▲</w:t>
            </w:r>
            <w:r>
              <w:rPr>
                <w:rFonts w:ascii="Arial" w:hAnsi="Arial" w:cs="Arial"/>
                <w:bCs/>
                <w:color w:val="000000"/>
                <w:lang w:eastAsia="en-US"/>
              </w:rPr>
              <w:t>2.34%</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color w:val="000000"/>
              </w:rPr>
            </w:pPr>
            <w:r>
              <w:rPr>
                <w:rFonts w:ascii="Arial" w:hAnsi="Arial" w:cs="Arial"/>
                <w:color w:val="000000"/>
              </w:rPr>
              <w:t>204,524</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center"/>
              <w:rPr>
                <w:rFonts w:ascii="Arial" w:hAnsi="Arial" w:cs="Arial"/>
                <w:bCs/>
                <w:color w:val="000000"/>
                <w:lang w:eastAsia="en-US"/>
              </w:rPr>
            </w:pPr>
            <w:r w:rsidRPr="001C79CF">
              <w:rPr>
                <w:rFonts w:ascii="Arial" w:hAnsi="Arial" w:cs="Arial"/>
                <w:bCs/>
                <w:color w:val="000000"/>
                <w:lang w:eastAsia="en-US"/>
              </w:rPr>
              <w:t>▼</w:t>
            </w:r>
            <w:r>
              <w:rPr>
                <w:rFonts w:ascii="Arial" w:hAnsi="Arial" w:cs="Arial"/>
                <w:bCs/>
                <w:color w:val="000000"/>
                <w:lang w:eastAsia="en-US"/>
              </w:rPr>
              <w:t>1.06%</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tcPr>
          <w:p w:rsidR="00FE5316" w:rsidRPr="005853B1" w:rsidRDefault="00FE5316" w:rsidP="00FE5316">
            <w:pPr>
              <w:widowControl/>
              <w:autoSpaceDE/>
              <w:autoSpaceDN/>
              <w:adjustRightInd/>
              <w:rPr>
                <w:rFonts w:ascii="Arial" w:hAnsi="Arial" w:cs="Arial"/>
                <w:color w:val="000000"/>
                <w:sz w:val="22"/>
                <w:szCs w:val="22"/>
                <w:lang w:eastAsia="en-US"/>
              </w:rPr>
            </w:pPr>
            <w:r w:rsidRPr="005853B1">
              <w:rPr>
                <w:rFonts w:ascii="Arial" w:hAnsi="Arial" w:cs="Arial"/>
                <w:color w:val="000000"/>
                <w:sz w:val="22"/>
                <w:szCs w:val="22"/>
                <w:lang w:eastAsia="en-US"/>
              </w:rPr>
              <w:t xml:space="preserve">Total expenses </w:t>
            </w:r>
            <w:r w:rsidRPr="005853B1">
              <w:rPr>
                <w:sz w:val="22"/>
                <w:szCs w:val="22"/>
              </w:rPr>
              <w:t>(thousand RON)</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5853B1" w:rsidP="00FE5316">
            <w:pPr>
              <w:jc w:val="right"/>
              <w:rPr>
                <w:rFonts w:ascii="Arial" w:hAnsi="Arial" w:cs="Arial"/>
                <w:color w:val="000000"/>
              </w:rPr>
            </w:pPr>
            <w:r>
              <w:rPr>
                <w:rFonts w:ascii="Arial" w:hAnsi="Arial" w:cs="Arial"/>
                <w:color w:val="000000"/>
              </w:rPr>
              <w:t>176,</w:t>
            </w:r>
            <w:r w:rsidR="00FE5316">
              <w:rPr>
                <w:rFonts w:ascii="Arial" w:hAnsi="Arial" w:cs="Arial"/>
                <w:color w:val="000000"/>
              </w:rPr>
              <w:t>726</w:t>
            </w:r>
          </w:p>
        </w:tc>
        <w:tc>
          <w:tcPr>
            <w:tcW w:w="108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color w:val="000000"/>
              </w:rPr>
            </w:pPr>
            <w:r>
              <w:rPr>
                <w:rFonts w:ascii="Arial" w:hAnsi="Arial" w:cs="Arial"/>
                <w:color w:val="000000"/>
              </w:rPr>
              <w:t>173,089</w:t>
            </w:r>
          </w:p>
        </w:tc>
        <w:tc>
          <w:tcPr>
            <w:tcW w:w="126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bCs/>
                <w:color w:val="000000"/>
                <w:lang w:eastAsia="en-US"/>
              </w:rPr>
            </w:pPr>
            <w:r w:rsidRPr="001C79CF">
              <w:rPr>
                <w:rFonts w:ascii="Arial" w:hAnsi="Arial" w:cs="Arial"/>
                <w:bCs/>
                <w:color w:val="000000"/>
                <w:lang w:eastAsia="en-US"/>
              </w:rPr>
              <w:t>▲</w:t>
            </w:r>
            <w:r>
              <w:rPr>
                <w:rFonts w:ascii="Arial" w:hAnsi="Arial" w:cs="Arial"/>
                <w:bCs/>
                <w:color w:val="000000"/>
                <w:lang w:eastAsia="en-US"/>
              </w:rPr>
              <w:t>2.10%</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color w:val="000000"/>
              </w:rPr>
            </w:pPr>
            <w:r>
              <w:rPr>
                <w:rFonts w:ascii="Arial" w:hAnsi="Arial" w:cs="Arial"/>
                <w:color w:val="000000"/>
              </w:rPr>
              <w:t>162,195</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center"/>
              <w:rPr>
                <w:rFonts w:ascii="Arial" w:hAnsi="Arial" w:cs="Arial"/>
                <w:bCs/>
                <w:color w:val="000000"/>
                <w:lang w:eastAsia="en-US"/>
              </w:rPr>
            </w:pPr>
            <w:r w:rsidRPr="001C79CF">
              <w:rPr>
                <w:rFonts w:ascii="Arial" w:hAnsi="Arial" w:cs="Arial"/>
                <w:bCs/>
                <w:color w:val="000000"/>
                <w:lang w:eastAsia="en-US"/>
              </w:rPr>
              <w:t>▲</w:t>
            </w:r>
            <w:r>
              <w:rPr>
                <w:rFonts w:ascii="Arial" w:hAnsi="Arial" w:cs="Arial"/>
                <w:bCs/>
                <w:color w:val="000000"/>
                <w:lang w:eastAsia="en-US"/>
              </w:rPr>
              <w:t>8.96%</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tcPr>
          <w:p w:rsidR="00FE5316" w:rsidRPr="005853B1" w:rsidRDefault="00FE5316" w:rsidP="00FE5316">
            <w:pPr>
              <w:widowControl/>
              <w:autoSpaceDE/>
              <w:autoSpaceDN/>
              <w:adjustRightInd/>
              <w:rPr>
                <w:rFonts w:ascii="Arial" w:hAnsi="Arial" w:cs="Arial"/>
                <w:color w:val="000000"/>
                <w:sz w:val="22"/>
                <w:szCs w:val="22"/>
                <w:lang w:eastAsia="en-US"/>
              </w:rPr>
            </w:pPr>
            <w:r w:rsidRPr="005853B1">
              <w:rPr>
                <w:rFonts w:ascii="Arial" w:hAnsi="Arial" w:cs="Arial"/>
                <w:color w:val="000000"/>
                <w:sz w:val="22"/>
                <w:szCs w:val="22"/>
                <w:lang w:eastAsia="en-US"/>
              </w:rPr>
              <w:t xml:space="preserve">Gross profit </w:t>
            </w:r>
            <w:r w:rsidRPr="005853B1">
              <w:rPr>
                <w:sz w:val="22"/>
                <w:szCs w:val="22"/>
              </w:rPr>
              <w:t>(thousand RON)</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5853B1" w:rsidP="00FE5316">
            <w:pPr>
              <w:jc w:val="right"/>
              <w:rPr>
                <w:rFonts w:ascii="Arial" w:hAnsi="Arial" w:cs="Arial"/>
                <w:color w:val="000000"/>
              </w:rPr>
            </w:pPr>
            <w:r>
              <w:rPr>
                <w:rFonts w:ascii="Arial" w:hAnsi="Arial" w:cs="Arial"/>
                <w:color w:val="000000"/>
              </w:rPr>
              <w:t>25,</w:t>
            </w:r>
            <w:r w:rsidR="00FE5316">
              <w:rPr>
                <w:rFonts w:ascii="Arial" w:hAnsi="Arial" w:cs="Arial"/>
                <w:color w:val="000000"/>
              </w:rPr>
              <w:t>624</w:t>
            </w:r>
          </w:p>
        </w:tc>
        <w:tc>
          <w:tcPr>
            <w:tcW w:w="108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color w:val="000000"/>
              </w:rPr>
            </w:pPr>
            <w:r>
              <w:rPr>
                <w:rFonts w:ascii="Arial" w:hAnsi="Arial" w:cs="Arial"/>
                <w:color w:val="000000"/>
              </w:rPr>
              <w:t>24,625</w:t>
            </w:r>
          </w:p>
        </w:tc>
        <w:tc>
          <w:tcPr>
            <w:tcW w:w="126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bCs/>
                <w:color w:val="000000"/>
                <w:lang w:eastAsia="en-US"/>
              </w:rPr>
            </w:pPr>
            <w:r w:rsidRPr="001C79CF">
              <w:rPr>
                <w:rFonts w:ascii="Arial" w:hAnsi="Arial" w:cs="Arial"/>
                <w:bCs/>
                <w:color w:val="000000"/>
                <w:lang w:eastAsia="en-US"/>
              </w:rPr>
              <w:t>▲</w:t>
            </w:r>
            <w:r>
              <w:rPr>
                <w:rFonts w:ascii="Arial" w:hAnsi="Arial" w:cs="Arial"/>
                <w:bCs/>
                <w:color w:val="000000"/>
                <w:lang w:eastAsia="en-US"/>
              </w:rPr>
              <w:t>4.06%</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color w:val="000000"/>
              </w:rPr>
            </w:pPr>
            <w:r>
              <w:rPr>
                <w:rFonts w:ascii="Arial" w:hAnsi="Arial" w:cs="Arial"/>
                <w:color w:val="000000"/>
              </w:rPr>
              <w:t>42,329</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center"/>
              <w:rPr>
                <w:rFonts w:ascii="Arial" w:hAnsi="Arial" w:cs="Arial"/>
                <w:bCs/>
                <w:color w:val="000000"/>
                <w:lang w:eastAsia="en-US"/>
              </w:rPr>
            </w:pPr>
            <w:r w:rsidRPr="003C2FBC">
              <w:rPr>
                <w:rFonts w:ascii="Arial" w:hAnsi="Arial" w:cs="Arial"/>
                <w:bCs/>
                <w:color w:val="000000"/>
                <w:lang w:eastAsia="en-US"/>
              </w:rPr>
              <w:t>▼</w:t>
            </w:r>
            <w:r>
              <w:rPr>
                <w:rFonts w:ascii="Arial" w:hAnsi="Arial" w:cs="Arial"/>
                <w:bCs/>
                <w:color w:val="000000"/>
                <w:lang w:eastAsia="en-US"/>
              </w:rPr>
              <w:t>39.46%</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tcPr>
          <w:p w:rsidR="00FE5316" w:rsidRPr="005853B1" w:rsidRDefault="00FE5316" w:rsidP="00FE5316">
            <w:pPr>
              <w:widowControl/>
              <w:autoSpaceDE/>
              <w:autoSpaceDN/>
              <w:adjustRightInd/>
              <w:rPr>
                <w:rFonts w:ascii="Arial" w:hAnsi="Arial" w:cs="Arial"/>
                <w:color w:val="000000"/>
                <w:sz w:val="22"/>
                <w:szCs w:val="22"/>
                <w:lang w:eastAsia="en-US"/>
              </w:rPr>
            </w:pPr>
            <w:r w:rsidRPr="005853B1">
              <w:rPr>
                <w:rFonts w:ascii="Arial" w:hAnsi="Arial" w:cs="Arial"/>
                <w:color w:val="000000"/>
                <w:sz w:val="22"/>
                <w:szCs w:val="22"/>
                <w:lang w:eastAsia="en-US"/>
              </w:rPr>
              <w:t xml:space="preserve">Net profit </w:t>
            </w:r>
            <w:r w:rsidRPr="005853B1">
              <w:rPr>
                <w:sz w:val="22"/>
                <w:szCs w:val="22"/>
              </w:rPr>
              <w:t>(thousand RON)</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5853B1" w:rsidP="00FE5316">
            <w:pPr>
              <w:jc w:val="right"/>
              <w:rPr>
                <w:rFonts w:ascii="Arial" w:hAnsi="Arial" w:cs="Arial"/>
                <w:color w:val="000000"/>
              </w:rPr>
            </w:pPr>
            <w:r>
              <w:rPr>
                <w:rFonts w:ascii="Arial" w:hAnsi="Arial" w:cs="Arial"/>
                <w:color w:val="000000"/>
              </w:rPr>
              <w:t>21,</w:t>
            </w:r>
            <w:r w:rsidR="00FE5316">
              <w:rPr>
                <w:rFonts w:ascii="Arial" w:hAnsi="Arial" w:cs="Arial"/>
                <w:color w:val="000000"/>
              </w:rPr>
              <w:t>626</w:t>
            </w:r>
          </w:p>
        </w:tc>
        <w:tc>
          <w:tcPr>
            <w:tcW w:w="108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color w:val="000000"/>
              </w:rPr>
            </w:pPr>
            <w:r>
              <w:rPr>
                <w:rFonts w:ascii="Arial" w:hAnsi="Arial" w:cs="Arial"/>
                <w:color w:val="000000"/>
              </w:rPr>
              <w:t>20,521</w:t>
            </w:r>
          </w:p>
        </w:tc>
        <w:tc>
          <w:tcPr>
            <w:tcW w:w="126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bCs/>
                <w:color w:val="000000"/>
                <w:lang w:eastAsia="en-US"/>
              </w:rPr>
            </w:pPr>
            <w:r w:rsidRPr="001C79CF">
              <w:rPr>
                <w:rFonts w:ascii="Arial" w:hAnsi="Arial" w:cs="Arial"/>
                <w:bCs/>
                <w:color w:val="000000"/>
                <w:lang w:eastAsia="en-US"/>
              </w:rPr>
              <w:t>▲</w:t>
            </w:r>
            <w:r>
              <w:rPr>
                <w:rFonts w:ascii="Arial" w:hAnsi="Arial" w:cs="Arial"/>
                <w:bCs/>
                <w:color w:val="000000"/>
                <w:lang w:eastAsia="en-US"/>
              </w:rPr>
              <w:t>5.38%</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right"/>
              <w:rPr>
                <w:rFonts w:ascii="Arial" w:hAnsi="Arial" w:cs="Arial"/>
                <w:color w:val="000000"/>
              </w:rPr>
            </w:pPr>
            <w:r>
              <w:rPr>
                <w:rFonts w:ascii="Arial" w:hAnsi="Arial" w:cs="Arial"/>
                <w:color w:val="000000"/>
              </w:rPr>
              <w:t>35,767</w:t>
            </w:r>
          </w:p>
        </w:tc>
        <w:tc>
          <w:tcPr>
            <w:tcW w:w="1170" w:type="dxa"/>
            <w:tcBorders>
              <w:top w:val="nil"/>
              <w:left w:val="nil"/>
              <w:bottom w:val="single" w:sz="4" w:space="0" w:color="auto"/>
              <w:right w:val="single" w:sz="4" w:space="0" w:color="auto"/>
            </w:tcBorders>
            <w:shd w:val="clear" w:color="auto" w:fill="auto"/>
            <w:noWrap/>
            <w:vAlign w:val="center"/>
          </w:tcPr>
          <w:p w:rsidR="00FE5316" w:rsidRPr="001C79CF" w:rsidRDefault="00FE5316" w:rsidP="00FE5316">
            <w:pPr>
              <w:jc w:val="center"/>
              <w:rPr>
                <w:rFonts w:ascii="Arial" w:hAnsi="Arial" w:cs="Arial"/>
                <w:bCs/>
                <w:color w:val="000000"/>
                <w:lang w:eastAsia="en-US"/>
              </w:rPr>
            </w:pPr>
            <w:r w:rsidRPr="003C2FBC">
              <w:rPr>
                <w:rFonts w:ascii="Arial" w:hAnsi="Arial" w:cs="Arial"/>
                <w:bCs/>
                <w:color w:val="000000"/>
                <w:lang w:eastAsia="en-US"/>
              </w:rPr>
              <w:t>▼</w:t>
            </w:r>
            <w:r>
              <w:rPr>
                <w:rFonts w:ascii="Arial" w:hAnsi="Arial" w:cs="Arial"/>
                <w:bCs/>
                <w:color w:val="000000"/>
                <w:lang w:eastAsia="en-US"/>
              </w:rPr>
              <w:t>39.54%</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tcPr>
          <w:p w:rsidR="00FE5316" w:rsidRPr="005853B1" w:rsidRDefault="00FE5316" w:rsidP="00FE5316">
            <w:pPr>
              <w:widowControl/>
              <w:autoSpaceDE/>
              <w:autoSpaceDN/>
              <w:adjustRightInd/>
              <w:rPr>
                <w:rFonts w:ascii="Arial" w:hAnsi="Arial" w:cs="Arial"/>
                <w:color w:val="000000"/>
                <w:sz w:val="22"/>
                <w:szCs w:val="22"/>
              </w:rPr>
            </w:pPr>
            <w:r w:rsidRPr="005853B1">
              <w:rPr>
                <w:rFonts w:ascii="Arial" w:hAnsi="Arial" w:cs="Arial"/>
                <w:color w:val="000000"/>
                <w:sz w:val="22"/>
                <w:szCs w:val="22"/>
              </w:rPr>
              <w:t>Average number of employees</w:t>
            </w:r>
          </w:p>
        </w:tc>
        <w:tc>
          <w:tcPr>
            <w:tcW w:w="1170" w:type="dxa"/>
            <w:tcBorders>
              <w:top w:val="nil"/>
              <w:left w:val="nil"/>
              <w:bottom w:val="single" w:sz="4" w:space="0" w:color="auto"/>
              <w:right w:val="single" w:sz="4" w:space="0" w:color="auto"/>
            </w:tcBorders>
            <w:shd w:val="clear" w:color="auto" w:fill="auto"/>
            <w:noWrap/>
            <w:vAlign w:val="center"/>
          </w:tcPr>
          <w:p w:rsidR="00FE5316" w:rsidRPr="003C2FBC" w:rsidRDefault="005853B1" w:rsidP="00FE5316">
            <w:pPr>
              <w:jc w:val="right"/>
              <w:rPr>
                <w:rFonts w:ascii="Arial" w:hAnsi="Arial" w:cs="Arial"/>
                <w:color w:val="000000"/>
              </w:rPr>
            </w:pPr>
            <w:r>
              <w:rPr>
                <w:rFonts w:ascii="Arial" w:hAnsi="Arial" w:cs="Arial"/>
                <w:color w:val="000000"/>
              </w:rPr>
              <w:t>1,</w:t>
            </w:r>
            <w:r w:rsidR="00FE5316" w:rsidRPr="003C2FBC">
              <w:rPr>
                <w:rFonts w:ascii="Arial" w:hAnsi="Arial" w:cs="Arial"/>
                <w:color w:val="000000"/>
              </w:rPr>
              <w:t>660</w:t>
            </w:r>
          </w:p>
        </w:tc>
        <w:tc>
          <w:tcPr>
            <w:tcW w:w="1080" w:type="dxa"/>
            <w:tcBorders>
              <w:top w:val="nil"/>
              <w:left w:val="nil"/>
              <w:bottom w:val="single" w:sz="4" w:space="0" w:color="auto"/>
              <w:right w:val="single" w:sz="4" w:space="0" w:color="auto"/>
            </w:tcBorders>
            <w:shd w:val="clear" w:color="auto" w:fill="auto"/>
            <w:noWrap/>
            <w:vAlign w:val="center"/>
          </w:tcPr>
          <w:p w:rsidR="00FE5316" w:rsidRPr="003C2FBC" w:rsidRDefault="00FE5316" w:rsidP="00FE5316">
            <w:pPr>
              <w:jc w:val="right"/>
              <w:rPr>
                <w:rFonts w:ascii="Arial" w:hAnsi="Arial" w:cs="Arial"/>
                <w:color w:val="000000"/>
              </w:rPr>
            </w:pPr>
            <w:r>
              <w:rPr>
                <w:rFonts w:ascii="Arial" w:hAnsi="Arial" w:cs="Arial"/>
                <w:color w:val="000000"/>
              </w:rPr>
              <w:t>1,</w:t>
            </w:r>
            <w:r w:rsidRPr="003C2FBC">
              <w:rPr>
                <w:rFonts w:ascii="Arial" w:hAnsi="Arial" w:cs="Arial"/>
                <w:color w:val="000000"/>
              </w:rPr>
              <w:t>670</w:t>
            </w:r>
          </w:p>
        </w:tc>
        <w:tc>
          <w:tcPr>
            <w:tcW w:w="1260" w:type="dxa"/>
            <w:tcBorders>
              <w:top w:val="nil"/>
              <w:left w:val="nil"/>
              <w:bottom w:val="single" w:sz="4" w:space="0" w:color="auto"/>
              <w:right w:val="single" w:sz="4" w:space="0" w:color="auto"/>
            </w:tcBorders>
            <w:shd w:val="clear" w:color="auto" w:fill="auto"/>
            <w:noWrap/>
            <w:vAlign w:val="center"/>
          </w:tcPr>
          <w:p w:rsidR="00FE5316" w:rsidRPr="003C2FBC" w:rsidRDefault="00FE5316" w:rsidP="00FE5316">
            <w:pPr>
              <w:jc w:val="right"/>
              <w:rPr>
                <w:rFonts w:ascii="Arial" w:hAnsi="Arial" w:cs="Arial"/>
                <w:color w:val="000000"/>
              </w:rPr>
            </w:pPr>
            <w:r w:rsidRPr="003C2FBC">
              <w:rPr>
                <w:rFonts w:ascii="Arial" w:hAnsi="Arial" w:cs="Arial"/>
                <w:bCs/>
                <w:color w:val="000000"/>
                <w:lang w:eastAsia="en-US"/>
              </w:rPr>
              <w:t>▼</w:t>
            </w:r>
            <w:r>
              <w:rPr>
                <w:rFonts w:ascii="Arial" w:hAnsi="Arial" w:cs="Arial"/>
                <w:color w:val="000000"/>
              </w:rPr>
              <w:t>0.</w:t>
            </w:r>
            <w:r w:rsidRPr="003C2FBC">
              <w:rPr>
                <w:rFonts w:ascii="Arial" w:hAnsi="Arial" w:cs="Arial"/>
                <w:color w:val="000000"/>
              </w:rPr>
              <w:t>60%</w:t>
            </w:r>
          </w:p>
        </w:tc>
        <w:tc>
          <w:tcPr>
            <w:tcW w:w="1170" w:type="dxa"/>
            <w:tcBorders>
              <w:top w:val="nil"/>
              <w:left w:val="nil"/>
              <w:bottom w:val="single" w:sz="4" w:space="0" w:color="auto"/>
              <w:right w:val="single" w:sz="4" w:space="0" w:color="auto"/>
            </w:tcBorders>
            <w:shd w:val="clear" w:color="auto" w:fill="auto"/>
            <w:noWrap/>
            <w:vAlign w:val="center"/>
          </w:tcPr>
          <w:p w:rsidR="00FE5316" w:rsidRPr="003C2FBC" w:rsidRDefault="00FE5316" w:rsidP="00FE5316">
            <w:pPr>
              <w:jc w:val="right"/>
              <w:rPr>
                <w:rFonts w:ascii="Arial" w:hAnsi="Arial" w:cs="Arial"/>
                <w:color w:val="000000"/>
              </w:rPr>
            </w:pPr>
            <w:r>
              <w:rPr>
                <w:rFonts w:ascii="Arial" w:hAnsi="Arial" w:cs="Arial"/>
                <w:color w:val="000000"/>
              </w:rPr>
              <w:t>1,</w:t>
            </w:r>
            <w:r w:rsidRPr="003C2FBC">
              <w:rPr>
                <w:rFonts w:ascii="Arial" w:hAnsi="Arial" w:cs="Arial"/>
                <w:color w:val="000000"/>
              </w:rPr>
              <w:t>671</w:t>
            </w:r>
          </w:p>
        </w:tc>
        <w:tc>
          <w:tcPr>
            <w:tcW w:w="1170" w:type="dxa"/>
            <w:tcBorders>
              <w:top w:val="nil"/>
              <w:left w:val="nil"/>
              <w:bottom w:val="single" w:sz="4" w:space="0" w:color="auto"/>
              <w:right w:val="single" w:sz="4" w:space="0" w:color="auto"/>
            </w:tcBorders>
            <w:shd w:val="clear" w:color="auto" w:fill="auto"/>
            <w:noWrap/>
            <w:vAlign w:val="center"/>
          </w:tcPr>
          <w:p w:rsidR="00FE5316" w:rsidRPr="003C2FBC" w:rsidRDefault="00FE5316" w:rsidP="00FE5316">
            <w:pPr>
              <w:jc w:val="center"/>
              <w:rPr>
                <w:rFonts w:ascii="Arial" w:hAnsi="Arial" w:cs="Arial"/>
                <w:b/>
                <w:bCs/>
                <w:color w:val="000000"/>
              </w:rPr>
            </w:pPr>
            <w:r w:rsidRPr="003C2FBC">
              <w:rPr>
                <w:rFonts w:ascii="Arial" w:hAnsi="Arial" w:cs="Arial"/>
                <w:bCs/>
                <w:color w:val="000000"/>
                <w:lang w:eastAsia="en-US"/>
              </w:rPr>
              <w:t>▼0</w:t>
            </w:r>
            <w:r>
              <w:rPr>
                <w:rFonts w:ascii="Arial" w:hAnsi="Arial" w:cs="Arial"/>
                <w:bCs/>
                <w:color w:val="000000"/>
              </w:rPr>
              <w:t>.</w:t>
            </w:r>
            <w:r w:rsidRPr="003C2FBC">
              <w:rPr>
                <w:rFonts w:ascii="Arial" w:hAnsi="Arial" w:cs="Arial"/>
                <w:bCs/>
                <w:color w:val="000000"/>
              </w:rPr>
              <w:t>66%</w:t>
            </w:r>
          </w:p>
        </w:tc>
      </w:tr>
      <w:tr w:rsidR="00FE5316" w:rsidRPr="00456736" w:rsidTr="00FE5316">
        <w:trPr>
          <w:trHeight w:val="285"/>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FE5316" w:rsidRPr="005853B1" w:rsidRDefault="00FE5316" w:rsidP="00FE5316">
            <w:pPr>
              <w:widowControl/>
              <w:autoSpaceDE/>
              <w:autoSpaceDN/>
              <w:adjustRightInd/>
              <w:rPr>
                <w:rFonts w:ascii="Arial" w:hAnsi="Arial" w:cs="Arial"/>
                <w:color w:val="000000"/>
                <w:sz w:val="22"/>
                <w:szCs w:val="22"/>
                <w:lang w:eastAsia="en-US"/>
              </w:rPr>
            </w:pPr>
            <w:r w:rsidRPr="005853B1">
              <w:rPr>
                <w:rFonts w:ascii="Arial" w:hAnsi="Arial" w:cs="Arial"/>
                <w:color w:val="000000"/>
                <w:sz w:val="22"/>
                <w:szCs w:val="22"/>
                <w:lang w:eastAsia="en-US"/>
              </w:rPr>
              <w:t>Productivity (thousand RON/employee)</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3C2FBC" w:rsidRDefault="005853B1" w:rsidP="00FE5316">
            <w:pPr>
              <w:jc w:val="right"/>
              <w:rPr>
                <w:rFonts w:ascii="Arial" w:hAnsi="Arial" w:cs="Arial"/>
                <w:color w:val="000000"/>
              </w:rPr>
            </w:pPr>
            <w:r>
              <w:rPr>
                <w:rFonts w:ascii="Arial" w:hAnsi="Arial" w:cs="Arial"/>
                <w:color w:val="000000"/>
              </w:rPr>
              <w:t>120,</w:t>
            </w:r>
            <w:r w:rsidR="00FE5316" w:rsidRPr="003C2FBC">
              <w:rPr>
                <w:rFonts w:ascii="Arial" w:hAnsi="Arial" w:cs="Arial"/>
                <w:color w:val="000000"/>
              </w:rPr>
              <w:t>468</w:t>
            </w:r>
          </w:p>
        </w:tc>
        <w:tc>
          <w:tcPr>
            <w:tcW w:w="1080" w:type="dxa"/>
            <w:tcBorders>
              <w:top w:val="nil"/>
              <w:left w:val="nil"/>
              <w:bottom w:val="single" w:sz="4" w:space="0" w:color="auto"/>
              <w:right w:val="single" w:sz="4" w:space="0" w:color="auto"/>
            </w:tcBorders>
            <w:shd w:val="clear" w:color="auto" w:fill="auto"/>
            <w:noWrap/>
            <w:vAlign w:val="center"/>
            <w:hideMark/>
          </w:tcPr>
          <w:p w:rsidR="00FE5316" w:rsidRPr="003C2FBC" w:rsidRDefault="00FE5316" w:rsidP="00FE5316">
            <w:pPr>
              <w:jc w:val="right"/>
              <w:rPr>
                <w:rFonts w:ascii="Arial" w:hAnsi="Arial" w:cs="Arial"/>
                <w:color w:val="000000"/>
              </w:rPr>
            </w:pPr>
            <w:r>
              <w:rPr>
                <w:rFonts w:ascii="Arial" w:hAnsi="Arial" w:cs="Arial"/>
                <w:color w:val="000000"/>
              </w:rPr>
              <w:t>117,</w:t>
            </w:r>
            <w:r w:rsidRPr="003C2FBC">
              <w:rPr>
                <w:rFonts w:ascii="Arial" w:hAnsi="Arial" w:cs="Arial"/>
                <w:color w:val="000000"/>
              </w:rPr>
              <w:t>907</w:t>
            </w:r>
          </w:p>
        </w:tc>
        <w:tc>
          <w:tcPr>
            <w:tcW w:w="1260" w:type="dxa"/>
            <w:tcBorders>
              <w:top w:val="nil"/>
              <w:left w:val="nil"/>
              <w:bottom w:val="single" w:sz="4" w:space="0" w:color="auto"/>
              <w:right w:val="single" w:sz="4" w:space="0" w:color="auto"/>
            </w:tcBorders>
            <w:shd w:val="clear" w:color="auto" w:fill="auto"/>
            <w:noWrap/>
            <w:vAlign w:val="center"/>
            <w:hideMark/>
          </w:tcPr>
          <w:p w:rsidR="00FE5316" w:rsidRPr="003C2FBC" w:rsidRDefault="00FE5316" w:rsidP="00FE5316">
            <w:pPr>
              <w:jc w:val="right"/>
              <w:rPr>
                <w:rFonts w:ascii="Arial" w:hAnsi="Arial" w:cs="Arial"/>
                <w:color w:val="000000"/>
              </w:rPr>
            </w:pPr>
            <w:r w:rsidRPr="003C2FBC">
              <w:rPr>
                <w:rFonts w:ascii="Arial" w:hAnsi="Arial" w:cs="Arial"/>
                <w:bCs/>
                <w:color w:val="000000"/>
                <w:lang w:eastAsia="en-US"/>
              </w:rPr>
              <w:t>▲</w:t>
            </w:r>
            <w:r>
              <w:rPr>
                <w:rFonts w:ascii="Arial" w:hAnsi="Arial" w:cs="Arial"/>
                <w:color w:val="000000"/>
              </w:rPr>
              <w:t>2.</w:t>
            </w:r>
            <w:r w:rsidRPr="003C2FBC">
              <w:rPr>
                <w:rFonts w:ascii="Arial" w:hAnsi="Arial" w:cs="Arial"/>
                <w:color w:val="000000"/>
              </w:rPr>
              <w:t>17%</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3C2FBC" w:rsidRDefault="00FE5316" w:rsidP="00FE5316">
            <w:pPr>
              <w:jc w:val="right"/>
              <w:rPr>
                <w:rFonts w:ascii="Arial" w:hAnsi="Arial" w:cs="Arial"/>
                <w:color w:val="000000"/>
              </w:rPr>
            </w:pPr>
            <w:r>
              <w:rPr>
                <w:rFonts w:ascii="Arial" w:hAnsi="Arial" w:cs="Arial"/>
                <w:color w:val="000000"/>
              </w:rPr>
              <w:t>121,</w:t>
            </w:r>
            <w:r w:rsidRPr="003C2FBC">
              <w:rPr>
                <w:rFonts w:ascii="Arial" w:hAnsi="Arial" w:cs="Arial"/>
                <w:color w:val="000000"/>
              </w:rPr>
              <w:t>247</w:t>
            </w:r>
          </w:p>
        </w:tc>
        <w:tc>
          <w:tcPr>
            <w:tcW w:w="1170" w:type="dxa"/>
            <w:tcBorders>
              <w:top w:val="nil"/>
              <w:left w:val="nil"/>
              <w:bottom w:val="single" w:sz="4" w:space="0" w:color="auto"/>
              <w:right w:val="single" w:sz="4" w:space="0" w:color="auto"/>
            </w:tcBorders>
            <w:shd w:val="clear" w:color="auto" w:fill="auto"/>
            <w:noWrap/>
            <w:vAlign w:val="center"/>
            <w:hideMark/>
          </w:tcPr>
          <w:p w:rsidR="00FE5316" w:rsidRPr="003C2FBC" w:rsidRDefault="00FE5316" w:rsidP="00FE5316">
            <w:pPr>
              <w:jc w:val="center"/>
              <w:rPr>
                <w:rFonts w:ascii="Arial" w:hAnsi="Arial" w:cs="Arial"/>
                <w:bCs/>
                <w:color w:val="000000"/>
              </w:rPr>
            </w:pPr>
            <w:r w:rsidRPr="003C2FBC">
              <w:rPr>
                <w:rFonts w:ascii="Arial" w:hAnsi="Arial" w:cs="Arial"/>
                <w:bCs/>
                <w:color w:val="000000"/>
                <w:lang w:eastAsia="en-US"/>
              </w:rPr>
              <w:t>▼</w:t>
            </w:r>
            <w:r>
              <w:rPr>
                <w:rFonts w:ascii="Arial" w:hAnsi="Arial" w:cs="Arial"/>
                <w:bCs/>
                <w:color w:val="000000"/>
              </w:rPr>
              <w:t>0.</w:t>
            </w:r>
            <w:r w:rsidRPr="003C2FBC">
              <w:rPr>
                <w:rFonts w:ascii="Arial" w:hAnsi="Arial" w:cs="Arial"/>
                <w:bCs/>
                <w:color w:val="000000"/>
              </w:rPr>
              <w:t>64%</w:t>
            </w:r>
          </w:p>
        </w:tc>
      </w:tr>
    </w:tbl>
    <w:p w:rsidR="00456736" w:rsidRPr="00456736" w:rsidRDefault="00456736" w:rsidP="003133FD">
      <w:pPr>
        <w:widowControl/>
        <w:tabs>
          <w:tab w:val="left" w:pos="284"/>
          <w:tab w:val="right" w:pos="8640"/>
        </w:tabs>
        <w:autoSpaceDE/>
        <w:autoSpaceDN/>
        <w:adjustRightInd/>
        <w:rPr>
          <w:rFonts w:ascii="Arial" w:hAnsi="Arial" w:cs="Arial"/>
          <w:i/>
          <w:sz w:val="18"/>
          <w:szCs w:val="18"/>
          <w:lang w:eastAsia="en-US"/>
        </w:rPr>
      </w:pPr>
    </w:p>
    <w:p w:rsidR="00456736" w:rsidRPr="008F5405" w:rsidRDefault="007239FA" w:rsidP="008F5405">
      <w:pPr>
        <w:widowControl/>
        <w:tabs>
          <w:tab w:val="left" w:pos="284"/>
          <w:tab w:val="right" w:pos="8640"/>
        </w:tabs>
        <w:autoSpaceDE/>
        <w:autoSpaceDN/>
        <w:adjustRightInd/>
        <w:jc w:val="center"/>
        <w:rPr>
          <w:rFonts w:ascii="Arial" w:hAnsi="Arial" w:cs="Arial"/>
          <w:caps/>
          <w:sz w:val="16"/>
          <w:szCs w:val="16"/>
        </w:rPr>
      </w:pPr>
      <w:r>
        <w:rPr>
          <w:rFonts w:ascii="Arial" w:hAnsi="Arial"/>
          <w:sz w:val="16"/>
          <w:szCs w:val="16"/>
        </w:rPr>
        <w:t>Table 3 - The main economic-financial Indicators achieved in 2018 H1 vs Budget and the ones achieved in the same period of 2017</w:t>
      </w:r>
    </w:p>
    <w:p w:rsidR="00845298" w:rsidRDefault="00845298" w:rsidP="008F5405">
      <w:pPr>
        <w:shd w:val="clear" w:color="auto" w:fill="FFFFFF"/>
        <w:jc w:val="center"/>
        <w:rPr>
          <w:rFonts w:ascii="Arial" w:hAnsi="Arial" w:cs="Arial"/>
          <w:b/>
          <w:color w:val="5B9BD5" w:themeColor="accent1"/>
          <w:spacing w:val="-10"/>
          <w:sz w:val="16"/>
          <w:szCs w:val="16"/>
        </w:rPr>
      </w:pPr>
    </w:p>
    <w:p w:rsidR="003133FD" w:rsidRDefault="003133FD" w:rsidP="008F5405">
      <w:pPr>
        <w:shd w:val="clear" w:color="auto" w:fill="FFFFFF"/>
        <w:jc w:val="center"/>
        <w:rPr>
          <w:rFonts w:ascii="Arial" w:hAnsi="Arial" w:cs="Arial"/>
          <w:b/>
          <w:color w:val="5B9BD5" w:themeColor="accent1"/>
          <w:spacing w:val="-10"/>
          <w:sz w:val="16"/>
          <w:szCs w:val="16"/>
        </w:rPr>
      </w:pPr>
    </w:p>
    <w:p w:rsidR="003133FD" w:rsidRDefault="003133FD" w:rsidP="008F5405">
      <w:pPr>
        <w:shd w:val="clear" w:color="auto" w:fill="FFFFFF"/>
        <w:jc w:val="center"/>
        <w:rPr>
          <w:rFonts w:ascii="Arial" w:hAnsi="Arial" w:cs="Arial"/>
          <w:b/>
          <w:color w:val="5B9BD5" w:themeColor="accent1"/>
          <w:spacing w:val="-10"/>
          <w:sz w:val="16"/>
          <w:szCs w:val="16"/>
        </w:rPr>
      </w:pPr>
    </w:p>
    <w:p w:rsidR="008F5405" w:rsidRPr="008F5405" w:rsidRDefault="008F5405" w:rsidP="008F5405">
      <w:pPr>
        <w:shd w:val="clear" w:color="auto" w:fill="FFFFFF"/>
        <w:jc w:val="center"/>
        <w:rPr>
          <w:rFonts w:ascii="Arial" w:hAnsi="Arial" w:cs="Arial"/>
          <w:b/>
          <w:color w:val="5B9BD5" w:themeColor="accent1"/>
          <w:spacing w:val="-10"/>
          <w:sz w:val="16"/>
          <w:szCs w:val="16"/>
        </w:rPr>
      </w:pPr>
    </w:p>
    <w:p w:rsidR="005E7DD9" w:rsidRPr="009828D6" w:rsidRDefault="00883D54" w:rsidP="00D87DA4">
      <w:pPr>
        <w:pStyle w:val="ListParagraph"/>
        <w:numPr>
          <w:ilvl w:val="1"/>
          <w:numId w:val="19"/>
        </w:numPr>
        <w:shd w:val="clear" w:color="auto" w:fill="FFFFFF"/>
        <w:jc w:val="both"/>
        <w:rPr>
          <w:color w:val="1F4E79" w:themeColor="accent1" w:themeShade="80"/>
          <w:sz w:val="24"/>
          <w:szCs w:val="24"/>
        </w:rPr>
      </w:pPr>
      <w:r>
        <w:rPr>
          <w:rFonts w:ascii="Arial" w:hAnsi="Arial"/>
          <w:b/>
          <w:bCs/>
          <w:color w:val="1F4E79" w:themeColor="accent1" w:themeShade="80"/>
          <w:sz w:val="24"/>
          <w:szCs w:val="24"/>
        </w:rPr>
        <w:t xml:space="preserve"> Investments </w:t>
      </w:r>
    </w:p>
    <w:p w:rsidR="005E7DD9" w:rsidRPr="00304A20" w:rsidRDefault="002A6388" w:rsidP="00304A20">
      <w:pPr>
        <w:shd w:val="clear" w:color="auto" w:fill="FFFFFF"/>
        <w:spacing w:line="276" w:lineRule="auto"/>
        <w:jc w:val="both"/>
        <w:rPr>
          <w:rFonts w:ascii="Arial" w:hAnsi="Arial" w:cs="Arial"/>
          <w:sz w:val="22"/>
          <w:szCs w:val="22"/>
        </w:rPr>
      </w:pPr>
      <w:r>
        <w:rPr>
          <w:rFonts w:ascii="Arial" w:hAnsi="Arial"/>
          <w:sz w:val="22"/>
          <w:szCs w:val="22"/>
        </w:rPr>
        <w:t>The 2018 Investments Program considered the continuation of the works for the rehabilitation of the major pipelines for the transport of crude oil and rich gas, as well as investment works on the installation, machinery and equipment related to the Crude Oil National Transport System;</w:t>
      </w:r>
    </w:p>
    <w:p w:rsidR="005E7DD9" w:rsidRPr="00304A20" w:rsidRDefault="005E7DD9" w:rsidP="00304A20">
      <w:pPr>
        <w:spacing w:line="276" w:lineRule="auto"/>
        <w:jc w:val="both"/>
        <w:rPr>
          <w:rFonts w:ascii="Arial" w:hAnsi="Arial" w:cs="Arial"/>
          <w:sz w:val="22"/>
          <w:szCs w:val="22"/>
        </w:rPr>
      </w:pPr>
    </w:p>
    <w:p w:rsidR="002A6388" w:rsidRDefault="002A6388" w:rsidP="00304A20">
      <w:pPr>
        <w:spacing w:line="276" w:lineRule="auto"/>
        <w:jc w:val="both"/>
        <w:rPr>
          <w:rFonts w:ascii="Arial" w:hAnsi="Arial" w:cs="Arial"/>
          <w:sz w:val="22"/>
          <w:szCs w:val="22"/>
        </w:rPr>
      </w:pPr>
      <w:r>
        <w:rPr>
          <w:rFonts w:ascii="Arial" w:hAnsi="Arial"/>
          <w:sz w:val="22"/>
          <w:szCs w:val="22"/>
        </w:rPr>
        <w:t xml:space="preserve">During the six months period ended June 30 2018, CONPET S.A. </w:t>
      </w:r>
      <w:r w:rsidR="005853B1">
        <w:rPr>
          <w:rFonts w:ascii="Arial" w:hAnsi="Arial"/>
          <w:sz w:val="22"/>
          <w:szCs w:val="22"/>
        </w:rPr>
        <w:t>a</w:t>
      </w:r>
      <w:r>
        <w:rPr>
          <w:rFonts w:ascii="Arial" w:hAnsi="Arial"/>
          <w:sz w:val="22"/>
          <w:szCs w:val="22"/>
        </w:rPr>
        <w:t>chieved investments in amount of 32,317 thousand RON.</w:t>
      </w:r>
    </w:p>
    <w:p w:rsidR="00304A20" w:rsidRPr="00304A20" w:rsidRDefault="00304A20" w:rsidP="00304A20">
      <w:pPr>
        <w:spacing w:line="276" w:lineRule="auto"/>
        <w:jc w:val="both"/>
        <w:rPr>
          <w:rFonts w:ascii="Arial" w:hAnsi="Arial" w:cs="Arial"/>
          <w:sz w:val="22"/>
          <w:szCs w:val="22"/>
        </w:rPr>
      </w:pPr>
    </w:p>
    <w:tbl>
      <w:tblPr>
        <w:tblW w:w="9990" w:type="dxa"/>
        <w:tblInd w:w="-275" w:type="dxa"/>
        <w:tblLayout w:type="fixed"/>
        <w:tblLook w:val="04A0" w:firstRow="1" w:lastRow="0" w:firstColumn="1" w:lastColumn="0" w:noHBand="0" w:noVBand="1"/>
      </w:tblPr>
      <w:tblGrid>
        <w:gridCol w:w="1530"/>
        <w:gridCol w:w="1170"/>
        <w:gridCol w:w="1170"/>
        <w:gridCol w:w="1078"/>
        <w:gridCol w:w="1442"/>
        <w:gridCol w:w="1170"/>
        <w:gridCol w:w="1080"/>
        <w:gridCol w:w="1350"/>
      </w:tblGrid>
      <w:tr w:rsidR="00196A86" w:rsidRPr="00CD41C3" w:rsidTr="007E593D">
        <w:trPr>
          <w:trHeight w:val="228"/>
        </w:trPr>
        <w:tc>
          <w:tcPr>
            <w:tcW w:w="153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A86" w:rsidRPr="00CD41C3" w:rsidRDefault="00196A86" w:rsidP="00117C4A">
            <w:pPr>
              <w:widowControl/>
              <w:autoSpaceDE/>
              <w:autoSpaceDN/>
              <w:adjustRightInd/>
              <w:jc w:val="center"/>
              <w:rPr>
                <w:rFonts w:ascii="Arial" w:hAnsi="Arial" w:cs="Arial"/>
                <w:b/>
                <w:bCs/>
                <w:color w:val="000000"/>
              </w:rPr>
            </w:pPr>
            <w:r>
              <w:rPr>
                <w:rFonts w:ascii="Arial" w:hAnsi="Arial"/>
                <w:b/>
                <w:bCs/>
                <w:color w:val="000000"/>
              </w:rPr>
              <w:t>Investments (million RON)</w:t>
            </w:r>
          </w:p>
        </w:tc>
        <w:tc>
          <w:tcPr>
            <w:tcW w:w="1170" w:type="dxa"/>
            <w:vMerge w:val="restart"/>
            <w:tcBorders>
              <w:top w:val="single" w:sz="4" w:space="0" w:color="auto"/>
              <w:left w:val="nil"/>
              <w:right w:val="single" w:sz="4" w:space="0" w:color="auto"/>
            </w:tcBorders>
            <w:shd w:val="clear" w:color="auto" w:fill="DEEAF6" w:themeFill="accent1" w:themeFillTint="33"/>
          </w:tcPr>
          <w:p w:rsidR="00196A86" w:rsidRPr="00CD41C3" w:rsidRDefault="00196A86" w:rsidP="00117C4A">
            <w:pPr>
              <w:widowControl/>
              <w:autoSpaceDE/>
              <w:autoSpaceDN/>
              <w:adjustRightInd/>
              <w:jc w:val="center"/>
              <w:rPr>
                <w:rFonts w:ascii="Arial" w:hAnsi="Arial" w:cs="Arial"/>
                <w:b/>
                <w:bCs/>
                <w:color w:val="000000"/>
                <w:lang w:eastAsia="en-US"/>
              </w:rPr>
            </w:pPr>
          </w:p>
          <w:p w:rsidR="00196A86" w:rsidRPr="00CD41C3" w:rsidRDefault="00196A86" w:rsidP="00117C4A">
            <w:pPr>
              <w:widowControl/>
              <w:autoSpaceDE/>
              <w:autoSpaceDN/>
              <w:adjustRightInd/>
              <w:jc w:val="center"/>
              <w:rPr>
                <w:rFonts w:ascii="Arial" w:hAnsi="Arial" w:cs="Arial"/>
                <w:b/>
                <w:bCs/>
                <w:color w:val="000000"/>
              </w:rPr>
            </w:pPr>
            <w:r>
              <w:rPr>
                <w:rFonts w:ascii="Arial" w:hAnsi="Arial"/>
                <w:b/>
                <w:bCs/>
                <w:color w:val="000000"/>
              </w:rPr>
              <w:t xml:space="preserve"> </w:t>
            </w:r>
            <w:r w:rsidR="007E593D">
              <w:rPr>
                <w:rFonts w:ascii="Arial" w:hAnsi="Arial"/>
                <w:b/>
                <w:bCs/>
                <w:color w:val="000000"/>
              </w:rPr>
              <w:t>BUDGET</w:t>
            </w:r>
            <w:r>
              <w:rPr>
                <w:rFonts w:ascii="Arial" w:hAnsi="Arial"/>
                <w:b/>
                <w:bCs/>
                <w:color w:val="000000"/>
              </w:rPr>
              <w:t xml:space="preserve"> </w:t>
            </w:r>
          </w:p>
          <w:p w:rsidR="00196A86" w:rsidRPr="00CD41C3" w:rsidRDefault="00196A86" w:rsidP="00117C4A">
            <w:pPr>
              <w:widowControl/>
              <w:autoSpaceDE/>
              <w:autoSpaceDN/>
              <w:adjustRightInd/>
              <w:jc w:val="center"/>
              <w:rPr>
                <w:rFonts w:ascii="Arial" w:hAnsi="Arial" w:cs="Arial"/>
                <w:b/>
                <w:bCs/>
                <w:color w:val="000000"/>
              </w:rPr>
            </w:pPr>
            <w:r>
              <w:rPr>
                <w:rFonts w:ascii="Arial" w:hAnsi="Arial"/>
                <w:b/>
                <w:bCs/>
                <w:color w:val="000000"/>
              </w:rPr>
              <w:t>YEAR 2018</w:t>
            </w:r>
          </w:p>
        </w:tc>
        <w:tc>
          <w:tcPr>
            <w:tcW w:w="369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A86" w:rsidRPr="00CD41C3" w:rsidRDefault="00196A86" w:rsidP="00117C4A">
            <w:pPr>
              <w:widowControl/>
              <w:autoSpaceDE/>
              <w:autoSpaceDN/>
              <w:adjustRightInd/>
              <w:jc w:val="center"/>
              <w:rPr>
                <w:rFonts w:ascii="Arial" w:hAnsi="Arial" w:cs="Arial"/>
                <w:b/>
                <w:bCs/>
                <w:color w:val="000000"/>
              </w:rPr>
            </w:pPr>
            <w:r>
              <w:rPr>
                <w:rFonts w:ascii="Arial" w:hAnsi="Arial"/>
                <w:b/>
                <w:bCs/>
                <w:color w:val="000000"/>
              </w:rPr>
              <w:t xml:space="preserve"> Semester I 2018</w:t>
            </w:r>
          </w:p>
        </w:tc>
        <w:tc>
          <w:tcPr>
            <w:tcW w:w="3600"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17C4A">
            <w:pPr>
              <w:widowControl/>
              <w:autoSpaceDE/>
              <w:autoSpaceDN/>
              <w:adjustRightInd/>
              <w:jc w:val="center"/>
              <w:rPr>
                <w:rFonts w:ascii="Arial" w:hAnsi="Arial" w:cs="Arial"/>
                <w:b/>
                <w:bCs/>
                <w:color w:val="000000"/>
              </w:rPr>
            </w:pPr>
            <w:r>
              <w:rPr>
                <w:rFonts w:ascii="Arial" w:hAnsi="Arial"/>
                <w:b/>
                <w:bCs/>
                <w:color w:val="000000"/>
              </w:rPr>
              <w:t>Semester I 2017</w:t>
            </w:r>
          </w:p>
        </w:tc>
      </w:tr>
      <w:tr w:rsidR="00196A86" w:rsidRPr="00CD41C3" w:rsidTr="007E593D">
        <w:trPr>
          <w:trHeight w:val="228"/>
        </w:trPr>
        <w:tc>
          <w:tcPr>
            <w:tcW w:w="153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rPr>
                <w:rFonts w:ascii="Arial" w:hAnsi="Arial" w:cs="Arial"/>
                <w:b/>
                <w:bCs/>
                <w:color w:val="000000"/>
                <w:lang w:eastAsia="en-US"/>
              </w:rPr>
            </w:pPr>
          </w:p>
        </w:tc>
        <w:tc>
          <w:tcPr>
            <w:tcW w:w="1170" w:type="dxa"/>
            <w:vMerge/>
            <w:tcBorders>
              <w:left w:val="nil"/>
              <w:bottom w:val="single" w:sz="4" w:space="0" w:color="auto"/>
              <w:right w:val="single" w:sz="4" w:space="0" w:color="auto"/>
            </w:tcBorders>
            <w:shd w:val="clear" w:color="auto" w:fill="DEEAF6" w:themeFill="accent1" w:themeFillTint="33"/>
          </w:tcPr>
          <w:p w:rsidR="00196A86" w:rsidRPr="00CD41C3" w:rsidRDefault="00196A86" w:rsidP="00196A86">
            <w:pPr>
              <w:widowControl/>
              <w:autoSpaceDE/>
              <w:autoSpaceDN/>
              <w:adjustRightInd/>
              <w:jc w:val="center"/>
              <w:rPr>
                <w:rFonts w:ascii="Arial" w:hAnsi="Arial" w:cs="Arial"/>
                <w:b/>
                <w:bCs/>
                <w:color w:val="000000"/>
                <w:lang w:eastAsia="en-US"/>
              </w:rPr>
            </w:pPr>
          </w:p>
        </w:tc>
        <w:tc>
          <w:tcPr>
            <w:tcW w:w="1170" w:type="dxa"/>
            <w:tcBorders>
              <w:top w:val="nil"/>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rPr>
            </w:pPr>
            <w:r>
              <w:rPr>
                <w:rFonts w:ascii="Arial" w:hAnsi="Arial"/>
                <w:b/>
                <w:bCs/>
                <w:color w:val="000000"/>
              </w:rPr>
              <w:t>Achieved</w:t>
            </w:r>
          </w:p>
        </w:tc>
        <w:tc>
          <w:tcPr>
            <w:tcW w:w="1078"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rPr>
            </w:pPr>
            <w:r>
              <w:rPr>
                <w:rFonts w:ascii="Arial" w:hAnsi="Arial"/>
                <w:b/>
                <w:bCs/>
                <w:color w:val="000000"/>
              </w:rPr>
              <w:t>Program</w:t>
            </w:r>
          </w:p>
        </w:tc>
        <w:tc>
          <w:tcPr>
            <w:tcW w:w="1442" w:type="dxa"/>
            <w:tcBorders>
              <w:top w:val="nil"/>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rPr>
            </w:pPr>
            <w:r>
              <w:rPr>
                <w:rFonts w:ascii="Arial" w:hAnsi="Arial"/>
                <w:b/>
                <w:bCs/>
                <w:color w:val="000000"/>
              </w:rPr>
              <w:t>Degree of achievement</w:t>
            </w:r>
          </w:p>
          <w:p w:rsidR="00196A86" w:rsidRPr="00CD41C3" w:rsidRDefault="00196A86" w:rsidP="00196A86">
            <w:pPr>
              <w:widowControl/>
              <w:autoSpaceDE/>
              <w:autoSpaceDN/>
              <w:adjustRightInd/>
              <w:jc w:val="center"/>
              <w:rPr>
                <w:rFonts w:ascii="Arial" w:hAnsi="Arial" w:cs="Arial"/>
                <w:b/>
                <w:bCs/>
                <w:color w:val="000000"/>
              </w:rPr>
            </w:pPr>
            <w:r>
              <w:rPr>
                <w:rFonts w:ascii="Arial" w:hAnsi="Arial"/>
                <w:b/>
                <w:bCs/>
                <w:color w:val="000000"/>
              </w:rPr>
              <w:t>%</w:t>
            </w:r>
          </w:p>
        </w:tc>
        <w:tc>
          <w:tcPr>
            <w:tcW w:w="1170" w:type="dxa"/>
            <w:tcBorders>
              <w:top w:val="nil"/>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rPr>
            </w:pPr>
            <w:r>
              <w:rPr>
                <w:rFonts w:ascii="Arial" w:hAnsi="Arial"/>
                <w:b/>
                <w:bCs/>
                <w:color w:val="000000"/>
              </w:rPr>
              <w:t>Achieved</w:t>
            </w:r>
          </w:p>
        </w:tc>
        <w:tc>
          <w:tcPr>
            <w:tcW w:w="1080" w:type="dxa"/>
            <w:tcBorders>
              <w:top w:val="nil"/>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rPr>
            </w:pPr>
            <w:r>
              <w:rPr>
                <w:rFonts w:ascii="Arial" w:hAnsi="Arial"/>
                <w:b/>
                <w:bCs/>
                <w:color w:val="000000"/>
              </w:rPr>
              <w:t>Program</w:t>
            </w:r>
          </w:p>
        </w:tc>
        <w:tc>
          <w:tcPr>
            <w:tcW w:w="1350" w:type="dxa"/>
            <w:tcBorders>
              <w:top w:val="nil"/>
              <w:left w:val="nil"/>
              <w:bottom w:val="single" w:sz="4" w:space="0" w:color="auto"/>
              <w:right w:val="single" w:sz="4" w:space="0" w:color="auto"/>
            </w:tcBorders>
            <w:shd w:val="clear" w:color="auto" w:fill="DEEAF6" w:themeFill="accent1" w:themeFillTint="33"/>
            <w:vAlign w:val="center"/>
            <w:hideMark/>
          </w:tcPr>
          <w:p w:rsidR="00196A86" w:rsidRPr="00CD41C3" w:rsidRDefault="00196A86" w:rsidP="00196A86">
            <w:pPr>
              <w:widowControl/>
              <w:autoSpaceDE/>
              <w:autoSpaceDN/>
              <w:adjustRightInd/>
              <w:jc w:val="center"/>
              <w:rPr>
                <w:rFonts w:ascii="Arial" w:hAnsi="Arial" w:cs="Arial"/>
                <w:b/>
                <w:bCs/>
                <w:color w:val="000000"/>
              </w:rPr>
            </w:pPr>
            <w:r>
              <w:rPr>
                <w:rFonts w:ascii="Arial" w:hAnsi="Arial"/>
                <w:b/>
                <w:bCs/>
                <w:color w:val="000000"/>
              </w:rPr>
              <w:t>Degree of achievement</w:t>
            </w:r>
          </w:p>
          <w:p w:rsidR="00196A86" w:rsidRPr="00CD41C3" w:rsidRDefault="00196A86" w:rsidP="00196A86">
            <w:pPr>
              <w:widowControl/>
              <w:autoSpaceDE/>
              <w:autoSpaceDN/>
              <w:adjustRightInd/>
              <w:jc w:val="center"/>
              <w:rPr>
                <w:rFonts w:ascii="Arial" w:hAnsi="Arial" w:cs="Arial"/>
                <w:b/>
                <w:bCs/>
                <w:color w:val="000000"/>
              </w:rPr>
            </w:pPr>
            <w:r>
              <w:rPr>
                <w:rFonts w:ascii="Arial" w:hAnsi="Arial"/>
                <w:b/>
                <w:bCs/>
                <w:color w:val="000000"/>
              </w:rPr>
              <w:t>%</w:t>
            </w:r>
          </w:p>
        </w:tc>
      </w:tr>
      <w:tr w:rsidR="00196A86" w:rsidRPr="00CD41C3" w:rsidTr="007E593D">
        <w:trPr>
          <w:trHeight w:val="258"/>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196A86" w:rsidRPr="00CD41C3" w:rsidRDefault="00196A86" w:rsidP="00196A86">
            <w:pPr>
              <w:widowControl/>
              <w:autoSpaceDE/>
              <w:autoSpaceDN/>
              <w:adjustRightInd/>
              <w:jc w:val="both"/>
              <w:rPr>
                <w:rFonts w:ascii="Arial" w:hAnsi="Arial" w:cs="Arial"/>
                <w:b/>
                <w:bCs/>
                <w:color w:val="000000"/>
              </w:rPr>
            </w:pPr>
            <w:r>
              <w:rPr>
                <w:rFonts w:ascii="Arial" w:hAnsi="Arial"/>
                <w:b/>
                <w:bCs/>
                <w:color w:val="000000"/>
              </w:rPr>
              <w:t>Total investments, o/w:</w:t>
            </w:r>
          </w:p>
        </w:tc>
        <w:tc>
          <w:tcPr>
            <w:tcW w:w="1170" w:type="dxa"/>
            <w:tcBorders>
              <w:top w:val="single" w:sz="4" w:space="0" w:color="auto"/>
              <w:left w:val="nil"/>
              <w:bottom w:val="single" w:sz="4" w:space="0" w:color="auto"/>
              <w:right w:val="single" w:sz="4" w:space="0" w:color="auto"/>
            </w:tcBorders>
          </w:tcPr>
          <w:p w:rsidR="00196A86" w:rsidRPr="00304A20" w:rsidRDefault="00196A86" w:rsidP="00196A86">
            <w:pPr>
              <w:widowControl/>
              <w:autoSpaceDE/>
              <w:autoSpaceDN/>
              <w:adjustRightInd/>
              <w:jc w:val="center"/>
              <w:rPr>
                <w:rFonts w:ascii="Arial" w:hAnsi="Arial" w:cs="Arial"/>
                <w:b/>
                <w:bCs/>
                <w:color w:val="000000"/>
                <w:lang w:eastAsia="en-US"/>
              </w:rPr>
            </w:pPr>
          </w:p>
          <w:p w:rsidR="00196A86" w:rsidRPr="00304A20" w:rsidRDefault="00196A86" w:rsidP="00196A86">
            <w:pPr>
              <w:widowControl/>
              <w:autoSpaceDE/>
              <w:autoSpaceDN/>
              <w:adjustRightInd/>
              <w:jc w:val="center"/>
              <w:rPr>
                <w:rFonts w:ascii="Arial" w:hAnsi="Arial" w:cs="Arial"/>
                <w:b/>
                <w:bCs/>
                <w:color w:val="000000"/>
              </w:rPr>
            </w:pPr>
            <w:r>
              <w:rPr>
                <w:rFonts w:ascii="Arial" w:hAnsi="Arial"/>
                <w:b/>
                <w:bCs/>
                <w:color w:val="000000"/>
              </w:rPr>
              <w:t>76,625</w:t>
            </w:r>
          </w:p>
        </w:tc>
        <w:tc>
          <w:tcPr>
            <w:tcW w:w="1170" w:type="dxa"/>
            <w:tcBorders>
              <w:top w:val="nil"/>
              <w:left w:val="nil"/>
              <w:bottom w:val="single" w:sz="4" w:space="0" w:color="auto"/>
              <w:right w:val="single" w:sz="4" w:space="0" w:color="auto"/>
            </w:tcBorders>
            <w:shd w:val="clear" w:color="auto" w:fill="auto"/>
            <w:vAlign w:val="center"/>
          </w:tcPr>
          <w:p w:rsidR="00196A86" w:rsidRPr="00304A20" w:rsidRDefault="00196A86" w:rsidP="00196A86">
            <w:pPr>
              <w:jc w:val="center"/>
              <w:rPr>
                <w:rFonts w:ascii="Arial" w:hAnsi="Arial" w:cs="Arial"/>
                <w:b/>
                <w:bCs/>
                <w:color w:val="000000"/>
              </w:rPr>
            </w:pPr>
            <w:r>
              <w:rPr>
                <w:rFonts w:ascii="Arial" w:hAnsi="Arial"/>
                <w:b/>
                <w:bCs/>
                <w:color w:val="000000"/>
              </w:rPr>
              <w:t>32,317</w:t>
            </w:r>
          </w:p>
        </w:tc>
        <w:tc>
          <w:tcPr>
            <w:tcW w:w="1078" w:type="dxa"/>
            <w:tcBorders>
              <w:top w:val="nil"/>
              <w:left w:val="single" w:sz="4" w:space="0" w:color="auto"/>
              <w:bottom w:val="single" w:sz="4" w:space="0" w:color="auto"/>
              <w:right w:val="single" w:sz="4" w:space="0" w:color="auto"/>
            </w:tcBorders>
            <w:shd w:val="clear" w:color="auto" w:fill="auto"/>
            <w:vAlign w:val="center"/>
          </w:tcPr>
          <w:p w:rsidR="00196A86" w:rsidRPr="00304A20" w:rsidRDefault="00196A86" w:rsidP="00196A86">
            <w:pPr>
              <w:widowControl/>
              <w:autoSpaceDE/>
              <w:autoSpaceDN/>
              <w:adjustRightInd/>
              <w:jc w:val="center"/>
              <w:rPr>
                <w:rFonts w:ascii="Arial" w:hAnsi="Arial" w:cs="Arial"/>
                <w:b/>
                <w:bCs/>
                <w:color w:val="000000"/>
              </w:rPr>
            </w:pPr>
            <w:r>
              <w:rPr>
                <w:rFonts w:ascii="Arial" w:hAnsi="Arial"/>
                <w:b/>
                <w:bCs/>
                <w:color w:val="000000"/>
              </w:rPr>
              <w:t>35,495</w:t>
            </w:r>
          </w:p>
        </w:tc>
        <w:tc>
          <w:tcPr>
            <w:tcW w:w="1442" w:type="dxa"/>
            <w:tcBorders>
              <w:top w:val="nil"/>
              <w:left w:val="nil"/>
              <w:bottom w:val="single" w:sz="4" w:space="0" w:color="auto"/>
              <w:right w:val="single" w:sz="4" w:space="0" w:color="auto"/>
            </w:tcBorders>
            <w:shd w:val="clear" w:color="auto" w:fill="auto"/>
            <w:vAlign w:val="center"/>
          </w:tcPr>
          <w:p w:rsidR="00196A86" w:rsidRPr="00304A20" w:rsidRDefault="00196A86" w:rsidP="00196A86">
            <w:pPr>
              <w:widowControl/>
              <w:autoSpaceDE/>
              <w:autoSpaceDN/>
              <w:adjustRightInd/>
              <w:jc w:val="center"/>
              <w:rPr>
                <w:rFonts w:ascii="Arial" w:hAnsi="Arial" w:cs="Arial"/>
                <w:b/>
                <w:color w:val="000000"/>
              </w:rPr>
            </w:pPr>
            <w:r>
              <w:rPr>
                <w:rFonts w:ascii="Arial" w:hAnsi="Arial"/>
                <w:b/>
                <w:color w:val="000000"/>
              </w:rPr>
              <w:t>91%</w:t>
            </w:r>
          </w:p>
        </w:tc>
        <w:tc>
          <w:tcPr>
            <w:tcW w:w="1170" w:type="dxa"/>
            <w:tcBorders>
              <w:top w:val="nil"/>
              <w:left w:val="nil"/>
              <w:bottom w:val="single" w:sz="4" w:space="0" w:color="auto"/>
              <w:right w:val="single" w:sz="4" w:space="0" w:color="auto"/>
            </w:tcBorders>
            <w:shd w:val="clear" w:color="auto" w:fill="auto"/>
            <w:vAlign w:val="center"/>
          </w:tcPr>
          <w:p w:rsidR="00196A86" w:rsidRPr="00304A20" w:rsidRDefault="00196A86" w:rsidP="00196A86">
            <w:pPr>
              <w:jc w:val="center"/>
              <w:rPr>
                <w:rFonts w:ascii="Arial" w:hAnsi="Arial" w:cs="Arial"/>
                <w:b/>
                <w:bCs/>
                <w:color w:val="000000"/>
              </w:rPr>
            </w:pPr>
            <w:r>
              <w:rPr>
                <w:rFonts w:ascii="Arial" w:hAnsi="Arial"/>
                <w:b/>
                <w:bCs/>
                <w:color w:val="000000"/>
              </w:rPr>
              <w:t>14,719</w:t>
            </w:r>
          </w:p>
        </w:tc>
        <w:tc>
          <w:tcPr>
            <w:tcW w:w="1080" w:type="dxa"/>
            <w:tcBorders>
              <w:top w:val="nil"/>
              <w:left w:val="nil"/>
              <w:bottom w:val="single" w:sz="4" w:space="0" w:color="auto"/>
              <w:right w:val="single" w:sz="4" w:space="0" w:color="auto"/>
            </w:tcBorders>
            <w:shd w:val="clear" w:color="auto" w:fill="auto"/>
            <w:vAlign w:val="center"/>
          </w:tcPr>
          <w:p w:rsidR="00196A86" w:rsidRPr="00304A20" w:rsidRDefault="00196A86" w:rsidP="00196A86">
            <w:pPr>
              <w:jc w:val="center"/>
              <w:rPr>
                <w:rFonts w:ascii="Arial" w:hAnsi="Arial" w:cs="Arial"/>
                <w:b/>
                <w:bCs/>
                <w:color w:val="000000"/>
              </w:rPr>
            </w:pPr>
            <w:r>
              <w:rPr>
                <w:rFonts w:ascii="Arial" w:hAnsi="Arial"/>
                <w:b/>
                <w:bCs/>
                <w:color w:val="000000"/>
              </w:rPr>
              <w:t>19,108</w:t>
            </w:r>
          </w:p>
        </w:tc>
        <w:tc>
          <w:tcPr>
            <w:tcW w:w="1350" w:type="dxa"/>
            <w:tcBorders>
              <w:top w:val="nil"/>
              <w:left w:val="nil"/>
              <w:bottom w:val="single" w:sz="4" w:space="0" w:color="auto"/>
              <w:right w:val="single" w:sz="4" w:space="0" w:color="auto"/>
            </w:tcBorders>
            <w:shd w:val="clear" w:color="auto" w:fill="auto"/>
            <w:vAlign w:val="center"/>
          </w:tcPr>
          <w:p w:rsidR="00196A86" w:rsidRPr="00304A20" w:rsidRDefault="00196A86" w:rsidP="00196A86">
            <w:pPr>
              <w:widowControl/>
              <w:autoSpaceDE/>
              <w:autoSpaceDN/>
              <w:adjustRightInd/>
              <w:jc w:val="center"/>
              <w:rPr>
                <w:rFonts w:ascii="Arial" w:hAnsi="Arial" w:cs="Arial"/>
                <w:b/>
                <w:color w:val="000000"/>
              </w:rPr>
            </w:pPr>
            <w:r>
              <w:rPr>
                <w:rFonts w:ascii="Arial" w:hAnsi="Arial"/>
                <w:b/>
                <w:color w:val="000000"/>
              </w:rPr>
              <w:t>77%</w:t>
            </w:r>
          </w:p>
        </w:tc>
      </w:tr>
      <w:tr w:rsidR="00196A86" w:rsidRPr="00CD41C3" w:rsidTr="007E593D">
        <w:trPr>
          <w:trHeight w:val="550"/>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196A86" w:rsidRPr="00CD41C3" w:rsidRDefault="00196A86" w:rsidP="00196A86">
            <w:pPr>
              <w:widowControl/>
              <w:autoSpaceDE/>
              <w:autoSpaceDN/>
              <w:adjustRightInd/>
              <w:jc w:val="both"/>
              <w:rPr>
                <w:rFonts w:ascii="Arial" w:hAnsi="Arial" w:cs="Arial"/>
                <w:color w:val="000000"/>
              </w:rPr>
            </w:pPr>
            <w:r>
              <w:rPr>
                <w:rFonts w:ascii="Arial" w:hAnsi="Arial"/>
                <w:color w:val="000000"/>
              </w:rPr>
              <w:t>Public Domain</w:t>
            </w:r>
          </w:p>
        </w:tc>
        <w:tc>
          <w:tcPr>
            <w:tcW w:w="1170" w:type="dxa"/>
            <w:tcBorders>
              <w:top w:val="single" w:sz="4" w:space="0" w:color="auto"/>
              <w:left w:val="nil"/>
              <w:bottom w:val="single" w:sz="4" w:space="0" w:color="auto"/>
              <w:right w:val="single" w:sz="4" w:space="0" w:color="auto"/>
            </w:tcBorders>
            <w:vAlign w:val="center"/>
          </w:tcPr>
          <w:p w:rsidR="00196A86" w:rsidRPr="00CD41C3" w:rsidRDefault="00196A86" w:rsidP="00196A86">
            <w:pPr>
              <w:widowControl/>
              <w:autoSpaceDE/>
              <w:autoSpaceDN/>
              <w:adjustRightInd/>
              <w:jc w:val="center"/>
              <w:rPr>
                <w:rFonts w:ascii="Arial" w:hAnsi="Arial" w:cs="Arial"/>
                <w:color w:val="000000"/>
              </w:rPr>
            </w:pPr>
            <w:r>
              <w:rPr>
                <w:rFonts w:ascii="Arial" w:hAnsi="Arial"/>
                <w:color w:val="000000"/>
              </w:rPr>
              <w:t>64,521</w:t>
            </w:r>
          </w:p>
        </w:tc>
        <w:tc>
          <w:tcPr>
            <w:tcW w:w="1170"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30,121</w:t>
            </w:r>
          </w:p>
        </w:tc>
        <w:tc>
          <w:tcPr>
            <w:tcW w:w="1078" w:type="dxa"/>
            <w:tcBorders>
              <w:top w:val="nil"/>
              <w:left w:val="single" w:sz="4" w:space="0" w:color="auto"/>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32,902</w:t>
            </w:r>
          </w:p>
        </w:tc>
        <w:tc>
          <w:tcPr>
            <w:tcW w:w="1442"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92%</w:t>
            </w:r>
          </w:p>
        </w:tc>
        <w:tc>
          <w:tcPr>
            <w:tcW w:w="1170"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11,695</w:t>
            </w:r>
          </w:p>
        </w:tc>
        <w:tc>
          <w:tcPr>
            <w:tcW w:w="1080"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16,834</w:t>
            </w:r>
          </w:p>
        </w:tc>
        <w:tc>
          <w:tcPr>
            <w:tcW w:w="1350"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69%</w:t>
            </w:r>
          </w:p>
        </w:tc>
      </w:tr>
      <w:tr w:rsidR="00196A86" w:rsidRPr="00CD41C3" w:rsidTr="007E593D">
        <w:trPr>
          <w:trHeight w:val="613"/>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196A86" w:rsidRPr="00CD41C3" w:rsidRDefault="00196A86" w:rsidP="00196A86">
            <w:pPr>
              <w:widowControl/>
              <w:autoSpaceDE/>
              <w:autoSpaceDN/>
              <w:adjustRightInd/>
              <w:jc w:val="both"/>
              <w:rPr>
                <w:rFonts w:ascii="Arial" w:hAnsi="Arial" w:cs="Arial"/>
                <w:color w:val="000000"/>
              </w:rPr>
            </w:pPr>
            <w:r>
              <w:rPr>
                <w:rFonts w:ascii="Arial" w:hAnsi="Arial"/>
                <w:color w:val="000000"/>
              </w:rPr>
              <w:t>Operating Domain</w:t>
            </w:r>
          </w:p>
        </w:tc>
        <w:tc>
          <w:tcPr>
            <w:tcW w:w="1170" w:type="dxa"/>
            <w:tcBorders>
              <w:top w:val="single" w:sz="4" w:space="0" w:color="auto"/>
              <w:left w:val="nil"/>
              <w:bottom w:val="single" w:sz="4" w:space="0" w:color="auto"/>
              <w:right w:val="single" w:sz="4" w:space="0" w:color="auto"/>
            </w:tcBorders>
            <w:vAlign w:val="center"/>
          </w:tcPr>
          <w:p w:rsidR="00196A86" w:rsidRPr="00CD41C3" w:rsidRDefault="00196A86" w:rsidP="00196A86">
            <w:pPr>
              <w:widowControl/>
              <w:autoSpaceDE/>
              <w:autoSpaceDN/>
              <w:adjustRightInd/>
              <w:jc w:val="center"/>
              <w:rPr>
                <w:rFonts w:ascii="Arial" w:hAnsi="Arial" w:cs="Arial"/>
                <w:color w:val="000000"/>
              </w:rPr>
            </w:pPr>
            <w:r>
              <w:rPr>
                <w:rFonts w:ascii="Arial" w:hAnsi="Arial"/>
                <w:color w:val="000000"/>
              </w:rPr>
              <w:t>12,104</w:t>
            </w:r>
          </w:p>
        </w:tc>
        <w:tc>
          <w:tcPr>
            <w:tcW w:w="1170"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2,196</w:t>
            </w:r>
          </w:p>
        </w:tc>
        <w:tc>
          <w:tcPr>
            <w:tcW w:w="1078" w:type="dxa"/>
            <w:tcBorders>
              <w:top w:val="nil"/>
              <w:left w:val="single" w:sz="4" w:space="0" w:color="auto"/>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2,593</w:t>
            </w:r>
          </w:p>
        </w:tc>
        <w:tc>
          <w:tcPr>
            <w:tcW w:w="1442"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85%</w:t>
            </w:r>
          </w:p>
        </w:tc>
        <w:tc>
          <w:tcPr>
            <w:tcW w:w="1170"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3,024</w:t>
            </w:r>
          </w:p>
        </w:tc>
        <w:tc>
          <w:tcPr>
            <w:tcW w:w="1080"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2,274</w:t>
            </w:r>
          </w:p>
        </w:tc>
        <w:tc>
          <w:tcPr>
            <w:tcW w:w="1350" w:type="dxa"/>
            <w:tcBorders>
              <w:top w:val="nil"/>
              <w:left w:val="nil"/>
              <w:bottom w:val="single" w:sz="4" w:space="0" w:color="auto"/>
              <w:right w:val="single" w:sz="4" w:space="0" w:color="auto"/>
            </w:tcBorders>
            <w:shd w:val="clear" w:color="auto" w:fill="auto"/>
            <w:vAlign w:val="center"/>
          </w:tcPr>
          <w:p w:rsidR="00196A86" w:rsidRPr="00C12418" w:rsidRDefault="00196A86" w:rsidP="00196A86">
            <w:pPr>
              <w:jc w:val="center"/>
              <w:rPr>
                <w:rFonts w:ascii="Arial" w:hAnsi="Arial" w:cs="Arial"/>
                <w:color w:val="000000"/>
              </w:rPr>
            </w:pPr>
            <w:r>
              <w:rPr>
                <w:rFonts w:ascii="Arial" w:hAnsi="Arial"/>
                <w:color w:val="000000"/>
              </w:rPr>
              <w:t>133%</w:t>
            </w:r>
          </w:p>
        </w:tc>
      </w:tr>
    </w:tbl>
    <w:p w:rsidR="008D6716" w:rsidRDefault="008D6716" w:rsidP="00196A86">
      <w:pPr>
        <w:rPr>
          <w:rFonts w:ascii="Arial" w:hAnsi="Arial" w:cs="Arial"/>
          <w:i/>
          <w:sz w:val="18"/>
          <w:szCs w:val="18"/>
        </w:rPr>
      </w:pPr>
    </w:p>
    <w:p w:rsidR="005E7DD9" w:rsidRPr="008F5405" w:rsidRDefault="005E7DD9" w:rsidP="008F5405">
      <w:pPr>
        <w:ind w:firstLine="720"/>
        <w:jc w:val="center"/>
        <w:rPr>
          <w:rFonts w:ascii="Arial" w:hAnsi="Arial" w:cs="Arial"/>
          <w:sz w:val="16"/>
          <w:szCs w:val="16"/>
        </w:rPr>
      </w:pPr>
      <w:r>
        <w:rPr>
          <w:rFonts w:ascii="Arial" w:hAnsi="Arial"/>
          <w:sz w:val="16"/>
          <w:szCs w:val="16"/>
        </w:rPr>
        <w:t>Table 4 - Evolution of the investments achieved in 2018 H1 as compared to program and the similar period in 2017</w:t>
      </w:r>
    </w:p>
    <w:p w:rsidR="008A1756" w:rsidRDefault="008A1756" w:rsidP="005E7DD9">
      <w:pPr>
        <w:ind w:firstLine="720"/>
        <w:jc w:val="center"/>
        <w:rPr>
          <w:rFonts w:ascii="Arial" w:hAnsi="Arial" w:cs="Arial"/>
          <w:i/>
          <w:sz w:val="18"/>
          <w:szCs w:val="18"/>
        </w:rPr>
      </w:pPr>
    </w:p>
    <w:p w:rsidR="008D6716" w:rsidRDefault="008D6716" w:rsidP="005E7DD9">
      <w:pPr>
        <w:ind w:firstLine="720"/>
        <w:jc w:val="center"/>
        <w:rPr>
          <w:rFonts w:ascii="Arial" w:hAnsi="Arial" w:cs="Arial"/>
          <w:i/>
          <w:sz w:val="18"/>
          <w:szCs w:val="18"/>
        </w:rPr>
      </w:pPr>
    </w:p>
    <w:p w:rsidR="00090F8B" w:rsidRDefault="00090F8B" w:rsidP="005E7DD9">
      <w:pPr>
        <w:ind w:firstLine="720"/>
        <w:jc w:val="center"/>
        <w:rPr>
          <w:rFonts w:ascii="Arial" w:hAnsi="Arial" w:cs="Arial"/>
          <w:i/>
          <w:sz w:val="18"/>
          <w:szCs w:val="18"/>
        </w:rPr>
      </w:pPr>
    </w:p>
    <w:p w:rsidR="009435DD" w:rsidRDefault="009435DD" w:rsidP="00927FAB">
      <w:pPr>
        <w:rPr>
          <w:rFonts w:ascii="Arial" w:hAnsi="Arial" w:cs="Arial"/>
          <w:i/>
          <w:sz w:val="18"/>
          <w:szCs w:val="18"/>
        </w:rPr>
      </w:pPr>
    </w:p>
    <w:p w:rsidR="009435DD" w:rsidRDefault="009435DD" w:rsidP="00927FAB">
      <w:pPr>
        <w:rPr>
          <w:rFonts w:ascii="Arial" w:hAnsi="Arial" w:cs="Arial"/>
          <w:i/>
          <w:sz w:val="18"/>
          <w:szCs w:val="18"/>
        </w:rPr>
      </w:pPr>
    </w:p>
    <w:p w:rsidR="00A533C9" w:rsidRDefault="009435DD" w:rsidP="00A533C9">
      <w:pPr>
        <w:jc w:val="center"/>
        <w:rPr>
          <w:noProof/>
        </w:rPr>
      </w:pPr>
      <w:r>
        <w:t xml:space="preserve">                </w:t>
      </w:r>
      <w:r w:rsidR="007E593D">
        <w:rPr>
          <w:noProof/>
          <w:lang w:eastAsia="en-US"/>
        </w:rPr>
        <w:drawing>
          <wp:inline distT="0" distB="0" distL="0" distR="0" wp14:anchorId="0BA54F40" wp14:editId="5B797EA2">
            <wp:extent cx="3105150" cy="2505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5150" cy="2505075"/>
                    </a:xfrm>
                    <a:prstGeom prst="rect">
                      <a:avLst/>
                    </a:prstGeom>
                  </pic:spPr>
                </pic:pic>
              </a:graphicData>
            </a:graphic>
          </wp:inline>
        </w:drawing>
      </w:r>
    </w:p>
    <w:p w:rsidR="009435DD" w:rsidRPr="00E963DB" w:rsidRDefault="00A533C9" w:rsidP="00A533C9">
      <w:pPr>
        <w:rPr>
          <w:rFonts w:ascii="Arial" w:hAnsi="Arial" w:cs="Arial"/>
          <w:sz w:val="16"/>
          <w:szCs w:val="16"/>
        </w:rPr>
      </w:pPr>
      <w:r>
        <w:rPr>
          <w:rFonts w:ascii="Arial" w:hAnsi="Arial"/>
          <w:sz w:val="16"/>
          <w:szCs w:val="16"/>
        </w:rPr>
        <w:t xml:space="preserve">                                                       Chart 2 - Evolution of the total investments achieved as compared to 2018 H1 program</w:t>
      </w:r>
    </w:p>
    <w:p w:rsidR="00B03D55" w:rsidRDefault="00A533C9" w:rsidP="007E5557">
      <w:r>
        <w:t xml:space="preserve">        </w:t>
      </w:r>
    </w:p>
    <w:p w:rsidR="00B03D55" w:rsidRDefault="00A533C9" w:rsidP="00B03D55">
      <w:pPr>
        <w:tabs>
          <w:tab w:val="left" w:pos="6540"/>
        </w:tabs>
      </w:pPr>
      <w:r>
        <w:t xml:space="preserve">  </w:t>
      </w:r>
    </w:p>
    <w:p w:rsidR="00B03D55" w:rsidRDefault="00B03D55" w:rsidP="00B03D55">
      <w:pPr>
        <w:tabs>
          <w:tab w:val="left" w:pos="6540"/>
        </w:tabs>
      </w:pPr>
    </w:p>
    <w:p w:rsidR="00B03D55" w:rsidRDefault="00B03D55" w:rsidP="00B03D55">
      <w:pPr>
        <w:tabs>
          <w:tab w:val="left" w:pos="6540"/>
        </w:tabs>
      </w:pPr>
    </w:p>
    <w:p w:rsidR="00B03D55" w:rsidRDefault="00B03D55" w:rsidP="00B03D55">
      <w:pPr>
        <w:tabs>
          <w:tab w:val="left" w:pos="6540"/>
        </w:tabs>
      </w:pPr>
      <w:r>
        <w:rPr>
          <w:rFonts w:ascii="Arial" w:hAnsi="Arial"/>
          <w:noProof/>
          <w:sz w:val="16"/>
          <w:szCs w:val="16"/>
          <w:lang w:eastAsia="en-US"/>
        </w:rPr>
        <w:lastRenderedPageBreak/>
        <mc:AlternateContent>
          <mc:Choice Requires="wps">
            <w:drawing>
              <wp:anchor distT="0" distB="0" distL="114300" distR="114300" simplePos="0" relativeHeight="251664384" behindDoc="0" locked="0" layoutInCell="1" allowOverlap="1">
                <wp:simplePos x="0" y="0"/>
                <wp:positionH relativeFrom="column">
                  <wp:posOffset>3044190</wp:posOffset>
                </wp:positionH>
                <wp:positionV relativeFrom="paragraph">
                  <wp:posOffset>1741805</wp:posOffset>
                </wp:positionV>
                <wp:extent cx="2466975" cy="5429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466975"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03D55" w:rsidRDefault="00B03D55" w:rsidP="00B03D55">
                            <w:pPr>
                              <w:rPr>
                                <w:noProof/>
                              </w:rPr>
                            </w:pPr>
                            <w:r>
                              <w:rPr>
                                <w:rFonts w:ascii="Arial" w:hAnsi="Arial"/>
                                <w:sz w:val="16"/>
                                <w:szCs w:val="16"/>
                              </w:rPr>
                              <w:t>Chart 4 - Evolution of the inv</w:t>
                            </w:r>
                            <w:r>
                              <w:rPr>
                                <w:rFonts w:ascii="Arial" w:hAnsi="Arial"/>
                                <w:sz w:val="16"/>
                                <w:szCs w:val="16"/>
                              </w:rPr>
                              <w:t xml:space="preserve">estments in the operating domain </w:t>
                            </w:r>
                            <w:r>
                              <w:rPr>
                                <w:rFonts w:ascii="Arial" w:hAnsi="Arial"/>
                                <w:sz w:val="16"/>
                                <w:szCs w:val="16"/>
                              </w:rPr>
                              <w:t xml:space="preserve">achieved </w:t>
                            </w:r>
                            <w:proofErr w:type="gramStart"/>
                            <w:r>
                              <w:rPr>
                                <w:rFonts w:ascii="Arial" w:hAnsi="Arial"/>
                                <w:sz w:val="16"/>
                                <w:szCs w:val="16"/>
                              </w:rPr>
                              <w:t>in  Semester</w:t>
                            </w:r>
                            <w:proofErr w:type="gramEnd"/>
                            <w:r>
                              <w:rPr>
                                <w:rFonts w:ascii="Arial" w:hAnsi="Arial"/>
                                <w:sz w:val="16"/>
                                <w:szCs w:val="16"/>
                              </w:rPr>
                              <w:t xml:space="preserve"> I 2018 as compared to Semester I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239.7pt;margin-top:137.15pt;width:194.25pt;height:4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" fillcolor="white [3201]" strokecolor="#70ad47 [3209]" strokeweight="1pt">
                <v:textbox>
                  <w:txbxContent>
                    <w:p w:rsidR="00B03D55" w:rsidRDefault="00B03D55" w:rsidP="00B03D55">
                      <w:pPr>
                        <w:rPr>
                          <w:noProof/>
                        </w:rPr>
                      </w:pPr>
                      <w:r>
                        <w:rPr>
                          <w:rFonts w:ascii="Arial" w:hAnsi="Arial"/>
                          <w:sz w:val="16"/>
                          <w:szCs w:val="16"/>
                        </w:rPr>
                        <w:t>Chart 4 - Evolution of the inv</w:t>
                      </w:r>
                      <w:r>
                        <w:rPr>
                          <w:rFonts w:ascii="Arial" w:hAnsi="Arial"/>
                          <w:sz w:val="16"/>
                          <w:szCs w:val="16"/>
                        </w:rPr>
                        <w:t xml:space="preserve">estments in the operating domain </w:t>
                      </w:r>
                      <w:r>
                        <w:rPr>
                          <w:rFonts w:ascii="Arial" w:hAnsi="Arial"/>
                          <w:sz w:val="16"/>
                          <w:szCs w:val="16"/>
                        </w:rPr>
                        <w:t xml:space="preserve">achieved </w:t>
                      </w:r>
                      <w:proofErr w:type="gramStart"/>
                      <w:r>
                        <w:rPr>
                          <w:rFonts w:ascii="Arial" w:hAnsi="Arial"/>
                          <w:sz w:val="16"/>
                          <w:szCs w:val="16"/>
                        </w:rPr>
                        <w:t>in  Semester</w:t>
                      </w:r>
                      <w:proofErr w:type="gramEnd"/>
                      <w:r>
                        <w:rPr>
                          <w:rFonts w:ascii="Arial" w:hAnsi="Arial"/>
                          <w:sz w:val="16"/>
                          <w:szCs w:val="16"/>
                        </w:rPr>
                        <w:t xml:space="preserve"> I 2018 as compared to Semester I 2017</w:t>
                      </w:r>
                    </w:p>
                  </w:txbxContent>
                </v:textbox>
              </v:rect>
            </w:pict>
          </mc:Fallback>
        </mc:AlternateContent>
      </w: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-194310</wp:posOffset>
                </wp:positionH>
                <wp:positionV relativeFrom="paragraph">
                  <wp:posOffset>1713230</wp:posOffset>
                </wp:positionV>
                <wp:extent cx="2686050" cy="5524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268605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03D55" w:rsidRDefault="00B03D55" w:rsidP="00B03D55">
                            <w:pPr>
                              <w:jc w:val="center"/>
                            </w:pPr>
                            <w:r>
                              <w:rPr>
                                <w:rFonts w:ascii="Arial" w:hAnsi="Arial"/>
                                <w:sz w:val="16"/>
                                <w:szCs w:val="16"/>
                              </w:rPr>
                              <w:t xml:space="preserve">Chart 3 </w:t>
                            </w:r>
                            <w:proofErr w:type="gramStart"/>
                            <w:r>
                              <w:rPr>
                                <w:rFonts w:ascii="Arial" w:hAnsi="Arial"/>
                                <w:sz w:val="16"/>
                                <w:szCs w:val="16"/>
                              </w:rPr>
                              <w:t>-  Evolution</w:t>
                            </w:r>
                            <w:proofErr w:type="gramEnd"/>
                            <w:r>
                              <w:rPr>
                                <w:rFonts w:ascii="Arial" w:hAnsi="Arial"/>
                                <w:sz w:val="16"/>
                                <w:szCs w:val="16"/>
                              </w:rPr>
                              <w:t xml:space="preserve"> of investments in the public domain achieved</w:t>
                            </w:r>
                            <w:r>
                              <w:rPr>
                                <w:rFonts w:ascii="Arial" w:hAnsi="Arial"/>
                                <w:sz w:val="16"/>
                                <w:szCs w:val="16"/>
                              </w:rPr>
                              <w:t xml:space="preserve"> </w:t>
                            </w:r>
                            <w:r>
                              <w:rPr>
                                <w:rFonts w:ascii="Arial" w:hAnsi="Arial"/>
                                <w:sz w:val="16"/>
                                <w:szCs w:val="16"/>
                              </w:rPr>
                              <w:t xml:space="preserve">as compared to program Semester I 2018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7" style="position:absolute;margin-left:-15.3pt;margin-top:134.9pt;width:211.5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" fillcolor="white [3201]" strokecolor="#70ad47 [3209]" strokeweight="1pt">
                <v:textbox>
                  <w:txbxContent>
                    <w:p w:rsidR="00B03D55" w:rsidRDefault="00B03D55" w:rsidP="00B03D55">
                      <w:pPr>
                        <w:jc w:val="center"/>
                      </w:pPr>
                      <w:r>
                        <w:rPr>
                          <w:rFonts w:ascii="Arial" w:hAnsi="Arial"/>
                          <w:sz w:val="16"/>
                          <w:szCs w:val="16"/>
                        </w:rPr>
                        <w:t xml:space="preserve">Chart 3 </w:t>
                      </w:r>
                      <w:proofErr w:type="gramStart"/>
                      <w:r>
                        <w:rPr>
                          <w:rFonts w:ascii="Arial" w:hAnsi="Arial"/>
                          <w:sz w:val="16"/>
                          <w:szCs w:val="16"/>
                        </w:rPr>
                        <w:t>-  Evolution</w:t>
                      </w:r>
                      <w:proofErr w:type="gramEnd"/>
                      <w:r>
                        <w:rPr>
                          <w:rFonts w:ascii="Arial" w:hAnsi="Arial"/>
                          <w:sz w:val="16"/>
                          <w:szCs w:val="16"/>
                        </w:rPr>
                        <w:t xml:space="preserve"> of investments in the public domain achieved</w:t>
                      </w:r>
                      <w:r>
                        <w:rPr>
                          <w:rFonts w:ascii="Arial" w:hAnsi="Arial"/>
                          <w:sz w:val="16"/>
                          <w:szCs w:val="16"/>
                        </w:rPr>
                        <w:t xml:space="preserve"> </w:t>
                      </w:r>
                      <w:r>
                        <w:rPr>
                          <w:rFonts w:ascii="Arial" w:hAnsi="Arial"/>
                          <w:sz w:val="16"/>
                          <w:szCs w:val="16"/>
                        </w:rPr>
                        <w:t xml:space="preserve">as compared to program Semester I 2018                                      </w:t>
                      </w:r>
                    </w:p>
                  </w:txbxContent>
                </v:textbox>
              </v:rect>
            </w:pict>
          </mc:Fallback>
        </mc:AlternateContent>
      </w:r>
      <w:r w:rsidR="00A533C9">
        <w:t xml:space="preserve">   </w:t>
      </w:r>
      <w:r w:rsidR="007E593D">
        <w:rPr>
          <w:noProof/>
          <w:lang w:eastAsia="en-US"/>
        </w:rPr>
        <w:drawing>
          <wp:inline distT="0" distB="0" distL="0" distR="0" wp14:anchorId="5CB8740B" wp14:editId="1F01008D">
            <wp:extent cx="2351354" cy="1809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5649" cy="1820752"/>
                    </a:xfrm>
                    <a:prstGeom prst="rect">
                      <a:avLst/>
                    </a:prstGeom>
                  </pic:spPr>
                </pic:pic>
              </a:graphicData>
            </a:graphic>
          </wp:inline>
        </w:drawing>
      </w:r>
      <w:r w:rsidR="00A533C9">
        <w:t xml:space="preserve">             </w:t>
      </w:r>
      <w:r>
        <w:rPr>
          <w:noProof/>
          <w:lang w:eastAsia="en-US"/>
        </w:rPr>
        <w:drawing>
          <wp:inline distT="0" distB="0" distL="0" distR="0" wp14:anchorId="7AD8E0A1" wp14:editId="6D2E8316">
            <wp:extent cx="2350890" cy="10280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9560" cy="1044976"/>
                    </a:xfrm>
                    <a:prstGeom prst="rect">
                      <a:avLst/>
                    </a:prstGeom>
                  </pic:spPr>
                </pic:pic>
              </a:graphicData>
            </a:graphic>
          </wp:inline>
        </w:drawing>
      </w:r>
      <w:r>
        <w:tab/>
      </w:r>
    </w:p>
    <w:p w:rsidR="00B03D55" w:rsidRDefault="00B03D55" w:rsidP="007E5557">
      <w:pPr>
        <w:rPr>
          <w:rFonts w:ascii="Arial" w:hAnsi="Arial"/>
          <w:sz w:val="16"/>
          <w:szCs w:val="16"/>
        </w:rPr>
      </w:pPr>
    </w:p>
    <w:p w:rsidR="00B03D55" w:rsidRDefault="00B03D55" w:rsidP="007E5557">
      <w:pPr>
        <w:rPr>
          <w:rFonts w:ascii="Arial" w:hAnsi="Arial"/>
          <w:sz w:val="16"/>
          <w:szCs w:val="16"/>
        </w:rPr>
      </w:pPr>
    </w:p>
    <w:p w:rsidR="00B03D55" w:rsidRDefault="00B03D55" w:rsidP="007E5557">
      <w:pPr>
        <w:rPr>
          <w:rFonts w:ascii="Arial" w:hAnsi="Arial"/>
          <w:sz w:val="16"/>
          <w:szCs w:val="16"/>
        </w:rPr>
      </w:pPr>
    </w:p>
    <w:p w:rsidR="00B03D55" w:rsidRDefault="00B03D55" w:rsidP="007E5557">
      <w:pPr>
        <w:rPr>
          <w:rFonts w:ascii="Arial" w:hAnsi="Arial"/>
          <w:sz w:val="16"/>
          <w:szCs w:val="16"/>
        </w:rPr>
      </w:pPr>
    </w:p>
    <w:p w:rsidR="00B03D55" w:rsidRDefault="00B03D55" w:rsidP="007E5557">
      <w:pPr>
        <w:rPr>
          <w:rFonts w:ascii="Arial" w:hAnsi="Arial"/>
          <w:sz w:val="16"/>
          <w:szCs w:val="16"/>
        </w:rPr>
      </w:pPr>
    </w:p>
    <w:p w:rsidR="00561116" w:rsidRPr="00146570" w:rsidRDefault="00A533C9" w:rsidP="00146570">
      <w:pPr>
        <w:ind w:firstLine="720"/>
        <w:jc w:val="center"/>
        <w:rPr>
          <w:rFonts w:ascii="Arial" w:hAnsi="Arial" w:cs="Arial"/>
          <w:i/>
          <w:sz w:val="18"/>
          <w:szCs w:val="18"/>
        </w:rPr>
      </w:pPr>
      <w:r>
        <w:rPr>
          <w:rFonts w:ascii="Arial" w:hAnsi="Arial"/>
          <w:i/>
          <w:sz w:val="18"/>
          <w:szCs w:val="18"/>
        </w:rPr>
        <w:t xml:space="preserve">                                                          </w:t>
      </w:r>
    </w:p>
    <w:p w:rsidR="002A6388" w:rsidRPr="009828D6" w:rsidRDefault="00304A20" w:rsidP="00D87DA4">
      <w:pPr>
        <w:pStyle w:val="ListParagraph"/>
        <w:numPr>
          <w:ilvl w:val="1"/>
          <w:numId w:val="19"/>
        </w:numPr>
        <w:jc w:val="both"/>
        <w:rPr>
          <w:rFonts w:ascii="Arial" w:hAnsi="Arial" w:cs="Arial"/>
          <w:b/>
          <w:color w:val="1F4E79" w:themeColor="accent1" w:themeShade="80"/>
          <w:sz w:val="24"/>
          <w:szCs w:val="24"/>
        </w:rPr>
      </w:pPr>
      <w:r>
        <w:rPr>
          <w:rFonts w:ascii="Arial" w:hAnsi="Arial"/>
          <w:b/>
          <w:color w:val="1F4E79" w:themeColor="accent1" w:themeShade="80"/>
          <w:sz w:val="24"/>
          <w:szCs w:val="24"/>
        </w:rPr>
        <w:t xml:space="preserve"> Company’s Stock Market Indicators </w:t>
      </w:r>
    </w:p>
    <w:p w:rsidR="00D167B7" w:rsidRPr="00D167B7" w:rsidRDefault="00D167B7" w:rsidP="00D167B7">
      <w:pPr>
        <w:tabs>
          <w:tab w:val="left" w:pos="450"/>
        </w:tabs>
        <w:jc w:val="both"/>
        <w:rPr>
          <w:rFonts w:ascii="Arial" w:hAnsi="Arial" w:cs="Arial"/>
          <w:sz w:val="22"/>
          <w:szCs w:val="22"/>
        </w:rPr>
      </w:pPr>
      <w:r>
        <w:rPr>
          <w:rFonts w:ascii="Arial" w:hAnsi="Arial"/>
          <w:sz w:val="22"/>
          <w:szCs w:val="22"/>
        </w:rPr>
        <w:t>At 30.06.2018, CONPET S.A. had a market capitalization of 779.18 million RON (167.16 million Euro), ranking 18 in “Top 25 issuers according to capitalization”.</w:t>
      </w:r>
    </w:p>
    <w:p w:rsidR="00D167B7" w:rsidRDefault="00D167B7" w:rsidP="00494DDD">
      <w:pPr>
        <w:tabs>
          <w:tab w:val="left" w:pos="450"/>
        </w:tabs>
        <w:jc w:val="both"/>
        <w:rPr>
          <w:rFonts w:ascii="Arial" w:hAnsi="Arial" w:cs="Arial"/>
          <w:sz w:val="22"/>
          <w:szCs w:val="22"/>
        </w:rPr>
      </w:pPr>
    </w:p>
    <w:p w:rsidR="00494DDD" w:rsidRPr="00494DDD" w:rsidRDefault="00494DDD" w:rsidP="00494DDD">
      <w:pPr>
        <w:tabs>
          <w:tab w:val="left" w:pos="450"/>
        </w:tabs>
        <w:jc w:val="both"/>
        <w:rPr>
          <w:rFonts w:ascii="Arial" w:hAnsi="Arial" w:cs="Arial"/>
          <w:sz w:val="22"/>
          <w:szCs w:val="22"/>
        </w:rPr>
      </w:pPr>
      <w:r>
        <w:rPr>
          <w:rFonts w:ascii="Arial" w:hAnsi="Arial"/>
          <w:sz w:val="22"/>
          <w:szCs w:val="22"/>
        </w:rPr>
        <w:t xml:space="preserve">Currently, the company CONPET S.A. is included in 7 out of the total of 9 stock indices, respectively in </w:t>
      </w:r>
      <w:r>
        <w:rPr>
          <w:rFonts w:ascii="Arial" w:hAnsi="Arial"/>
          <w:b/>
          <w:i/>
          <w:sz w:val="22"/>
          <w:szCs w:val="22"/>
        </w:rPr>
        <w:t>BET, BET-TR, BET-XT, BET-XT-TR, BET-BK, BET-NG and BET Plus indices</w:t>
      </w:r>
      <w:r>
        <w:rPr>
          <w:rFonts w:ascii="Arial" w:hAnsi="Arial"/>
          <w:sz w:val="22"/>
          <w:szCs w:val="22"/>
        </w:rPr>
        <w:t>. This company achievement translates into performance, economic-financial stability, transparency, enhanced visibility and increased interest of the investors.</w:t>
      </w:r>
    </w:p>
    <w:p w:rsidR="00494DDD" w:rsidRDefault="00494DDD" w:rsidP="00494DDD">
      <w:pPr>
        <w:tabs>
          <w:tab w:val="left" w:pos="450"/>
        </w:tabs>
        <w:jc w:val="both"/>
        <w:rPr>
          <w:rFonts w:ascii="Arial" w:hAnsi="Arial" w:cs="Arial"/>
        </w:rPr>
      </w:pPr>
    </w:p>
    <w:p w:rsidR="00D167B7" w:rsidRDefault="00D167B7" w:rsidP="00D167B7">
      <w:pPr>
        <w:spacing w:line="276" w:lineRule="auto"/>
        <w:jc w:val="both"/>
        <w:rPr>
          <w:rFonts w:ascii="Arial" w:hAnsi="Arial" w:cs="Arial"/>
          <w:color w:val="0F0F0F"/>
          <w:sz w:val="22"/>
          <w:szCs w:val="22"/>
          <w:shd w:val="clear" w:color="auto" w:fill="FFFFFF"/>
        </w:rPr>
      </w:pPr>
      <w:r>
        <w:rPr>
          <w:rFonts w:ascii="Arial" w:hAnsi="Arial"/>
          <w:sz w:val="22"/>
          <w:szCs w:val="22"/>
        </w:rPr>
        <w:t>At 20.06.2018, the company FTSE Russell decided to include the company CONPET S.A.  in the index FTSE Frontier Markets.</w:t>
      </w:r>
    </w:p>
    <w:p w:rsidR="00D167B7" w:rsidRDefault="00D167B7" w:rsidP="00D167B7">
      <w:pPr>
        <w:spacing w:line="276" w:lineRule="auto"/>
        <w:jc w:val="both"/>
        <w:rPr>
          <w:rFonts w:ascii="Arial" w:hAnsi="Arial" w:cs="Arial"/>
          <w:color w:val="000000"/>
          <w:sz w:val="22"/>
          <w:szCs w:val="22"/>
          <w:shd w:val="clear" w:color="auto" w:fill="FFFFFF"/>
        </w:rPr>
      </w:pPr>
    </w:p>
    <w:p w:rsidR="008F5405" w:rsidRDefault="00D167B7" w:rsidP="00D167B7">
      <w:pPr>
        <w:spacing w:line="276" w:lineRule="auto"/>
        <w:jc w:val="both"/>
        <w:rPr>
          <w:rFonts w:ascii="Arial" w:hAnsi="Arial" w:cs="Arial"/>
          <w:b/>
          <w:i/>
          <w:sz w:val="22"/>
          <w:szCs w:val="22"/>
        </w:rPr>
      </w:pPr>
      <w:r>
        <w:rPr>
          <w:rFonts w:ascii="Arial" w:hAnsi="Arial"/>
          <w:sz w:val="22"/>
          <w:szCs w:val="22"/>
        </w:rPr>
        <w:t>FTSE Russell represents one of the biggest financial assessment agencies at world level.</w:t>
      </w:r>
      <w:r>
        <w:rPr>
          <w:rFonts w:ascii="Arial" w:hAnsi="Arial"/>
          <w:color w:val="0F0F0F"/>
          <w:sz w:val="22"/>
          <w:szCs w:val="22"/>
          <w:shd w:val="clear" w:color="auto" w:fill="FFFFFF"/>
        </w:rPr>
        <w:t xml:space="preserve"> This agency supplies financial data to international investors, prepares and </w:t>
      </w:r>
      <w:r>
        <w:rPr>
          <w:rFonts w:ascii="Arial" w:hAnsi="Arial"/>
          <w:color w:val="000000"/>
          <w:sz w:val="22"/>
          <w:szCs w:val="22"/>
          <w:shd w:val="clear" w:color="auto" w:fill="FFFFFF"/>
        </w:rPr>
        <w:t>reviews annually the classification of the countries, from the point of view of the capital markets, into 4 categories - developed capital markets, advanced emerging capital markets, secondary emerging capital markets and frontier capital markets, based on the review of 21 criteria surveying the regulatory framework, custody and settlement, the trading framework and the derivative operations.</w:t>
      </w:r>
      <w:r>
        <w:rPr>
          <w:rFonts w:ascii="Arial" w:hAnsi="Arial"/>
          <w:b/>
          <w:i/>
          <w:sz w:val="22"/>
          <w:szCs w:val="22"/>
        </w:rPr>
        <w:t xml:space="preserve"> </w:t>
      </w:r>
    </w:p>
    <w:p w:rsidR="000E4247" w:rsidRDefault="000E4247" w:rsidP="00D167B7">
      <w:pPr>
        <w:spacing w:line="276" w:lineRule="auto"/>
        <w:jc w:val="both"/>
        <w:rPr>
          <w:rFonts w:ascii="Arial" w:hAnsi="Arial" w:cs="Arial"/>
          <w:b/>
          <w:i/>
          <w:sz w:val="22"/>
          <w:szCs w:val="22"/>
        </w:rPr>
      </w:pPr>
    </w:p>
    <w:p w:rsidR="00D167B7" w:rsidRPr="006A2E17" w:rsidRDefault="00D167B7" w:rsidP="00D167B7">
      <w:pPr>
        <w:spacing w:line="276" w:lineRule="auto"/>
        <w:jc w:val="both"/>
        <w:rPr>
          <w:rFonts w:ascii="Arial" w:hAnsi="Arial" w:cs="Arial"/>
          <w:sz w:val="22"/>
          <w:szCs w:val="22"/>
        </w:rPr>
      </w:pPr>
      <w:r>
        <w:rPr>
          <w:rFonts w:ascii="Arial" w:hAnsi="Arial"/>
          <w:b/>
          <w:i/>
          <w:sz w:val="22"/>
          <w:szCs w:val="22"/>
        </w:rPr>
        <w:t>The FTSE Frontier Markets Index</w:t>
      </w:r>
      <w:r>
        <w:rPr>
          <w:rFonts w:ascii="Arial" w:hAnsi="Arial"/>
          <w:sz w:val="22"/>
          <w:szCs w:val="22"/>
        </w:rPr>
        <w:t xml:space="preserve"> watches the evolution of the frontier markets and is made of approx. 400 companies. FTSE Frontier recorded a yield of approximately 21% over the last 5 years. Any change in the structure of the index is closely monitored by the management of the global investment funds which align their portfolios to this index.</w:t>
      </w:r>
    </w:p>
    <w:p w:rsidR="00561116" w:rsidRDefault="00D167B7" w:rsidP="005064A9">
      <w:pPr>
        <w:shd w:val="clear" w:color="auto" w:fill="FFFFFF"/>
        <w:spacing w:before="115" w:line="276" w:lineRule="auto"/>
        <w:jc w:val="both"/>
        <w:rPr>
          <w:rFonts w:ascii="Arial" w:hAnsi="Arial" w:cs="Arial"/>
          <w:sz w:val="22"/>
          <w:szCs w:val="22"/>
        </w:rPr>
      </w:pPr>
      <w:r>
        <w:rPr>
          <w:rFonts w:ascii="Arial" w:hAnsi="Arial"/>
          <w:sz w:val="22"/>
          <w:szCs w:val="22"/>
        </w:rPr>
        <w:t xml:space="preserve">The inclusion of CONPET in the composition of the FTSE Frontier Markets Index is beneficial for the company </w:t>
      </w:r>
      <w:proofErr w:type="gramStart"/>
      <w:r>
        <w:rPr>
          <w:rFonts w:ascii="Arial" w:hAnsi="Arial"/>
          <w:sz w:val="22"/>
          <w:szCs w:val="22"/>
        </w:rPr>
        <w:t>due to the fact that</w:t>
      </w:r>
      <w:proofErr w:type="gramEnd"/>
      <w:r>
        <w:rPr>
          <w:rFonts w:ascii="Arial" w:hAnsi="Arial"/>
          <w:sz w:val="22"/>
          <w:szCs w:val="22"/>
        </w:rPr>
        <w:t xml:space="preserve"> part of the institutional investors follow the replication of the indices’ structures as an</w:t>
      </w:r>
      <w:r w:rsidR="00AC3A87">
        <w:rPr>
          <w:rFonts w:ascii="Arial" w:hAnsi="Arial" w:cs="Arial"/>
          <w:sz w:val="22"/>
          <w:szCs w:val="22"/>
        </w:rPr>
        <w:t xml:space="preserve"> </w:t>
      </w:r>
      <w:r>
        <w:rPr>
          <w:rFonts w:ascii="Arial" w:hAnsi="Arial"/>
          <w:sz w:val="22"/>
          <w:szCs w:val="22"/>
        </w:rPr>
        <w:t>investment strategy. Needless to say, it triggers a boost of the investors’ trust in CONPET S.A., the company being considered a benchmark in the Romanian capital market.</w:t>
      </w:r>
    </w:p>
    <w:p w:rsidR="009E37D7" w:rsidRDefault="009E37D7" w:rsidP="005064A9">
      <w:pPr>
        <w:shd w:val="clear" w:color="auto" w:fill="FFFFFF"/>
        <w:spacing w:before="115" w:line="276" w:lineRule="auto"/>
        <w:jc w:val="both"/>
        <w:rPr>
          <w:rFonts w:ascii="Arial" w:hAnsi="Arial" w:cs="Arial"/>
          <w:b/>
          <w:sz w:val="22"/>
          <w:szCs w:val="22"/>
        </w:rPr>
      </w:pPr>
    </w:p>
    <w:p w:rsidR="00740567" w:rsidRDefault="00740567" w:rsidP="005064A9">
      <w:pPr>
        <w:shd w:val="clear" w:color="auto" w:fill="FFFFFF"/>
        <w:spacing w:before="115" w:line="276" w:lineRule="auto"/>
        <w:jc w:val="both"/>
        <w:rPr>
          <w:rFonts w:ascii="Arial" w:hAnsi="Arial" w:cs="Arial"/>
          <w:b/>
          <w:sz w:val="22"/>
          <w:szCs w:val="22"/>
        </w:rPr>
      </w:pPr>
    </w:p>
    <w:p w:rsidR="00740567" w:rsidRDefault="00740567" w:rsidP="005064A9">
      <w:pPr>
        <w:shd w:val="clear" w:color="auto" w:fill="FFFFFF"/>
        <w:spacing w:before="115" w:line="276" w:lineRule="auto"/>
        <w:jc w:val="both"/>
        <w:rPr>
          <w:rFonts w:ascii="Arial" w:hAnsi="Arial" w:cs="Arial"/>
          <w:b/>
          <w:sz w:val="22"/>
          <w:szCs w:val="22"/>
        </w:rPr>
      </w:pPr>
    </w:p>
    <w:p w:rsidR="00740567" w:rsidRDefault="00740567" w:rsidP="005064A9">
      <w:pPr>
        <w:shd w:val="clear" w:color="auto" w:fill="FFFFFF"/>
        <w:spacing w:before="115" w:line="276" w:lineRule="auto"/>
        <w:jc w:val="both"/>
        <w:rPr>
          <w:rFonts w:ascii="Arial" w:hAnsi="Arial" w:cs="Arial"/>
          <w:b/>
          <w:sz w:val="22"/>
          <w:szCs w:val="22"/>
        </w:rPr>
      </w:pPr>
    </w:p>
    <w:p w:rsidR="00740567" w:rsidRDefault="00740567" w:rsidP="005064A9">
      <w:pPr>
        <w:shd w:val="clear" w:color="auto" w:fill="FFFFFF"/>
        <w:spacing w:before="115" w:line="276" w:lineRule="auto"/>
        <w:jc w:val="both"/>
        <w:rPr>
          <w:rFonts w:ascii="Arial" w:hAnsi="Arial" w:cs="Arial"/>
          <w:b/>
          <w:sz w:val="22"/>
          <w:szCs w:val="22"/>
        </w:rPr>
      </w:pPr>
    </w:p>
    <w:p w:rsidR="00D167B7" w:rsidRPr="009828D6" w:rsidRDefault="00F03ACD" w:rsidP="00D87DA4">
      <w:pPr>
        <w:pStyle w:val="ListParagraph"/>
        <w:numPr>
          <w:ilvl w:val="4"/>
          <w:numId w:val="16"/>
        </w:numPr>
        <w:shd w:val="clear" w:color="auto" w:fill="FFFFFF"/>
        <w:spacing w:before="115"/>
        <w:ind w:left="284" w:hanging="284"/>
        <w:rPr>
          <w:rFonts w:ascii="Arial" w:hAnsi="Arial" w:cs="Arial"/>
          <w:b/>
          <w:color w:val="1F4E79" w:themeColor="accent1" w:themeShade="80"/>
          <w:sz w:val="28"/>
          <w:szCs w:val="28"/>
        </w:rPr>
      </w:pPr>
      <w:r>
        <w:rPr>
          <w:rFonts w:ascii="Arial" w:hAnsi="Arial"/>
          <w:b/>
          <w:color w:val="1F4E79" w:themeColor="accent1" w:themeShade="80"/>
          <w:sz w:val="28"/>
          <w:szCs w:val="28"/>
        </w:rPr>
        <w:lastRenderedPageBreak/>
        <w:t>ANALYSIS OF THE COMPANY’S BUSINESS</w:t>
      </w:r>
    </w:p>
    <w:p w:rsidR="00D167B7" w:rsidRPr="009828D6" w:rsidRDefault="007774D5" w:rsidP="000B5D50">
      <w:pPr>
        <w:shd w:val="clear" w:color="auto" w:fill="FFFFFF"/>
        <w:spacing w:before="115"/>
        <w:rPr>
          <w:rFonts w:ascii="Arial" w:hAnsi="Arial" w:cs="Arial"/>
          <w:b/>
          <w:color w:val="1F4E79" w:themeColor="accent1" w:themeShade="80"/>
          <w:sz w:val="24"/>
          <w:szCs w:val="24"/>
        </w:rPr>
      </w:pPr>
      <w:r>
        <w:rPr>
          <w:rFonts w:ascii="Arial" w:hAnsi="Arial"/>
          <w:b/>
          <w:color w:val="1F4E79" w:themeColor="accent1" w:themeShade="80"/>
          <w:sz w:val="24"/>
          <w:szCs w:val="24"/>
        </w:rPr>
        <w:t xml:space="preserve">3.1 Analysis of the operating activity </w:t>
      </w:r>
    </w:p>
    <w:p w:rsidR="004279F6" w:rsidRPr="009828D6" w:rsidRDefault="004279F6" w:rsidP="004279F6">
      <w:pPr>
        <w:widowControl/>
        <w:overflowPunct w:val="0"/>
        <w:jc w:val="both"/>
        <w:textAlignment w:val="baseline"/>
        <w:rPr>
          <w:b/>
          <w:bCs/>
          <w:color w:val="1F4E79" w:themeColor="accent1" w:themeShade="80"/>
          <w:sz w:val="28"/>
          <w:szCs w:val="28"/>
          <w:lang w:eastAsia="en-US"/>
        </w:rPr>
      </w:pPr>
    </w:p>
    <w:p w:rsidR="004279F6" w:rsidRPr="009828D6" w:rsidRDefault="005064A9" w:rsidP="004279F6">
      <w:pPr>
        <w:widowControl/>
        <w:overflowPunct w:val="0"/>
        <w:jc w:val="both"/>
        <w:textAlignment w:val="baseline"/>
        <w:rPr>
          <w:rFonts w:ascii="Arial" w:hAnsi="Arial" w:cs="Arial"/>
          <w:b/>
          <w:bCs/>
          <w:color w:val="1F4E79" w:themeColor="accent1" w:themeShade="80"/>
          <w:sz w:val="24"/>
          <w:szCs w:val="24"/>
        </w:rPr>
      </w:pPr>
      <w:r>
        <w:rPr>
          <w:rFonts w:ascii="Arial" w:hAnsi="Arial"/>
          <w:b/>
          <w:bCs/>
          <w:color w:val="1F4E79" w:themeColor="accent1" w:themeShade="80"/>
          <w:sz w:val="24"/>
          <w:szCs w:val="24"/>
        </w:rPr>
        <w:t xml:space="preserve">3.1.1 The regulatory Framework </w:t>
      </w:r>
    </w:p>
    <w:p w:rsidR="004279F6" w:rsidRPr="007440B2" w:rsidRDefault="004279F6" w:rsidP="004279F6">
      <w:pPr>
        <w:widowControl/>
        <w:overflowPunct w:val="0"/>
        <w:spacing w:line="276" w:lineRule="auto"/>
        <w:jc w:val="both"/>
        <w:textAlignment w:val="baseline"/>
        <w:rPr>
          <w:rFonts w:ascii="Arial" w:hAnsi="Arial" w:cs="Arial"/>
          <w:sz w:val="24"/>
          <w:szCs w:val="24"/>
          <w:lang w:eastAsia="en-US"/>
        </w:rPr>
      </w:pPr>
    </w:p>
    <w:p w:rsidR="004279F6" w:rsidRPr="004279F6" w:rsidRDefault="004279F6" w:rsidP="004279F6">
      <w:pPr>
        <w:widowControl/>
        <w:overflowPunct w:val="0"/>
        <w:spacing w:line="276" w:lineRule="auto"/>
        <w:jc w:val="both"/>
        <w:textAlignment w:val="baseline"/>
        <w:rPr>
          <w:rFonts w:ascii="Arial" w:hAnsi="Arial" w:cs="Arial"/>
          <w:sz w:val="22"/>
          <w:szCs w:val="22"/>
        </w:rPr>
      </w:pPr>
      <w:r>
        <w:rPr>
          <w:rFonts w:ascii="Arial" w:hAnsi="Arial"/>
          <w:sz w:val="22"/>
          <w:szCs w:val="22"/>
        </w:rPr>
        <w:t xml:space="preserve">The core business of CONPET is included in NACE code 4950 – Transports through pipelines, activity defined by law as being the ensemble of the activities for the operation of the major pipelines or segments thereof, as well as the take-over, handling, dispatching, storage, selection, transport and delivery of crude oil to the end-consumers, distributors, to export, or along the route.   </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Pr="004279F6" w:rsidRDefault="004279F6" w:rsidP="004279F6">
      <w:pPr>
        <w:widowControl/>
        <w:overflowPunct w:val="0"/>
        <w:spacing w:line="276" w:lineRule="auto"/>
        <w:jc w:val="both"/>
        <w:textAlignment w:val="baseline"/>
        <w:rPr>
          <w:rFonts w:ascii="Arial" w:hAnsi="Arial" w:cs="Arial"/>
          <w:sz w:val="22"/>
          <w:szCs w:val="22"/>
        </w:rPr>
      </w:pPr>
      <w:r>
        <w:rPr>
          <w:rFonts w:ascii="Arial" w:hAnsi="Arial"/>
          <w:sz w:val="22"/>
          <w:szCs w:val="22"/>
        </w:rPr>
        <w:t xml:space="preserve">CONPET S.A. is the operator of the Crude Oil, Rich Gas, condensate and Ethane Pipeline Transport System (NTS) based on the Oil Concession </w:t>
      </w:r>
      <w:proofErr w:type="gramStart"/>
      <w:r>
        <w:rPr>
          <w:rFonts w:ascii="Arial" w:hAnsi="Arial"/>
          <w:sz w:val="22"/>
          <w:szCs w:val="22"/>
        </w:rPr>
        <w:t>Agreement  concluded</w:t>
      </w:r>
      <w:proofErr w:type="gramEnd"/>
      <w:r>
        <w:rPr>
          <w:rFonts w:ascii="Arial" w:hAnsi="Arial"/>
          <w:sz w:val="22"/>
          <w:szCs w:val="22"/>
        </w:rPr>
        <w:t xml:space="preserve"> with the National Agency for Mineral Resources, approved pursuant to GD no. 793/2002.  </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Pr="004279F6" w:rsidRDefault="004279F6" w:rsidP="004279F6">
      <w:pPr>
        <w:widowControl/>
        <w:overflowPunct w:val="0"/>
        <w:spacing w:line="276" w:lineRule="auto"/>
        <w:jc w:val="both"/>
        <w:textAlignment w:val="baseline"/>
        <w:rPr>
          <w:rFonts w:ascii="Arial" w:hAnsi="Arial" w:cs="Arial"/>
          <w:sz w:val="22"/>
          <w:szCs w:val="22"/>
        </w:rPr>
      </w:pPr>
      <w:r>
        <w:rPr>
          <w:rFonts w:ascii="Arial" w:hAnsi="Arial"/>
          <w:sz w:val="22"/>
          <w:szCs w:val="22"/>
        </w:rPr>
        <w:t>The Crude Oil, Rich Gas, condensate and Ethane Pipeline Transport System (NTS) is being defined and regulated by Law no. 238/7.06.2004 - Petroleum Law and the Methodological Norms for the enforcement of the Petroleum Law approved under GD no. 2075/2004.</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Pr="005C09C0" w:rsidRDefault="004279F6" w:rsidP="004279F6">
      <w:pPr>
        <w:widowControl/>
        <w:overflowPunct w:val="0"/>
        <w:spacing w:line="276" w:lineRule="auto"/>
        <w:jc w:val="both"/>
        <w:textAlignment w:val="baseline"/>
        <w:rPr>
          <w:rFonts w:ascii="Arial" w:hAnsi="Arial" w:cs="Arial"/>
          <w:sz w:val="22"/>
          <w:szCs w:val="22"/>
          <w:shd w:val="clear" w:color="auto" w:fill="FFFFFF"/>
        </w:rPr>
      </w:pPr>
      <w:r>
        <w:rPr>
          <w:rFonts w:ascii="Arial" w:hAnsi="Arial"/>
          <w:sz w:val="22"/>
          <w:szCs w:val="22"/>
          <w:shd w:val="clear" w:color="auto" w:fill="FFFFFF"/>
        </w:rPr>
        <w:t xml:space="preserve">The crude oil transport via the national transport system is a public service of national concern and strategic importance, being included in the regulated segment of the internal oil market.  The transport service </w:t>
      </w:r>
      <w:proofErr w:type="gramStart"/>
      <w:r>
        <w:rPr>
          <w:rFonts w:ascii="Arial" w:hAnsi="Arial"/>
          <w:sz w:val="22"/>
          <w:szCs w:val="22"/>
          <w:shd w:val="clear" w:color="auto" w:fill="FFFFFF"/>
        </w:rPr>
        <w:t>is being supplied</w:t>
      </w:r>
      <w:proofErr w:type="gramEnd"/>
      <w:r>
        <w:rPr>
          <w:rFonts w:ascii="Arial" w:hAnsi="Arial"/>
          <w:sz w:val="22"/>
          <w:szCs w:val="22"/>
          <w:shd w:val="clear" w:color="auto" w:fill="FFFFFF"/>
        </w:rPr>
        <w:t xml:space="preserve"> under the natural monopoly regyme based on the tariff set by NAMR   (The National Agency for Mineral Resources).</w:t>
      </w:r>
    </w:p>
    <w:p w:rsidR="004279F6" w:rsidRPr="004279F6" w:rsidRDefault="004279F6" w:rsidP="004279F6">
      <w:pPr>
        <w:widowControl/>
        <w:overflowPunct w:val="0"/>
        <w:spacing w:line="276" w:lineRule="auto"/>
        <w:jc w:val="both"/>
        <w:textAlignment w:val="baseline"/>
        <w:rPr>
          <w:rFonts w:ascii="Arial" w:hAnsi="Arial" w:cs="Arial"/>
          <w:color w:val="444444"/>
          <w:sz w:val="22"/>
          <w:szCs w:val="22"/>
          <w:shd w:val="clear" w:color="auto" w:fill="FFFFFF"/>
        </w:rPr>
      </w:pPr>
    </w:p>
    <w:p w:rsidR="005064A9" w:rsidRPr="009828D6" w:rsidRDefault="007440B2" w:rsidP="004279F6">
      <w:pPr>
        <w:widowControl/>
        <w:overflowPunct w:val="0"/>
        <w:spacing w:line="276" w:lineRule="auto"/>
        <w:jc w:val="both"/>
        <w:textAlignment w:val="baseline"/>
        <w:rPr>
          <w:rFonts w:ascii="Arial" w:hAnsi="Arial" w:cs="Arial"/>
          <w:b/>
          <w:color w:val="1F4E79" w:themeColor="accent1" w:themeShade="80"/>
          <w:sz w:val="24"/>
          <w:szCs w:val="24"/>
        </w:rPr>
      </w:pPr>
      <w:r>
        <w:rPr>
          <w:rFonts w:ascii="Arial" w:hAnsi="Arial"/>
          <w:b/>
          <w:color w:val="1F4E79" w:themeColor="accent1" w:themeShade="80"/>
          <w:sz w:val="24"/>
          <w:szCs w:val="24"/>
        </w:rPr>
        <w:t xml:space="preserve">3.1.2 The Crude oil, Condensate and Rich Gas Transport Activity </w:t>
      </w:r>
    </w:p>
    <w:p w:rsidR="005064A9" w:rsidRDefault="005064A9" w:rsidP="004279F6">
      <w:pPr>
        <w:widowControl/>
        <w:overflowPunct w:val="0"/>
        <w:spacing w:line="276" w:lineRule="auto"/>
        <w:jc w:val="both"/>
        <w:textAlignment w:val="baseline"/>
        <w:rPr>
          <w:rFonts w:ascii="Arial" w:hAnsi="Arial" w:cs="Arial"/>
          <w:b/>
          <w:color w:val="5B9BD5" w:themeColor="accent1"/>
          <w:sz w:val="24"/>
          <w:szCs w:val="24"/>
          <w:lang w:eastAsia="en-US"/>
        </w:rPr>
      </w:pPr>
    </w:p>
    <w:p w:rsidR="004279F6" w:rsidRPr="004279F6" w:rsidRDefault="004279F6" w:rsidP="004279F6">
      <w:pPr>
        <w:widowControl/>
        <w:overflowPunct w:val="0"/>
        <w:spacing w:line="276" w:lineRule="auto"/>
        <w:jc w:val="both"/>
        <w:textAlignment w:val="baseline"/>
        <w:rPr>
          <w:rFonts w:ascii="Arial" w:hAnsi="Arial" w:cs="Arial"/>
          <w:sz w:val="22"/>
          <w:szCs w:val="22"/>
        </w:rPr>
      </w:pPr>
      <w:r>
        <w:rPr>
          <w:rFonts w:ascii="Arial" w:hAnsi="Arial"/>
          <w:sz w:val="22"/>
          <w:szCs w:val="22"/>
        </w:rPr>
        <w:t xml:space="preserve">CONPET S.A. supplies transport services for its clients via both the National Transport System, and by rail, from the loading ramps to the refineries, for the oil areas which are not connected to the transport main lines.   </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591C58" w:rsidRDefault="004279F6" w:rsidP="004279F6">
      <w:pPr>
        <w:widowControl/>
        <w:overflowPunct w:val="0"/>
        <w:spacing w:line="276" w:lineRule="auto"/>
        <w:jc w:val="both"/>
        <w:textAlignment w:val="baseline"/>
        <w:rPr>
          <w:rFonts w:ascii="Arial" w:hAnsi="Arial" w:cs="Arial"/>
          <w:sz w:val="22"/>
          <w:szCs w:val="22"/>
        </w:rPr>
      </w:pPr>
      <w:r>
        <w:rPr>
          <w:rFonts w:ascii="Arial" w:hAnsi="Arial"/>
          <w:sz w:val="22"/>
          <w:szCs w:val="22"/>
        </w:rPr>
        <w:t xml:space="preserve">The available throughput represents the difference between the total physical throughput of the system and the throughput covered by the contractual obligations assumed by the carrier, under the contracts concluded and in force at the date of the request from a beneficiary. </w:t>
      </w:r>
      <w:r>
        <w:rPr>
          <w:rFonts w:ascii="Arial" w:hAnsi="Arial"/>
          <w:sz w:val="22"/>
          <w:szCs w:val="22"/>
        </w:rPr>
        <w:cr/>
      </w:r>
      <w:r>
        <w:rPr>
          <w:rFonts w:ascii="Arial" w:hAnsi="Arial"/>
          <w:sz w:val="22"/>
          <w:szCs w:val="22"/>
        </w:rPr>
        <w:br/>
        <w:t xml:space="preserve"> Given the natural distribution of the oil fields spread over the entire Romanian territory, the National Transport System </w:t>
      </w:r>
      <w:proofErr w:type="gramStart"/>
      <w:r>
        <w:rPr>
          <w:rFonts w:ascii="Arial" w:hAnsi="Arial"/>
          <w:sz w:val="22"/>
          <w:szCs w:val="22"/>
        </w:rPr>
        <w:t>was built</w:t>
      </w:r>
      <w:proofErr w:type="gramEnd"/>
      <w:r>
        <w:rPr>
          <w:rFonts w:ascii="Arial" w:hAnsi="Arial"/>
          <w:sz w:val="22"/>
          <w:szCs w:val="22"/>
        </w:rPr>
        <w:t xml:space="preserve"> as to meet the transport needs from all those fields to the refineries. </w:t>
      </w:r>
    </w:p>
    <w:p w:rsidR="00591C58" w:rsidRDefault="00591C58" w:rsidP="004279F6">
      <w:pPr>
        <w:widowControl/>
        <w:overflowPunct w:val="0"/>
        <w:spacing w:line="276" w:lineRule="auto"/>
        <w:jc w:val="both"/>
        <w:textAlignment w:val="baseline"/>
        <w:rPr>
          <w:rFonts w:ascii="Arial" w:hAnsi="Arial" w:cs="Arial"/>
          <w:sz w:val="22"/>
          <w:szCs w:val="22"/>
          <w:lang w:eastAsia="en-US"/>
        </w:rPr>
      </w:pPr>
    </w:p>
    <w:p w:rsidR="004279F6" w:rsidRDefault="004279F6" w:rsidP="004279F6">
      <w:pPr>
        <w:widowControl/>
        <w:overflowPunct w:val="0"/>
        <w:spacing w:line="276" w:lineRule="auto"/>
        <w:jc w:val="both"/>
        <w:textAlignment w:val="baseline"/>
        <w:rPr>
          <w:rFonts w:ascii="Arial" w:hAnsi="Arial" w:cs="Arial"/>
          <w:sz w:val="22"/>
          <w:szCs w:val="22"/>
        </w:rPr>
      </w:pPr>
      <w:r>
        <w:rPr>
          <w:rFonts w:ascii="Arial" w:hAnsi="Arial"/>
          <w:sz w:val="22"/>
          <w:szCs w:val="22"/>
        </w:rPr>
        <w:t xml:space="preserve">The system operation is being made based on the local dispatch centers, coordinated from the Company’s Central Dispatch. </w:t>
      </w:r>
      <w:r>
        <w:rPr>
          <w:rFonts w:ascii="Arial" w:hAnsi="Arial"/>
          <w:sz w:val="22"/>
          <w:szCs w:val="22"/>
        </w:rPr>
        <w:cr/>
      </w:r>
      <w:r>
        <w:rPr>
          <w:rFonts w:ascii="Arial" w:hAnsi="Arial"/>
          <w:sz w:val="22"/>
          <w:szCs w:val="22"/>
        </w:rPr>
        <w:br/>
        <w:t xml:space="preserve">The pipelines transport system is approximately 3,800 km in length, out of which, to date, 3,161 km of pipelines are being used  for the transport of crude oil, rich gas, condensate.  </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Default="004279F6" w:rsidP="004279F6">
      <w:pPr>
        <w:widowControl/>
        <w:overflowPunct w:val="0"/>
        <w:spacing w:line="276" w:lineRule="auto"/>
        <w:jc w:val="both"/>
        <w:textAlignment w:val="baseline"/>
        <w:rPr>
          <w:rFonts w:ascii="Arial" w:hAnsi="Arial" w:cs="Arial"/>
          <w:sz w:val="22"/>
          <w:szCs w:val="22"/>
        </w:rPr>
      </w:pPr>
      <w:r>
        <w:rPr>
          <w:rFonts w:ascii="Arial" w:hAnsi="Arial"/>
          <w:sz w:val="22"/>
          <w:szCs w:val="22"/>
        </w:rPr>
        <w:t xml:space="preserve">The Crude Oil, Rich Gas, Condensate and Ethane Pipeline Transport System has in composition transport subsystems, grouped according to the transported products, as follows: </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Pr="004279F6" w:rsidRDefault="004279F6" w:rsidP="00D87DA4">
      <w:pPr>
        <w:widowControl/>
        <w:numPr>
          <w:ilvl w:val="0"/>
          <w:numId w:val="20"/>
        </w:numPr>
        <w:tabs>
          <w:tab w:val="left" w:pos="270"/>
        </w:tabs>
        <w:overflowPunct w:val="0"/>
        <w:spacing w:line="276" w:lineRule="auto"/>
        <w:ind w:left="0" w:firstLine="0"/>
        <w:jc w:val="both"/>
        <w:textAlignment w:val="baseline"/>
        <w:rPr>
          <w:rFonts w:ascii="Arial" w:hAnsi="Arial" w:cs="Arial"/>
          <w:sz w:val="22"/>
          <w:szCs w:val="22"/>
        </w:rPr>
      </w:pPr>
      <w:proofErr w:type="gramStart"/>
      <w:r>
        <w:rPr>
          <w:rFonts w:ascii="Arial" w:hAnsi="Arial"/>
          <w:bCs/>
          <w:sz w:val="22"/>
          <w:szCs w:val="22"/>
        </w:rPr>
        <w:t>the</w:t>
      </w:r>
      <w:proofErr w:type="gramEnd"/>
      <w:r>
        <w:rPr>
          <w:rFonts w:ascii="Arial" w:hAnsi="Arial"/>
          <w:bCs/>
          <w:sz w:val="22"/>
          <w:szCs w:val="22"/>
        </w:rPr>
        <w:t xml:space="preserve"> domestic crude and condensate transport subsystem</w:t>
      </w:r>
      <w:r>
        <w:rPr>
          <w:rFonts w:ascii="Arial" w:hAnsi="Arial"/>
          <w:sz w:val="22"/>
          <w:szCs w:val="22"/>
        </w:rPr>
        <w:t xml:space="preserve"> </w:t>
      </w:r>
      <w:r w:rsidR="00327A42">
        <w:rPr>
          <w:rFonts w:ascii="Arial" w:hAnsi="Arial"/>
          <w:sz w:val="22"/>
          <w:szCs w:val="22"/>
        </w:rPr>
        <w:t>is made of</w:t>
      </w:r>
      <w:r>
        <w:rPr>
          <w:rFonts w:ascii="Arial" w:hAnsi="Arial"/>
          <w:sz w:val="22"/>
          <w:szCs w:val="22"/>
        </w:rPr>
        <w:t xml:space="preserve"> pipelines describing approx. 1540 km, for the transport of crude oil and condensate from the production units of OMV </w:t>
      </w:r>
      <w:r>
        <w:rPr>
          <w:rFonts w:ascii="Arial" w:hAnsi="Arial"/>
          <w:sz w:val="22"/>
          <w:szCs w:val="22"/>
        </w:rPr>
        <w:lastRenderedPageBreak/>
        <w:t xml:space="preserve">Petrom operating areas throughout the country, to the refineries.  The crude oil and condensate domestic production is transported through pipelines, by railway tanks, or combined (rail and pipelines). </w:t>
      </w:r>
    </w:p>
    <w:p w:rsidR="004279F6" w:rsidRPr="004279F6" w:rsidRDefault="004279F6" w:rsidP="004279F6">
      <w:pPr>
        <w:widowControl/>
        <w:tabs>
          <w:tab w:val="left" w:pos="270"/>
        </w:tabs>
        <w:overflowPunct w:val="0"/>
        <w:spacing w:line="276" w:lineRule="auto"/>
        <w:jc w:val="both"/>
        <w:textAlignment w:val="baseline"/>
        <w:rPr>
          <w:rFonts w:ascii="Arial" w:hAnsi="Arial" w:cs="Arial"/>
          <w:sz w:val="22"/>
          <w:szCs w:val="22"/>
          <w:lang w:eastAsia="en-US"/>
        </w:rPr>
      </w:pPr>
    </w:p>
    <w:p w:rsidR="004279F6" w:rsidRPr="004279F6" w:rsidRDefault="004279F6" w:rsidP="00D87DA4">
      <w:pPr>
        <w:widowControl/>
        <w:numPr>
          <w:ilvl w:val="0"/>
          <w:numId w:val="20"/>
        </w:numPr>
        <w:tabs>
          <w:tab w:val="left" w:pos="270"/>
        </w:tabs>
        <w:overflowPunct w:val="0"/>
        <w:spacing w:line="276" w:lineRule="auto"/>
        <w:ind w:left="0" w:firstLine="0"/>
        <w:jc w:val="both"/>
        <w:textAlignment w:val="baseline"/>
        <w:rPr>
          <w:rFonts w:ascii="Arial" w:hAnsi="Arial" w:cs="Arial"/>
          <w:sz w:val="22"/>
          <w:szCs w:val="22"/>
        </w:rPr>
      </w:pPr>
      <w:r>
        <w:rPr>
          <w:rFonts w:ascii="Arial" w:hAnsi="Arial"/>
          <w:bCs/>
          <w:sz w:val="22"/>
          <w:szCs w:val="22"/>
        </w:rPr>
        <w:t>the rich gas transport sub-system</w:t>
      </w:r>
      <w:r>
        <w:rPr>
          <w:rFonts w:ascii="Arial" w:hAnsi="Arial"/>
          <w:sz w:val="22"/>
          <w:szCs w:val="22"/>
        </w:rPr>
        <w:t xml:space="preserve"> is meant for the rich gas transport from the degasolination units in Ardeal and Olten</w:t>
      </w:r>
      <w:r w:rsidR="00054C73">
        <w:rPr>
          <w:rFonts w:ascii="Arial" w:hAnsi="Arial"/>
          <w:sz w:val="22"/>
          <w:szCs w:val="22"/>
        </w:rPr>
        <w:t>ia to the Petrobrazi refinery.</w:t>
      </w:r>
      <w:r>
        <w:rPr>
          <w:rFonts w:ascii="Arial" w:hAnsi="Arial"/>
          <w:sz w:val="22"/>
          <w:szCs w:val="22"/>
        </w:rPr>
        <w:t xml:space="preserve"> The domestic rich gas production is transported through pipelines, by railway tanks, or combined (rail and pipelines).  </w:t>
      </w:r>
    </w:p>
    <w:p w:rsidR="004279F6" w:rsidRPr="004279F6" w:rsidRDefault="004279F6" w:rsidP="004279F6">
      <w:pPr>
        <w:widowControl/>
        <w:tabs>
          <w:tab w:val="left" w:pos="270"/>
        </w:tabs>
        <w:overflowPunct w:val="0"/>
        <w:spacing w:line="276" w:lineRule="auto"/>
        <w:jc w:val="both"/>
        <w:textAlignment w:val="baseline"/>
        <w:rPr>
          <w:rFonts w:ascii="Arial" w:hAnsi="Arial" w:cs="Arial"/>
          <w:sz w:val="22"/>
          <w:szCs w:val="22"/>
          <w:lang w:eastAsia="en-US"/>
        </w:rPr>
      </w:pPr>
    </w:p>
    <w:p w:rsidR="004279F6" w:rsidRPr="004279F6" w:rsidRDefault="004279F6" w:rsidP="00D87DA4">
      <w:pPr>
        <w:widowControl/>
        <w:numPr>
          <w:ilvl w:val="0"/>
          <w:numId w:val="20"/>
        </w:numPr>
        <w:tabs>
          <w:tab w:val="left" w:pos="270"/>
        </w:tabs>
        <w:overflowPunct w:val="0"/>
        <w:spacing w:line="276" w:lineRule="auto"/>
        <w:ind w:left="0" w:firstLine="0"/>
        <w:jc w:val="both"/>
        <w:textAlignment w:val="baseline"/>
        <w:rPr>
          <w:rFonts w:ascii="Arial" w:hAnsi="Arial" w:cs="Arial"/>
          <w:sz w:val="22"/>
          <w:szCs w:val="22"/>
        </w:rPr>
      </w:pPr>
      <w:r>
        <w:rPr>
          <w:rFonts w:ascii="Arial" w:hAnsi="Arial"/>
          <w:bCs/>
          <w:sz w:val="22"/>
          <w:szCs w:val="22"/>
        </w:rPr>
        <w:t>the ethane transport sub-system</w:t>
      </w:r>
      <w:r>
        <w:rPr>
          <w:rFonts w:ascii="Arial" w:hAnsi="Arial"/>
          <w:b/>
          <w:bCs/>
          <w:sz w:val="22"/>
          <w:szCs w:val="22"/>
        </w:rPr>
        <w:t xml:space="preserve"> </w:t>
      </w:r>
      <w:r>
        <w:rPr>
          <w:rFonts w:ascii="Arial" w:hAnsi="Arial"/>
          <w:bCs/>
          <w:sz w:val="22"/>
          <w:szCs w:val="22"/>
        </w:rPr>
        <w:t>provides</w:t>
      </w:r>
      <w:r>
        <w:rPr>
          <w:rFonts w:ascii="Arial" w:hAnsi="Arial"/>
          <w:sz w:val="22"/>
          <w:szCs w:val="22"/>
        </w:rPr>
        <w:t xml:space="preserve"> the ethane transport from Turburea deethaniser platform to Arpechim Pitesti refinery.  Currently, due to the lack of operability of Arpechim refinery, the sub-system is not used and only one portion of the pipeline is used for the transport of condensate from Totea warehouse to Petrobrazi refinery.</w:t>
      </w:r>
    </w:p>
    <w:p w:rsidR="004279F6" w:rsidRPr="004279F6" w:rsidRDefault="004279F6" w:rsidP="004279F6">
      <w:pPr>
        <w:widowControl/>
        <w:overflowPunct w:val="0"/>
        <w:spacing w:line="276" w:lineRule="auto"/>
        <w:jc w:val="both"/>
        <w:textAlignment w:val="baseline"/>
        <w:rPr>
          <w:rFonts w:ascii="Arial" w:hAnsi="Arial" w:cs="Arial"/>
          <w:sz w:val="22"/>
          <w:szCs w:val="22"/>
          <w:lang w:eastAsia="en-US"/>
        </w:rPr>
      </w:pPr>
    </w:p>
    <w:p w:rsidR="004279F6" w:rsidRPr="004279F6" w:rsidRDefault="00327A42" w:rsidP="00D87DA4">
      <w:pPr>
        <w:widowControl/>
        <w:numPr>
          <w:ilvl w:val="0"/>
          <w:numId w:val="20"/>
        </w:numPr>
        <w:tabs>
          <w:tab w:val="left" w:pos="90"/>
          <w:tab w:val="left" w:pos="270"/>
        </w:tabs>
        <w:overflowPunct w:val="0"/>
        <w:spacing w:line="276" w:lineRule="auto"/>
        <w:ind w:left="0" w:firstLine="0"/>
        <w:jc w:val="both"/>
        <w:textAlignment w:val="baseline"/>
        <w:rPr>
          <w:rFonts w:ascii="Arial" w:hAnsi="Arial" w:cs="Arial"/>
          <w:color w:val="FF0000"/>
          <w:sz w:val="22"/>
          <w:szCs w:val="22"/>
        </w:rPr>
      </w:pPr>
      <w:r>
        <w:rPr>
          <w:rFonts w:ascii="Arial" w:hAnsi="Arial"/>
          <w:bCs/>
          <w:sz w:val="22"/>
          <w:szCs w:val="22"/>
        </w:rPr>
        <w:t xml:space="preserve">   The sub</w:t>
      </w:r>
      <w:r w:rsidR="004279F6">
        <w:rPr>
          <w:rFonts w:ascii="Arial" w:hAnsi="Arial"/>
          <w:bCs/>
          <w:sz w:val="22"/>
          <w:szCs w:val="22"/>
        </w:rPr>
        <w:t xml:space="preserve">system for the import crude transport </w:t>
      </w:r>
      <w:r w:rsidR="004279F6">
        <w:rPr>
          <w:rFonts w:ascii="Arial" w:hAnsi="Arial"/>
          <w:sz w:val="22"/>
          <w:szCs w:val="22"/>
        </w:rPr>
        <w:t>provides the transport of crude oil from Oil Terminal Constanta to the refineries in Ploiești, Arpechim-Pitești and Midia</w:t>
      </w:r>
      <w:r w:rsidR="004279F6">
        <w:rPr>
          <w:rFonts w:ascii="Arial" w:hAnsi="Arial"/>
          <w:color w:val="FF0000"/>
          <w:sz w:val="22"/>
          <w:szCs w:val="22"/>
        </w:rPr>
        <w:t xml:space="preserve">. </w:t>
      </w:r>
    </w:p>
    <w:p w:rsidR="004279F6" w:rsidRPr="004279F6" w:rsidRDefault="004279F6" w:rsidP="004279F6">
      <w:pPr>
        <w:widowControl/>
        <w:overflowPunct w:val="0"/>
        <w:spacing w:line="276" w:lineRule="auto"/>
        <w:jc w:val="both"/>
        <w:textAlignment w:val="baseline"/>
        <w:rPr>
          <w:rFonts w:ascii="Arial" w:hAnsi="Arial" w:cs="Arial"/>
          <w:color w:val="FF0000"/>
          <w:sz w:val="22"/>
          <w:szCs w:val="22"/>
          <w:lang w:eastAsia="en-US"/>
        </w:rPr>
      </w:pPr>
    </w:p>
    <w:p w:rsidR="004279F6" w:rsidRPr="004279F6" w:rsidRDefault="004279F6" w:rsidP="004279F6">
      <w:pPr>
        <w:widowControl/>
        <w:overflowPunct w:val="0"/>
        <w:spacing w:line="276" w:lineRule="auto"/>
        <w:jc w:val="both"/>
        <w:textAlignment w:val="baseline"/>
        <w:rPr>
          <w:rFonts w:ascii="Arial" w:hAnsi="Arial" w:cs="Arial"/>
          <w:sz w:val="22"/>
          <w:szCs w:val="22"/>
        </w:rPr>
      </w:pPr>
      <w:r>
        <w:rPr>
          <w:rFonts w:ascii="Arial" w:hAnsi="Arial"/>
          <w:sz w:val="22"/>
          <w:szCs w:val="22"/>
        </w:rPr>
        <w:t>The crude oil, rich gas, condensate and ethane transport service provides the fulfillment of the tasks in connection with CONPET program, consequently, easing free access to the system’s available throughput, to all petitioners, authorized legal persons, under under equal conditions, on a non-discriminatory and transparent basis.</w:t>
      </w:r>
    </w:p>
    <w:p w:rsidR="004279F6" w:rsidRPr="004279F6" w:rsidRDefault="004279F6" w:rsidP="004279F6">
      <w:pPr>
        <w:widowControl/>
        <w:overflowPunct w:val="0"/>
        <w:spacing w:line="276" w:lineRule="auto"/>
        <w:jc w:val="both"/>
        <w:textAlignment w:val="baseline"/>
        <w:rPr>
          <w:rFonts w:ascii="Arial" w:hAnsi="Arial" w:cs="Arial"/>
          <w:sz w:val="22"/>
          <w:szCs w:val="22"/>
          <w:lang w:val="en-GB" w:eastAsia="en-US"/>
        </w:rPr>
      </w:pPr>
    </w:p>
    <w:p w:rsidR="004279F6" w:rsidRPr="004279F6" w:rsidRDefault="004279F6" w:rsidP="004279F6">
      <w:pPr>
        <w:widowControl/>
        <w:overflowPunct w:val="0"/>
        <w:spacing w:line="276" w:lineRule="auto"/>
        <w:jc w:val="both"/>
        <w:textAlignment w:val="baseline"/>
        <w:rPr>
          <w:rFonts w:ascii="Arial" w:hAnsi="Arial" w:cs="Arial"/>
          <w:color w:val="FF0000"/>
          <w:sz w:val="22"/>
          <w:szCs w:val="22"/>
        </w:rPr>
      </w:pPr>
      <w:r>
        <w:rPr>
          <w:rFonts w:ascii="Arial" w:hAnsi="Arial"/>
          <w:sz w:val="22"/>
          <w:szCs w:val="22"/>
        </w:rPr>
        <w:t xml:space="preserve">The transport contracts signed with the beneficiaries of the services are compliant with the regulated frame-contract and provides the legal framework for the supply of the transport services.  </w:t>
      </w:r>
    </w:p>
    <w:p w:rsidR="00591C58" w:rsidRDefault="00591C58" w:rsidP="004279F6">
      <w:pPr>
        <w:widowControl/>
        <w:spacing w:line="276" w:lineRule="auto"/>
        <w:jc w:val="both"/>
        <w:rPr>
          <w:rFonts w:ascii="Arial" w:hAnsi="Arial" w:cs="Arial"/>
          <w:sz w:val="22"/>
          <w:szCs w:val="22"/>
        </w:rPr>
      </w:pPr>
    </w:p>
    <w:p w:rsidR="004279F6" w:rsidRPr="004279F6" w:rsidRDefault="004279F6" w:rsidP="004279F6">
      <w:pPr>
        <w:widowControl/>
        <w:spacing w:line="276" w:lineRule="auto"/>
        <w:jc w:val="both"/>
        <w:rPr>
          <w:rFonts w:ascii="Arial" w:hAnsi="Arial" w:cs="Arial"/>
          <w:sz w:val="22"/>
          <w:szCs w:val="22"/>
        </w:rPr>
      </w:pPr>
      <w:r>
        <w:rPr>
          <w:rFonts w:ascii="Arial" w:hAnsi="Arial"/>
          <w:sz w:val="22"/>
          <w:szCs w:val="22"/>
        </w:rPr>
        <w:t xml:space="preserve">The crude oil transport is being performed from the sites of delivery to the producers/importers, to the processing units, by means of the pumping stations, rail loading-unloading ramps, as well as all the related installation, equipment and endowments.  </w:t>
      </w:r>
    </w:p>
    <w:p w:rsidR="00591C58" w:rsidRDefault="00591C58" w:rsidP="004279F6">
      <w:pPr>
        <w:widowControl/>
        <w:overflowPunct w:val="0"/>
        <w:spacing w:line="276" w:lineRule="auto"/>
        <w:jc w:val="both"/>
        <w:textAlignment w:val="baseline"/>
        <w:rPr>
          <w:rFonts w:ascii="Arial" w:hAnsi="Arial" w:cs="Arial"/>
          <w:sz w:val="22"/>
          <w:szCs w:val="22"/>
          <w:lang w:eastAsia="en-US"/>
        </w:rPr>
      </w:pPr>
    </w:p>
    <w:p w:rsidR="002B304E" w:rsidRDefault="004279F6" w:rsidP="004279F6">
      <w:pPr>
        <w:widowControl/>
        <w:overflowPunct w:val="0"/>
        <w:spacing w:line="276" w:lineRule="auto"/>
        <w:jc w:val="both"/>
        <w:textAlignment w:val="baseline"/>
        <w:rPr>
          <w:rFonts w:ascii="Arial" w:hAnsi="Arial" w:cs="Arial"/>
          <w:sz w:val="22"/>
          <w:szCs w:val="22"/>
        </w:rPr>
      </w:pPr>
      <w:r>
        <w:rPr>
          <w:rFonts w:ascii="Arial" w:hAnsi="Arial"/>
          <w:sz w:val="22"/>
          <w:szCs w:val="22"/>
        </w:rPr>
        <w:t>The transport activity by products: crude oil, rich gas and condensate, programmed and achieved in 2018 H1 as compared to 2017 H1, is as follows:</w:t>
      </w:r>
    </w:p>
    <w:p w:rsidR="002B304E" w:rsidRPr="002B304E" w:rsidRDefault="002B304E" w:rsidP="004279F6">
      <w:pPr>
        <w:widowControl/>
        <w:overflowPunct w:val="0"/>
        <w:spacing w:line="276" w:lineRule="auto"/>
        <w:jc w:val="both"/>
        <w:textAlignment w:val="baseline"/>
        <w:rPr>
          <w:rFonts w:ascii="Arial" w:hAnsi="Arial" w:cs="Arial"/>
          <w:sz w:val="22"/>
          <w:szCs w:val="22"/>
          <w:lang w:eastAsia="en-US"/>
        </w:rPr>
      </w:pPr>
    </w:p>
    <w:tbl>
      <w:tblPr>
        <w:tblW w:w="9332" w:type="dxa"/>
        <w:tblCellMar>
          <w:left w:w="0" w:type="dxa"/>
          <w:right w:w="0" w:type="dxa"/>
        </w:tblCellMar>
        <w:tblLook w:val="0600" w:firstRow="0" w:lastRow="0" w:firstColumn="0" w:lastColumn="0" w:noHBand="1" w:noVBand="1"/>
      </w:tblPr>
      <w:tblGrid>
        <w:gridCol w:w="1390"/>
        <w:gridCol w:w="3935"/>
        <w:gridCol w:w="1214"/>
        <w:gridCol w:w="1214"/>
        <w:gridCol w:w="1579"/>
      </w:tblGrid>
      <w:tr w:rsidR="00581B50" w:rsidRPr="007F6280" w:rsidTr="00DA21C3">
        <w:trPr>
          <w:cantSplit/>
          <w:trHeight w:val="809"/>
        </w:trPr>
        <w:tc>
          <w:tcPr>
            <w:tcW w:w="1390"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581B50" w:rsidRPr="007F6280" w:rsidRDefault="00581B50" w:rsidP="00581B50">
            <w:pPr>
              <w:jc w:val="center"/>
              <w:textAlignment w:val="center"/>
              <w:rPr>
                <w:rFonts w:ascii="Arial" w:hAnsi="Arial" w:cs="Arial"/>
              </w:rPr>
            </w:pPr>
            <w:r>
              <w:rPr>
                <w:rFonts w:ascii="Arial" w:hAnsi="Arial"/>
                <w:b/>
                <w:bCs/>
                <w:color w:val="000000"/>
              </w:rPr>
              <w:t>Transport Subsystems</w:t>
            </w:r>
          </w:p>
        </w:tc>
        <w:tc>
          <w:tcPr>
            <w:tcW w:w="3935"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581B50" w:rsidRPr="007F6280" w:rsidRDefault="00581B50" w:rsidP="00581B50">
            <w:pPr>
              <w:jc w:val="center"/>
              <w:textAlignment w:val="center"/>
              <w:rPr>
                <w:rFonts w:ascii="Arial" w:hAnsi="Arial" w:cs="Arial"/>
              </w:rPr>
            </w:pPr>
            <w:r>
              <w:rPr>
                <w:rFonts w:ascii="Arial" w:hAnsi="Arial"/>
                <w:b/>
                <w:bCs/>
                <w:color w:val="000000"/>
              </w:rPr>
              <w:t>Indicators and products</w:t>
            </w:r>
          </w:p>
        </w:tc>
        <w:tc>
          <w:tcPr>
            <w:tcW w:w="1214"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581B50" w:rsidRPr="007F6280" w:rsidRDefault="00D875AB" w:rsidP="00581B50">
            <w:pPr>
              <w:jc w:val="center"/>
              <w:textAlignment w:val="center"/>
              <w:rPr>
                <w:rFonts w:ascii="Arial" w:hAnsi="Arial" w:cs="Arial"/>
              </w:rPr>
            </w:pPr>
            <w:r>
              <w:rPr>
                <w:rFonts w:ascii="Arial" w:hAnsi="Arial"/>
                <w:b/>
                <w:bCs/>
                <w:color w:val="000000"/>
              </w:rPr>
              <w:t>Achieved Semester I 2018</w:t>
            </w:r>
          </w:p>
        </w:tc>
        <w:tc>
          <w:tcPr>
            <w:tcW w:w="1214"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581B50" w:rsidRPr="007F6280" w:rsidRDefault="00D875AB" w:rsidP="00581B50">
            <w:pPr>
              <w:jc w:val="center"/>
              <w:textAlignment w:val="center"/>
              <w:rPr>
                <w:rFonts w:ascii="Arial" w:hAnsi="Arial" w:cs="Arial"/>
              </w:rPr>
            </w:pPr>
            <w:r>
              <w:rPr>
                <w:rFonts w:ascii="Arial" w:hAnsi="Arial"/>
                <w:b/>
                <w:bCs/>
                <w:color w:val="000000"/>
              </w:rPr>
              <w:t>Achieved Semester I 2017</w:t>
            </w:r>
          </w:p>
        </w:tc>
        <w:tc>
          <w:tcPr>
            <w:tcW w:w="1579"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581B50" w:rsidRPr="007F6280" w:rsidRDefault="00581B50" w:rsidP="00581B50">
            <w:pPr>
              <w:jc w:val="center"/>
              <w:textAlignment w:val="center"/>
              <w:rPr>
                <w:rFonts w:ascii="Arial" w:hAnsi="Arial" w:cs="Arial"/>
              </w:rPr>
            </w:pPr>
            <w:r>
              <w:rPr>
                <w:rFonts w:ascii="Arial" w:hAnsi="Arial"/>
                <w:b/>
                <w:bCs/>
                <w:color w:val="000000"/>
              </w:rPr>
              <w:t>Variation</w:t>
            </w:r>
          </w:p>
          <w:p w:rsidR="00581B50" w:rsidRPr="007F6280" w:rsidRDefault="00581B50" w:rsidP="00581B50">
            <w:pPr>
              <w:jc w:val="center"/>
              <w:textAlignment w:val="center"/>
              <w:rPr>
                <w:rFonts w:ascii="Arial" w:hAnsi="Arial" w:cs="Arial"/>
              </w:rPr>
            </w:pPr>
            <w:r>
              <w:rPr>
                <w:rFonts w:ascii="Arial" w:hAnsi="Arial"/>
                <w:b/>
                <w:bCs/>
                <w:color w:val="000000"/>
              </w:rPr>
              <w:t xml:space="preserve">% </w:t>
            </w:r>
          </w:p>
          <w:p w:rsidR="00581B50" w:rsidRPr="007F6280" w:rsidRDefault="00581B50" w:rsidP="007A1062">
            <w:pPr>
              <w:jc w:val="center"/>
              <w:textAlignment w:val="center"/>
              <w:rPr>
                <w:rFonts w:ascii="Arial" w:hAnsi="Arial" w:cs="Arial"/>
              </w:rPr>
            </w:pPr>
            <w:r>
              <w:rPr>
                <w:rFonts w:ascii="Arial" w:hAnsi="Arial"/>
                <w:b/>
                <w:bCs/>
                <w:color w:val="000000"/>
              </w:rPr>
              <w:t>2018/2017</w:t>
            </w:r>
          </w:p>
        </w:tc>
      </w:tr>
      <w:tr w:rsidR="00FA4CE0" w:rsidRPr="007F6280" w:rsidTr="00FA4CE0">
        <w:trPr>
          <w:trHeight w:val="295"/>
        </w:trPr>
        <w:tc>
          <w:tcPr>
            <w:tcW w:w="1390" w:type="dxa"/>
            <w:vMerge w:val="restart"/>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581B50">
            <w:pPr>
              <w:jc w:val="center"/>
              <w:textAlignment w:val="center"/>
              <w:rPr>
                <w:rFonts w:ascii="Arial" w:hAnsi="Arial" w:cs="Arial"/>
              </w:rPr>
            </w:pPr>
            <w:r>
              <w:rPr>
                <w:rFonts w:ascii="Arial" w:hAnsi="Arial"/>
                <w:b/>
                <w:bCs/>
                <w:color w:val="000000"/>
              </w:rPr>
              <w:t xml:space="preserve">DOMESTIC </w:t>
            </w:r>
          </w:p>
        </w:tc>
        <w:tc>
          <w:tcPr>
            <w:tcW w:w="7942" w:type="dxa"/>
            <w:gridSpan w:val="4"/>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hideMark/>
          </w:tcPr>
          <w:p w:rsidR="00FA4CE0" w:rsidRPr="007F6280" w:rsidRDefault="00FA4CE0" w:rsidP="00581B50">
            <w:pPr>
              <w:rPr>
                <w:rFonts w:ascii="Arial" w:hAnsi="Arial" w:cs="Arial"/>
              </w:rPr>
            </w:pPr>
            <w:r>
              <w:rPr>
                <w:rFonts w:ascii="Arial" w:hAnsi="Arial"/>
                <w:b/>
                <w:bCs/>
                <w:color w:val="000000"/>
              </w:rPr>
              <w:t>Domestic crude oil, condensate and light condensate</w:t>
            </w:r>
          </w:p>
        </w:tc>
      </w:tr>
      <w:tr w:rsidR="00FA4CE0" w:rsidRPr="007F6280" w:rsidTr="00FA4CE0">
        <w:trPr>
          <w:trHeight w:val="348"/>
        </w:trPr>
        <w:tc>
          <w:tcPr>
            <w:tcW w:w="1390" w:type="dxa"/>
            <w:vMerge/>
            <w:tcBorders>
              <w:left w:val="single" w:sz="4" w:space="0" w:color="000000"/>
              <w:bottom w:val="single" w:sz="4" w:space="0" w:color="auto"/>
              <w:right w:val="single" w:sz="4" w:space="0" w:color="000000"/>
            </w:tcBorders>
            <w:shd w:val="clear" w:color="auto" w:fill="auto"/>
            <w:vAlign w:val="center"/>
            <w:hideMark/>
          </w:tcPr>
          <w:p w:rsidR="00FA4CE0" w:rsidRPr="007F6280" w:rsidRDefault="00FA4CE0" w:rsidP="00581B50">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581B50">
            <w:pPr>
              <w:textAlignment w:val="bottom"/>
              <w:rPr>
                <w:rFonts w:ascii="Arial" w:hAnsi="Arial" w:cs="Arial"/>
              </w:rPr>
            </w:pPr>
            <w:r>
              <w:rPr>
                <w:rFonts w:ascii="Arial" w:hAnsi="Arial"/>
                <w:color w:val="000000"/>
              </w:rPr>
              <w:t>- programmed quantities (thousand tons)</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581B50">
            <w:pPr>
              <w:jc w:val="right"/>
              <w:textAlignment w:val="bottom"/>
              <w:rPr>
                <w:rFonts w:ascii="Arial" w:hAnsi="Arial" w:cs="Arial"/>
              </w:rPr>
            </w:pPr>
            <w:r>
              <w:rPr>
                <w:rFonts w:ascii="Arial" w:hAnsi="Arial"/>
              </w:rPr>
              <w:t>1,693</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9423DC">
            <w:pPr>
              <w:jc w:val="right"/>
              <w:textAlignment w:val="bottom"/>
              <w:rPr>
                <w:rFonts w:ascii="Arial" w:hAnsi="Arial" w:cs="Arial"/>
              </w:rPr>
            </w:pPr>
            <w:r>
              <w:rPr>
                <w:rFonts w:ascii="Arial" w:hAnsi="Arial"/>
              </w:rPr>
              <w:t>1,755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F837E9">
            <w:pPr>
              <w:jc w:val="right"/>
              <w:textAlignment w:val="bottom"/>
              <w:rPr>
                <w:rFonts w:ascii="Arial" w:hAnsi="Arial" w:cs="Arial"/>
              </w:rPr>
            </w:pPr>
            <w:r>
              <w:rPr>
                <w:rFonts w:ascii="Arial" w:hAnsi="Arial"/>
                <w:color w:val="000000" w:themeColor="text1"/>
              </w:rPr>
              <w:t>▼</w:t>
            </w:r>
            <w:r>
              <w:rPr>
                <w:rFonts w:ascii="Arial" w:hAnsi="Arial"/>
                <w:color w:val="000000"/>
              </w:rPr>
              <w:t>3.59%</w:t>
            </w:r>
          </w:p>
        </w:tc>
      </w:tr>
      <w:tr w:rsidR="00FA4CE0" w:rsidRPr="007F6280" w:rsidTr="00FA4CE0">
        <w:trPr>
          <w:trHeight w:val="295"/>
        </w:trPr>
        <w:tc>
          <w:tcPr>
            <w:tcW w:w="1390" w:type="dxa"/>
            <w:vMerge/>
            <w:tcBorders>
              <w:left w:val="single" w:sz="4" w:space="0" w:color="000000"/>
              <w:bottom w:val="single" w:sz="4" w:space="0" w:color="auto"/>
              <w:right w:val="single" w:sz="4" w:space="0" w:color="000000"/>
            </w:tcBorders>
            <w:shd w:val="clear" w:color="auto" w:fill="auto"/>
            <w:vAlign w:val="center"/>
            <w:hideMark/>
          </w:tcPr>
          <w:p w:rsidR="00FA4CE0" w:rsidRPr="007F6280" w:rsidRDefault="00FA4CE0" w:rsidP="00581B50">
            <w:pPr>
              <w:rPr>
                <w:rFonts w:ascii="Arial" w:hAnsi="Arial" w:cs="Arial"/>
              </w:rPr>
            </w:pPr>
          </w:p>
        </w:tc>
        <w:tc>
          <w:tcPr>
            <w:tcW w:w="3935" w:type="dxa"/>
            <w:tcBorders>
              <w:top w:val="single" w:sz="4" w:space="0" w:color="000000"/>
              <w:left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581B50">
            <w:pPr>
              <w:textAlignment w:val="bottom"/>
              <w:rPr>
                <w:rFonts w:ascii="Arial" w:hAnsi="Arial" w:cs="Arial"/>
              </w:rPr>
            </w:pPr>
            <w:r>
              <w:rPr>
                <w:rFonts w:ascii="Arial" w:hAnsi="Arial"/>
                <w:color w:val="000000"/>
              </w:rPr>
              <w:t>- achieved quantities (thousand tons)</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581B50">
            <w:pPr>
              <w:jc w:val="right"/>
              <w:textAlignment w:val="bottom"/>
              <w:rPr>
                <w:rFonts w:ascii="Arial" w:hAnsi="Arial" w:cs="Arial"/>
              </w:rPr>
            </w:pPr>
            <w:r>
              <w:rPr>
                <w:rFonts w:ascii="Arial" w:hAnsi="Arial"/>
              </w:rPr>
              <w:t>1,748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581B50">
            <w:pPr>
              <w:jc w:val="right"/>
              <w:textAlignment w:val="bottom"/>
              <w:rPr>
                <w:rFonts w:ascii="Arial" w:hAnsi="Arial" w:cs="Arial"/>
              </w:rPr>
            </w:pPr>
            <w:r>
              <w:rPr>
                <w:rFonts w:ascii="Arial" w:hAnsi="Arial"/>
              </w:rPr>
              <w:t>1,776</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7A1062">
            <w:pPr>
              <w:jc w:val="right"/>
              <w:textAlignment w:val="bottom"/>
              <w:rPr>
                <w:rFonts w:ascii="Arial" w:hAnsi="Arial" w:cs="Arial"/>
              </w:rPr>
            </w:pPr>
            <w:r>
              <w:rPr>
                <w:rFonts w:ascii="Arial" w:hAnsi="Arial"/>
                <w:color w:val="000000" w:themeColor="text1"/>
              </w:rPr>
              <w:t>▼1.58</w:t>
            </w:r>
            <w:r>
              <w:rPr>
                <w:rFonts w:ascii="Arial" w:hAnsi="Arial"/>
                <w:color w:val="000000"/>
              </w:rPr>
              <w:t>%</w:t>
            </w:r>
          </w:p>
        </w:tc>
      </w:tr>
      <w:tr w:rsidR="00FA4CE0" w:rsidRPr="007F6280" w:rsidTr="00FA4CE0">
        <w:trPr>
          <w:trHeight w:val="295"/>
        </w:trPr>
        <w:tc>
          <w:tcPr>
            <w:tcW w:w="1390" w:type="dxa"/>
            <w:vMerge/>
            <w:tcBorders>
              <w:left w:val="single" w:sz="4" w:space="0" w:color="000000"/>
              <w:bottom w:val="single" w:sz="4" w:space="0" w:color="auto"/>
              <w:right w:val="single" w:sz="4" w:space="0" w:color="000000"/>
            </w:tcBorders>
            <w:shd w:val="clear" w:color="auto" w:fill="auto"/>
            <w:vAlign w:val="center"/>
            <w:hideMark/>
          </w:tcPr>
          <w:p w:rsidR="00FA4CE0" w:rsidRPr="007F6280" w:rsidRDefault="00FA4CE0" w:rsidP="00581B50">
            <w:pPr>
              <w:rPr>
                <w:rFonts w:ascii="Arial" w:hAnsi="Arial" w:cs="Arial"/>
              </w:rPr>
            </w:pPr>
          </w:p>
        </w:tc>
        <w:tc>
          <w:tcPr>
            <w:tcW w:w="3935" w:type="dxa"/>
            <w:tcBorders>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581B50">
            <w:pPr>
              <w:textAlignment w:val="bottom"/>
              <w:rPr>
                <w:rFonts w:ascii="Arial" w:hAnsi="Arial" w:cs="Arial"/>
              </w:rPr>
            </w:pPr>
            <w:r>
              <w:rPr>
                <w:rFonts w:ascii="Arial" w:hAnsi="Arial"/>
                <w:color w:val="000000"/>
              </w:rPr>
              <w:t>-degree of achievement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7A1062">
            <w:pPr>
              <w:jc w:val="right"/>
              <w:textAlignment w:val="bottom"/>
              <w:rPr>
                <w:rFonts w:ascii="Arial" w:hAnsi="Arial" w:cs="Arial"/>
              </w:rPr>
            </w:pPr>
            <w:r>
              <w:rPr>
                <w:rFonts w:ascii="Arial" w:hAnsi="Arial"/>
              </w:rPr>
              <w:t>103.25%</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FA4CE0" w:rsidRPr="007F6280" w:rsidRDefault="00FA4CE0" w:rsidP="007A1062">
            <w:pPr>
              <w:jc w:val="right"/>
              <w:textAlignment w:val="bottom"/>
              <w:rPr>
                <w:rFonts w:ascii="Arial" w:hAnsi="Arial" w:cs="Arial"/>
              </w:rPr>
            </w:pPr>
            <w:r>
              <w:rPr>
                <w:rFonts w:ascii="Arial" w:hAnsi="Arial"/>
              </w:rPr>
              <w:t>101.20%</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0728BD">
            <w:pPr>
              <w:jc w:val="right"/>
              <w:textAlignment w:val="bottom"/>
              <w:rPr>
                <w:rFonts w:ascii="Arial" w:hAnsi="Arial" w:cs="Arial"/>
              </w:rPr>
            </w:pPr>
            <w:r>
              <w:rPr>
                <w:rFonts w:ascii="Arial" w:hAnsi="Arial"/>
                <w:color w:val="000000"/>
              </w:rPr>
              <w:t>+2.05p.p.</w:t>
            </w:r>
          </w:p>
        </w:tc>
      </w:tr>
      <w:tr w:rsidR="00FA4CE0" w:rsidRPr="007F6280" w:rsidTr="00DA21C3">
        <w:trPr>
          <w:trHeight w:val="337"/>
        </w:trPr>
        <w:tc>
          <w:tcPr>
            <w:tcW w:w="1390" w:type="dxa"/>
            <w:vMerge/>
            <w:tcBorders>
              <w:left w:val="single" w:sz="4" w:space="0" w:color="000000"/>
              <w:bottom w:val="single" w:sz="4" w:space="0" w:color="auto"/>
              <w:right w:val="single" w:sz="4" w:space="0" w:color="000000"/>
            </w:tcBorders>
            <w:shd w:val="clear" w:color="auto" w:fill="auto"/>
            <w:vAlign w:val="center"/>
            <w:hideMark/>
          </w:tcPr>
          <w:p w:rsidR="00FA4CE0" w:rsidRPr="007F6280" w:rsidRDefault="00FA4CE0" w:rsidP="00581B50">
            <w:pPr>
              <w:rPr>
                <w:rFonts w:ascii="Arial" w:hAnsi="Arial" w:cs="Arial"/>
              </w:rPr>
            </w:pPr>
          </w:p>
        </w:tc>
        <w:tc>
          <w:tcPr>
            <w:tcW w:w="3935"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hideMark/>
          </w:tcPr>
          <w:p w:rsidR="00FA4CE0" w:rsidRPr="007F6280" w:rsidRDefault="00FA4CE0" w:rsidP="00581B50">
            <w:pPr>
              <w:textAlignment w:val="bottom"/>
              <w:rPr>
                <w:rFonts w:ascii="Arial" w:hAnsi="Arial" w:cs="Arial"/>
              </w:rPr>
            </w:pPr>
            <w:r>
              <w:rPr>
                <w:rFonts w:ascii="Arial" w:hAnsi="Arial"/>
                <w:color w:val="000000"/>
              </w:rPr>
              <w:t>- degree of use of the transport throughput</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FA4CE0" w:rsidRPr="007F6280" w:rsidRDefault="00FA4CE0" w:rsidP="00581B50">
            <w:pPr>
              <w:jc w:val="right"/>
              <w:textAlignment w:val="bottom"/>
              <w:rPr>
                <w:rFonts w:ascii="Arial" w:hAnsi="Arial" w:cs="Arial"/>
              </w:rPr>
            </w:pPr>
            <w:r>
              <w:rPr>
                <w:rFonts w:ascii="Arial" w:hAnsi="Arial"/>
              </w:rPr>
              <w:t>57.58%</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FA4CE0" w:rsidRPr="007F6280" w:rsidRDefault="00FA4CE0" w:rsidP="00581B50">
            <w:pPr>
              <w:jc w:val="right"/>
              <w:textAlignment w:val="bottom"/>
              <w:rPr>
                <w:rFonts w:ascii="Arial" w:hAnsi="Arial" w:cs="Arial"/>
              </w:rPr>
            </w:pPr>
            <w:r>
              <w:rPr>
                <w:rFonts w:ascii="Arial" w:hAnsi="Arial"/>
              </w:rPr>
              <w:t>58.49%</w:t>
            </w:r>
          </w:p>
        </w:tc>
        <w:tc>
          <w:tcPr>
            <w:tcW w:w="1579"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hideMark/>
          </w:tcPr>
          <w:p w:rsidR="00DA21C3" w:rsidRPr="00FA4CE0" w:rsidRDefault="00FA4CE0" w:rsidP="00DA21C3">
            <w:pPr>
              <w:jc w:val="right"/>
              <w:textAlignment w:val="bottom"/>
              <w:rPr>
                <w:rFonts w:ascii="Arial" w:hAnsi="Arial" w:cs="Arial"/>
                <w:color w:val="000000"/>
                <w:kern w:val="24"/>
              </w:rPr>
            </w:pPr>
            <w:r>
              <w:rPr>
                <w:rFonts w:ascii="Arial" w:hAnsi="Arial"/>
                <w:color w:val="000000"/>
              </w:rPr>
              <w:t>-0.91p.p.</w:t>
            </w:r>
          </w:p>
        </w:tc>
      </w:tr>
      <w:tr w:rsidR="00DA21C3" w:rsidRPr="007F6280" w:rsidTr="00A53EA5">
        <w:trPr>
          <w:trHeight w:val="295"/>
        </w:trPr>
        <w:tc>
          <w:tcPr>
            <w:tcW w:w="1390" w:type="dxa"/>
            <w:vMerge w:val="restart"/>
            <w:tcBorders>
              <w:left w:val="single" w:sz="4" w:space="0" w:color="000000"/>
              <w:right w:val="single" w:sz="4" w:space="0" w:color="000000"/>
            </w:tcBorders>
            <w:shd w:val="clear" w:color="auto" w:fill="auto"/>
            <w:vAlign w:val="center"/>
          </w:tcPr>
          <w:p w:rsidR="00DA21C3" w:rsidRPr="007F6280" w:rsidRDefault="00DA21C3" w:rsidP="00A53EA5">
            <w:pPr>
              <w:jc w:val="center"/>
              <w:rPr>
                <w:rFonts w:ascii="Arial" w:hAnsi="Arial" w:cs="Arial"/>
              </w:rPr>
            </w:pPr>
            <w:r>
              <w:rPr>
                <w:rFonts w:ascii="Arial" w:hAnsi="Arial"/>
                <w:b/>
              </w:rPr>
              <w:t>DOMESTIC</w:t>
            </w:r>
          </w:p>
        </w:tc>
        <w:tc>
          <w:tcPr>
            <w:tcW w:w="7942" w:type="dxa"/>
            <w:gridSpan w:val="4"/>
            <w:tcBorders>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rPr>
                <w:rFonts w:ascii="Arial" w:hAnsi="Arial" w:cs="Arial"/>
              </w:rPr>
            </w:pPr>
            <w:r>
              <w:rPr>
                <w:rFonts w:ascii="Arial" w:hAnsi="Arial"/>
                <w:b/>
                <w:bCs/>
                <w:color w:val="000000"/>
              </w:rPr>
              <w:t>Rich gas</w:t>
            </w:r>
          </w:p>
        </w:tc>
      </w:tr>
      <w:tr w:rsidR="00DA21C3" w:rsidRPr="007F6280" w:rsidTr="00A53EA5">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jc w:val="cente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 programmed quantities (thousand tons)</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9.9</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7.8</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bCs/>
                <w:color w:val="000000"/>
              </w:rPr>
              <w:t>▲26.92</w:t>
            </w:r>
            <w:r>
              <w:rPr>
                <w:rFonts w:ascii="Arial" w:hAnsi="Arial"/>
                <w:color w:val="000000"/>
              </w:rPr>
              <w:t xml:space="preserve"> %</w:t>
            </w:r>
          </w:p>
        </w:tc>
      </w:tr>
      <w:tr w:rsidR="00DA21C3" w:rsidRPr="007F6280" w:rsidTr="00A53EA5">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jc w:val="center"/>
              <w:rPr>
                <w:rFonts w:ascii="Arial" w:hAnsi="Arial" w:cs="Arial"/>
              </w:rPr>
            </w:pPr>
          </w:p>
        </w:tc>
        <w:tc>
          <w:tcPr>
            <w:tcW w:w="3935"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 achieved quantities (thousand tons)</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10.2</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9.3</w:t>
            </w:r>
          </w:p>
        </w:tc>
        <w:tc>
          <w:tcPr>
            <w:tcW w:w="1579"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bCs/>
                <w:color w:val="000000"/>
              </w:rPr>
              <w:t>▲9.68</w:t>
            </w:r>
            <w:r>
              <w:rPr>
                <w:rFonts w:ascii="Arial" w:hAnsi="Arial"/>
                <w:color w:val="000000"/>
              </w:rPr>
              <w:t>%</w:t>
            </w:r>
          </w:p>
        </w:tc>
      </w:tr>
      <w:tr w:rsidR="00DA21C3" w:rsidRPr="007F6280" w:rsidTr="00A53EA5">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jc w:val="center"/>
              <w:rPr>
                <w:rFonts w:ascii="Arial" w:hAnsi="Arial" w:cs="Arial"/>
              </w:rPr>
            </w:pPr>
          </w:p>
        </w:tc>
        <w:tc>
          <w:tcPr>
            <w:tcW w:w="3935" w:type="dxa"/>
            <w:tcBorders>
              <w:top w:val="single" w:sz="4" w:space="0" w:color="auto"/>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-degree of achievement</w:t>
            </w:r>
          </w:p>
        </w:tc>
        <w:tc>
          <w:tcPr>
            <w:tcW w:w="1214" w:type="dxa"/>
            <w:tcBorders>
              <w:top w:val="single" w:sz="4" w:space="0" w:color="auto"/>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103.03%</w:t>
            </w:r>
          </w:p>
        </w:tc>
        <w:tc>
          <w:tcPr>
            <w:tcW w:w="1214" w:type="dxa"/>
            <w:tcBorders>
              <w:top w:val="single" w:sz="4" w:space="0" w:color="auto"/>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119.23%</w:t>
            </w:r>
          </w:p>
        </w:tc>
        <w:tc>
          <w:tcPr>
            <w:tcW w:w="1579" w:type="dxa"/>
            <w:tcBorders>
              <w:top w:val="single" w:sz="4" w:space="0" w:color="auto"/>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color w:val="000000"/>
              </w:rPr>
              <w:t>-16.20p.p.</w:t>
            </w:r>
          </w:p>
        </w:tc>
      </w:tr>
      <w:tr w:rsidR="00DA21C3" w:rsidRPr="007F6280" w:rsidTr="00A53EA5">
        <w:trPr>
          <w:trHeight w:val="321"/>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jc w:val="center"/>
              <w:rPr>
                <w:rFonts w:ascii="Arial" w:hAnsi="Arial" w:cs="Arial"/>
              </w:rPr>
            </w:pPr>
          </w:p>
        </w:tc>
        <w:tc>
          <w:tcPr>
            <w:tcW w:w="3935"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 degree of use of the transport throughput</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17.68%</w:t>
            </w:r>
          </w:p>
        </w:tc>
        <w:tc>
          <w:tcPr>
            <w:tcW w:w="1214"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9,58%</w:t>
            </w:r>
          </w:p>
        </w:tc>
        <w:tc>
          <w:tcPr>
            <w:tcW w:w="1579" w:type="dxa"/>
            <w:tcBorders>
              <w:top w:val="single" w:sz="4" w:space="0" w:color="000000"/>
              <w:left w:val="single" w:sz="4" w:space="0" w:color="000000"/>
              <w:bottom w:val="single" w:sz="4" w:space="0" w:color="auto"/>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color w:val="000000"/>
              </w:rPr>
              <w:t>+8.1p.p.</w:t>
            </w:r>
          </w:p>
        </w:tc>
      </w:tr>
      <w:tr w:rsidR="00DA21C3" w:rsidRPr="007F6280" w:rsidTr="00A53EA5">
        <w:trPr>
          <w:trHeight w:val="295"/>
        </w:trPr>
        <w:tc>
          <w:tcPr>
            <w:tcW w:w="1390" w:type="dxa"/>
            <w:vMerge/>
            <w:tcBorders>
              <w:left w:val="single" w:sz="4" w:space="0" w:color="000000"/>
              <w:right w:val="single" w:sz="4" w:space="0" w:color="000000"/>
            </w:tcBorders>
            <w:shd w:val="clear" w:color="auto" w:fill="auto"/>
            <w:vAlign w:val="center"/>
          </w:tcPr>
          <w:p w:rsidR="00DA21C3" w:rsidRPr="002B304E" w:rsidRDefault="00DA21C3" w:rsidP="00A53EA5">
            <w:pPr>
              <w:jc w:val="center"/>
              <w:rPr>
                <w:rFonts w:ascii="Arial" w:hAnsi="Arial" w:cs="Arial"/>
                <w:b/>
              </w:rPr>
            </w:pPr>
          </w:p>
        </w:tc>
        <w:tc>
          <w:tcPr>
            <w:tcW w:w="7942" w:type="dxa"/>
            <w:gridSpan w:val="4"/>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rPr>
                <w:rFonts w:ascii="Arial" w:hAnsi="Arial" w:cs="Arial"/>
              </w:rPr>
            </w:pPr>
            <w:r>
              <w:rPr>
                <w:rFonts w:ascii="Arial" w:hAnsi="Arial"/>
                <w:b/>
                <w:bCs/>
                <w:color w:val="000000"/>
              </w:rPr>
              <w:t>Total domestic subsystem</w:t>
            </w:r>
          </w:p>
        </w:tc>
      </w:tr>
      <w:tr w:rsidR="00DA21C3" w:rsidRPr="007F6280" w:rsidTr="00A53EA5">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 programmed quantities (thousand tons)</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1,703</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1,763</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color w:val="000000" w:themeColor="text1"/>
              </w:rPr>
              <w:t>▼3.40</w:t>
            </w:r>
            <w:r>
              <w:rPr>
                <w:rFonts w:ascii="Arial" w:hAnsi="Arial"/>
                <w:color w:val="000000"/>
              </w:rPr>
              <w:t>%</w:t>
            </w:r>
          </w:p>
        </w:tc>
      </w:tr>
      <w:tr w:rsidR="00DA21C3" w:rsidRPr="007F6280" w:rsidTr="00A53EA5">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 achieved quantities (thousand tons)</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1,758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1,785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color w:val="000000" w:themeColor="text1"/>
              </w:rPr>
              <w:t>▼1.51</w:t>
            </w:r>
            <w:r>
              <w:rPr>
                <w:rFonts w:ascii="Arial" w:hAnsi="Arial"/>
                <w:color w:val="000000"/>
              </w:rPr>
              <w:t>%</w:t>
            </w:r>
          </w:p>
        </w:tc>
      </w:tr>
      <w:tr w:rsidR="00DA21C3" w:rsidRPr="007F6280" w:rsidTr="00A53EA5">
        <w:trPr>
          <w:trHeight w:val="295"/>
        </w:trPr>
        <w:tc>
          <w:tcPr>
            <w:tcW w:w="1390" w:type="dxa"/>
            <w:vMerge/>
            <w:tcBorders>
              <w:left w:val="single" w:sz="4" w:space="0" w:color="000000"/>
              <w:right w:val="single" w:sz="4" w:space="0" w:color="000000"/>
            </w:tcBorders>
            <w:shd w:val="clear" w:color="auto" w:fill="auto"/>
            <w:vAlign w:val="center"/>
          </w:tcPr>
          <w:p w:rsidR="00DA21C3" w:rsidRPr="007F6280" w:rsidRDefault="00DA21C3" w:rsidP="00A53EA5">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-degree of achievement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103.26%</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101.25%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color w:val="000000"/>
              </w:rPr>
              <w:t>+2.01p.p.</w:t>
            </w:r>
          </w:p>
        </w:tc>
      </w:tr>
      <w:tr w:rsidR="00DA21C3" w:rsidRPr="007F6280" w:rsidTr="00A53EA5">
        <w:trPr>
          <w:trHeight w:val="304"/>
        </w:trPr>
        <w:tc>
          <w:tcPr>
            <w:tcW w:w="1390" w:type="dxa"/>
            <w:vMerge/>
            <w:tcBorders>
              <w:left w:val="single" w:sz="4" w:space="0" w:color="000000"/>
              <w:bottom w:val="single" w:sz="4" w:space="0" w:color="000000"/>
              <w:right w:val="single" w:sz="4" w:space="0" w:color="000000"/>
            </w:tcBorders>
            <w:shd w:val="clear" w:color="auto" w:fill="auto"/>
            <w:vAlign w:val="center"/>
          </w:tcPr>
          <w:p w:rsidR="00DA21C3" w:rsidRPr="007F6280" w:rsidRDefault="00DA21C3" w:rsidP="00A53EA5">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 degree of use of the transport throughput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56.84%</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56.97%</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color w:val="000000"/>
              </w:rPr>
              <w:t>-0.13p.p.</w:t>
            </w:r>
          </w:p>
        </w:tc>
      </w:tr>
      <w:tr w:rsidR="00DA21C3" w:rsidRPr="007F6280" w:rsidTr="00A53EA5">
        <w:trPr>
          <w:trHeight w:val="295"/>
        </w:trPr>
        <w:tc>
          <w:tcPr>
            <w:tcW w:w="1390" w:type="dxa"/>
            <w:vMerge w:val="restart"/>
            <w:tcBorders>
              <w:top w:val="single" w:sz="4" w:space="0" w:color="000000"/>
              <w:left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center"/>
              <w:textAlignment w:val="center"/>
              <w:rPr>
                <w:rFonts w:ascii="Arial" w:hAnsi="Arial" w:cs="Arial"/>
              </w:rPr>
            </w:pPr>
            <w:r>
              <w:rPr>
                <w:rFonts w:ascii="Arial" w:hAnsi="Arial"/>
                <w:b/>
                <w:bCs/>
                <w:color w:val="000000"/>
              </w:rPr>
              <w:t>IMPORT</w:t>
            </w:r>
          </w:p>
        </w:tc>
        <w:tc>
          <w:tcPr>
            <w:tcW w:w="7942" w:type="dxa"/>
            <w:gridSpan w:val="4"/>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b/>
                <w:bCs/>
                <w:color w:val="000000"/>
              </w:rPr>
              <w:t xml:space="preserve">Crude oil </w:t>
            </w:r>
          </w:p>
        </w:tc>
      </w:tr>
      <w:tr w:rsidR="00DA21C3" w:rsidRPr="007F6280" w:rsidTr="00A53EA5">
        <w:trPr>
          <w:trHeight w:val="295"/>
        </w:trPr>
        <w:tc>
          <w:tcPr>
            <w:tcW w:w="1390" w:type="dxa"/>
            <w:vMerge/>
            <w:tcBorders>
              <w:left w:val="single" w:sz="4" w:space="0" w:color="000000"/>
              <w:right w:val="single" w:sz="4" w:space="0" w:color="000000"/>
            </w:tcBorders>
            <w:vAlign w:val="center"/>
          </w:tcPr>
          <w:p w:rsidR="00DA21C3" w:rsidRPr="007F6280" w:rsidRDefault="00DA21C3" w:rsidP="00A53EA5">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 programmed quantities (thousand tons)</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1,514</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1,325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bCs/>
                <w:color w:val="000000"/>
              </w:rPr>
              <w:t>▲14.26</w:t>
            </w:r>
            <w:r>
              <w:rPr>
                <w:rFonts w:ascii="Arial" w:hAnsi="Arial"/>
                <w:color w:val="000000"/>
              </w:rPr>
              <w:t>%</w:t>
            </w:r>
          </w:p>
        </w:tc>
      </w:tr>
      <w:tr w:rsidR="00DA21C3" w:rsidRPr="007F6280" w:rsidTr="00A53EA5">
        <w:trPr>
          <w:trHeight w:val="295"/>
        </w:trPr>
        <w:tc>
          <w:tcPr>
            <w:tcW w:w="1390" w:type="dxa"/>
            <w:vMerge/>
            <w:tcBorders>
              <w:left w:val="single" w:sz="4" w:space="0" w:color="000000"/>
              <w:right w:val="single" w:sz="4" w:space="0" w:color="000000"/>
            </w:tcBorders>
            <w:vAlign w:val="center"/>
          </w:tcPr>
          <w:p w:rsidR="00DA21C3" w:rsidRPr="007F6280" w:rsidRDefault="00DA21C3" w:rsidP="00A53EA5">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 achieved quantities (thousand tons)</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1,540</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1,427</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bCs/>
                <w:color w:val="000000"/>
              </w:rPr>
              <w:t>▲7.92</w:t>
            </w:r>
            <w:r>
              <w:rPr>
                <w:rFonts w:ascii="Arial" w:hAnsi="Arial"/>
                <w:color w:val="000000"/>
              </w:rPr>
              <w:t>%</w:t>
            </w:r>
          </w:p>
        </w:tc>
      </w:tr>
      <w:tr w:rsidR="00DA21C3" w:rsidRPr="007F6280" w:rsidTr="00A53EA5">
        <w:trPr>
          <w:trHeight w:val="295"/>
        </w:trPr>
        <w:tc>
          <w:tcPr>
            <w:tcW w:w="1390" w:type="dxa"/>
            <w:vMerge/>
            <w:tcBorders>
              <w:left w:val="single" w:sz="4" w:space="0" w:color="000000"/>
              <w:right w:val="single" w:sz="4" w:space="0" w:color="000000"/>
            </w:tcBorders>
            <w:vAlign w:val="center"/>
          </w:tcPr>
          <w:p w:rsidR="00DA21C3" w:rsidRPr="007F6280" w:rsidRDefault="00DA21C3" w:rsidP="00A53EA5">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-degree of achievement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101.72%</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107.70%</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color w:val="000000"/>
              </w:rPr>
              <w:t>-5.98p.p.</w:t>
            </w:r>
          </w:p>
        </w:tc>
      </w:tr>
      <w:tr w:rsidR="00DA21C3" w:rsidRPr="007F6280" w:rsidTr="00A53EA5">
        <w:trPr>
          <w:trHeight w:val="289"/>
        </w:trPr>
        <w:tc>
          <w:tcPr>
            <w:tcW w:w="1390" w:type="dxa"/>
            <w:vMerge/>
            <w:tcBorders>
              <w:left w:val="single" w:sz="4" w:space="0" w:color="000000"/>
              <w:bottom w:val="single" w:sz="4" w:space="0" w:color="000000"/>
              <w:right w:val="single" w:sz="4" w:space="0" w:color="000000"/>
            </w:tcBorders>
            <w:vAlign w:val="center"/>
          </w:tcPr>
          <w:p w:rsidR="00DA21C3" w:rsidRPr="007F6280" w:rsidRDefault="00DA21C3" w:rsidP="00A53EA5">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color w:val="000000"/>
              </w:rPr>
              <w:t>- degree of use of the transport throughput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26.31%</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rPr>
              <w:t>24.38%</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DA21C3" w:rsidRPr="007F6280" w:rsidRDefault="00DA21C3" w:rsidP="00A53EA5">
            <w:pPr>
              <w:jc w:val="right"/>
              <w:textAlignment w:val="bottom"/>
              <w:rPr>
                <w:rFonts w:ascii="Arial" w:hAnsi="Arial" w:cs="Arial"/>
              </w:rPr>
            </w:pPr>
            <w:r>
              <w:rPr>
                <w:rFonts w:ascii="Arial" w:hAnsi="Arial"/>
                <w:color w:val="000000"/>
              </w:rPr>
              <w:t>+1.93p.p.</w:t>
            </w:r>
          </w:p>
        </w:tc>
      </w:tr>
      <w:tr w:rsidR="00DA21C3" w:rsidRPr="00AA5AC9" w:rsidTr="00A53EA5">
        <w:trPr>
          <w:trHeight w:val="295"/>
        </w:trPr>
        <w:tc>
          <w:tcPr>
            <w:tcW w:w="1390" w:type="dxa"/>
            <w:vMerge w:val="restart"/>
            <w:tcBorders>
              <w:top w:val="single" w:sz="4" w:space="0" w:color="000000"/>
              <w:left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jc w:val="center"/>
              <w:textAlignment w:val="center"/>
              <w:rPr>
                <w:rFonts w:ascii="Arial" w:hAnsi="Arial" w:cs="Arial"/>
              </w:rPr>
            </w:pPr>
            <w:r>
              <w:rPr>
                <w:rFonts w:ascii="Arial" w:hAnsi="Arial"/>
                <w:b/>
                <w:bCs/>
                <w:color w:val="000000"/>
              </w:rPr>
              <w:t>TOTAL</w:t>
            </w:r>
          </w:p>
        </w:tc>
        <w:tc>
          <w:tcPr>
            <w:tcW w:w="3935"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b/>
                <w:bCs/>
                <w:color w:val="000000"/>
              </w:rPr>
              <w:t>- programmed quantities (thousand tons)</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rPr>
              <w:t>3,217</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rPr>
              <w:t>3,088</w:t>
            </w:r>
          </w:p>
        </w:tc>
        <w:tc>
          <w:tcPr>
            <w:tcW w:w="1579"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bCs/>
                <w:color w:val="000000"/>
              </w:rPr>
              <w:t>▲4.18%</w:t>
            </w:r>
          </w:p>
        </w:tc>
      </w:tr>
      <w:tr w:rsidR="00DA21C3" w:rsidRPr="00AA5AC9" w:rsidTr="00A53EA5">
        <w:trPr>
          <w:trHeight w:val="295"/>
        </w:trPr>
        <w:tc>
          <w:tcPr>
            <w:tcW w:w="1390" w:type="dxa"/>
            <w:vMerge/>
            <w:tcBorders>
              <w:left w:val="single" w:sz="4" w:space="0" w:color="000000"/>
              <w:right w:val="single" w:sz="4" w:space="0" w:color="000000"/>
            </w:tcBorders>
            <w:vAlign w:val="center"/>
          </w:tcPr>
          <w:p w:rsidR="00DA21C3" w:rsidRPr="007F6280" w:rsidRDefault="00DA21C3" w:rsidP="00A53EA5">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b/>
                <w:bCs/>
                <w:color w:val="000000"/>
              </w:rPr>
              <w:t>- achieved quantities (thousand tons)</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rPr>
              <w:t>3,298</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rPr>
              <w:t>3,212</w:t>
            </w:r>
          </w:p>
        </w:tc>
        <w:tc>
          <w:tcPr>
            <w:tcW w:w="1579"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bCs/>
                <w:color w:val="000000"/>
              </w:rPr>
              <w:t>▲2.68%</w:t>
            </w:r>
          </w:p>
        </w:tc>
      </w:tr>
      <w:tr w:rsidR="00DA21C3" w:rsidRPr="00AA5AC9" w:rsidTr="00A53EA5">
        <w:trPr>
          <w:trHeight w:val="295"/>
        </w:trPr>
        <w:tc>
          <w:tcPr>
            <w:tcW w:w="1390" w:type="dxa"/>
            <w:vMerge/>
            <w:tcBorders>
              <w:left w:val="single" w:sz="4" w:space="0" w:color="000000"/>
              <w:right w:val="single" w:sz="4" w:space="0" w:color="000000"/>
            </w:tcBorders>
            <w:vAlign w:val="center"/>
          </w:tcPr>
          <w:p w:rsidR="00DA21C3" w:rsidRPr="007F6280" w:rsidRDefault="00DA21C3" w:rsidP="00A53EA5">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b/>
                <w:bCs/>
                <w:color w:val="000000"/>
              </w:rPr>
              <w:t>-degree of achievement</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rPr>
              <w:t>102.52%</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rPr>
              <w:t>104.02%</w:t>
            </w:r>
          </w:p>
        </w:tc>
        <w:tc>
          <w:tcPr>
            <w:tcW w:w="1579"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bCs/>
                <w:color w:val="000000"/>
              </w:rPr>
              <w:t>-1.50p.p.</w:t>
            </w:r>
          </w:p>
        </w:tc>
      </w:tr>
      <w:tr w:rsidR="00DA21C3" w:rsidRPr="00AA5AC9" w:rsidTr="00A53EA5">
        <w:trPr>
          <w:trHeight w:val="377"/>
        </w:trPr>
        <w:tc>
          <w:tcPr>
            <w:tcW w:w="1390" w:type="dxa"/>
            <w:vMerge/>
            <w:tcBorders>
              <w:left w:val="single" w:sz="4" w:space="0" w:color="000000"/>
              <w:bottom w:val="single" w:sz="4" w:space="0" w:color="000000"/>
              <w:right w:val="single" w:sz="4" w:space="0" w:color="000000"/>
            </w:tcBorders>
            <w:vAlign w:val="center"/>
          </w:tcPr>
          <w:p w:rsidR="00DA21C3" w:rsidRPr="007F6280" w:rsidRDefault="00DA21C3" w:rsidP="00A53EA5">
            <w:pPr>
              <w:rPr>
                <w:rFonts w:ascii="Arial" w:hAnsi="Arial" w:cs="Arial"/>
              </w:rPr>
            </w:pPr>
          </w:p>
        </w:tc>
        <w:tc>
          <w:tcPr>
            <w:tcW w:w="3935"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7F6280" w:rsidRDefault="00DA21C3" w:rsidP="00A53EA5">
            <w:pPr>
              <w:textAlignment w:val="bottom"/>
              <w:rPr>
                <w:rFonts w:ascii="Arial" w:hAnsi="Arial" w:cs="Arial"/>
              </w:rPr>
            </w:pPr>
            <w:r>
              <w:rPr>
                <w:rFonts w:ascii="Arial" w:hAnsi="Arial"/>
                <w:b/>
                <w:bCs/>
                <w:color w:val="000000"/>
              </w:rPr>
              <w:t>- degree of use of the transport throughput</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rPr>
              <w:t>36.97%</w:t>
            </w:r>
          </w:p>
        </w:tc>
        <w:tc>
          <w:tcPr>
            <w:tcW w:w="1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rPr>
              <w:t>35.74%</w:t>
            </w:r>
          </w:p>
        </w:tc>
        <w:tc>
          <w:tcPr>
            <w:tcW w:w="1579" w:type="dxa"/>
            <w:tcBorders>
              <w:top w:val="single" w:sz="4" w:space="0" w:color="000000"/>
              <w:left w:val="single" w:sz="4" w:space="0" w:color="000000"/>
              <w:bottom w:val="single" w:sz="4" w:space="0" w:color="000000"/>
              <w:right w:val="single" w:sz="4" w:space="0" w:color="000000"/>
            </w:tcBorders>
            <w:shd w:val="clear" w:color="auto" w:fill="DDEBF7"/>
            <w:tcMar>
              <w:top w:w="11" w:type="dxa"/>
              <w:left w:w="11" w:type="dxa"/>
              <w:bottom w:w="0" w:type="dxa"/>
              <w:right w:w="11" w:type="dxa"/>
            </w:tcMar>
            <w:vAlign w:val="center"/>
          </w:tcPr>
          <w:p w:rsidR="00DA21C3" w:rsidRPr="00AA5AC9" w:rsidRDefault="00DA21C3" w:rsidP="00A53EA5">
            <w:pPr>
              <w:jc w:val="right"/>
              <w:textAlignment w:val="bottom"/>
              <w:rPr>
                <w:rFonts w:ascii="Arial" w:hAnsi="Arial" w:cs="Arial"/>
                <w:b/>
              </w:rPr>
            </w:pPr>
            <w:r>
              <w:rPr>
                <w:rFonts w:ascii="Arial" w:hAnsi="Arial"/>
                <w:b/>
                <w:bCs/>
                <w:color w:val="000000"/>
              </w:rPr>
              <w:t>+1.23p.p.</w:t>
            </w:r>
          </w:p>
        </w:tc>
      </w:tr>
    </w:tbl>
    <w:p w:rsidR="002628EB" w:rsidRDefault="002628EB" w:rsidP="003C2FBC">
      <w:pPr>
        <w:widowControl/>
        <w:overflowPunct w:val="0"/>
        <w:spacing w:line="276" w:lineRule="auto"/>
        <w:jc w:val="center"/>
        <w:textAlignment w:val="baseline"/>
        <w:rPr>
          <w:rFonts w:ascii="Arial" w:hAnsi="Arial" w:cs="Arial"/>
          <w:noProof/>
          <w:sz w:val="16"/>
          <w:szCs w:val="16"/>
          <w:lang w:eastAsia="en-US"/>
        </w:rPr>
      </w:pPr>
    </w:p>
    <w:p w:rsidR="003C2FBC" w:rsidRDefault="003C2FBC" w:rsidP="00CB20B5">
      <w:pPr>
        <w:widowControl/>
        <w:overflowPunct w:val="0"/>
        <w:spacing w:line="276" w:lineRule="auto"/>
        <w:jc w:val="center"/>
        <w:textAlignment w:val="baseline"/>
        <w:rPr>
          <w:rFonts w:ascii="Arial" w:hAnsi="Arial" w:cs="Arial"/>
          <w:noProof/>
          <w:sz w:val="16"/>
          <w:szCs w:val="16"/>
        </w:rPr>
      </w:pPr>
      <w:r>
        <w:rPr>
          <w:rFonts w:ascii="Arial" w:hAnsi="Arial"/>
          <w:sz w:val="16"/>
          <w:szCs w:val="16"/>
        </w:rPr>
        <w:t>Table 5 - Transported quantities by types of products and by transport subsystems Semester I 2018 - Semester I 2017</w:t>
      </w:r>
    </w:p>
    <w:p w:rsidR="00591C58" w:rsidRDefault="00591C58" w:rsidP="003C2FBC">
      <w:pPr>
        <w:widowControl/>
        <w:autoSpaceDE/>
        <w:autoSpaceDN/>
        <w:adjustRightInd/>
        <w:jc w:val="both"/>
        <w:rPr>
          <w:rFonts w:ascii="Arial" w:hAnsi="Arial"/>
          <w:sz w:val="22"/>
          <w:szCs w:val="22"/>
          <w:lang w:eastAsia="x-none"/>
        </w:rPr>
      </w:pPr>
    </w:p>
    <w:p w:rsidR="003C2FBC" w:rsidRPr="003C2FBC" w:rsidRDefault="000C620A" w:rsidP="003C2FBC">
      <w:pPr>
        <w:widowControl/>
        <w:autoSpaceDE/>
        <w:autoSpaceDN/>
        <w:adjustRightInd/>
        <w:jc w:val="both"/>
        <w:rPr>
          <w:rFonts w:ascii="Arial" w:hAnsi="Arial"/>
          <w:sz w:val="22"/>
          <w:szCs w:val="22"/>
        </w:rPr>
      </w:pPr>
      <w:r>
        <w:rPr>
          <w:rFonts w:ascii="Arial" w:hAnsi="Arial"/>
          <w:sz w:val="22"/>
          <w:szCs w:val="22"/>
        </w:rPr>
        <w:t>During January-June 2018</w:t>
      </w:r>
      <w:r w:rsidR="003C2FBC">
        <w:rPr>
          <w:rFonts w:ascii="Arial" w:hAnsi="Arial"/>
          <w:sz w:val="22"/>
          <w:szCs w:val="22"/>
        </w:rPr>
        <w:t xml:space="preserve">, </w:t>
      </w:r>
      <w:r w:rsidR="003C2FBC">
        <w:rPr>
          <w:rFonts w:ascii="Arial" w:hAnsi="Arial"/>
          <w:snapToGrid w:val="0"/>
          <w:sz w:val="22"/>
          <w:szCs w:val="22"/>
        </w:rPr>
        <w:t xml:space="preserve">out of the transported and delivered domestic production amounting to 1,758  thousand </w:t>
      </w:r>
      <w:r w:rsidR="003C2FBC">
        <w:rPr>
          <w:rFonts w:ascii="Arial" w:hAnsi="Arial"/>
          <w:sz w:val="22"/>
          <w:szCs w:val="22"/>
        </w:rPr>
        <w:t xml:space="preserve">tons of crude oil, rich gas and condensate, by rail have been transported </w:t>
      </w:r>
      <w:r w:rsidR="003C2FBC">
        <w:rPr>
          <w:rFonts w:ascii="Arial" w:hAnsi="Arial"/>
          <w:bCs/>
          <w:sz w:val="22"/>
          <w:szCs w:val="22"/>
        </w:rPr>
        <w:t>586 thousand</w:t>
      </w:r>
      <w:r w:rsidR="003C2FBC">
        <w:rPr>
          <w:rFonts w:ascii="Arial" w:hAnsi="Arial"/>
          <w:sz w:val="22"/>
          <w:szCs w:val="22"/>
        </w:rPr>
        <w:t xml:space="preserve"> tons, which represents 33.33% of the overall transported quantity, out of which:</w:t>
      </w:r>
    </w:p>
    <w:p w:rsidR="003C2FBC" w:rsidRPr="003C2FBC" w:rsidRDefault="003C2FBC" w:rsidP="00D87DA4">
      <w:pPr>
        <w:widowControl/>
        <w:numPr>
          <w:ilvl w:val="0"/>
          <w:numId w:val="23"/>
        </w:numPr>
        <w:tabs>
          <w:tab w:val="left" w:pos="426"/>
        </w:tabs>
        <w:autoSpaceDE/>
        <w:autoSpaceDN/>
        <w:adjustRightInd/>
        <w:ind w:left="-567" w:firstLine="567"/>
        <w:jc w:val="both"/>
        <w:rPr>
          <w:rFonts w:ascii="Arial" w:hAnsi="Arial"/>
          <w:sz w:val="22"/>
          <w:szCs w:val="22"/>
        </w:rPr>
      </w:pPr>
      <w:r>
        <w:rPr>
          <w:rFonts w:ascii="Arial" w:hAnsi="Arial"/>
          <w:sz w:val="22"/>
          <w:szCs w:val="22"/>
        </w:rPr>
        <w:t xml:space="preserve">directly to the refineries - </w:t>
      </w:r>
      <w:r>
        <w:rPr>
          <w:rFonts w:ascii="Arial" w:hAnsi="Arial"/>
          <w:bCs/>
          <w:sz w:val="22"/>
          <w:szCs w:val="22"/>
        </w:rPr>
        <w:t>515 thousand tons</w:t>
      </w:r>
      <w:r>
        <w:rPr>
          <w:rFonts w:ascii="Arial" w:hAnsi="Arial"/>
          <w:sz w:val="22"/>
          <w:szCs w:val="22"/>
        </w:rPr>
        <w:t>, (87.88% of the transported quantity by rail);</w:t>
      </w:r>
    </w:p>
    <w:p w:rsidR="00D22517" w:rsidRPr="00D22517" w:rsidRDefault="003C2FBC" w:rsidP="00D87DA4">
      <w:pPr>
        <w:widowControl/>
        <w:numPr>
          <w:ilvl w:val="0"/>
          <w:numId w:val="23"/>
        </w:numPr>
        <w:tabs>
          <w:tab w:val="left" w:pos="426"/>
        </w:tabs>
        <w:autoSpaceDE/>
        <w:autoSpaceDN/>
        <w:adjustRightInd/>
        <w:ind w:left="-567" w:firstLine="567"/>
        <w:jc w:val="both"/>
        <w:rPr>
          <w:rFonts w:ascii="Arial" w:hAnsi="Arial"/>
          <w:sz w:val="22"/>
          <w:szCs w:val="22"/>
        </w:rPr>
      </w:pPr>
      <w:r>
        <w:rPr>
          <w:rFonts w:ascii="Arial" w:hAnsi="Arial"/>
          <w:sz w:val="22"/>
          <w:szCs w:val="22"/>
        </w:rPr>
        <w:t>from Barbatesti ramp- 71 thousand tons, (12.12% of the transported quantity by rail).</w:t>
      </w:r>
    </w:p>
    <w:p w:rsidR="00D22517" w:rsidRPr="003C2FBC" w:rsidRDefault="00D22517" w:rsidP="00D22517">
      <w:pPr>
        <w:widowControl/>
        <w:tabs>
          <w:tab w:val="left" w:pos="426"/>
        </w:tabs>
        <w:autoSpaceDE/>
        <w:autoSpaceDN/>
        <w:adjustRightInd/>
        <w:jc w:val="both"/>
        <w:rPr>
          <w:rFonts w:ascii="Arial" w:hAnsi="Arial"/>
          <w:sz w:val="22"/>
          <w:szCs w:val="22"/>
        </w:rPr>
      </w:pPr>
      <w:r>
        <w:rPr>
          <w:rFonts w:ascii="Arial" w:hAnsi="Arial"/>
          <w:sz w:val="22"/>
          <w:szCs w:val="22"/>
        </w:rPr>
        <w:t>During February 25 - April 4 2017, the refinery Petrotel Lukoil was in scheduled technical overhaul.</w:t>
      </w:r>
    </w:p>
    <w:p w:rsidR="00722FE1" w:rsidRDefault="000C620A" w:rsidP="004279F6">
      <w:pPr>
        <w:widowControl/>
        <w:overflowPunct w:val="0"/>
        <w:spacing w:line="276" w:lineRule="auto"/>
        <w:jc w:val="center"/>
        <w:textAlignment w:val="baseline"/>
        <w:rPr>
          <w:b/>
          <w:i/>
          <w:noProof/>
          <w:sz w:val="18"/>
          <w:szCs w:val="18"/>
        </w:rPr>
      </w:pPr>
      <w:r>
        <w:rPr>
          <w:noProof/>
          <w:lang w:eastAsia="en-US"/>
        </w:rPr>
        <w:drawing>
          <wp:inline distT="0" distB="0" distL="0" distR="0" wp14:anchorId="3CF7E725" wp14:editId="210927B8">
            <wp:extent cx="5935345" cy="3122930"/>
            <wp:effectExtent l="0" t="0" r="825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5345" cy="3122930"/>
                    </a:xfrm>
                    <a:prstGeom prst="rect">
                      <a:avLst/>
                    </a:prstGeom>
                  </pic:spPr>
                </pic:pic>
              </a:graphicData>
            </a:graphic>
          </wp:inline>
        </w:drawing>
      </w:r>
    </w:p>
    <w:p w:rsidR="00EC1AB2" w:rsidRDefault="001D229E" w:rsidP="00692F59">
      <w:pPr>
        <w:spacing w:line="276" w:lineRule="auto"/>
        <w:jc w:val="center"/>
        <w:rPr>
          <w:rFonts w:ascii="Arial" w:hAnsi="Arial"/>
          <w:sz w:val="16"/>
          <w:szCs w:val="16"/>
        </w:rPr>
      </w:pPr>
      <w:r>
        <w:rPr>
          <w:rFonts w:ascii="Arial" w:hAnsi="Arial"/>
          <w:sz w:val="16"/>
          <w:szCs w:val="16"/>
        </w:rPr>
        <w:t xml:space="preserve">Chart </w:t>
      </w:r>
      <w:proofErr w:type="gramStart"/>
      <w:r>
        <w:rPr>
          <w:rFonts w:ascii="Arial" w:hAnsi="Arial"/>
          <w:sz w:val="16"/>
          <w:szCs w:val="16"/>
        </w:rPr>
        <w:t>5</w:t>
      </w:r>
      <w:proofErr w:type="gramEnd"/>
      <w:r>
        <w:rPr>
          <w:rFonts w:ascii="Arial" w:hAnsi="Arial"/>
          <w:sz w:val="16"/>
          <w:szCs w:val="16"/>
        </w:rPr>
        <w:t xml:space="preserve"> - Quantities transported on the transport subsystems</w:t>
      </w:r>
    </w:p>
    <w:p w:rsidR="000C620A" w:rsidRPr="00692F59" w:rsidRDefault="000C620A" w:rsidP="00692F59">
      <w:pPr>
        <w:spacing w:line="276" w:lineRule="auto"/>
        <w:jc w:val="center"/>
        <w:rPr>
          <w:rFonts w:ascii="Arial" w:hAnsi="Arial" w:cs="Arial"/>
          <w:sz w:val="16"/>
          <w:szCs w:val="16"/>
        </w:rPr>
      </w:pPr>
    </w:p>
    <w:p w:rsidR="001D229E" w:rsidRDefault="001D229E" w:rsidP="001D229E">
      <w:pPr>
        <w:spacing w:line="276" w:lineRule="auto"/>
        <w:rPr>
          <w:rFonts w:ascii="Arial" w:hAnsi="Arial" w:cs="Arial"/>
          <w:b/>
          <w:color w:val="5B9BD5" w:themeColor="accent1"/>
          <w:sz w:val="24"/>
          <w:szCs w:val="24"/>
        </w:rPr>
      </w:pPr>
      <w:r>
        <w:rPr>
          <w:rFonts w:ascii="Arial" w:hAnsi="Arial"/>
          <w:sz w:val="22"/>
          <w:szCs w:val="22"/>
        </w:rPr>
        <w:t>The total quantity transported during January-June 2018 was higher by approx.  86 thousand tons as compared to the same period of 2017. In 2018 H1, the quantity transported on the domestic subsystem lowered by 27 thousand tons (1.51%), and on the import transport subsystem increased by 113 thousand tons (7.92%).</w:t>
      </w:r>
    </w:p>
    <w:p w:rsidR="001D229E" w:rsidRDefault="001D229E" w:rsidP="0009386F">
      <w:pPr>
        <w:spacing w:line="276" w:lineRule="auto"/>
        <w:rPr>
          <w:rFonts w:ascii="Arial" w:hAnsi="Arial" w:cs="Arial"/>
          <w:b/>
          <w:color w:val="5B9BD5" w:themeColor="accent1"/>
          <w:sz w:val="24"/>
          <w:szCs w:val="24"/>
        </w:rPr>
      </w:pPr>
    </w:p>
    <w:p w:rsidR="00740567" w:rsidRDefault="00740567" w:rsidP="0009386F">
      <w:pPr>
        <w:spacing w:line="276" w:lineRule="auto"/>
        <w:rPr>
          <w:rFonts w:ascii="Arial" w:hAnsi="Arial" w:cs="Arial"/>
          <w:b/>
          <w:color w:val="5B9BD5" w:themeColor="accent1"/>
          <w:sz w:val="24"/>
          <w:szCs w:val="24"/>
        </w:rPr>
      </w:pPr>
    </w:p>
    <w:p w:rsidR="00740567" w:rsidRDefault="00740567" w:rsidP="0009386F">
      <w:pPr>
        <w:spacing w:line="276" w:lineRule="auto"/>
        <w:rPr>
          <w:rFonts w:ascii="Arial" w:hAnsi="Arial" w:cs="Arial"/>
          <w:b/>
          <w:color w:val="5B9BD5" w:themeColor="accent1"/>
          <w:sz w:val="24"/>
          <w:szCs w:val="24"/>
        </w:rPr>
      </w:pPr>
    </w:p>
    <w:p w:rsidR="00740567" w:rsidRDefault="00740567" w:rsidP="0009386F">
      <w:pPr>
        <w:spacing w:line="276" w:lineRule="auto"/>
        <w:rPr>
          <w:rFonts w:ascii="Arial" w:hAnsi="Arial" w:cs="Arial"/>
          <w:b/>
          <w:color w:val="5B9BD5" w:themeColor="accent1"/>
          <w:sz w:val="24"/>
          <w:szCs w:val="24"/>
        </w:rPr>
      </w:pPr>
    </w:p>
    <w:p w:rsidR="004279F6" w:rsidRPr="009828D6" w:rsidRDefault="004279F6" w:rsidP="004279F6">
      <w:pPr>
        <w:pStyle w:val="Text"/>
        <w:spacing w:after="0" w:line="276" w:lineRule="auto"/>
        <w:rPr>
          <w:rFonts w:ascii="Arial" w:hAnsi="Arial" w:cs="Arial"/>
          <w:b/>
          <w:color w:val="1F4E79" w:themeColor="accent1" w:themeShade="80"/>
          <w:szCs w:val="22"/>
        </w:rPr>
      </w:pPr>
      <w:r>
        <w:rPr>
          <w:rFonts w:ascii="Arial" w:hAnsi="Arial"/>
          <w:b/>
          <w:color w:val="1F4E79" w:themeColor="accent1" w:themeShade="80"/>
          <w:szCs w:val="22"/>
        </w:rPr>
        <w:lastRenderedPageBreak/>
        <w:t xml:space="preserve">Transport Tariffs  </w:t>
      </w:r>
    </w:p>
    <w:p w:rsidR="004279F6" w:rsidRDefault="004279F6" w:rsidP="004279F6">
      <w:pPr>
        <w:pStyle w:val="Text"/>
        <w:spacing w:after="0" w:line="276" w:lineRule="auto"/>
        <w:rPr>
          <w:rFonts w:ascii="Arial" w:hAnsi="Arial" w:cs="Arial"/>
          <w:szCs w:val="22"/>
          <w:lang w:val="ro-RO"/>
        </w:rPr>
      </w:pPr>
    </w:p>
    <w:p w:rsidR="001D229E" w:rsidRPr="009C2595" w:rsidRDefault="001D229E" w:rsidP="001D229E">
      <w:pPr>
        <w:widowControl/>
        <w:overflowPunct w:val="0"/>
        <w:spacing w:line="276" w:lineRule="auto"/>
        <w:jc w:val="both"/>
        <w:textAlignment w:val="baseline"/>
        <w:rPr>
          <w:rFonts w:ascii="Arial" w:hAnsi="Arial" w:cs="Arial"/>
          <w:sz w:val="22"/>
          <w:szCs w:val="22"/>
        </w:rPr>
      </w:pPr>
      <w:r>
        <w:rPr>
          <w:rFonts w:ascii="Arial" w:hAnsi="Arial"/>
          <w:sz w:val="22"/>
          <w:szCs w:val="22"/>
        </w:rPr>
        <w:t>The tariffs for the supply of crude oil, rich gas, condensate and ethane are regulated by the NAMR and are distinguished per transport subsystems.</w:t>
      </w:r>
    </w:p>
    <w:p w:rsidR="004279F6" w:rsidRPr="00FD41CF" w:rsidRDefault="004279F6" w:rsidP="004279F6">
      <w:pPr>
        <w:pStyle w:val="Text"/>
        <w:spacing w:after="0" w:line="276" w:lineRule="auto"/>
        <w:rPr>
          <w:rFonts w:ascii="Arial" w:hAnsi="Arial" w:cs="Arial"/>
          <w:szCs w:val="22"/>
        </w:rPr>
      </w:pPr>
      <w:r>
        <w:rPr>
          <w:rFonts w:ascii="Arial" w:hAnsi="Arial"/>
          <w:szCs w:val="22"/>
        </w:rPr>
        <w:t>During January-June 2018, the tariffs practiced for the supply of the transport services on the crude oil, rich gas, condensate and ethane domestic subsystem are those approved by the NAMR, as follows:</w:t>
      </w:r>
    </w:p>
    <w:p w:rsidR="004279F6" w:rsidRPr="006439EF" w:rsidRDefault="004279F6" w:rsidP="00D87DA4">
      <w:pPr>
        <w:pStyle w:val="Text"/>
        <w:numPr>
          <w:ilvl w:val="0"/>
          <w:numId w:val="9"/>
        </w:numPr>
        <w:spacing w:after="0" w:line="276" w:lineRule="auto"/>
        <w:rPr>
          <w:rFonts w:ascii="Arial" w:hAnsi="Arial" w:cs="Arial"/>
          <w:szCs w:val="22"/>
        </w:rPr>
      </w:pPr>
      <w:r>
        <w:rPr>
          <w:rFonts w:ascii="Arial" w:hAnsi="Arial"/>
          <w:szCs w:val="22"/>
        </w:rPr>
        <w:t xml:space="preserve">During 01.01.2018 - 18.06.2018,  as per the Order no. 32/2016, for the supply of the transport services related to the crude oil, rich gas, condensate on the domestic subsystem the average tariff was 79.75 RON/ton;  </w:t>
      </w:r>
    </w:p>
    <w:p w:rsidR="004279F6" w:rsidRPr="00FD41CF" w:rsidRDefault="004279F6" w:rsidP="00D87DA4">
      <w:pPr>
        <w:pStyle w:val="ListParagraph"/>
        <w:numPr>
          <w:ilvl w:val="0"/>
          <w:numId w:val="9"/>
        </w:numPr>
        <w:spacing w:after="0" w:line="240" w:lineRule="auto"/>
        <w:jc w:val="both"/>
        <w:rPr>
          <w:rFonts w:ascii="Arial" w:hAnsi="Arial" w:cs="Arial"/>
          <w:b/>
          <w:bCs/>
        </w:rPr>
      </w:pPr>
      <w:r>
        <w:rPr>
          <w:rFonts w:ascii="Arial" w:hAnsi="Arial"/>
        </w:rPr>
        <w:t>As of 19.06.2018, as per the Order no.117/15.06.2018, on the domestic transport sub</w:t>
      </w:r>
      <w:r w:rsidR="000C620A">
        <w:rPr>
          <w:rFonts w:ascii="Arial" w:hAnsi="Arial"/>
        </w:rPr>
        <w:t>system the average tariff is 84.</w:t>
      </w:r>
      <w:r>
        <w:rPr>
          <w:rFonts w:ascii="Arial" w:hAnsi="Arial"/>
        </w:rPr>
        <w:t>37 RON/ton.</w:t>
      </w:r>
    </w:p>
    <w:p w:rsidR="004279F6" w:rsidRPr="005007A8" w:rsidRDefault="004279F6" w:rsidP="004279F6">
      <w:pPr>
        <w:pStyle w:val="Text"/>
        <w:spacing w:after="0" w:line="276" w:lineRule="auto"/>
        <w:rPr>
          <w:rFonts w:ascii="Arial" w:hAnsi="Arial" w:cs="Arial"/>
          <w:szCs w:val="22"/>
        </w:rPr>
      </w:pPr>
    </w:p>
    <w:p w:rsidR="004279F6" w:rsidRDefault="004279F6" w:rsidP="004279F6">
      <w:pPr>
        <w:jc w:val="both"/>
        <w:rPr>
          <w:rFonts w:ascii="Arial" w:hAnsi="Arial" w:cs="Arial"/>
          <w:sz w:val="22"/>
          <w:szCs w:val="22"/>
        </w:rPr>
      </w:pPr>
      <w:r>
        <w:rPr>
          <w:rFonts w:ascii="Arial" w:hAnsi="Arial"/>
          <w:sz w:val="22"/>
          <w:szCs w:val="22"/>
        </w:rPr>
        <w:t>For the supply of the transport service on the import subsystem, the tariffs were applied per refineries, according to the transported quantities, as follows:</w:t>
      </w:r>
    </w:p>
    <w:p w:rsidR="00623109" w:rsidRPr="00A74CF5" w:rsidRDefault="00623109" w:rsidP="004279F6">
      <w:pPr>
        <w:jc w:val="both"/>
        <w:rPr>
          <w:rFonts w:ascii="Arial" w:hAnsi="Arial" w:cs="Arial"/>
          <w:color w:val="FF0000"/>
          <w:sz w:val="22"/>
          <w:szCs w:val="22"/>
        </w:rPr>
      </w:pPr>
    </w:p>
    <w:tbl>
      <w:tblPr>
        <w:tblW w:w="9611" w:type="dxa"/>
        <w:tblCellMar>
          <w:left w:w="0" w:type="dxa"/>
          <w:right w:w="0" w:type="dxa"/>
        </w:tblCellMar>
        <w:tblLook w:val="04A0" w:firstRow="1" w:lastRow="0" w:firstColumn="1" w:lastColumn="0" w:noHBand="0" w:noVBand="1"/>
      </w:tblPr>
      <w:tblGrid>
        <w:gridCol w:w="2598"/>
        <w:gridCol w:w="1306"/>
        <w:gridCol w:w="1027"/>
        <w:gridCol w:w="1305"/>
        <w:gridCol w:w="1170"/>
        <w:gridCol w:w="1305"/>
        <w:gridCol w:w="1057"/>
      </w:tblGrid>
      <w:tr w:rsidR="004279F6" w:rsidTr="001D229E">
        <w:trPr>
          <w:trHeight w:val="445"/>
        </w:trPr>
        <w:tc>
          <w:tcPr>
            <w:tcW w:w="259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279F6" w:rsidRDefault="004279F6" w:rsidP="001D229E">
            <w:pPr>
              <w:jc w:val="center"/>
              <w:rPr>
                <w:rFonts w:ascii="Arial" w:hAnsi="Arial" w:cs="Arial"/>
                <w:b/>
                <w:bCs/>
              </w:rPr>
            </w:pPr>
            <w:r>
              <w:rPr>
                <w:rFonts w:ascii="Arial" w:hAnsi="Arial"/>
                <w:b/>
                <w:bCs/>
              </w:rPr>
              <w:t>Period</w:t>
            </w:r>
          </w:p>
        </w:tc>
        <w:tc>
          <w:tcPr>
            <w:tcW w:w="222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279F6" w:rsidRDefault="004279F6" w:rsidP="001D229E">
            <w:pPr>
              <w:jc w:val="center"/>
              <w:rPr>
                <w:rFonts w:ascii="Arial" w:hAnsi="Arial" w:cs="Arial"/>
                <w:b/>
                <w:bCs/>
              </w:rPr>
            </w:pPr>
            <w:r>
              <w:rPr>
                <w:rFonts w:ascii="Arial" w:hAnsi="Arial"/>
                <w:b/>
                <w:bCs/>
              </w:rPr>
              <w:t>Arpechim</w:t>
            </w:r>
          </w:p>
        </w:tc>
        <w:tc>
          <w:tcPr>
            <w:tcW w:w="24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279F6" w:rsidRDefault="004279F6" w:rsidP="001D229E">
            <w:pPr>
              <w:jc w:val="center"/>
              <w:rPr>
                <w:rFonts w:ascii="Arial" w:hAnsi="Arial" w:cs="Arial"/>
                <w:b/>
                <w:bCs/>
              </w:rPr>
            </w:pPr>
            <w:r>
              <w:rPr>
                <w:rFonts w:ascii="Arial" w:hAnsi="Arial"/>
                <w:b/>
                <w:bCs/>
              </w:rPr>
              <w:t>Ploiesti Basin</w:t>
            </w:r>
          </w:p>
        </w:tc>
        <w:tc>
          <w:tcPr>
            <w:tcW w:w="2317"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279F6" w:rsidRDefault="004279F6" w:rsidP="001D229E">
            <w:pPr>
              <w:jc w:val="center"/>
              <w:rPr>
                <w:rFonts w:ascii="Arial" w:hAnsi="Arial" w:cs="Arial"/>
                <w:b/>
                <w:bCs/>
              </w:rPr>
            </w:pPr>
            <w:r>
              <w:rPr>
                <w:rFonts w:ascii="Arial" w:hAnsi="Arial"/>
                <w:b/>
                <w:bCs/>
              </w:rPr>
              <w:t>Petromidia</w:t>
            </w:r>
          </w:p>
        </w:tc>
      </w:tr>
      <w:tr w:rsidR="004279F6" w:rsidTr="00907FDF">
        <w:trPr>
          <w:trHeight w:val="309"/>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79F6" w:rsidRDefault="004279F6" w:rsidP="001D229E">
            <w:pPr>
              <w:rPr>
                <w:rFonts w:ascii="Arial" w:eastAsiaTheme="minorHAnsi" w:hAnsi="Arial" w:cs="Arial"/>
                <w:b/>
                <w:bCs/>
              </w:rPr>
            </w:pPr>
          </w:p>
        </w:tc>
        <w:tc>
          <w:tcPr>
            <w:tcW w:w="13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79F6" w:rsidRPr="00907FDF" w:rsidRDefault="004279F6" w:rsidP="001D229E">
            <w:pPr>
              <w:jc w:val="center"/>
              <w:rPr>
                <w:rFonts w:ascii="Arial" w:hAnsi="Arial" w:cs="Arial"/>
                <w:b/>
                <w:bCs/>
              </w:rPr>
            </w:pPr>
            <w:r>
              <w:rPr>
                <w:rFonts w:ascii="Arial" w:hAnsi="Arial"/>
                <w:b/>
                <w:bCs/>
              </w:rPr>
              <w:t>Thousand tons/month</w:t>
            </w:r>
          </w:p>
        </w:tc>
        <w:tc>
          <w:tcPr>
            <w:tcW w:w="9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907FDF" w:rsidRDefault="004279F6" w:rsidP="001D229E">
            <w:pPr>
              <w:jc w:val="center"/>
              <w:rPr>
                <w:rFonts w:ascii="Arial" w:hAnsi="Arial" w:cs="Arial"/>
                <w:b/>
                <w:bCs/>
              </w:rPr>
            </w:pPr>
            <w:r>
              <w:rPr>
                <w:rFonts w:ascii="Arial" w:hAnsi="Arial"/>
                <w:b/>
                <w:bCs/>
              </w:rPr>
              <w:t>RON/ton</w:t>
            </w:r>
          </w:p>
        </w:tc>
        <w:tc>
          <w:tcPr>
            <w:tcW w:w="13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79F6" w:rsidRPr="00907FDF" w:rsidRDefault="004279F6" w:rsidP="001D229E">
            <w:pPr>
              <w:jc w:val="center"/>
              <w:rPr>
                <w:rFonts w:ascii="Arial" w:hAnsi="Arial" w:cs="Arial"/>
                <w:b/>
                <w:bCs/>
              </w:rPr>
            </w:pPr>
            <w:r>
              <w:rPr>
                <w:rFonts w:ascii="Arial" w:hAnsi="Arial"/>
                <w:b/>
                <w:bCs/>
              </w:rPr>
              <w:t>Thousand tons/month</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907FDF" w:rsidRDefault="004279F6" w:rsidP="001D229E">
            <w:pPr>
              <w:jc w:val="center"/>
              <w:rPr>
                <w:rFonts w:ascii="Arial" w:hAnsi="Arial" w:cs="Arial"/>
                <w:b/>
                <w:bCs/>
              </w:rPr>
            </w:pPr>
            <w:r>
              <w:rPr>
                <w:rFonts w:ascii="Arial" w:hAnsi="Arial"/>
                <w:b/>
                <w:bCs/>
              </w:rPr>
              <w:t>RON/ton</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279F6" w:rsidRPr="00907FDF" w:rsidRDefault="004279F6" w:rsidP="001D229E">
            <w:pPr>
              <w:jc w:val="center"/>
              <w:rPr>
                <w:rFonts w:ascii="Arial" w:hAnsi="Arial" w:cs="Arial"/>
                <w:b/>
                <w:bCs/>
              </w:rPr>
            </w:pPr>
            <w:r>
              <w:rPr>
                <w:rFonts w:ascii="Arial" w:hAnsi="Arial"/>
                <w:b/>
                <w:bCs/>
              </w:rPr>
              <w:t>Thousand tons/month</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907FDF" w:rsidRDefault="004279F6" w:rsidP="001D229E">
            <w:pPr>
              <w:jc w:val="center"/>
              <w:rPr>
                <w:rFonts w:ascii="Arial" w:hAnsi="Arial" w:cs="Arial"/>
                <w:b/>
                <w:bCs/>
              </w:rPr>
            </w:pPr>
            <w:r>
              <w:rPr>
                <w:rFonts w:ascii="Arial" w:hAnsi="Arial"/>
                <w:b/>
                <w:bCs/>
              </w:rPr>
              <w:t>RON/ton</w:t>
            </w:r>
          </w:p>
        </w:tc>
      </w:tr>
      <w:tr w:rsidR="004279F6" w:rsidTr="001D229E">
        <w:trPr>
          <w:trHeight w:val="309"/>
        </w:trPr>
        <w:tc>
          <w:tcPr>
            <w:tcW w:w="2598" w:type="dxa"/>
            <w:vMerge w:val="restart"/>
            <w:tcBorders>
              <w:top w:val="nil"/>
              <w:left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515AAF">
            <w:pPr>
              <w:widowControl/>
              <w:autoSpaceDE/>
              <w:autoSpaceDN/>
              <w:adjustRightInd/>
              <w:rPr>
                <w:rFonts w:ascii="Arial" w:hAnsi="Arial" w:cs="Arial"/>
              </w:rPr>
            </w:pPr>
            <w:r>
              <w:rPr>
                <w:rFonts w:ascii="Arial" w:hAnsi="Arial"/>
              </w:rPr>
              <w:t>09.02.2016 – 18.06.2018 (Order no. 32/2016)</w:t>
            </w:r>
          </w:p>
        </w:tc>
        <w:tc>
          <w:tcPr>
            <w:tcW w:w="130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&lt; 100</w:t>
            </w:r>
          </w:p>
        </w:tc>
        <w:tc>
          <w:tcPr>
            <w:tcW w:w="9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38.85</w:t>
            </w:r>
          </w:p>
        </w:tc>
        <w:tc>
          <w:tcPr>
            <w:tcW w:w="130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&lt; 100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38.00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&lt; 100</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8.00</w:t>
            </w:r>
          </w:p>
        </w:tc>
      </w:tr>
      <w:tr w:rsidR="004279F6" w:rsidTr="001D229E">
        <w:trPr>
          <w:trHeight w:val="231"/>
        </w:trPr>
        <w:tc>
          <w:tcPr>
            <w:tcW w:w="2598" w:type="dxa"/>
            <w:vMerge/>
            <w:tcBorders>
              <w:left w:val="single" w:sz="8" w:space="0" w:color="auto"/>
              <w:bottom w:val="double" w:sz="4"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rPr>
                <w:rFonts w:ascii="Arial" w:hAnsi="Arial" w:cs="Arial"/>
              </w:rPr>
            </w:pPr>
          </w:p>
        </w:tc>
        <w:tc>
          <w:tcPr>
            <w:tcW w:w="130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&gt; 100</w:t>
            </w:r>
          </w:p>
        </w:tc>
        <w:tc>
          <w:tcPr>
            <w:tcW w:w="9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16.60</w:t>
            </w:r>
          </w:p>
        </w:tc>
        <w:tc>
          <w:tcPr>
            <w:tcW w:w="130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&gt; 100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16.00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&gt; 100</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279F6" w:rsidRPr="005007A8" w:rsidRDefault="004279F6" w:rsidP="001D229E">
            <w:pPr>
              <w:widowControl/>
              <w:autoSpaceDE/>
              <w:autoSpaceDN/>
              <w:adjustRightInd/>
              <w:jc w:val="center"/>
              <w:rPr>
                <w:rFonts w:ascii="Arial" w:hAnsi="Arial" w:cs="Arial"/>
              </w:rPr>
            </w:pPr>
            <w:r>
              <w:rPr>
                <w:rFonts w:ascii="Arial" w:hAnsi="Arial"/>
              </w:rPr>
              <w:t>7.33</w:t>
            </w:r>
          </w:p>
        </w:tc>
      </w:tr>
      <w:tr w:rsidR="004279F6" w:rsidTr="001D229E">
        <w:trPr>
          <w:trHeight w:val="309"/>
        </w:trPr>
        <w:tc>
          <w:tcPr>
            <w:tcW w:w="2598" w:type="dxa"/>
            <w:vMerge w:val="restart"/>
            <w:tcBorders>
              <w:top w:val="nil"/>
              <w:left w:val="single" w:sz="8" w:space="0" w:color="auto"/>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rPr>
                <w:rFonts w:ascii="Arial" w:hAnsi="Arial" w:cs="Arial"/>
              </w:rPr>
            </w:pPr>
            <w:r>
              <w:rPr>
                <w:rFonts w:ascii="Arial" w:hAnsi="Arial"/>
              </w:rPr>
              <w:t>19.06.2018 – to date (Order117/2018)</w:t>
            </w:r>
          </w:p>
        </w:tc>
        <w:tc>
          <w:tcPr>
            <w:tcW w:w="13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&lt; 120</w:t>
            </w:r>
          </w:p>
        </w:tc>
        <w:tc>
          <w:tcPr>
            <w:tcW w:w="9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38.85</w:t>
            </w:r>
          </w:p>
        </w:tc>
        <w:tc>
          <w:tcPr>
            <w:tcW w:w="13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&lt; 120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38.00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&lt; 120</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27.00</w:t>
            </w:r>
          </w:p>
        </w:tc>
      </w:tr>
      <w:tr w:rsidR="004279F6" w:rsidTr="001D229E">
        <w:trPr>
          <w:trHeight w:val="309"/>
        </w:trPr>
        <w:tc>
          <w:tcPr>
            <w:tcW w:w="0" w:type="auto"/>
            <w:vMerge/>
            <w:tcBorders>
              <w:top w:val="nil"/>
              <w:left w:val="single" w:sz="8" w:space="0" w:color="auto"/>
              <w:bottom w:val="double" w:sz="4" w:space="0" w:color="auto"/>
              <w:right w:val="single" w:sz="8" w:space="0" w:color="auto"/>
            </w:tcBorders>
            <w:vAlign w:val="center"/>
            <w:hideMark/>
          </w:tcPr>
          <w:p w:rsidR="004279F6" w:rsidRPr="005007A8" w:rsidRDefault="004279F6" w:rsidP="001D229E">
            <w:pPr>
              <w:rPr>
                <w:rFonts w:ascii="Arial" w:eastAsiaTheme="minorHAnsi" w:hAnsi="Arial" w:cs="Arial"/>
              </w:rPr>
            </w:pPr>
          </w:p>
        </w:tc>
        <w:tc>
          <w:tcPr>
            <w:tcW w:w="1306"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&gt; 120</w:t>
            </w:r>
          </w:p>
        </w:tc>
        <w:tc>
          <w:tcPr>
            <w:tcW w:w="917"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16.60</w:t>
            </w:r>
          </w:p>
        </w:tc>
        <w:tc>
          <w:tcPr>
            <w:tcW w:w="1303"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&gt; 120</w:t>
            </w:r>
          </w:p>
        </w:tc>
        <w:tc>
          <w:tcPr>
            <w:tcW w:w="1170"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16.00</w:t>
            </w:r>
          </w:p>
        </w:tc>
        <w:tc>
          <w:tcPr>
            <w:tcW w:w="1260"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&gt; 120</w:t>
            </w:r>
          </w:p>
        </w:tc>
        <w:tc>
          <w:tcPr>
            <w:tcW w:w="1057" w:type="dxa"/>
            <w:tcBorders>
              <w:top w:val="nil"/>
              <w:left w:val="nil"/>
              <w:bottom w:val="double" w:sz="4" w:space="0" w:color="auto"/>
              <w:right w:val="single" w:sz="8" w:space="0" w:color="auto"/>
            </w:tcBorders>
            <w:noWrap/>
            <w:tcMar>
              <w:top w:w="0" w:type="dxa"/>
              <w:left w:w="108" w:type="dxa"/>
              <w:bottom w:w="0" w:type="dxa"/>
              <w:right w:w="108" w:type="dxa"/>
            </w:tcMar>
            <w:vAlign w:val="center"/>
            <w:hideMark/>
          </w:tcPr>
          <w:p w:rsidR="004279F6" w:rsidRPr="005007A8" w:rsidRDefault="004279F6" w:rsidP="001D229E">
            <w:pPr>
              <w:jc w:val="center"/>
              <w:rPr>
                <w:rFonts w:ascii="Arial" w:hAnsi="Arial" w:cs="Arial"/>
              </w:rPr>
            </w:pPr>
            <w:r>
              <w:rPr>
                <w:rFonts w:ascii="Arial" w:hAnsi="Arial"/>
              </w:rPr>
              <w:t>24.74</w:t>
            </w:r>
          </w:p>
        </w:tc>
      </w:tr>
    </w:tbl>
    <w:p w:rsidR="001D229E" w:rsidRDefault="001D229E" w:rsidP="004279F6">
      <w:pPr>
        <w:jc w:val="center"/>
        <w:rPr>
          <w:rFonts w:ascii="Arial" w:hAnsi="Arial" w:cs="Arial"/>
          <w:i/>
          <w:color w:val="FF0000"/>
          <w:sz w:val="18"/>
          <w:szCs w:val="18"/>
        </w:rPr>
      </w:pPr>
    </w:p>
    <w:p w:rsidR="004279F6" w:rsidRPr="00591C58" w:rsidRDefault="004279F6" w:rsidP="004279F6">
      <w:pPr>
        <w:jc w:val="center"/>
        <w:rPr>
          <w:rFonts w:ascii="Arial" w:hAnsi="Arial" w:cs="Arial"/>
          <w:sz w:val="16"/>
          <w:szCs w:val="16"/>
        </w:rPr>
      </w:pPr>
      <w:r>
        <w:rPr>
          <w:rFonts w:ascii="Arial" w:hAnsi="Arial"/>
          <w:sz w:val="16"/>
          <w:szCs w:val="16"/>
        </w:rPr>
        <w:t>Table 6 - Tariffs for the transport on the import subsystem</w:t>
      </w:r>
    </w:p>
    <w:p w:rsidR="004279F6" w:rsidRDefault="004279F6" w:rsidP="004279F6">
      <w:pPr>
        <w:rPr>
          <w:rFonts w:ascii="Arial" w:hAnsi="Arial" w:cs="Arial"/>
          <w:b/>
          <w:i/>
          <w:sz w:val="22"/>
          <w:szCs w:val="22"/>
        </w:rPr>
      </w:pPr>
    </w:p>
    <w:p w:rsidR="001D229E" w:rsidRPr="001D229E" w:rsidRDefault="001D229E" w:rsidP="001D229E">
      <w:pPr>
        <w:widowControl/>
        <w:overflowPunct w:val="0"/>
        <w:spacing w:line="276" w:lineRule="auto"/>
        <w:jc w:val="both"/>
        <w:textAlignment w:val="baseline"/>
        <w:rPr>
          <w:rFonts w:ascii="Arial" w:hAnsi="Arial" w:cs="Arial"/>
          <w:sz w:val="22"/>
          <w:szCs w:val="22"/>
        </w:rPr>
      </w:pPr>
      <w:r>
        <w:rPr>
          <w:rFonts w:ascii="Arial" w:hAnsi="Arial"/>
          <w:sz w:val="22"/>
          <w:szCs w:val="22"/>
        </w:rPr>
        <w:t xml:space="preserve">The transport tariffs include a modernization quota meant exclusively for the financing of the investments related to the National Transport System. </w:t>
      </w:r>
    </w:p>
    <w:p w:rsidR="004279F6" w:rsidRDefault="004279F6" w:rsidP="004279F6">
      <w:pPr>
        <w:rPr>
          <w:rFonts w:ascii="Arial" w:hAnsi="Arial" w:cs="Arial"/>
          <w:b/>
          <w:i/>
          <w:sz w:val="22"/>
          <w:szCs w:val="22"/>
        </w:rPr>
      </w:pPr>
    </w:p>
    <w:p w:rsidR="001D229E" w:rsidRDefault="001D229E" w:rsidP="001D229E">
      <w:pPr>
        <w:widowControl/>
        <w:overflowPunct w:val="0"/>
        <w:spacing w:line="276" w:lineRule="auto"/>
        <w:jc w:val="both"/>
        <w:textAlignment w:val="baseline"/>
        <w:rPr>
          <w:rFonts w:ascii="Arial" w:hAnsi="Arial" w:cs="Arial"/>
          <w:sz w:val="22"/>
          <w:szCs w:val="22"/>
        </w:rPr>
      </w:pPr>
      <w:r>
        <w:rPr>
          <w:rFonts w:ascii="Arial" w:hAnsi="Arial"/>
          <w:sz w:val="22"/>
          <w:szCs w:val="22"/>
        </w:rPr>
        <w:t xml:space="preserve">The total value of the services VAT excluded, invoiced to the beneficiaries during January - June 2018 is in amount of 182.034 thousand </w:t>
      </w:r>
      <w:proofErr w:type="gramStart"/>
      <w:r>
        <w:rPr>
          <w:rFonts w:ascii="Arial" w:hAnsi="Arial"/>
          <w:sz w:val="22"/>
          <w:szCs w:val="22"/>
        </w:rPr>
        <w:t>RON  and</w:t>
      </w:r>
      <w:proofErr w:type="gramEnd"/>
      <w:r>
        <w:rPr>
          <w:rFonts w:ascii="Arial" w:hAnsi="Arial"/>
          <w:sz w:val="22"/>
          <w:szCs w:val="22"/>
        </w:rPr>
        <w:t xml:space="preserve"> in detail by every beneficiary, is as follows:</w:t>
      </w:r>
    </w:p>
    <w:p w:rsidR="0058761D" w:rsidRDefault="006D7418" w:rsidP="00907FDF">
      <w:pPr>
        <w:widowControl/>
        <w:overflowPunct w:val="0"/>
        <w:spacing w:line="276" w:lineRule="auto"/>
        <w:jc w:val="center"/>
        <w:textAlignment w:val="baseline"/>
        <w:rPr>
          <w:rFonts w:ascii="Arial" w:hAnsi="Arial" w:cs="Arial"/>
          <w:sz w:val="22"/>
          <w:szCs w:val="22"/>
        </w:rPr>
      </w:pPr>
      <w:r>
        <w:rPr>
          <w:noProof/>
          <w:lang w:eastAsia="en-US"/>
        </w:rPr>
        <w:drawing>
          <wp:inline distT="0" distB="0" distL="0" distR="0" wp14:anchorId="53CD3830" wp14:editId="5E21CF49">
            <wp:extent cx="5935345" cy="3291840"/>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5345" cy="3291840"/>
                    </a:xfrm>
                    <a:prstGeom prst="rect">
                      <a:avLst/>
                    </a:prstGeom>
                  </pic:spPr>
                </pic:pic>
              </a:graphicData>
            </a:graphic>
          </wp:inline>
        </w:drawing>
      </w:r>
    </w:p>
    <w:p w:rsidR="001D229E" w:rsidRPr="00591C58" w:rsidRDefault="008F5405" w:rsidP="001D229E">
      <w:pPr>
        <w:widowControl/>
        <w:overflowPunct w:val="0"/>
        <w:spacing w:line="276" w:lineRule="auto"/>
        <w:jc w:val="center"/>
        <w:textAlignment w:val="baseline"/>
        <w:rPr>
          <w:rFonts w:ascii="Arial" w:hAnsi="Arial" w:cs="Arial"/>
          <w:sz w:val="16"/>
          <w:szCs w:val="16"/>
        </w:rPr>
      </w:pPr>
      <w:r>
        <w:rPr>
          <w:rFonts w:ascii="Arial" w:hAnsi="Arial"/>
          <w:sz w:val="16"/>
          <w:szCs w:val="16"/>
        </w:rPr>
        <w:t>Chart 6 - Share of transport revenues per refineries in total transport revenues</w:t>
      </w:r>
    </w:p>
    <w:p w:rsidR="00591C58" w:rsidRDefault="00591C58" w:rsidP="00934797">
      <w:pPr>
        <w:spacing w:line="276" w:lineRule="auto"/>
        <w:jc w:val="both"/>
        <w:rPr>
          <w:rFonts w:ascii="Arial" w:hAnsi="Arial" w:cs="Arial"/>
          <w:sz w:val="22"/>
          <w:szCs w:val="22"/>
        </w:rPr>
      </w:pPr>
    </w:p>
    <w:p w:rsidR="001D229E" w:rsidRPr="007440B2" w:rsidRDefault="001D229E" w:rsidP="00934797">
      <w:pPr>
        <w:spacing w:line="276" w:lineRule="auto"/>
        <w:jc w:val="both"/>
        <w:rPr>
          <w:rFonts w:ascii="Arial" w:hAnsi="Arial" w:cs="Arial"/>
          <w:i/>
          <w:sz w:val="22"/>
          <w:szCs w:val="22"/>
        </w:rPr>
      </w:pPr>
      <w:r>
        <w:rPr>
          <w:rFonts w:ascii="Arial" w:hAnsi="Arial"/>
          <w:sz w:val="22"/>
          <w:szCs w:val="22"/>
        </w:rPr>
        <w:t xml:space="preserve">The company holds a monopoly position on the crude oil pipeline transport market, not having other competitors in this business area.  The transport services are being contracted based on a frame contract approved by the National Agency for Mineral Resources, the practiced transport tariffs being regulated and approved by the same authority.  </w:t>
      </w:r>
    </w:p>
    <w:p w:rsidR="001D229E" w:rsidRPr="007440B2" w:rsidRDefault="001D229E" w:rsidP="00934797">
      <w:pPr>
        <w:spacing w:line="276" w:lineRule="auto"/>
        <w:jc w:val="both"/>
        <w:rPr>
          <w:rFonts w:ascii="Arial" w:hAnsi="Arial" w:cs="Arial"/>
          <w:sz w:val="22"/>
          <w:szCs w:val="22"/>
        </w:rPr>
      </w:pPr>
    </w:p>
    <w:p w:rsidR="001D229E" w:rsidRDefault="001D229E" w:rsidP="00934797">
      <w:pPr>
        <w:spacing w:line="276" w:lineRule="auto"/>
        <w:jc w:val="both"/>
        <w:rPr>
          <w:rFonts w:ascii="Arial" w:hAnsi="Arial" w:cs="Arial"/>
          <w:sz w:val="22"/>
          <w:szCs w:val="22"/>
        </w:rPr>
      </w:pPr>
      <w:r>
        <w:rPr>
          <w:rFonts w:ascii="Arial" w:hAnsi="Arial"/>
          <w:sz w:val="22"/>
          <w:szCs w:val="22"/>
        </w:rPr>
        <w:t xml:space="preserve">The transport services supplied by CONPET SA address to a reduced number of potential beneficiaries; consequently, the volume thereof is closely related to the trade policy applied by the beneficiaries of the supplied services.  A situation of significant dependency is being recorded in relation to OMV Petrom, which is the main client when referring to the domestic crude oil transport and the only client for the transport of rich gas and condensate. </w:t>
      </w:r>
    </w:p>
    <w:p w:rsidR="00F1517F" w:rsidRDefault="00F1517F" w:rsidP="00934797">
      <w:pPr>
        <w:overflowPunct w:val="0"/>
        <w:spacing w:line="276" w:lineRule="auto"/>
        <w:jc w:val="both"/>
        <w:rPr>
          <w:rFonts w:ascii="Arial" w:eastAsia="Calibri" w:hAnsi="Arial" w:cs="Arial"/>
          <w:sz w:val="22"/>
          <w:szCs w:val="22"/>
        </w:rPr>
      </w:pPr>
    </w:p>
    <w:p w:rsidR="001A2F19" w:rsidRPr="001A2F19" w:rsidRDefault="001A2F19" w:rsidP="00934797">
      <w:pPr>
        <w:overflowPunct w:val="0"/>
        <w:spacing w:line="276" w:lineRule="auto"/>
        <w:jc w:val="both"/>
        <w:rPr>
          <w:rFonts w:ascii="Arial" w:eastAsia="Calibri" w:hAnsi="Arial" w:cs="Arial"/>
          <w:sz w:val="22"/>
          <w:szCs w:val="22"/>
        </w:rPr>
      </w:pPr>
      <w:r>
        <w:rPr>
          <w:rFonts w:ascii="Arial" w:hAnsi="Arial"/>
          <w:sz w:val="22"/>
          <w:szCs w:val="22"/>
        </w:rPr>
        <w:t xml:space="preserve">The Company is dependent on the level of crude oil processing in Romania. The National Transport System operated by CONPET S.A. Is not interconnected to other external regional transport systems. </w:t>
      </w:r>
    </w:p>
    <w:p w:rsidR="001A2F19" w:rsidRPr="001A2F19" w:rsidRDefault="001A2F19" w:rsidP="00934797">
      <w:pPr>
        <w:overflowPunct w:val="0"/>
        <w:spacing w:line="276" w:lineRule="auto"/>
        <w:jc w:val="both"/>
        <w:rPr>
          <w:rFonts w:ascii="Arial" w:eastAsia="Calibri" w:hAnsi="Arial" w:cs="Arial"/>
          <w:sz w:val="22"/>
          <w:szCs w:val="22"/>
        </w:rPr>
      </w:pPr>
    </w:p>
    <w:p w:rsidR="001A2F19" w:rsidRDefault="001A2F19" w:rsidP="00934797">
      <w:pPr>
        <w:overflowPunct w:val="0"/>
        <w:spacing w:line="276" w:lineRule="auto"/>
        <w:jc w:val="both"/>
        <w:rPr>
          <w:rFonts w:ascii="Arial" w:eastAsia="Calibri" w:hAnsi="Arial" w:cs="Arial"/>
          <w:sz w:val="22"/>
          <w:szCs w:val="22"/>
        </w:rPr>
      </w:pPr>
      <w:r>
        <w:rPr>
          <w:rFonts w:ascii="Arial" w:hAnsi="Arial"/>
          <w:sz w:val="22"/>
          <w:szCs w:val="22"/>
        </w:rPr>
        <w:t xml:space="preserve">Following the petrochemical industry restructuring in Romania, the crude oil, condensate and rich gas transported quantities lowered, which negatively influenced the system’s degree of use. </w:t>
      </w:r>
    </w:p>
    <w:p w:rsidR="00F1517F" w:rsidRPr="001A2F19" w:rsidRDefault="00F1517F" w:rsidP="00934797">
      <w:pPr>
        <w:overflowPunct w:val="0"/>
        <w:spacing w:line="276" w:lineRule="auto"/>
        <w:jc w:val="both"/>
        <w:rPr>
          <w:rFonts w:ascii="Arial" w:eastAsia="Calibri" w:hAnsi="Arial" w:cs="Arial"/>
          <w:sz w:val="22"/>
          <w:szCs w:val="22"/>
        </w:rPr>
      </w:pPr>
    </w:p>
    <w:p w:rsidR="001A2F19" w:rsidRPr="001A2F19" w:rsidRDefault="001A2F19" w:rsidP="00934797">
      <w:pPr>
        <w:overflowPunct w:val="0"/>
        <w:spacing w:line="276" w:lineRule="auto"/>
        <w:jc w:val="both"/>
        <w:rPr>
          <w:rFonts w:ascii="Arial" w:eastAsia="Calibri" w:hAnsi="Arial" w:cs="Arial"/>
          <w:sz w:val="22"/>
          <w:szCs w:val="22"/>
        </w:rPr>
      </w:pPr>
      <w:r>
        <w:rPr>
          <w:rFonts w:ascii="Arial" w:hAnsi="Arial"/>
          <w:sz w:val="22"/>
          <w:szCs w:val="22"/>
        </w:rPr>
        <w:t xml:space="preserve">In lack of an interconnection of the National Transport System to other transport network outside the Romanian borders, the company’s programmed revenues depend directly of the activity of the companies involved in the processing of the crude oil in Romania. </w:t>
      </w:r>
    </w:p>
    <w:p w:rsidR="00591C58" w:rsidRDefault="00591C58" w:rsidP="00934797">
      <w:pPr>
        <w:overflowPunct w:val="0"/>
        <w:spacing w:line="276" w:lineRule="auto"/>
        <w:jc w:val="both"/>
        <w:rPr>
          <w:rFonts w:ascii="Arial" w:eastAsia="Calibri" w:hAnsi="Arial" w:cs="Arial"/>
          <w:sz w:val="22"/>
          <w:szCs w:val="22"/>
        </w:rPr>
      </w:pPr>
    </w:p>
    <w:p w:rsidR="001A2F19" w:rsidRPr="001A2F19" w:rsidRDefault="001A2F19" w:rsidP="00934797">
      <w:pPr>
        <w:overflowPunct w:val="0"/>
        <w:spacing w:line="276" w:lineRule="auto"/>
        <w:jc w:val="both"/>
        <w:rPr>
          <w:rFonts w:ascii="Arial" w:eastAsia="Calibri" w:hAnsi="Arial" w:cs="Arial"/>
          <w:sz w:val="22"/>
          <w:szCs w:val="22"/>
        </w:rPr>
      </w:pPr>
      <w:r>
        <w:rPr>
          <w:rFonts w:ascii="Arial" w:hAnsi="Arial"/>
          <w:sz w:val="22"/>
          <w:szCs w:val="22"/>
        </w:rPr>
        <w:t xml:space="preserve">Given the conditions, by the support of the Ministry of Energy and the National Authority for Mineral Resources (NAMR), the company pays efforts to identify new opportunities that lead to the increase of the degree of use of the system, nevertheless involving into regional projects started in its business area.    </w:t>
      </w:r>
    </w:p>
    <w:p w:rsidR="001A2F19" w:rsidRPr="001A2F19" w:rsidRDefault="001A2F19" w:rsidP="00934797">
      <w:pPr>
        <w:overflowPunct w:val="0"/>
        <w:spacing w:line="276" w:lineRule="auto"/>
        <w:jc w:val="both"/>
        <w:rPr>
          <w:rFonts w:ascii="Arial" w:eastAsia="Calibri" w:hAnsi="Arial" w:cs="Arial"/>
          <w:sz w:val="22"/>
          <w:szCs w:val="22"/>
        </w:rPr>
      </w:pPr>
      <w:r>
        <w:rPr>
          <w:rFonts w:ascii="Arial" w:hAnsi="Arial"/>
          <w:sz w:val="22"/>
          <w:szCs w:val="22"/>
        </w:rPr>
        <w:t xml:space="preserve">It feels the need to emphasize the unpredictability of the crude oil and derivatives extraction and processing in Romania, which may badly influence the financial standing of the company. </w:t>
      </w:r>
    </w:p>
    <w:p w:rsidR="001A2F19" w:rsidRPr="009828D6" w:rsidRDefault="001A2F19" w:rsidP="00934797">
      <w:pPr>
        <w:overflowPunct w:val="0"/>
        <w:spacing w:line="276" w:lineRule="auto"/>
        <w:jc w:val="both"/>
        <w:rPr>
          <w:rFonts w:ascii="Arial" w:eastAsia="Calibri" w:hAnsi="Arial" w:cs="Arial"/>
          <w:color w:val="1F4E79" w:themeColor="accent1" w:themeShade="80"/>
          <w:sz w:val="22"/>
          <w:szCs w:val="22"/>
        </w:rPr>
      </w:pPr>
    </w:p>
    <w:p w:rsidR="001D229E" w:rsidRPr="009828D6" w:rsidRDefault="001D229E" w:rsidP="00D87DA4">
      <w:pPr>
        <w:pStyle w:val="ListParagraph"/>
        <w:numPr>
          <w:ilvl w:val="2"/>
          <w:numId w:val="24"/>
        </w:numPr>
        <w:overflowPunct w:val="0"/>
        <w:ind w:left="567" w:hanging="567"/>
        <w:jc w:val="both"/>
        <w:textAlignment w:val="baseline"/>
        <w:rPr>
          <w:rFonts w:ascii="Arial" w:hAnsi="Arial" w:cs="Arial"/>
          <w:b/>
          <w:color w:val="1F4E79" w:themeColor="accent1" w:themeShade="80"/>
          <w:sz w:val="24"/>
          <w:szCs w:val="24"/>
        </w:rPr>
      </w:pPr>
      <w:r>
        <w:rPr>
          <w:rFonts w:ascii="Arial" w:hAnsi="Arial"/>
          <w:b/>
          <w:color w:val="1F4E79" w:themeColor="accent1" w:themeShade="80"/>
          <w:sz w:val="24"/>
          <w:szCs w:val="24"/>
        </w:rPr>
        <w:t>Other activities</w:t>
      </w:r>
    </w:p>
    <w:p w:rsidR="007440B2" w:rsidRPr="007440B2" w:rsidRDefault="007440B2" w:rsidP="007440B2">
      <w:pPr>
        <w:spacing w:line="276" w:lineRule="auto"/>
        <w:jc w:val="both"/>
        <w:rPr>
          <w:rFonts w:ascii="Arial" w:hAnsi="Arial" w:cs="Arial"/>
          <w:sz w:val="22"/>
          <w:szCs w:val="22"/>
        </w:rPr>
      </w:pPr>
      <w:r>
        <w:rPr>
          <w:rFonts w:ascii="Arial" w:hAnsi="Arial"/>
          <w:sz w:val="22"/>
          <w:szCs w:val="22"/>
        </w:rPr>
        <w:t xml:space="preserve">Other activities, with a contribution of 1.6% to the company’s turnover, are represented by leases of lands and telecommunication equipments, rail shunting, sale of pipe material etc. </w:t>
      </w:r>
    </w:p>
    <w:p w:rsidR="007440B2" w:rsidRPr="007440B2" w:rsidRDefault="007440B2" w:rsidP="007440B2">
      <w:pPr>
        <w:overflowPunct w:val="0"/>
        <w:jc w:val="both"/>
        <w:textAlignment w:val="baseline"/>
        <w:rPr>
          <w:b/>
          <w:color w:val="5B9BD5" w:themeColor="accent1"/>
          <w:sz w:val="28"/>
          <w:szCs w:val="28"/>
        </w:rPr>
      </w:pPr>
    </w:p>
    <w:p w:rsidR="007440B2" w:rsidRPr="009828D6" w:rsidRDefault="007440B2" w:rsidP="007440B2">
      <w:pPr>
        <w:widowControl/>
        <w:overflowPunct w:val="0"/>
        <w:jc w:val="both"/>
        <w:textAlignment w:val="baseline"/>
        <w:rPr>
          <w:rFonts w:ascii="Arial" w:hAnsi="Arial" w:cs="Arial"/>
          <w:b/>
          <w:color w:val="1F4E79" w:themeColor="accent1" w:themeShade="80"/>
          <w:sz w:val="24"/>
          <w:szCs w:val="24"/>
        </w:rPr>
      </w:pPr>
      <w:r>
        <w:rPr>
          <w:rFonts w:ascii="Arial" w:hAnsi="Arial"/>
          <w:b/>
          <w:color w:val="1F4E79" w:themeColor="accent1" w:themeShade="80"/>
          <w:sz w:val="24"/>
          <w:szCs w:val="24"/>
        </w:rPr>
        <w:t>3.1.4 Analysis of the operating activity</w:t>
      </w:r>
    </w:p>
    <w:p w:rsidR="007440B2" w:rsidRPr="007440B2" w:rsidRDefault="007440B2" w:rsidP="007440B2">
      <w:pPr>
        <w:widowControl/>
        <w:overflowPunct w:val="0"/>
        <w:jc w:val="both"/>
        <w:textAlignment w:val="baseline"/>
        <w:rPr>
          <w:b/>
          <w:color w:val="1F4E79" w:themeColor="accent1" w:themeShade="80"/>
          <w:sz w:val="24"/>
          <w:szCs w:val="24"/>
          <w:lang w:val="en-GB" w:eastAsia="en-US"/>
        </w:rPr>
      </w:pPr>
    </w:p>
    <w:p w:rsidR="007440B2" w:rsidRPr="009C2595" w:rsidRDefault="007440B2" w:rsidP="007440B2">
      <w:pPr>
        <w:widowControl/>
        <w:overflowPunct w:val="0"/>
        <w:jc w:val="both"/>
        <w:textAlignment w:val="baseline"/>
        <w:rPr>
          <w:rFonts w:ascii="Arial" w:hAnsi="Arial" w:cs="Arial"/>
          <w:sz w:val="22"/>
          <w:szCs w:val="22"/>
        </w:rPr>
      </w:pPr>
      <w:r>
        <w:rPr>
          <w:rFonts w:ascii="Arial" w:hAnsi="Arial"/>
          <w:sz w:val="22"/>
          <w:szCs w:val="22"/>
        </w:rPr>
        <w:t xml:space="preserve">In the table below is presented the evolution of the transport services supply for 2018 </w:t>
      </w:r>
      <w:proofErr w:type="gramStart"/>
      <w:r>
        <w:rPr>
          <w:rFonts w:ascii="Arial" w:hAnsi="Arial"/>
          <w:sz w:val="22"/>
          <w:szCs w:val="22"/>
        </w:rPr>
        <w:t>H1  as</w:t>
      </w:r>
      <w:proofErr w:type="gramEnd"/>
      <w:r>
        <w:rPr>
          <w:rFonts w:ascii="Arial" w:hAnsi="Arial"/>
          <w:sz w:val="22"/>
          <w:szCs w:val="22"/>
        </w:rPr>
        <w:t xml:space="preserve"> compared to Semester I</w:t>
      </w:r>
      <w:r w:rsidR="00A765FF">
        <w:rPr>
          <w:rFonts w:ascii="Arial" w:hAnsi="Arial"/>
          <w:sz w:val="22"/>
          <w:szCs w:val="22"/>
        </w:rPr>
        <w:t xml:space="preserve"> </w:t>
      </w:r>
      <w:r>
        <w:rPr>
          <w:rFonts w:ascii="Arial" w:hAnsi="Arial"/>
          <w:sz w:val="22"/>
          <w:szCs w:val="22"/>
        </w:rPr>
        <w:t>2017 and to 2018 H1 Budget;</w:t>
      </w:r>
    </w:p>
    <w:p w:rsidR="007440B2" w:rsidRPr="009C2595" w:rsidRDefault="007440B2" w:rsidP="007440B2">
      <w:pPr>
        <w:widowControl/>
        <w:overflowPunct w:val="0"/>
        <w:jc w:val="both"/>
        <w:textAlignment w:val="baseline"/>
        <w:rPr>
          <w:rFonts w:ascii="Arial" w:hAnsi="Arial" w:cs="Arial"/>
          <w:sz w:val="22"/>
          <w:szCs w:val="22"/>
          <w:lang w:eastAsia="en-US"/>
        </w:rPr>
      </w:pPr>
    </w:p>
    <w:tbl>
      <w:tblPr>
        <w:tblW w:w="9468" w:type="dxa"/>
        <w:tblInd w:w="-10"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56"/>
        <w:gridCol w:w="1128"/>
        <w:gridCol w:w="1130"/>
        <w:gridCol w:w="1130"/>
        <w:gridCol w:w="1850"/>
        <w:gridCol w:w="1374"/>
      </w:tblGrid>
      <w:tr w:rsidR="00907FDF" w:rsidRPr="00CD41C3" w:rsidTr="00907FDF">
        <w:trPr>
          <w:trHeight w:val="828"/>
        </w:trPr>
        <w:tc>
          <w:tcPr>
            <w:tcW w:w="3181" w:type="dxa"/>
            <w:tcBorders>
              <w:top w:val="single" w:sz="8" w:space="0" w:color="auto"/>
              <w:left w:val="single" w:sz="8" w:space="0" w:color="auto"/>
              <w:bottom w:val="single" w:sz="8" w:space="0" w:color="000000"/>
              <w:right w:val="single" w:sz="8" w:space="0" w:color="auto"/>
            </w:tcBorders>
            <w:shd w:val="clear" w:color="000000" w:fill="DEEAF6"/>
            <w:vAlign w:val="center"/>
          </w:tcPr>
          <w:p w:rsidR="00907FDF" w:rsidRPr="00907FDF" w:rsidRDefault="00907FDF" w:rsidP="00934797">
            <w:pPr>
              <w:widowControl/>
              <w:autoSpaceDE/>
              <w:autoSpaceDN/>
              <w:adjustRightInd/>
              <w:jc w:val="center"/>
              <w:rPr>
                <w:rFonts w:ascii="Arial" w:hAnsi="Arial" w:cs="Arial"/>
                <w:b/>
                <w:bCs/>
                <w:color w:val="000000"/>
              </w:rPr>
            </w:pPr>
            <w:r>
              <w:rPr>
                <w:rFonts w:ascii="Arial" w:hAnsi="Arial"/>
                <w:b/>
                <w:bCs/>
                <w:color w:val="000000"/>
              </w:rPr>
              <w:t>Indicators</w:t>
            </w:r>
          </w:p>
          <w:p w:rsidR="00907FDF" w:rsidRPr="00907FDF" w:rsidRDefault="00907FDF" w:rsidP="00934797">
            <w:pPr>
              <w:widowControl/>
              <w:autoSpaceDE/>
              <w:autoSpaceDN/>
              <w:adjustRightInd/>
              <w:jc w:val="center"/>
              <w:rPr>
                <w:rFonts w:ascii="Arial" w:hAnsi="Arial" w:cs="Arial"/>
                <w:b/>
                <w:bCs/>
                <w:color w:val="000000"/>
              </w:rPr>
            </w:pPr>
            <w:r>
              <w:rPr>
                <w:rFonts w:ascii="Arial" w:hAnsi="Arial"/>
                <w:b/>
                <w:bCs/>
                <w:color w:val="000000"/>
              </w:rPr>
              <w:t xml:space="preserve"> (Thousand RON)</w:t>
            </w:r>
          </w:p>
        </w:tc>
        <w:tc>
          <w:tcPr>
            <w:tcW w:w="1130" w:type="dxa"/>
            <w:tcBorders>
              <w:top w:val="single" w:sz="8" w:space="0" w:color="auto"/>
              <w:left w:val="single" w:sz="8" w:space="0" w:color="auto"/>
              <w:bottom w:val="single" w:sz="8" w:space="0" w:color="000000"/>
              <w:right w:val="single" w:sz="8" w:space="0" w:color="auto"/>
            </w:tcBorders>
            <w:shd w:val="clear" w:color="000000" w:fill="DEEAF6"/>
            <w:vAlign w:val="center"/>
          </w:tcPr>
          <w:p w:rsidR="00907FDF" w:rsidRPr="00907FDF" w:rsidRDefault="00907FDF" w:rsidP="00934797">
            <w:pPr>
              <w:widowControl/>
              <w:autoSpaceDE/>
              <w:autoSpaceDN/>
              <w:adjustRightInd/>
              <w:jc w:val="center"/>
              <w:rPr>
                <w:rFonts w:ascii="Arial" w:hAnsi="Arial" w:cs="Arial"/>
                <w:b/>
                <w:bCs/>
                <w:color w:val="000000"/>
              </w:rPr>
            </w:pPr>
            <w:r>
              <w:rPr>
                <w:rFonts w:ascii="Arial" w:hAnsi="Arial"/>
                <w:b/>
                <w:bCs/>
                <w:color w:val="000000"/>
              </w:rPr>
              <w:t>Achieved Semester I 2018</w:t>
            </w:r>
          </w:p>
        </w:tc>
        <w:tc>
          <w:tcPr>
            <w:tcW w:w="1130" w:type="dxa"/>
            <w:tcBorders>
              <w:top w:val="single" w:sz="8" w:space="0" w:color="auto"/>
              <w:left w:val="single" w:sz="8" w:space="0" w:color="auto"/>
              <w:bottom w:val="single" w:sz="8" w:space="0" w:color="000000"/>
              <w:right w:val="single" w:sz="8" w:space="0" w:color="auto"/>
            </w:tcBorders>
            <w:shd w:val="clear" w:color="000000" w:fill="DEEAF6"/>
            <w:noWrap/>
            <w:vAlign w:val="center"/>
          </w:tcPr>
          <w:p w:rsidR="00907FDF" w:rsidRPr="00907FDF" w:rsidRDefault="00907FDF" w:rsidP="00934797">
            <w:pPr>
              <w:widowControl/>
              <w:autoSpaceDE/>
              <w:autoSpaceDN/>
              <w:adjustRightInd/>
              <w:jc w:val="center"/>
              <w:rPr>
                <w:rFonts w:ascii="Arial" w:hAnsi="Arial" w:cs="Arial"/>
                <w:b/>
                <w:bCs/>
                <w:color w:val="000000"/>
              </w:rPr>
            </w:pPr>
            <w:r>
              <w:rPr>
                <w:rFonts w:ascii="Arial" w:hAnsi="Arial"/>
                <w:b/>
                <w:bCs/>
                <w:color w:val="000000"/>
              </w:rPr>
              <w:t>Budget Semester I 2018</w:t>
            </w:r>
          </w:p>
        </w:tc>
        <w:tc>
          <w:tcPr>
            <w:tcW w:w="1130" w:type="dxa"/>
            <w:tcBorders>
              <w:top w:val="single" w:sz="8" w:space="0" w:color="auto"/>
              <w:left w:val="single" w:sz="8" w:space="0" w:color="auto"/>
              <w:bottom w:val="single" w:sz="8" w:space="0" w:color="000000"/>
              <w:right w:val="single" w:sz="8" w:space="0" w:color="auto"/>
            </w:tcBorders>
            <w:shd w:val="clear" w:color="000000" w:fill="DEEAF6"/>
            <w:noWrap/>
            <w:vAlign w:val="center"/>
          </w:tcPr>
          <w:p w:rsidR="00907FDF" w:rsidRPr="00907FDF" w:rsidRDefault="00907FDF" w:rsidP="00934797">
            <w:pPr>
              <w:widowControl/>
              <w:autoSpaceDE/>
              <w:autoSpaceDN/>
              <w:adjustRightInd/>
              <w:jc w:val="center"/>
              <w:rPr>
                <w:rFonts w:ascii="Arial" w:hAnsi="Arial" w:cs="Arial"/>
                <w:b/>
                <w:bCs/>
                <w:color w:val="000000"/>
              </w:rPr>
            </w:pPr>
            <w:r>
              <w:rPr>
                <w:rFonts w:ascii="Arial" w:hAnsi="Arial"/>
                <w:b/>
                <w:bCs/>
                <w:color w:val="000000"/>
              </w:rPr>
              <w:t>Achieved Semester I 2017</w:t>
            </w:r>
          </w:p>
        </w:tc>
        <w:tc>
          <w:tcPr>
            <w:tcW w:w="1481" w:type="dxa"/>
            <w:tcBorders>
              <w:top w:val="single" w:sz="8" w:space="0" w:color="auto"/>
              <w:left w:val="nil"/>
              <w:right w:val="single" w:sz="8" w:space="0" w:color="auto"/>
            </w:tcBorders>
            <w:shd w:val="clear" w:color="000000" w:fill="DEEAF6"/>
            <w:vAlign w:val="center"/>
          </w:tcPr>
          <w:p w:rsidR="00907FDF" w:rsidRPr="00907FDF" w:rsidRDefault="00907FDF" w:rsidP="00B462E5">
            <w:pPr>
              <w:widowControl/>
              <w:autoSpaceDE/>
              <w:autoSpaceDN/>
              <w:adjustRightInd/>
              <w:jc w:val="center"/>
              <w:rPr>
                <w:rFonts w:ascii="Arial" w:hAnsi="Arial" w:cs="Arial"/>
                <w:b/>
                <w:bCs/>
                <w:color w:val="000000"/>
              </w:rPr>
            </w:pPr>
            <w:r>
              <w:rPr>
                <w:rFonts w:ascii="Arial" w:hAnsi="Arial"/>
                <w:b/>
                <w:bCs/>
                <w:color w:val="000000"/>
              </w:rPr>
              <w:t>% Variation      Achieved/Budget 2018</w:t>
            </w:r>
          </w:p>
        </w:tc>
        <w:tc>
          <w:tcPr>
            <w:tcW w:w="1416" w:type="dxa"/>
            <w:tcBorders>
              <w:top w:val="single" w:sz="8" w:space="0" w:color="auto"/>
              <w:left w:val="nil"/>
              <w:right w:val="single" w:sz="8" w:space="0" w:color="auto"/>
            </w:tcBorders>
            <w:shd w:val="clear" w:color="000000" w:fill="DEEAF6"/>
            <w:vAlign w:val="center"/>
          </w:tcPr>
          <w:p w:rsidR="00907FDF" w:rsidRPr="00907FDF" w:rsidRDefault="00907FDF" w:rsidP="00B462E5">
            <w:pPr>
              <w:widowControl/>
              <w:autoSpaceDE/>
              <w:autoSpaceDN/>
              <w:adjustRightInd/>
              <w:jc w:val="center"/>
              <w:rPr>
                <w:rFonts w:ascii="Arial" w:hAnsi="Arial" w:cs="Arial"/>
                <w:b/>
                <w:bCs/>
                <w:color w:val="000000"/>
              </w:rPr>
            </w:pPr>
            <w:r>
              <w:rPr>
                <w:rFonts w:ascii="Arial" w:hAnsi="Arial"/>
                <w:b/>
                <w:bCs/>
                <w:color w:val="000000"/>
              </w:rPr>
              <w:t>Variation % 2018/2017</w:t>
            </w:r>
          </w:p>
        </w:tc>
      </w:tr>
      <w:tr w:rsidR="00907FDF" w:rsidRPr="00CD41C3" w:rsidTr="00907FDF">
        <w:trPr>
          <w:trHeight w:val="518"/>
        </w:trPr>
        <w:tc>
          <w:tcPr>
            <w:tcW w:w="3181" w:type="dxa"/>
            <w:shd w:val="clear" w:color="000000" w:fill="FFFFFF"/>
            <w:vAlign w:val="center"/>
            <w:hideMark/>
          </w:tcPr>
          <w:p w:rsidR="00907FDF" w:rsidRPr="00907FDF" w:rsidRDefault="00907FDF" w:rsidP="00934797">
            <w:pPr>
              <w:widowControl/>
              <w:autoSpaceDE/>
              <w:autoSpaceDN/>
              <w:adjustRightInd/>
              <w:rPr>
                <w:rFonts w:ascii="Arial" w:hAnsi="Arial" w:cs="Arial"/>
                <w:color w:val="000000"/>
              </w:rPr>
            </w:pPr>
            <w:r>
              <w:rPr>
                <w:rFonts w:ascii="Arial" w:hAnsi="Arial"/>
                <w:color w:val="000000"/>
              </w:rPr>
              <w:t>Revenues on the domestic transport subsystem</w:t>
            </w:r>
            <w:r>
              <w:rPr>
                <w:rFonts w:ascii="Arial" w:hAnsi="Arial"/>
                <w:bCs/>
                <w:color w:val="000000"/>
              </w:rPr>
              <w:t xml:space="preserve"> </w:t>
            </w:r>
          </w:p>
        </w:tc>
        <w:tc>
          <w:tcPr>
            <w:tcW w:w="1130" w:type="dxa"/>
            <w:shd w:val="clear" w:color="000000" w:fill="FFFFFF"/>
            <w:vAlign w:val="center"/>
          </w:tcPr>
          <w:p w:rsidR="00907FDF" w:rsidRPr="00907FDF" w:rsidRDefault="00907FDF" w:rsidP="00934797">
            <w:pPr>
              <w:widowControl/>
              <w:autoSpaceDE/>
              <w:autoSpaceDN/>
              <w:adjustRightInd/>
              <w:jc w:val="right"/>
              <w:rPr>
                <w:rFonts w:ascii="Arial" w:hAnsi="Arial" w:cs="Arial"/>
                <w:color w:val="000000"/>
              </w:rPr>
            </w:pPr>
            <w:r>
              <w:rPr>
                <w:rFonts w:ascii="Arial" w:hAnsi="Arial"/>
                <w:color w:val="000000"/>
              </w:rPr>
              <w:t>143,199</w:t>
            </w:r>
          </w:p>
        </w:tc>
        <w:tc>
          <w:tcPr>
            <w:tcW w:w="1130" w:type="dxa"/>
            <w:shd w:val="clear" w:color="000000" w:fill="FFFFFF"/>
            <w:noWrap/>
            <w:vAlign w:val="center"/>
          </w:tcPr>
          <w:p w:rsidR="00907FDF" w:rsidRPr="00907FDF" w:rsidRDefault="00907FDF" w:rsidP="00934797">
            <w:pPr>
              <w:jc w:val="right"/>
              <w:rPr>
                <w:rFonts w:ascii="Arial" w:hAnsi="Arial" w:cs="Arial"/>
                <w:color w:val="000000"/>
              </w:rPr>
            </w:pPr>
            <w:r>
              <w:rPr>
                <w:rFonts w:ascii="Arial" w:hAnsi="Arial"/>
                <w:color w:val="000000"/>
              </w:rPr>
              <w:t>141,002</w:t>
            </w:r>
          </w:p>
        </w:tc>
        <w:tc>
          <w:tcPr>
            <w:tcW w:w="1130" w:type="dxa"/>
            <w:shd w:val="clear" w:color="000000" w:fill="FFFFFF"/>
            <w:noWrap/>
            <w:vAlign w:val="center"/>
          </w:tcPr>
          <w:p w:rsidR="00907FDF" w:rsidRPr="00907FDF" w:rsidRDefault="00907FDF" w:rsidP="00934797">
            <w:pPr>
              <w:widowControl/>
              <w:autoSpaceDE/>
              <w:autoSpaceDN/>
              <w:adjustRightInd/>
              <w:jc w:val="right"/>
              <w:rPr>
                <w:rFonts w:ascii="Arial" w:hAnsi="Arial" w:cs="Arial"/>
                <w:color w:val="000000"/>
              </w:rPr>
            </w:pPr>
            <w:r>
              <w:rPr>
                <w:rFonts w:ascii="Arial" w:hAnsi="Arial"/>
                <w:color w:val="000000"/>
              </w:rPr>
              <w:t>143,378</w:t>
            </w:r>
          </w:p>
        </w:tc>
        <w:tc>
          <w:tcPr>
            <w:tcW w:w="1481" w:type="dxa"/>
            <w:shd w:val="clear" w:color="000000" w:fill="FFFFFF"/>
            <w:vAlign w:val="center"/>
            <w:hideMark/>
          </w:tcPr>
          <w:p w:rsidR="00907FDF" w:rsidRPr="00907FDF" w:rsidRDefault="00907FDF" w:rsidP="00934797">
            <w:pPr>
              <w:jc w:val="right"/>
              <w:rPr>
                <w:rFonts w:ascii="Arial" w:hAnsi="Arial" w:cs="Arial"/>
                <w:color w:val="000000"/>
              </w:rPr>
            </w:pPr>
            <w:r>
              <w:rPr>
                <w:rFonts w:ascii="Arial" w:hAnsi="Arial"/>
                <w:bCs/>
                <w:color w:val="000000"/>
              </w:rPr>
              <w:t>▲</w:t>
            </w:r>
            <w:r>
              <w:rPr>
                <w:rFonts w:ascii="Arial" w:hAnsi="Arial"/>
                <w:color w:val="000000"/>
              </w:rPr>
              <w:t>1.56%</w:t>
            </w:r>
          </w:p>
        </w:tc>
        <w:tc>
          <w:tcPr>
            <w:tcW w:w="1416" w:type="dxa"/>
            <w:shd w:val="clear" w:color="000000" w:fill="FFFFFF"/>
            <w:vAlign w:val="center"/>
            <w:hideMark/>
          </w:tcPr>
          <w:p w:rsidR="00907FDF" w:rsidRPr="00907FDF" w:rsidRDefault="00907FDF" w:rsidP="00934797">
            <w:pPr>
              <w:widowControl/>
              <w:autoSpaceDE/>
              <w:autoSpaceDN/>
              <w:adjustRightInd/>
              <w:jc w:val="right"/>
              <w:rPr>
                <w:rFonts w:ascii="Arial" w:hAnsi="Arial" w:cs="Arial"/>
                <w:color w:val="000000"/>
              </w:rPr>
            </w:pPr>
            <w:r>
              <w:rPr>
                <w:rFonts w:ascii="Arial" w:hAnsi="Arial"/>
                <w:bCs/>
                <w:color w:val="000000"/>
              </w:rPr>
              <w:t>▼</w:t>
            </w:r>
            <w:r w:rsidR="00C131B6">
              <w:rPr>
                <w:rFonts w:ascii="Arial" w:hAnsi="Arial"/>
                <w:bCs/>
                <w:color w:val="000000"/>
              </w:rPr>
              <w:t>0.</w:t>
            </w:r>
            <w:r>
              <w:rPr>
                <w:rFonts w:ascii="Arial" w:hAnsi="Arial"/>
                <w:color w:val="000000"/>
              </w:rPr>
              <w:t>12%</w:t>
            </w:r>
          </w:p>
        </w:tc>
      </w:tr>
      <w:tr w:rsidR="00907FDF" w:rsidRPr="00CD41C3" w:rsidTr="00907FDF">
        <w:trPr>
          <w:trHeight w:val="617"/>
        </w:trPr>
        <w:tc>
          <w:tcPr>
            <w:tcW w:w="3181" w:type="dxa"/>
            <w:shd w:val="clear" w:color="000000" w:fill="FFFFFF"/>
            <w:vAlign w:val="center"/>
            <w:hideMark/>
          </w:tcPr>
          <w:p w:rsidR="00907FDF" w:rsidRPr="00907FDF" w:rsidRDefault="00907FDF" w:rsidP="00934797">
            <w:pPr>
              <w:widowControl/>
              <w:autoSpaceDE/>
              <w:autoSpaceDN/>
              <w:adjustRightInd/>
              <w:rPr>
                <w:rFonts w:ascii="Arial" w:hAnsi="Arial" w:cs="Arial"/>
                <w:color w:val="000000"/>
              </w:rPr>
            </w:pPr>
            <w:r>
              <w:rPr>
                <w:rFonts w:ascii="Arial" w:hAnsi="Arial"/>
                <w:color w:val="000000"/>
              </w:rPr>
              <w:t>Revenues on the import transport subsystem</w:t>
            </w:r>
            <w:r>
              <w:rPr>
                <w:rFonts w:ascii="Arial" w:hAnsi="Arial"/>
                <w:bCs/>
                <w:color w:val="000000"/>
              </w:rPr>
              <w:t xml:space="preserve"> </w:t>
            </w:r>
          </w:p>
        </w:tc>
        <w:tc>
          <w:tcPr>
            <w:tcW w:w="1130" w:type="dxa"/>
            <w:shd w:val="clear" w:color="000000" w:fill="FFFFFF"/>
            <w:vAlign w:val="center"/>
          </w:tcPr>
          <w:p w:rsidR="00907FDF" w:rsidRPr="00907FDF" w:rsidRDefault="00907FDF" w:rsidP="00934797">
            <w:pPr>
              <w:jc w:val="right"/>
              <w:rPr>
                <w:rFonts w:ascii="Arial" w:hAnsi="Arial" w:cs="Arial"/>
                <w:color w:val="000000"/>
              </w:rPr>
            </w:pPr>
            <w:r>
              <w:rPr>
                <w:rFonts w:ascii="Arial" w:hAnsi="Arial"/>
                <w:color w:val="000000"/>
              </w:rPr>
              <w:t>38,835</w:t>
            </w:r>
          </w:p>
        </w:tc>
        <w:tc>
          <w:tcPr>
            <w:tcW w:w="1130" w:type="dxa"/>
            <w:shd w:val="clear" w:color="000000" w:fill="FFFFFF"/>
            <w:noWrap/>
            <w:vAlign w:val="center"/>
          </w:tcPr>
          <w:p w:rsidR="00907FDF" w:rsidRPr="00907FDF" w:rsidRDefault="00907FDF" w:rsidP="00907FDF">
            <w:pPr>
              <w:jc w:val="right"/>
              <w:rPr>
                <w:rFonts w:ascii="Arial" w:hAnsi="Arial" w:cs="Arial"/>
                <w:color w:val="000000"/>
              </w:rPr>
            </w:pPr>
            <w:r>
              <w:rPr>
                <w:rFonts w:ascii="Arial" w:hAnsi="Arial"/>
                <w:color w:val="000000"/>
              </w:rPr>
              <w:t>38,674</w:t>
            </w:r>
          </w:p>
        </w:tc>
        <w:tc>
          <w:tcPr>
            <w:tcW w:w="1130" w:type="dxa"/>
            <w:shd w:val="clear" w:color="000000" w:fill="FFFFFF"/>
            <w:noWrap/>
            <w:vAlign w:val="center"/>
          </w:tcPr>
          <w:p w:rsidR="00907FDF" w:rsidRPr="00907FDF" w:rsidRDefault="00907FDF" w:rsidP="00934797">
            <w:pPr>
              <w:jc w:val="right"/>
              <w:rPr>
                <w:rFonts w:ascii="Arial" w:hAnsi="Arial" w:cs="Arial"/>
                <w:color w:val="000000"/>
              </w:rPr>
            </w:pPr>
            <w:r>
              <w:rPr>
                <w:rFonts w:ascii="Arial" w:hAnsi="Arial"/>
                <w:color w:val="000000"/>
              </w:rPr>
              <w:t>40,748</w:t>
            </w:r>
          </w:p>
        </w:tc>
        <w:tc>
          <w:tcPr>
            <w:tcW w:w="1481" w:type="dxa"/>
            <w:shd w:val="clear" w:color="000000" w:fill="FFFFFF"/>
            <w:vAlign w:val="center"/>
            <w:hideMark/>
          </w:tcPr>
          <w:p w:rsidR="00907FDF" w:rsidRPr="00907FDF" w:rsidRDefault="00907FDF" w:rsidP="00934797">
            <w:pPr>
              <w:jc w:val="right"/>
              <w:rPr>
                <w:rFonts w:ascii="Arial" w:hAnsi="Arial" w:cs="Arial"/>
                <w:color w:val="000000"/>
              </w:rPr>
            </w:pPr>
            <w:r>
              <w:rPr>
                <w:rFonts w:ascii="Arial" w:hAnsi="Arial"/>
                <w:bCs/>
                <w:color w:val="000000"/>
              </w:rPr>
              <w:t>▲</w:t>
            </w:r>
            <w:r>
              <w:rPr>
                <w:rFonts w:ascii="Arial" w:hAnsi="Arial"/>
                <w:color w:val="000000"/>
              </w:rPr>
              <w:t>0.41%</w:t>
            </w:r>
          </w:p>
        </w:tc>
        <w:tc>
          <w:tcPr>
            <w:tcW w:w="1416" w:type="dxa"/>
            <w:shd w:val="clear" w:color="000000" w:fill="FFFFFF"/>
            <w:vAlign w:val="center"/>
            <w:hideMark/>
          </w:tcPr>
          <w:p w:rsidR="00907FDF" w:rsidRPr="00907FDF" w:rsidRDefault="00907FDF" w:rsidP="00934797">
            <w:pPr>
              <w:jc w:val="right"/>
              <w:rPr>
                <w:rFonts w:ascii="Arial" w:hAnsi="Arial" w:cs="Arial"/>
                <w:color w:val="000000"/>
              </w:rPr>
            </w:pPr>
            <w:r>
              <w:rPr>
                <w:rFonts w:ascii="Arial" w:hAnsi="Arial"/>
                <w:bCs/>
                <w:color w:val="000000"/>
              </w:rPr>
              <w:t>▼</w:t>
            </w:r>
            <w:r w:rsidR="00C131B6">
              <w:rPr>
                <w:rFonts w:ascii="Arial" w:hAnsi="Arial"/>
                <w:bCs/>
                <w:color w:val="000000"/>
              </w:rPr>
              <w:t>4.</w:t>
            </w:r>
            <w:r>
              <w:rPr>
                <w:rFonts w:ascii="Arial" w:hAnsi="Arial"/>
                <w:color w:val="000000"/>
              </w:rPr>
              <w:t>69%</w:t>
            </w:r>
          </w:p>
        </w:tc>
      </w:tr>
      <w:tr w:rsidR="00907FDF" w:rsidRPr="00CD41C3" w:rsidTr="00907FDF">
        <w:trPr>
          <w:trHeight w:val="533"/>
        </w:trPr>
        <w:tc>
          <w:tcPr>
            <w:tcW w:w="3181" w:type="dxa"/>
            <w:shd w:val="clear" w:color="000000" w:fill="DEEAF6"/>
            <w:vAlign w:val="center"/>
            <w:hideMark/>
          </w:tcPr>
          <w:p w:rsidR="00907FDF" w:rsidRPr="00CD41C3" w:rsidRDefault="00907FDF" w:rsidP="00B462E5">
            <w:pPr>
              <w:widowControl/>
              <w:autoSpaceDE/>
              <w:autoSpaceDN/>
              <w:adjustRightInd/>
              <w:rPr>
                <w:rFonts w:ascii="Arial" w:hAnsi="Arial" w:cs="Arial"/>
                <w:b/>
                <w:bCs/>
                <w:color w:val="000000"/>
              </w:rPr>
            </w:pPr>
            <w:r>
              <w:rPr>
                <w:rFonts w:ascii="Arial" w:hAnsi="Arial"/>
                <w:b/>
                <w:bCs/>
                <w:color w:val="000000"/>
              </w:rPr>
              <w:t xml:space="preserve">Total </w:t>
            </w:r>
          </w:p>
        </w:tc>
        <w:tc>
          <w:tcPr>
            <w:tcW w:w="1130" w:type="dxa"/>
            <w:shd w:val="clear" w:color="000000" w:fill="DDEBF7"/>
            <w:vAlign w:val="center"/>
          </w:tcPr>
          <w:p w:rsidR="00907FDF" w:rsidRPr="002A0064" w:rsidRDefault="00907FDF" w:rsidP="00934797">
            <w:pPr>
              <w:jc w:val="right"/>
              <w:rPr>
                <w:rFonts w:ascii="Arial" w:hAnsi="Arial" w:cs="Arial"/>
                <w:b/>
                <w:bCs/>
                <w:color w:val="000000"/>
              </w:rPr>
            </w:pPr>
            <w:r>
              <w:rPr>
                <w:rFonts w:ascii="Arial" w:hAnsi="Arial"/>
                <w:b/>
                <w:bCs/>
                <w:color w:val="000000"/>
              </w:rPr>
              <w:t>182,034</w:t>
            </w:r>
          </w:p>
        </w:tc>
        <w:tc>
          <w:tcPr>
            <w:tcW w:w="1130" w:type="dxa"/>
            <w:shd w:val="clear" w:color="000000" w:fill="DDEBF7"/>
            <w:vAlign w:val="center"/>
          </w:tcPr>
          <w:p w:rsidR="00907FDF" w:rsidRPr="002A0064" w:rsidRDefault="00907FDF" w:rsidP="00934797">
            <w:pPr>
              <w:jc w:val="right"/>
              <w:rPr>
                <w:rFonts w:ascii="Arial" w:hAnsi="Arial" w:cs="Arial"/>
                <w:b/>
                <w:bCs/>
                <w:color w:val="000000"/>
              </w:rPr>
            </w:pPr>
            <w:r>
              <w:rPr>
                <w:rFonts w:ascii="Arial" w:hAnsi="Arial"/>
                <w:b/>
                <w:bCs/>
                <w:color w:val="000000"/>
              </w:rPr>
              <w:t>179,676</w:t>
            </w:r>
          </w:p>
        </w:tc>
        <w:tc>
          <w:tcPr>
            <w:tcW w:w="1130" w:type="dxa"/>
            <w:shd w:val="clear" w:color="000000" w:fill="DDEBF7"/>
            <w:vAlign w:val="center"/>
          </w:tcPr>
          <w:p w:rsidR="00907FDF" w:rsidRPr="002A0064" w:rsidRDefault="00907FDF" w:rsidP="00934797">
            <w:pPr>
              <w:jc w:val="right"/>
              <w:rPr>
                <w:rFonts w:ascii="Arial" w:hAnsi="Arial" w:cs="Arial"/>
                <w:b/>
                <w:bCs/>
                <w:color w:val="000000"/>
              </w:rPr>
            </w:pPr>
            <w:r>
              <w:rPr>
                <w:rFonts w:ascii="Arial" w:hAnsi="Arial"/>
                <w:b/>
                <w:bCs/>
                <w:color w:val="000000"/>
              </w:rPr>
              <w:t>184,126</w:t>
            </w:r>
          </w:p>
        </w:tc>
        <w:tc>
          <w:tcPr>
            <w:tcW w:w="1481" w:type="dxa"/>
            <w:shd w:val="clear" w:color="000000" w:fill="DDEBF7"/>
            <w:vAlign w:val="center"/>
            <w:hideMark/>
          </w:tcPr>
          <w:p w:rsidR="00907FDF" w:rsidRPr="002A0064" w:rsidRDefault="00907FDF" w:rsidP="00934797">
            <w:pPr>
              <w:jc w:val="right"/>
              <w:rPr>
                <w:rFonts w:ascii="Arial" w:hAnsi="Arial" w:cs="Arial"/>
                <w:b/>
                <w:bCs/>
                <w:color w:val="000000"/>
              </w:rPr>
            </w:pPr>
            <w:r>
              <w:rPr>
                <w:rFonts w:ascii="Arial" w:hAnsi="Arial"/>
                <w:b/>
                <w:bCs/>
                <w:color w:val="000000"/>
              </w:rPr>
              <w:t>▲1.31%</w:t>
            </w:r>
          </w:p>
        </w:tc>
        <w:tc>
          <w:tcPr>
            <w:tcW w:w="1416" w:type="dxa"/>
            <w:shd w:val="clear" w:color="000000" w:fill="DDEBF7"/>
            <w:vAlign w:val="center"/>
            <w:hideMark/>
          </w:tcPr>
          <w:p w:rsidR="00907FDF" w:rsidRPr="002A0064" w:rsidRDefault="00907FDF" w:rsidP="00934797">
            <w:pPr>
              <w:jc w:val="right"/>
              <w:rPr>
                <w:rFonts w:ascii="Arial" w:hAnsi="Arial" w:cs="Arial"/>
                <w:b/>
                <w:bCs/>
                <w:color w:val="000000"/>
              </w:rPr>
            </w:pPr>
            <w:r>
              <w:rPr>
                <w:rFonts w:ascii="Arial" w:hAnsi="Arial"/>
                <w:b/>
                <w:bCs/>
                <w:color w:val="000000"/>
              </w:rPr>
              <w:t>▼1.14%</w:t>
            </w:r>
          </w:p>
        </w:tc>
      </w:tr>
    </w:tbl>
    <w:p w:rsidR="004A5D9D" w:rsidRDefault="004A5D9D" w:rsidP="007440B2">
      <w:pPr>
        <w:shd w:val="clear" w:color="auto" w:fill="FFFFFF"/>
        <w:jc w:val="center"/>
        <w:rPr>
          <w:rFonts w:ascii="Arial" w:hAnsi="Arial" w:cs="Arial"/>
          <w:spacing w:val="-10"/>
          <w:sz w:val="16"/>
          <w:szCs w:val="16"/>
        </w:rPr>
      </w:pPr>
    </w:p>
    <w:p w:rsidR="007440B2" w:rsidRPr="00591C58" w:rsidRDefault="007440B2" w:rsidP="007440B2">
      <w:pPr>
        <w:shd w:val="clear" w:color="auto" w:fill="FFFFFF"/>
        <w:jc w:val="center"/>
        <w:rPr>
          <w:rFonts w:ascii="Arial" w:hAnsi="Arial" w:cs="Arial"/>
          <w:spacing w:val="-10"/>
          <w:sz w:val="16"/>
          <w:szCs w:val="16"/>
        </w:rPr>
      </w:pPr>
      <w:r>
        <w:rPr>
          <w:rFonts w:ascii="Arial" w:hAnsi="Arial"/>
          <w:sz w:val="16"/>
          <w:szCs w:val="16"/>
        </w:rPr>
        <w:lastRenderedPageBreak/>
        <w:t>Table 7 - Statement of the transport revenues</w:t>
      </w:r>
    </w:p>
    <w:p w:rsidR="00907FDF" w:rsidRDefault="00907FDF" w:rsidP="007440B2">
      <w:pPr>
        <w:shd w:val="clear" w:color="auto" w:fill="FFFFFF"/>
        <w:jc w:val="center"/>
        <w:rPr>
          <w:rFonts w:ascii="Arial" w:hAnsi="Arial" w:cs="Arial"/>
          <w:i/>
          <w:spacing w:val="-10"/>
          <w:sz w:val="18"/>
          <w:szCs w:val="18"/>
        </w:rPr>
      </w:pPr>
    </w:p>
    <w:p w:rsidR="00591C58" w:rsidRDefault="00591C58" w:rsidP="007440B2">
      <w:pPr>
        <w:shd w:val="clear" w:color="auto" w:fill="FFFFFF"/>
        <w:jc w:val="center"/>
        <w:rPr>
          <w:rFonts w:ascii="Arial" w:hAnsi="Arial" w:cs="Arial"/>
          <w:i/>
          <w:spacing w:val="-10"/>
          <w:sz w:val="18"/>
          <w:szCs w:val="18"/>
        </w:rPr>
      </w:pPr>
    </w:p>
    <w:p w:rsidR="007440B2" w:rsidRDefault="00A765FF" w:rsidP="00B462E5">
      <w:pPr>
        <w:shd w:val="clear" w:color="auto" w:fill="FFFFFF"/>
        <w:jc w:val="center"/>
        <w:rPr>
          <w:rFonts w:ascii="Arial" w:hAnsi="Arial" w:cs="Arial"/>
          <w:i/>
          <w:spacing w:val="-10"/>
          <w:sz w:val="18"/>
          <w:szCs w:val="18"/>
        </w:rPr>
      </w:pPr>
      <w:r>
        <w:rPr>
          <w:noProof/>
          <w:lang w:eastAsia="en-US"/>
        </w:rPr>
        <w:drawing>
          <wp:inline distT="0" distB="0" distL="0" distR="0" wp14:anchorId="2F17B6E1" wp14:editId="258C5DB7">
            <wp:extent cx="5514975" cy="37767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0508" cy="3780547"/>
                    </a:xfrm>
                    <a:prstGeom prst="rect">
                      <a:avLst/>
                    </a:prstGeom>
                  </pic:spPr>
                </pic:pic>
              </a:graphicData>
            </a:graphic>
          </wp:inline>
        </w:drawing>
      </w:r>
    </w:p>
    <w:p w:rsidR="00B462E5" w:rsidRPr="00B462E5" w:rsidRDefault="00B462E5" w:rsidP="00B462E5">
      <w:pPr>
        <w:shd w:val="clear" w:color="auto" w:fill="FFFFFF"/>
        <w:jc w:val="center"/>
        <w:rPr>
          <w:rFonts w:ascii="Arial" w:hAnsi="Arial" w:cs="Arial"/>
          <w:i/>
          <w:spacing w:val="-10"/>
          <w:sz w:val="18"/>
          <w:szCs w:val="18"/>
        </w:rPr>
      </w:pPr>
    </w:p>
    <w:p w:rsidR="007440B2" w:rsidRPr="00591C58" w:rsidRDefault="007440B2" w:rsidP="007440B2">
      <w:pPr>
        <w:widowControl/>
        <w:shd w:val="clear" w:color="auto" w:fill="FFFFFF"/>
        <w:autoSpaceDE/>
        <w:autoSpaceDN/>
        <w:adjustRightInd/>
        <w:spacing w:line="276" w:lineRule="auto"/>
        <w:ind w:right="7"/>
        <w:jc w:val="center"/>
        <w:rPr>
          <w:rFonts w:ascii="Arial" w:hAnsi="Arial" w:cs="Arial"/>
          <w:bCs/>
          <w:kern w:val="24"/>
          <w:sz w:val="16"/>
          <w:szCs w:val="16"/>
        </w:rPr>
      </w:pPr>
      <w:r>
        <w:rPr>
          <w:rFonts w:ascii="Arial" w:hAnsi="Arial"/>
          <w:bCs/>
          <w:sz w:val="16"/>
          <w:szCs w:val="16"/>
        </w:rPr>
        <w:t>Chart 7 - Evolution of the transport revenues per subsystems</w:t>
      </w:r>
    </w:p>
    <w:p w:rsidR="00BC366A" w:rsidRDefault="00BC366A" w:rsidP="007440B2">
      <w:pPr>
        <w:widowControl/>
        <w:shd w:val="clear" w:color="auto" w:fill="FFFFFF"/>
        <w:autoSpaceDE/>
        <w:autoSpaceDN/>
        <w:adjustRightInd/>
        <w:spacing w:line="276" w:lineRule="auto"/>
        <w:ind w:right="7"/>
        <w:jc w:val="center"/>
        <w:rPr>
          <w:rFonts w:ascii="Arial" w:eastAsia="Calibri" w:hAnsi="Arial" w:cs="Arial"/>
          <w:bCs/>
          <w:color w:val="FF0000"/>
          <w:sz w:val="22"/>
          <w:szCs w:val="22"/>
          <w:lang w:eastAsia="en-NZ"/>
        </w:rPr>
      </w:pPr>
    </w:p>
    <w:p w:rsidR="0011016A" w:rsidRDefault="0011016A" w:rsidP="007440B2">
      <w:pPr>
        <w:widowControl/>
        <w:shd w:val="clear" w:color="auto" w:fill="FFFFFF"/>
        <w:autoSpaceDE/>
        <w:autoSpaceDN/>
        <w:adjustRightInd/>
        <w:spacing w:line="276" w:lineRule="auto"/>
        <w:ind w:right="7"/>
        <w:jc w:val="center"/>
        <w:rPr>
          <w:rFonts w:ascii="Arial" w:eastAsia="Calibri" w:hAnsi="Arial" w:cs="Arial"/>
          <w:bCs/>
          <w:color w:val="FF0000"/>
          <w:sz w:val="22"/>
          <w:szCs w:val="22"/>
          <w:lang w:eastAsia="en-NZ"/>
        </w:rPr>
      </w:pPr>
    </w:p>
    <w:p w:rsidR="0011016A" w:rsidRPr="00555F32" w:rsidRDefault="0011016A" w:rsidP="007440B2">
      <w:pPr>
        <w:widowControl/>
        <w:shd w:val="clear" w:color="auto" w:fill="FFFFFF"/>
        <w:autoSpaceDE/>
        <w:autoSpaceDN/>
        <w:adjustRightInd/>
        <w:spacing w:line="276" w:lineRule="auto"/>
        <w:ind w:right="7"/>
        <w:jc w:val="center"/>
        <w:rPr>
          <w:rFonts w:ascii="Arial" w:eastAsia="Calibri" w:hAnsi="Arial" w:cs="Arial"/>
          <w:bCs/>
          <w:color w:val="FF0000"/>
          <w:sz w:val="22"/>
          <w:szCs w:val="22"/>
          <w:lang w:eastAsia="en-NZ"/>
        </w:rPr>
      </w:pPr>
    </w:p>
    <w:p w:rsidR="007440B2" w:rsidRPr="009828D6" w:rsidRDefault="007440B2" w:rsidP="00D87DA4">
      <w:pPr>
        <w:pStyle w:val="ListParagraph"/>
        <w:numPr>
          <w:ilvl w:val="2"/>
          <w:numId w:val="21"/>
        </w:numPr>
        <w:jc w:val="both"/>
        <w:rPr>
          <w:rFonts w:ascii="Arial" w:hAnsi="Arial" w:cs="Arial"/>
          <w:b/>
          <w:color w:val="1F4E79" w:themeColor="accent1" w:themeShade="80"/>
          <w:sz w:val="24"/>
          <w:szCs w:val="24"/>
        </w:rPr>
      </w:pPr>
      <w:r>
        <w:rPr>
          <w:rFonts w:ascii="Arial" w:hAnsi="Arial"/>
          <w:b/>
          <w:color w:val="1F4E79" w:themeColor="accent1" w:themeShade="80"/>
          <w:sz w:val="24"/>
          <w:szCs w:val="24"/>
        </w:rPr>
        <w:t>Procurement</w:t>
      </w:r>
    </w:p>
    <w:p w:rsidR="00BC366A" w:rsidRPr="00BC366A" w:rsidRDefault="00BC366A" w:rsidP="00BC366A">
      <w:pPr>
        <w:widowControl/>
        <w:autoSpaceDE/>
        <w:autoSpaceDN/>
        <w:adjustRightInd/>
        <w:spacing w:line="276" w:lineRule="auto"/>
        <w:ind w:right="4"/>
        <w:jc w:val="both"/>
        <w:rPr>
          <w:rFonts w:ascii="Arial" w:hAnsi="Arial" w:cs="Arial"/>
          <w:sz w:val="22"/>
          <w:szCs w:val="22"/>
        </w:rPr>
      </w:pPr>
      <w:r>
        <w:rPr>
          <w:rFonts w:ascii="Arial" w:hAnsi="Arial"/>
          <w:sz w:val="22"/>
          <w:szCs w:val="22"/>
        </w:rPr>
        <w:t>The procurement activity was performed in compliance with the provisions of Internal Procurement Norms of CONPET S.A. - revision 1 (for the procedures initiated prior to 01.01.2017) and in compliance with the provisions of the Internal Procurement Norms of CONPET S.A. - revision 2 starting with 01.01.2017.</w:t>
      </w:r>
    </w:p>
    <w:p w:rsidR="00BC366A" w:rsidRPr="00BC366A" w:rsidRDefault="00BC366A" w:rsidP="00BC366A">
      <w:pPr>
        <w:widowControl/>
        <w:autoSpaceDE/>
        <w:autoSpaceDN/>
        <w:adjustRightInd/>
        <w:spacing w:line="276" w:lineRule="auto"/>
        <w:ind w:right="4"/>
        <w:jc w:val="both"/>
        <w:rPr>
          <w:rFonts w:ascii="Arial" w:hAnsi="Arial" w:cs="Arial"/>
          <w:sz w:val="22"/>
          <w:szCs w:val="22"/>
          <w:lang w:eastAsia="en-GB"/>
        </w:rPr>
      </w:pPr>
    </w:p>
    <w:p w:rsidR="007440B2" w:rsidRDefault="007440B2" w:rsidP="007440B2">
      <w:pPr>
        <w:spacing w:line="276" w:lineRule="auto"/>
        <w:jc w:val="both"/>
        <w:rPr>
          <w:rFonts w:ascii="Arial" w:hAnsi="Arial" w:cs="Arial"/>
          <w:sz w:val="22"/>
          <w:szCs w:val="22"/>
        </w:rPr>
      </w:pPr>
      <w:r>
        <w:rPr>
          <w:rFonts w:ascii="Arial" w:hAnsi="Arial"/>
          <w:sz w:val="22"/>
          <w:szCs w:val="22"/>
        </w:rPr>
        <w:t>The statements of the service procurement contracts with values higher than 100,000 Euro and of the works procurement contracts with values higher than 500,000 Euro are presented in Annexes 5 și 6 to this report.</w:t>
      </w:r>
    </w:p>
    <w:p w:rsidR="001A2F19" w:rsidRPr="00A74CF5" w:rsidRDefault="001A2F19" w:rsidP="007440B2">
      <w:pPr>
        <w:spacing w:line="276" w:lineRule="auto"/>
        <w:jc w:val="both"/>
        <w:rPr>
          <w:rFonts w:ascii="Arial" w:hAnsi="Arial" w:cs="Arial"/>
          <w:sz w:val="22"/>
          <w:szCs w:val="22"/>
          <w:lang w:eastAsia="en-US"/>
        </w:rPr>
      </w:pPr>
    </w:p>
    <w:p w:rsidR="001A2F19" w:rsidRPr="009828D6" w:rsidRDefault="001A2F19" w:rsidP="001A2F19">
      <w:pPr>
        <w:widowControl/>
        <w:overflowPunct w:val="0"/>
        <w:spacing w:line="276" w:lineRule="auto"/>
        <w:jc w:val="both"/>
        <w:textAlignment w:val="baseline"/>
        <w:rPr>
          <w:rFonts w:ascii="Arial" w:hAnsi="Arial" w:cs="Arial"/>
          <w:b/>
          <w:color w:val="1F4E79" w:themeColor="accent1" w:themeShade="80"/>
          <w:sz w:val="24"/>
          <w:szCs w:val="24"/>
        </w:rPr>
      </w:pPr>
      <w:r>
        <w:rPr>
          <w:rFonts w:ascii="Arial" w:hAnsi="Arial"/>
          <w:b/>
          <w:color w:val="1F4E79" w:themeColor="accent1" w:themeShade="80"/>
          <w:sz w:val="24"/>
          <w:szCs w:val="24"/>
        </w:rPr>
        <w:t>3.1.6 Company mergers and reorganizations, procurements and disposals of assets during 2018 H1</w:t>
      </w:r>
    </w:p>
    <w:p w:rsidR="001A2F19" w:rsidRPr="001A2F19" w:rsidRDefault="001A2F19" w:rsidP="001A2F19">
      <w:pPr>
        <w:widowControl/>
        <w:autoSpaceDE/>
        <w:autoSpaceDN/>
        <w:adjustRightInd/>
        <w:rPr>
          <w:color w:val="5B9BD5" w:themeColor="accent1"/>
          <w:sz w:val="24"/>
          <w:szCs w:val="24"/>
          <w:lang w:val="it-IT" w:eastAsia="en-US"/>
        </w:rPr>
      </w:pPr>
    </w:p>
    <w:p w:rsidR="00B81508" w:rsidRDefault="001A2F19" w:rsidP="001A2F19">
      <w:pPr>
        <w:widowControl/>
        <w:autoSpaceDE/>
        <w:autoSpaceDN/>
        <w:adjustRightInd/>
        <w:spacing w:line="276" w:lineRule="auto"/>
        <w:rPr>
          <w:rFonts w:ascii="Arial" w:hAnsi="Arial" w:cs="Arial"/>
          <w:sz w:val="22"/>
          <w:szCs w:val="22"/>
        </w:rPr>
      </w:pPr>
      <w:r>
        <w:rPr>
          <w:rFonts w:ascii="Arial" w:hAnsi="Arial"/>
          <w:sz w:val="22"/>
          <w:szCs w:val="22"/>
        </w:rPr>
        <w:t xml:space="preserve">During January-June 2018 there were no company mergers or reorganizations and have been made procurements and disposal of assets. </w:t>
      </w:r>
    </w:p>
    <w:p w:rsidR="00306393" w:rsidRDefault="00306393" w:rsidP="001A2F19">
      <w:pPr>
        <w:widowControl/>
        <w:autoSpaceDE/>
        <w:autoSpaceDN/>
        <w:adjustRightInd/>
        <w:spacing w:line="276" w:lineRule="auto"/>
        <w:rPr>
          <w:rFonts w:ascii="Arial" w:hAnsi="Arial" w:cs="Arial"/>
          <w:sz w:val="22"/>
          <w:szCs w:val="22"/>
          <w:lang w:val="it-IT" w:eastAsia="en-US"/>
        </w:rPr>
      </w:pPr>
    </w:p>
    <w:p w:rsidR="001A2F19" w:rsidRDefault="001A2F19" w:rsidP="001A2F19">
      <w:pPr>
        <w:widowControl/>
        <w:autoSpaceDE/>
        <w:autoSpaceDN/>
        <w:adjustRightInd/>
        <w:spacing w:line="276" w:lineRule="auto"/>
        <w:rPr>
          <w:rFonts w:ascii="Arial" w:hAnsi="Arial" w:cs="Arial"/>
          <w:sz w:val="22"/>
          <w:szCs w:val="22"/>
        </w:rPr>
      </w:pPr>
      <w:r>
        <w:rPr>
          <w:rFonts w:ascii="Arial" w:hAnsi="Arial"/>
          <w:sz w:val="22"/>
          <w:szCs w:val="22"/>
        </w:rPr>
        <w:t>The company has no open subsidiaries in Romania or abroad.</w:t>
      </w:r>
    </w:p>
    <w:p w:rsidR="00934797" w:rsidRPr="001A2F19" w:rsidRDefault="00934797" w:rsidP="001A2F19">
      <w:pPr>
        <w:widowControl/>
        <w:autoSpaceDE/>
        <w:autoSpaceDN/>
        <w:adjustRightInd/>
        <w:spacing w:line="276" w:lineRule="auto"/>
        <w:rPr>
          <w:rFonts w:ascii="Arial" w:hAnsi="Arial" w:cs="Arial"/>
          <w:sz w:val="22"/>
          <w:szCs w:val="22"/>
          <w:lang w:val="it-IT" w:eastAsia="en-US"/>
        </w:rPr>
      </w:pPr>
    </w:p>
    <w:p w:rsidR="001A2F19" w:rsidRPr="009828D6" w:rsidRDefault="001A2F19" w:rsidP="001A2F19">
      <w:pPr>
        <w:jc w:val="both"/>
        <w:rPr>
          <w:rFonts w:ascii="Arial" w:hAnsi="Arial" w:cs="Arial"/>
          <w:b/>
          <w:color w:val="1F4E79" w:themeColor="accent1" w:themeShade="80"/>
          <w:sz w:val="24"/>
          <w:szCs w:val="24"/>
        </w:rPr>
      </w:pPr>
      <w:r>
        <w:rPr>
          <w:rFonts w:ascii="Arial" w:hAnsi="Arial"/>
          <w:b/>
          <w:color w:val="1F4E79" w:themeColor="accent1" w:themeShade="80"/>
          <w:sz w:val="24"/>
          <w:szCs w:val="24"/>
        </w:rPr>
        <w:t>3.1.7 Assessment of human resources and social dialog activity</w:t>
      </w:r>
    </w:p>
    <w:p w:rsidR="001A2F19" w:rsidRPr="001A2F19" w:rsidRDefault="001A2F19" w:rsidP="001A2F19">
      <w:pPr>
        <w:spacing w:line="276" w:lineRule="auto"/>
        <w:rPr>
          <w:color w:val="5B9BD5" w:themeColor="accent1"/>
          <w:sz w:val="24"/>
          <w:szCs w:val="24"/>
          <w:lang w:val="fr-FR"/>
        </w:rPr>
      </w:pPr>
    </w:p>
    <w:p w:rsidR="001A2F19" w:rsidRPr="001A2F19" w:rsidRDefault="001A2F19" w:rsidP="001A2F19">
      <w:pPr>
        <w:spacing w:line="276" w:lineRule="auto"/>
        <w:rPr>
          <w:rFonts w:ascii="Arial" w:hAnsi="Arial" w:cs="Arial"/>
          <w:sz w:val="22"/>
          <w:szCs w:val="22"/>
        </w:rPr>
      </w:pPr>
      <w:r>
        <w:rPr>
          <w:rFonts w:ascii="Arial" w:hAnsi="Arial"/>
          <w:sz w:val="22"/>
          <w:szCs w:val="22"/>
        </w:rPr>
        <w:t xml:space="preserve">The number of employees at June 30, 2018 amounted to 1680, by 30 persons lower than the </w:t>
      </w:r>
      <w:r>
        <w:rPr>
          <w:rFonts w:ascii="Arial" w:hAnsi="Arial"/>
          <w:sz w:val="22"/>
          <w:szCs w:val="22"/>
        </w:rPr>
        <w:lastRenderedPageBreak/>
        <w:t xml:space="preserve">number of employees at 31.12.2017. </w:t>
      </w:r>
    </w:p>
    <w:p w:rsidR="00E028FD" w:rsidRDefault="00E028FD" w:rsidP="00C16D1E">
      <w:pPr>
        <w:pStyle w:val="PlainText"/>
        <w:overflowPunct/>
        <w:autoSpaceDE/>
        <w:autoSpaceDN/>
        <w:adjustRightInd/>
        <w:spacing w:line="276" w:lineRule="auto"/>
        <w:jc w:val="both"/>
        <w:textAlignment w:val="auto"/>
        <w:rPr>
          <w:rFonts w:ascii="Arial" w:hAnsi="Arial" w:cs="Arial"/>
          <w:b/>
          <w:color w:val="000000" w:themeColor="text1"/>
        </w:rPr>
      </w:pPr>
    </w:p>
    <w:p w:rsidR="00E028FD" w:rsidRPr="00E028FD" w:rsidRDefault="00306393" w:rsidP="00C16D1E">
      <w:pPr>
        <w:pStyle w:val="PlainText"/>
        <w:overflowPunct/>
        <w:autoSpaceDE/>
        <w:autoSpaceDN/>
        <w:adjustRightInd/>
        <w:spacing w:line="276" w:lineRule="auto"/>
        <w:jc w:val="both"/>
        <w:textAlignment w:val="auto"/>
        <w:rPr>
          <w:rFonts w:ascii="Arial" w:hAnsi="Arial" w:cs="Arial"/>
          <w:color w:val="000000" w:themeColor="text1"/>
          <w:sz w:val="22"/>
          <w:szCs w:val="22"/>
        </w:rPr>
      </w:pPr>
      <w:r>
        <w:rPr>
          <w:rFonts w:ascii="Arial" w:hAnsi="Arial"/>
          <w:color w:val="000000" w:themeColor="text1"/>
          <w:sz w:val="22"/>
          <w:szCs w:val="22"/>
        </w:rPr>
        <w:t>In order to streamline the business, the company management considered, all along 2018</w:t>
      </w:r>
      <w:proofErr w:type="gramStart"/>
      <w:r>
        <w:rPr>
          <w:rFonts w:ascii="Arial" w:hAnsi="Arial"/>
          <w:color w:val="000000" w:themeColor="text1"/>
          <w:sz w:val="22"/>
          <w:szCs w:val="22"/>
        </w:rPr>
        <w:t>,  the</w:t>
      </w:r>
      <w:proofErr w:type="gramEnd"/>
      <w:r>
        <w:rPr>
          <w:rFonts w:ascii="Arial" w:hAnsi="Arial"/>
          <w:color w:val="000000" w:themeColor="text1"/>
          <w:sz w:val="22"/>
          <w:szCs w:val="22"/>
        </w:rPr>
        <w:t xml:space="preserve"> termination of a number of 58 positions in various organizational entities of the company, by the consequence of individual dismissal of the employees occupying those positions, for reasons non-attributable to them.</w:t>
      </w:r>
    </w:p>
    <w:p w:rsidR="00770C19" w:rsidRDefault="00770C19" w:rsidP="00C16D1E">
      <w:pPr>
        <w:pStyle w:val="PlainText"/>
        <w:spacing w:line="276" w:lineRule="auto"/>
        <w:jc w:val="both"/>
        <w:rPr>
          <w:rFonts w:ascii="Arial" w:hAnsi="Arial" w:cs="Arial"/>
          <w:color w:val="000000" w:themeColor="text1"/>
          <w:sz w:val="22"/>
          <w:szCs w:val="22"/>
        </w:rPr>
      </w:pPr>
    </w:p>
    <w:p w:rsidR="00E028FD" w:rsidRPr="00E028FD" w:rsidRDefault="00E028FD" w:rsidP="00C16D1E">
      <w:pPr>
        <w:pStyle w:val="PlainText"/>
        <w:spacing w:line="276" w:lineRule="auto"/>
        <w:jc w:val="both"/>
        <w:rPr>
          <w:rFonts w:ascii="Arial" w:hAnsi="Arial" w:cs="Arial"/>
          <w:color w:val="000000" w:themeColor="text1"/>
          <w:sz w:val="22"/>
          <w:szCs w:val="22"/>
        </w:rPr>
      </w:pPr>
      <w:r>
        <w:rPr>
          <w:rFonts w:ascii="Arial" w:hAnsi="Arial"/>
          <w:color w:val="000000" w:themeColor="text1"/>
          <w:sz w:val="22"/>
          <w:szCs w:val="22"/>
        </w:rPr>
        <w:t xml:space="preserve">The action took place in two rounds, starting with 30.03.2018 (first round:  29 positions), respectively </w:t>
      </w:r>
      <w:r w:rsidR="00A765FF">
        <w:rPr>
          <w:rFonts w:ascii="Arial" w:hAnsi="Arial"/>
          <w:color w:val="000000" w:themeColor="text1"/>
          <w:sz w:val="22"/>
          <w:szCs w:val="22"/>
        </w:rPr>
        <w:t>with</w:t>
      </w:r>
      <w:r>
        <w:rPr>
          <w:rFonts w:ascii="Arial" w:hAnsi="Arial"/>
          <w:color w:val="000000" w:themeColor="text1"/>
          <w:sz w:val="22"/>
          <w:szCs w:val="22"/>
        </w:rPr>
        <w:t xml:space="preserve"> 01.06.2018 (second round:  29 positions). At June 30, 2018, was in progress the legal notice period for the employees included in the second round; until late July is to be performed the effective dismissal of these employees.</w:t>
      </w:r>
    </w:p>
    <w:p w:rsidR="00E028FD" w:rsidRPr="00E028FD" w:rsidRDefault="00E028FD" w:rsidP="00C16D1E">
      <w:pPr>
        <w:spacing w:line="276" w:lineRule="auto"/>
        <w:rPr>
          <w:rFonts w:ascii="Arial" w:hAnsi="Arial" w:cs="Arial"/>
          <w:color w:val="000000" w:themeColor="text1"/>
          <w:sz w:val="22"/>
          <w:szCs w:val="22"/>
        </w:rPr>
      </w:pPr>
    </w:p>
    <w:p w:rsidR="00E028FD" w:rsidRPr="00E028FD" w:rsidRDefault="00E028FD" w:rsidP="00C16D1E">
      <w:pPr>
        <w:spacing w:line="276" w:lineRule="auto"/>
        <w:jc w:val="both"/>
        <w:rPr>
          <w:rFonts w:ascii="Arial" w:hAnsi="Arial" w:cs="Arial"/>
          <w:color w:val="000000" w:themeColor="text1"/>
          <w:sz w:val="22"/>
          <w:szCs w:val="22"/>
        </w:rPr>
      </w:pPr>
      <w:r>
        <w:rPr>
          <w:rFonts w:ascii="Arial" w:hAnsi="Arial"/>
          <w:color w:val="000000" w:themeColor="text1"/>
          <w:sz w:val="22"/>
          <w:szCs w:val="22"/>
        </w:rPr>
        <w:t>The elimination of the 58 positions triggered mainly the reshaping of the resource necessary to achieve the set objectives, expenses reduction, as well as optimization of the necessary of personnel within the functional structures, adapted at the current company needs.</w:t>
      </w:r>
    </w:p>
    <w:p w:rsidR="00E028FD" w:rsidRPr="00E028FD" w:rsidRDefault="00353038" w:rsidP="00C16D1E">
      <w:pPr>
        <w:spacing w:line="276" w:lineRule="auto"/>
        <w:jc w:val="both"/>
        <w:rPr>
          <w:rFonts w:ascii="Arial" w:hAnsi="Arial" w:cs="Arial"/>
          <w:color w:val="000000" w:themeColor="text1"/>
          <w:sz w:val="22"/>
          <w:szCs w:val="22"/>
        </w:rPr>
      </w:pPr>
      <w:r>
        <w:rPr>
          <w:rFonts w:ascii="Arial" w:hAnsi="Arial"/>
          <w:color w:val="000000" w:themeColor="text1"/>
          <w:sz w:val="22"/>
          <w:szCs w:val="22"/>
        </w:rPr>
        <w:t>The process of identification of the posts proposed to be eliminated took place at all departments level and consisted in:</w:t>
      </w:r>
    </w:p>
    <w:p w:rsidR="00E028FD" w:rsidRPr="00945AFB" w:rsidRDefault="00E028FD" w:rsidP="00D87DA4">
      <w:pPr>
        <w:pStyle w:val="ListParagraph"/>
        <w:numPr>
          <w:ilvl w:val="0"/>
          <w:numId w:val="22"/>
        </w:numPr>
        <w:spacing w:after="0"/>
        <w:jc w:val="both"/>
        <w:rPr>
          <w:rFonts w:ascii="Arial" w:hAnsi="Arial" w:cs="Arial"/>
          <w:color w:val="000000" w:themeColor="text1"/>
        </w:rPr>
      </w:pPr>
      <w:r>
        <w:rPr>
          <w:rFonts w:ascii="Arial" w:hAnsi="Arial"/>
          <w:color w:val="000000" w:themeColor="text1"/>
        </w:rPr>
        <w:t>In case of every job, identification of the correlation between the number of positions and the work volume;</w:t>
      </w:r>
    </w:p>
    <w:p w:rsidR="00E028FD" w:rsidRPr="00945AFB" w:rsidRDefault="00E028FD" w:rsidP="00D87DA4">
      <w:pPr>
        <w:pStyle w:val="ListParagraph"/>
        <w:numPr>
          <w:ilvl w:val="0"/>
          <w:numId w:val="22"/>
        </w:numPr>
        <w:spacing w:after="0"/>
        <w:jc w:val="both"/>
        <w:rPr>
          <w:rFonts w:ascii="Arial" w:hAnsi="Arial" w:cs="Arial"/>
          <w:color w:val="000000" w:themeColor="text1"/>
        </w:rPr>
      </w:pPr>
      <w:r>
        <w:rPr>
          <w:rFonts w:ascii="Arial" w:hAnsi="Arial"/>
          <w:color w:val="000000" w:themeColor="text1"/>
        </w:rPr>
        <w:t>The degree of work load of every employee, as well as of the interaction of the activities performed between the occupants of the positions;</w:t>
      </w:r>
    </w:p>
    <w:p w:rsidR="00F837E9" w:rsidRPr="0011016A" w:rsidRDefault="00E028FD" w:rsidP="00D87DA4">
      <w:pPr>
        <w:pStyle w:val="ListParagraph"/>
        <w:numPr>
          <w:ilvl w:val="0"/>
          <w:numId w:val="22"/>
        </w:numPr>
        <w:spacing w:after="0"/>
        <w:jc w:val="both"/>
        <w:rPr>
          <w:rFonts w:ascii="Arial" w:hAnsi="Arial" w:cs="Arial"/>
          <w:color w:val="000000" w:themeColor="text1"/>
        </w:rPr>
      </w:pPr>
      <w:r>
        <w:rPr>
          <w:rFonts w:ascii="Arial" w:hAnsi="Arial"/>
          <w:color w:val="000000" w:themeColor="text1"/>
        </w:rPr>
        <w:t>The total use, by the occupant of the positions, of the working time related to the achievement of the work duties;</w:t>
      </w:r>
    </w:p>
    <w:p w:rsidR="0011016A" w:rsidRPr="004031C8" w:rsidRDefault="00E028FD" w:rsidP="00D87DA4">
      <w:pPr>
        <w:pStyle w:val="ListParagraph"/>
        <w:numPr>
          <w:ilvl w:val="0"/>
          <w:numId w:val="22"/>
        </w:numPr>
        <w:spacing w:after="0"/>
        <w:jc w:val="both"/>
        <w:rPr>
          <w:rFonts w:ascii="Arial" w:hAnsi="Arial" w:cs="Arial"/>
          <w:color w:val="000000" w:themeColor="text1"/>
        </w:rPr>
      </w:pPr>
      <w:r>
        <w:rPr>
          <w:rFonts w:ascii="Arial" w:hAnsi="Arial"/>
          <w:color w:val="000000" w:themeColor="text1"/>
        </w:rPr>
        <w:t>The possibility to grant complementary  tasks to the occupied positions, according to the work load of that particular position, without affecting the activity performance, under secure and optimum conditions;</w:t>
      </w:r>
    </w:p>
    <w:p w:rsidR="00E028FD" w:rsidRPr="0011016A" w:rsidRDefault="00E028FD" w:rsidP="00D87DA4">
      <w:pPr>
        <w:pStyle w:val="ListParagraph"/>
        <w:numPr>
          <w:ilvl w:val="0"/>
          <w:numId w:val="22"/>
        </w:numPr>
        <w:spacing w:after="0"/>
        <w:jc w:val="both"/>
        <w:rPr>
          <w:rFonts w:ascii="Arial" w:hAnsi="Arial" w:cs="Arial"/>
          <w:color w:val="000000" w:themeColor="text1"/>
        </w:rPr>
      </w:pPr>
      <w:r>
        <w:rPr>
          <w:rFonts w:ascii="Arial" w:hAnsi="Arial"/>
          <w:color w:val="000000" w:themeColor="text1"/>
        </w:rPr>
        <w:t>The possibility to extend the routes surveyed  by the pipeline route operators;</w:t>
      </w:r>
    </w:p>
    <w:p w:rsidR="00E028FD" w:rsidRDefault="00E028FD" w:rsidP="00D87DA4">
      <w:pPr>
        <w:pStyle w:val="ListParagraph"/>
        <w:numPr>
          <w:ilvl w:val="0"/>
          <w:numId w:val="22"/>
        </w:numPr>
        <w:spacing w:after="0"/>
        <w:jc w:val="both"/>
        <w:rPr>
          <w:rFonts w:ascii="Arial" w:hAnsi="Arial" w:cs="Arial"/>
          <w:color w:val="000000" w:themeColor="text1"/>
        </w:rPr>
      </w:pPr>
      <w:r>
        <w:rPr>
          <w:rFonts w:ascii="Arial" w:hAnsi="Arial"/>
          <w:color w:val="000000" w:themeColor="text1"/>
        </w:rPr>
        <w:t>The possibility to exercise the job duties in more work sites with reduced activity where is not necessary to maintain a full job employee.</w:t>
      </w:r>
    </w:p>
    <w:p w:rsidR="0011016A" w:rsidRPr="00945AFB" w:rsidRDefault="0011016A" w:rsidP="0011016A">
      <w:pPr>
        <w:pStyle w:val="ListParagraph"/>
        <w:spacing w:after="0"/>
        <w:ind w:left="781"/>
        <w:jc w:val="both"/>
        <w:rPr>
          <w:rFonts w:ascii="Arial" w:hAnsi="Arial" w:cs="Arial"/>
          <w:color w:val="000000" w:themeColor="text1"/>
        </w:rPr>
      </w:pPr>
    </w:p>
    <w:p w:rsidR="001A2F19" w:rsidRPr="00770C19" w:rsidRDefault="00353038" w:rsidP="001A2F19">
      <w:pPr>
        <w:jc w:val="both"/>
        <w:rPr>
          <w:rFonts w:ascii="Arial" w:hAnsi="Arial" w:cs="Arial"/>
          <w:bCs/>
          <w:iCs/>
          <w:color w:val="000000" w:themeColor="text1"/>
          <w:sz w:val="22"/>
          <w:szCs w:val="22"/>
        </w:rPr>
      </w:pPr>
      <w:r>
        <w:rPr>
          <w:rFonts w:ascii="Arial" w:hAnsi="Arial"/>
          <w:bCs/>
          <w:iCs/>
          <w:color w:val="000000" w:themeColor="text1"/>
          <w:sz w:val="22"/>
          <w:szCs w:val="22"/>
        </w:rPr>
        <w:t>The personnel structure according to the level of studies and gender, at June 30, 2018 is exposed in the table below:</w:t>
      </w:r>
    </w:p>
    <w:p w:rsidR="001A2F19" w:rsidRPr="001A2F19" w:rsidRDefault="001A2F19" w:rsidP="001A2F19">
      <w:pPr>
        <w:jc w:val="both"/>
        <w:rPr>
          <w:rFonts w:ascii="Arial" w:hAnsi="Arial" w:cs="Arial"/>
          <w:b/>
          <w:bCs/>
          <w:iCs/>
          <w:color w:val="000000" w:themeColor="text1"/>
          <w:sz w:val="22"/>
          <w:szCs w:val="22"/>
        </w:rPr>
      </w:pPr>
    </w:p>
    <w:tbl>
      <w:tblPr>
        <w:tblW w:w="9714" w:type="dxa"/>
        <w:jc w:val="center"/>
        <w:tblLook w:val="04A0" w:firstRow="1" w:lastRow="0" w:firstColumn="1" w:lastColumn="0" w:noHBand="0" w:noVBand="1"/>
      </w:tblPr>
      <w:tblGrid>
        <w:gridCol w:w="2374"/>
        <w:gridCol w:w="888"/>
        <w:gridCol w:w="1389"/>
        <w:gridCol w:w="1058"/>
        <w:gridCol w:w="1661"/>
        <w:gridCol w:w="990"/>
        <w:gridCol w:w="1354"/>
      </w:tblGrid>
      <w:tr w:rsidR="001A2F19" w:rsidRPr="001A2F19" w:rsidTr="00A765FF">
        <w:trPr>
          <w:trHeight w:val="948"/>
          <w:jc w:val="center"/>
        </w:trPr>
        <w:tc>
          <w:tcPr>
            <w:tcW w:w="2374"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vAlign w:val="center"/>
            <w:hideMark/>
          </w:tcPr>
          <w:p w:rsidR="001A2F19" w:rsidRPr="001A2F19" w:rsidRDefault="001A2F19" w:rsidP="00770C19">
            <w:pPr>
              <w:jc w:val="center"/>
              <w:rPr>
                <w:rFonts w:ascii="Arial" w:hAnsi="Arial" w:cs="Arial"/>
                <w:b/>
                <w:bCs/>
                <w:color w:val="000000" w:themeColor="text1"/>
                <w:sz w:val="22"/>
                <w:szCs w:val="22"/>
              </w:rPr>
            </w:pPr>
            <w:r>
              <w:rPr>
                <w:rFonts w:ascii="Arial" w:hAnsi="Arial"/>
                <w:b/>
                <w:bCs/>
                <w:color w:val="000000" w:themeColor="text1"/>
                <w:sz w:val="22"/>
                <w:szCs w:val="22"/>
              </w:rPr>
              <w:t>Studies</w:t>
            </w:r>
          </w:p>
        </w:tc>
        <w:tc>
          <w:tcPr>
            <w:tcW w:w="888"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934797">
            <w:pPr>
              <w:jc w:val="center"/>
              <w:rPr>
                <w:rFonts w:ascii="Arial" w:hAnsi="Arial" w:cs="Arial"/>
                <w:b/>
                <w:bCs/>
                <w:color w:val="000000" w:themeColor="text1"/>
                <w:sz w:val="22"/>
                <w:szCs w:val="22"/>
              </w:rPr>
            </w:pPr>
            <w:r>
              <w:rPr>
                <w:rFonts w:ascii="Arial" w:hAnsi="Arial"/>
                <w:b/>
                <w:bCs/>
                <w:color w:val="000000" w:themeColor="text1"/>
                <w:sz w:val="22"/>
                <w:szCs w:val="22"/>
              </w:rPr>
              <w:t xml:space="preserve">Total </w:t>
            </w:r>
          </w:p>
        </w:tc>
        <w:tc>
          <w:tcPr>
            <w:tcW w:w="1389"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1A2F19" w:rsidRPr="001A2F19" w:rsidRDefault="00770C19" w:rsidP="00934797">
            <w:pPr>
              <w:jc w:val="center"/>
              <w:rPr>
                <w:rFonts w:ascii="Arial" w:hAnsi="Arial" w:cs="Arial"/>
                <w:b/>
                <w:bCs/>
                <w:color w:val="000000" w:themeColor="text1"/>
                <w:sz w:val="22"/>
                <w:szCs w:val="22"/>
              </w:rPr>
            </w:pPr>
            <w:r>
              <w:rPr>
                <w:rFonts w:ascii="Arial" w:hAnsi="Arial"/>
                <w:b/>
                <w:bCs/>
                <w:color w:val="000000" w:themeColor="text1"/>
                <w:sz w:val="22"/>
                <w:szCs w:val="22"/>
              </w:rPr>
              <w:t>% in total employees</w:t>
            </w:r>
          </w:p>
        </w:tc>
        <w:tc>
          <w:tcPr>
            <w:tcW w:w="1058"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934797">
            <w:pPr>
              <w:jc w:val="center"/>
              <w:rPr>
                <w:rFonts w:ascii="Arial" w:hAnsi="Arial" w:cs="Arial"/>
                <w:b/>
                <w:bCs/>
                <w:color w:val="000000" w:themeColor="text1"/>
                <w:sz w:val="22"/>
                <w:szCs w:val="22"/>
              </w:rPr>
            </w:pPr>
            <w:r>
              <w:rPr>
                <w:rFonts w:ascii="Arial" w:hAnsi="Arial"/>
                <w:b/>
                <w:bCs/>
                <w:color w:val="000000" w:themeColor="text1"/>
                <w:sz w:val="22"/>
                <w:szCs w:val="22"/>
              </w:rPr>
              <w:t>Women</w:t>
            </w:r>
          </w:p>
        </w:tc>
        <w:tc>
          <w:tcPr>
            <w:tcW w:w="1661" w:type="dxa"/>
            <w:tcBorders>
              <w:top w:val="single" w:sz="8" w:space="0" w:color="auto"/>
              <w:left w:val="nil"/>
              <w:bottom w:val="single" w:sz="8" w:space="0" w:color="auto"/>
              <w:right w:val="single" w:sz="4" w:space="0" w:color="auto"/>
            </w:tcBorders>
            <w:shd w:val="clear" w:color="auto" w:fill="DEEAF6" w:themeFill="accent1" w:themeFillTint="33"/>
            <w:vAlign w:val="center"/>
            <w:hideMark/>
          </w:tcPr>
          <w:p w:rsidR="001A2F19" w:rsidRPr="001A2F19" w:rsidRDefault="001A2F19" w:rsidP="00934797">
            <w:pPr>
              <w:jc w:val="center"/>
              <w:rPr>
                <w:rFonts w:ascii="Arial" w:hAnsi="Arial" w:cs="Arial"/>
                <w:b/>
                <w:bCs/>
                <w:color w:val="000000" w:themeColor="text1"/>
                <w:sz w:val="22"/>
                <w:szCs w:val="22"/>
              </w:rPr>
            </w:pPr>
            <w:r>
              <w:rPr>
                <w:rFonts w:ascii="Arial" w:hAnsi="Arial"/>
                <w:b/>
                <w:bCs/>
                <w:color w:val="000000" w:themeColor="text1"/>
                <w:sz w:val="22"/>
                <w:szCs w:val="22"/>
              </w:rPr>
              <w:t>% in total employees</w:t>
            </w:r>
          </w:p>
        </w:tc>
        <w:tc>
          <w:tcPr>
            <w:tcW w:w="990"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2F3868">
            <w:pPr>
              <w:jc w:val="center"/>
              <w:rPr>
                <w:rFonts w:ascii="Arial" w:hAnsi="Arial" w:cs="Arial"/>
                <w:b/>
                <w:bCs/>
                <w:color w:val="000000" w:themeColor="text1"/>
                <w:sz w:val="22"/>
                <w:szCs w:val="22"/>
              </w:rPr>
            </w:pPr>
            <w:r>
              <w:rPr>
                <w:rFonts w:ascii="Arial" w:hAnsi="Arial"/>
                <w:b/>
                <w:bCs/>
                <w:color w:val="000000" w:themeColor="text1"/>
                <w:sz w:val="22"/>
                <w:szCs w:val="22"/>
              </w:rPr>
              <w:t>Men</w:t>
            </w:r>
          </w:p>
        </w:tc>
        <w:tc>
          <w:tcPr>
            <w:tcW w:w="1354"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1A2F19" w:rsidRPr="001A2F19" w:rsidRDefault="001A2F19" w:rsidP="00934797">
            <w:pPr>
              <w:jc w:val="center"/>
              <w:rPr>
                <w:rFonts w:ascii="Arial" w:hAnsi="Arial" w:cs="Arial"/>
                <w:b/>
                <w:bCs/>
                <w:color w:val="000000" w:themeColor="text1"/>
                <w:sz w:val="22"/>
                <w:szCs w:val="22"/>
              </w:rPr>
            </w:pPr>
            <w:r>
              <w:rPr>
                <w:rFonts w:ascii="Arial" w:hAnsi="Arial"/>
                <w:b/>
                <w:bCs/>
                <w:color w:val="000000" w:themeColor="text1"/>
                <w:sz w:val="22"/>
                <w:szCs w:val="22"/>
              </w:rPr>
              <w:t>% in total employees</w:t>
            </w:r>
          </w:p>
        </w:tc>
      </w:tr>
      <w:tr w:rsidR="001A2F19" w:rsidRPr="001A2F19" w:rsidTr="00A765FF">
        <w:trPr>
          <w:trHeight w:val="324"/>
          <w:jc w:val="center"/>
        </w:trPr>
        <w:tc>
          <w:tcPr>
            <w:tcW w:w="2374" w:type="dxa"/>
            <w:tcBorders>
              <w:top w:val="nil"/>
              <w:left w:val="single" w:sz="8" w:space="0" w:color="auto"/>
              <w:bottom w:val="single" w:sz="4" w:space="0" w:color="auto"/>
              <w:right w:val="single" w:sz="4" w:space="0" w:color="auto"/>
            </w:tcBorders>
            <w:shd w:val="clear" w:color="auto" w:fill="auto"/>
            <w:noWrap/>
            <w:vAlign w:val="center"/>
            <w:hideMark/>
          </w:tcPr>
          <w:p w:rsidR="001A2F19" w:rsidRPr="001A2F19" w:rsidRDefault="001A2F19" w:rsidP="00934797">
            <w:pPr>
              <w:rPr>
                <w:rFonts w:ascii="Arial" w:hAnsi="Arial" w:cs="Arial"/>
                <w:color w:val="000000"/>
                <w:sz w:val="22"/>
                <w:szCs w:val="22"/>
              </w:rPr>
            </w:pPr>
            <w:r>
              <w:rPr>
                <w:rFonts w:ascii="Arial" w:hAnsi="Arial"/>
                <w:color w:val="000000"/>
                <w:sz w:val="22"/>
                <w:szCs w:val="22"/>
              </w:rPr>
              <w:t>General  education (8-10 grades)</w:t>
            </w:r>
          </w:p>
        </w:tc>
        <w:tc>
          <w:tcPr>
            <w:tcW w:w="888" w:type="dxa"/>
            <w:tcBorders>
              <w:top w:val="nil"/>
              <w:left w:val="nil"/>
              <w:bottom w:val="single" w:sz="4" w:space="0" w:color="auto"/>
              <w:right w:val="single" w:sz="4" w:space="0" w:color="auto"/>
            </w:tcBorders>
            <w:shd w:val="clear" w:color="auto" w:fill="auto"/>
            <w:noWrap/>
            <w:vAlign w:val="center"/>
            <w:hideMark/>
          </w:tcPr>
          <w:p w:rsidR="001A2F19" w:rsidRPr="001A2F19" w:rsidRDefault="00770C19" w:rsidP="00934797">
            <w:pPr>
              <w:jc w:val="right"/>
              <w:rPr>
                <w:rFonts w:ascii="Arial" w:hAnsi="Arial" w:cs="Arial"/>
                <w:color w:val="000000"/>
                <w:sz w:val="22"/>
                <w:szCs w:val="22"/>
              </w:rPr>
            </w:pPr>
            <w:r>
              <w:rPr>
                <w:rFonts w:ascii="Arial" w:hAnsi="Arial"/>
                <w:color w:val="000000"/>
                <w:sz w:val="22"/>
                <w:szCs w:val="22"/>
              </w:rPr>
              <w:t>137</w:t>
            </w:r>
          </w:p>
        </w:tc>
        <w:tc>
          <w:tcPr>
            <w:tcW w:w="1389" w:type="dxa"/>
            <w:tcBorders>
              <w:top w:val="nil"/>
              <w:left w:val="nil"/>
              <w:bottom w:val="single" w:sz="4" w:space="0" w:color="auto"/>
              <w:right w:val="single" w:sz="4" w:space="0" w:color="auto"/>
            </w:tcBorders>
            <w:shd w:val="clear" w:color="auto" w:fill="auto"/>
            <w:noWrap/>
            <w:vAlign w:val="center"/>
            <w:hideMark/>
          </w:tcPr>
          <w:p w:rsidR="001A2F19" w:rsidRPr="001A2F19" w:rsidRDefault="00770C19" w:rsidP="00934797">
            <w:pPr>
              <w:jc w:val="center"/>
              <w:rPr>
                <w:rFonts w:ascii="Arial" w:hAnsi="Arial" w:cs="Arial"/>
                <w:color w:val="000000"/>
                <w:sz w:val="22"/>
                <w:szCs w:val="22"/>
              </w:rPr>
            </w:pPr>
            <w:r>
              <w:rPr>
                <w:rFonts w:ascii="Arial" w:hAnsi="Arial"/>
                <w:color w:val="000000"/>
                <w:sz w:val="22"/>
                <w:szCs w:val="22"/>
              </w:rPr>
              <w:t>8.15%</w:t>
            </w:r>
          </w:p>
        </w:tc>
        <w:tc>
          <w:tcPr>
            <w:tcW w:w="1058" w:type="dxa"/>
            <w:tcBorders>
              <w:top w:val="nil"/>
              <w:left w:val="nil"/>
              <w:bottom w:val="single" w:sz="4" w:space="0" w:color="auto"/>
              <w:right w:val="single" w:sz="4" w:space="0" w:color="auto"/>
            </w:tcBorders>
            <w:shd w:val="clear" w:color="auto" w:fill="auto"/>
            <w:noWrap/>
            <w:vAlign w:val="center"/>
            <w:hideMark/>
          </w:tcPr>
          <w:p w:rsidR="001A2F19" w:rsidRPr="002F3868" w:rsidRDefault="001A2F19" w:rsidP="00934797">
            <w:pPr>
              <w:jc w:val="center"/>
              <w:rPr>
                <w:rFonts w:ascii="Arial" w:hAnsi="Arial" w:cs="Arial"/>
                <w:bCs/>
                <w:color w:val="000000"/>
                <w:sz w:val="22"/>
                <w:szCs w:val="22"/>
              </w:rPr>
            </w:pPr>
            <w:r>
              <w:rPr>
                <w:rFonts w:ascii="Arial" w:hAnsi="Arial"/>
                <w:bCs/>
                <w:color w:val="000000"/>
                <w:sz w:val="22"/>
                <w:szCs w:val="22"/>
              </w:rPr>
              <w:t>14</w:t>
            </w:r>
          </w:p>
        </w:tc>
        <w:tc>
          <w:tcPr>
            <w:tcW w:w="1661" w:type="dxa"/>
            <w:tcBorders>
              <w:top w:val="nil"/>
              <w:left w:val="nil"/>
              <w:bottom w:val="single" w:sz="4" w:space="0" w:color="auto"/>
              <w:right w:val="single" w:sz="4" w:space="0" w:color="auto"/>
            </w:tcBorders>
            <w:shd w:val="clear" w:color="auto" w:fill="auto"/>
            <w:noWrap/>
            <w:vAlign w:val="center"/>
            <w:hideMark/>
          </w:tcPr>
          <w:p w:rsidR="001A2F19" w:rsidRPr="001A2F19" w:rsidRDefault="001A2F19" w:rsidP="00934797">
            <w:pPr>
              <w:jc w:val="center"/>
              <w:rPr>
                <w:rFonts w:ascii="Arial" w:hAnsi="Arial" w:cs="Arial"/>
                <w:color w:val="000000"/>
                <w:sz w:val="22"/>
                <w:szCs w:val="22"/>
              </w:rPr>
            </w:pPr>
            <w:r>
              <w:rPr>
                <w:rFonts w:ascii="Arial" w:hAnsi="Arial"/>
                <w:color w:val="000000"/>
                <w:sz w:val="22"/>
                <w:szCs w:val="22"/>
              </w:rPr>
              <w:t>0.83%</w:t>
            </w:r>
          </w:p>
        </w:tc>
        <w:tc>
          <w:tcPr>
            <w:tcW w:w="990" w:type="dxa"/>
            <w:tcBorders>
              <w:top w:val="nil"/>
              <w:left w:val="nil"/>
              <w:bottom w:val="single" w:sz="4" w:space="0" w:color="auto"/>
              <w:right w:val="single" w:sz="4" w:space="0" w:color="auto"/>
            </w:tcBorders>
            <w:shd w:val="clear" w:color="auto" w:fill="auto"/>
            <w:noWrap/>
            <w:vAlign w:val="center"/>
            <w:hideMark/>
          </w:tcPr>
          <w:p w:rsidR="001A2F19" w:rsidRPr="002F3868" w:rsidRDefault="001A2F19" w:rsidP="00770C19">
            <w:pPr>
              <w:jc w:val="center"/>
              <w:rPr>
                <w:rFonts w:ascii="Arial" w:hAnsi="Arial" w:cs="Arial"/>
                <w:bCs/>
                <w:color w:val="000000"/>
                <w:sz w:val="22"/>
                <w:szCs w:val="22"/>
              </w:rPr>
            </w:pPr>
            <w:r>
              <w:rPr>
                <w:rFonts w:ascii="Arial" w:hAnsi="Arial"/>
                <w:bCs/>
                <w:color w:val="000000"/>
                <w:sz w:val="22"/>
                <w:szCs w:val="22"/>
              </w:rPr>
              <w:t>124</w:t>
            </w:r>
          </w:p>
        </w:tc>
        <w:tc>
          <w:tcPr>
            <w:tcW w:w="1354" w:type="dxa"/>
            <w:tcBorders>
              <w:top w:val="nil"/>
              <w:left w:val="nil"/>
              <w:bottom w:val="single" w:sz="4" w:space="0" w:color="auto"/>
              <w:right w:val="single" w:sz="8" w:space="0" w:color="auto"/>
            </w:tcBorders>
            <w:shd w:val="clear" w:color="auto" w:fill="auto"/>
            <w:noWrap/>
            <w:vAlign w:val="center"/>
            <w:hideMark/>
          </w:tcPr>
          <w:p w:rsidR="001A2F19" w:rsidRPr="001A2F19" w:rsidRDefault="001A2F19" w:rsidP="00934797">
            <w:pPr>
              <w:jc w:val="center"/>
              <w:rPr>
                <w:rFonts w:ascii="Arial" w:hAnsi="Arial" w:cs="Arial"/>
                <w:color w:val="000000"/>
                <w:sz w:val="22"/>
                <w:szCs w:val="22"/>
              </w:rPr>
            </w:pPr>
            <w:r>
              <w:rPr>
                <w:rFonts w:ascii="Arial" w:hAnsi="Arial"/>
                <w:color w:val="000000"/>
                <w:sz w:val="22"/>
                <w:szCs w:val="22"/>
              </w:rPr>
              <w:t>7.38%</w:t>
            </w:r>
          </w:p>
        </w:tc>
      </w:tr>
      <w:tr w:rsidR="001A2F19" w:rsidRPr="001A2F19" w:rsidTr="00A765FF">
        <w:trPr>
          <w:trHeight w:val="312"/>
          <w:jc w:val="center"/>
        </w:trPr>
        <w:tc>
          <w:tcPr>
            <w:tcW w:w="2374" w:type="dxa"/>
            <w:tcBorders>
              <w:top w:val="nil"/>
              <w:left w:val="single" w:sz="8" w:space="0" w:color="auto"/>
              <w:bottom w:val="single" w:sz="4" w:space="0" w:color="auto"/>
              <w:right w:val="single" w:sz="4" w:space="0" w:color="auto"/>
            </w:tcBorders>
            <w:shd w:val="clear" w:color="auto" w:fill="auto"/>
            <w:noWrap/>
            <w:vAlign w:val="center"/>
            <w:hideMark/>
          </w:tcPr>
          <w:p w:rsidR="001A2F19" w:rsidRPr="001A2F19" w:rsidRDefault="001A2F19" w:rsidP="00934797">
            <w:pPr>
              <w:rPr>
                <w:rFonts w:ascii="Arial" w:hAnsi="Arial" w:cs="Arial"/>
                <w:color w:val="000000" w:themeColor="text1"/>
                <w:sz w:val="22"/>
                <w:szCs w:val="22"/>
              </w:rPr>
            </w:pPr>
            <w:r>
              <w:rPr>
                <w:rFonts w:ascii="Arial" w:hAnsi="Arial"/>
                <w:color w:val="000000" w:themeColor="text1"/>
                <w:sz w:val="22"/>
                <w:szCs w:val="22"/>
              </w:rPr>
              <w:t>Secondary education</w:t>
            </w:r>
          </w:p>
        </w:tc>
        <w:tc>
          <w:tcPr>
            <w:tcW w:w="888" w:type="dxa"/>
            <w:tcBorders>
              <w:top w:val="nil"/>
              <w:left w:val="nil"/>
              <w:bottom w:val="single" w:sz="4" w:space="0" w:color="auto"/>
              <w:right w:val="single" w:sz="4" w:space="0" w:color="auto"/>
            </w:tcBorders>
            <w:shd w:val="clear" w:color="auto" w:fill="auto"/>
            <w:noWrap/>
            <w:vAlign w:val="center"/>
            <w:hideMark/>
          </w:tcPr>
          <w:p w:rsidR="001A2F19" w:rsidRPr="001A2F19" w:rsidRDefault="001A2F19" w:rsidP="00934797">
            <w:pPr>
              <w:jc w:val="right"/>
              <w:rPr>
                <w:rFonts w:ascii="Arial" w:hAnsi="Arial" w:cs="Arial"/>
                <w:color w:val="000000" w:themeColor="text1"/>
                <w:sz w:val="22"/>
                <w:szCs w:val="22"/>
              </w:rPr>
            </w:pPr>
            <w:r>
              <w:rPr>
                <w:rFonts w:ascii="Arial" w:hAnsi="Arial"/>
                <w:color w:val="000000" w:themeColor="text1"/>
                <w:sz w:val="22"/>
                <w:szCs w:val="22"/>
              </w:rPr>
              <w:t>1,016</w:t>
            </w:r>
          </w:p>
        </w:tc>
        <w:tc>
          <w:tcPr>
            <w:tcW w:w="1389" w:type="dxa"/>
            <w:tcBorders>
              <w:top w:val="nil"/>
              <w:left w:val="nil"/>
              <w:bottom w:val="single" w:sz="4" w:space="0" w:color="auto"/>
              <w:right w:val="single" w:sz="4" w:space="0" w:color="auto"/>
            </w:tcBorders>
            <w:shd w:val="clear" w:color="auto" w:fill="auto"/>
            <w:noWrap/>
            <w:vAlign w:val="center"/>
            <w:hideMark/>
          </w:tcPr>
          <w:p w:rsidR="001A2F19" w:rsidRPr="001A2F19" w:rsidRDefault="00770C19" w:rsidP="00934797">
            <w:pPr>
              <w:jc w:val="center"/>
              <w:rPr>
                <w:rFonts w:ascii="Arial" w:hAnsi="Arial" w:cs="Arial"/>
                <w:color w:val="000000" w:themeColor="text1"/>
                <w:sz w:val="22"/>
                <w:szCs w:val="22"/>
              </w:rPr>
            </w:pPr>
            <w:r>
              <w:rPr>
                <w:rFonts w:ascii="Arial" w:hAnsi="Arial"/>
                <w:color w:val="000000" w:themeColor="text1"/>
                <w:sz w:val="22"/>
                <w:szCs w:val="22"/>
              </w:rPr>
              <w:t>60.48%</w:t>
            </w:r>
          </w:p>
        </w:tc>
        <w:tc>
          <w:tcPr>
            <w:tcW w:w="1058" w:type="dxa"/>
            <w:tcBorders>
              <w:top w:val="nil"/>
              <w:left w:val="nil"/>
              <w:bottom w:val="single" w:sz="4" w:space="0" w:color="auto"/>
              <w:right w:val="single" w:sz="4" w:space="0" w:color="auto"/>
            </w:tcBorders>
            <w:shd w:val="clear" w:color="auto" w:fill="auto"/>
            <w:noWrap/>
            <w:vAlign w:val="center"/>
            <w:hideMark/>
          </w:tcPr>
          <w:p w:rsidR="001A2F19" w:rsidRPr="002F3868" w:rsidRDefault="001A2F19" w:rsidP="00934797">
            <w:pPr>
              <w:jc w:val="center"/>
              <w:rPr>
                <w:rFonts w:ascii="Arial" w:hAnsi="Arial" w:cs="Arial"/>
                <w:bCs/>
                <w:color w:val="000000" w:themeColor="text1"/>
                <w:sz w:val="22"/>
                <w:szCs w:val="22"/>
              </w:rPr>
            </w:pPr>
            <w:r>
              <w:rPr>
                <w:rFonts w:ascii="Arial" w:hAnsi="Arial"/>
                <w:bCs/>
                <w:color w:val="000000" w:themeColor="text1"/>
                <w:sz w:val="22"/>
                <w:szCs w:val="22"/>
              </w:rPr>
              <w:t>88</w:t>
            </w:r>
          </w:p>
        </w:tc>
        <w:tc>
          <w:tcPr>
            <w:tcW w:w="1661" w:type="dxa"/>
            <w:tcBorders>
              <w:top w:val="nil"/>
              <w:left w:val="nil"/>
              <w:bottom w:val="single" w:sz="4" w:space="0" w:color="auto"/>
              <w:right w:val="single" w:sz="4" w:space="0" w:color="auto"/>
            </w:tcBorders>
            <w:shd w:val="clear" w:color="auto" w:fill="auto"/>
            <w:noWrap/>
            <w:vAlign w:val="center"/>
            <w:hideMark/>
          </w:tcPr>
          <w:p w:rsidR="001A2F19" w:rsidRPr="001A2F19" w:rsidRDefault="001A2F19" w:rsidP="00934797">
            <w:pPr>
              <w:jc w:val="center"/>
              <w:rPr>
                <w:rFonts w:ascii="Arial" w:hAnsi="Arial" w:cs="Arial"/>
                <w:color w:val="000000" w:themeColor="text1"/>
                <w:sz w:val="22"/>
                <w:szCs w:val="22"/>
              </w:rPr>
            </w:pPr>
            <w:r>
              <w:rPr>
                <w:rFonts w:ascii="Arial" w:hAnsi="Arial"/>
                <w:color w:val="000000" w:themeColor="text1"/>
                <w:sz w:val="22"/>
                <w:szCs w:val="22"/>
              </w:rPr>
              <w:t>5.23%</w:t>
            </w:r>
          </w:p>
        </w:tc>
        <w:tc>
          <w:tcPr>
            <w:tcW w:w="990" w:type="dxa"/>
            <w:tcBorders>
              <w:top w:val="nil"/>
              <w:left w:val="nil"/>
              <w:bottom w:val="single" w:sz="4" w:space="0" w:color="auto"/>
              <w:right w:val="single" w:sz="4" w:space="0" w:color="auto"/>
            </w:tcBorders>
            <w:shd w:val="clear" w:color="auto" w:fill="auto"/>
            <w:noWrap/>
            <w:vAlign w:val="center"/>
            <w:hideMark/>
          </w:tcPr>
          <w:p w:rsidR="001A2F19" w:rsidRPr="002F3868" w:rsidRDefault="001A2F19" w:rsidP="00934797">
            <w:pPr>
              <w:jc w:val="center"/>
              <w:rPr>
                <w:rFonts w:ascii="Arial" w:hAnsi="Arial" w:cs="Arial"/>
                <w:bCs/>
                <w:color w:val="000000" w:themeColor="text1"/>
                <w:sz w:val="22"/>
                <w:szCs w:val="22"/>
              </w:rPr>
            </w:pPr>
            <w:r>
              <w:rPr>
                <w:rFonts w:ascii="Arial" w:hAnsi="Arial"/>
                <w:bCs/>
                <w:color w:val="000000" w:themeColor="text1"/>
                <w:sz w:val="22"/>
                <w:szCs w:val="22"/>
              </w:rPr>
              <w:t>928</w:t>
            </w:r>
          </w:p>
        </w:tc>
        <w:tc>
          <w:tcPr>
            <w:tcW w:w="1354" w:type="dxa"/>
            <w:tcBorders>
              <w:top w:val="nil"/>
              <w:left w:val="nil"/>
              <w:bottom w:val="single" w:sz="4" w:space="0" w:color="auto"/>
              <w:right w:val="single" w:sz="8" w:space="0" w:color="auto"/>
            </w:tcBorders>
            <w:shd w:val="clear" w:color="auto" w:fill="auto"/>
            <w:noWrap/>
            <w:vAlign w:val="center"/>
            <w:hideMark/>
          </w:tcPr>
          <w:p w:rsidR="001A2F19" w:rsidRPr="001A2F19" w:rsidRDefault="001A2F19" w:rsidP="00934797">
            <w:pPr>
              <w:jc w:val="center"/>
              <w:rPr>
                <w:rFonts w:ascii="Arial" w:hAnsi="Arial" w:cs="Arial"/>
                <w:color w:val="000000" w:themeColor="text1"/>
                <w:sz w:val="22"/>
                <w:szCs w:val="22"/>
              </w:rPr>
            </w:pPr>
            <w:r>
              <w:rPr>
                <w:rFonts w:ascii="Arial" w:hAnsi="Arial"/>
                <w:color w:val="000000" w:themeColor="text1"/>
                <w:sz w:val="22"/>
                <w:szCs w:val="22"/>
              </w:rPr>
              <w:t>55.21%</w:t>
            </w:r>
          </w:p>
        </w:tc>
      </w:tr>
      <w:tr w:rsidR="001A2F19" w:rsidRPr="001A2F19" w:rsidTr="00A765FF">
        <w:trPr>
          <w:trHeight w:val="324"/>
          <w:jc w:val="center"/>
        </w:trPr>
        <w:tc>
          <w:tcPr>
            <w:tcW w:w="2374" w:type="dxa"/>
            <w:tcBorders>
              <w:top w:val="nil"/>
              <w:left w:val="single" w:sz="8" w:space="0" w:color="auto"/>
              <w:bottom w:val="single" w:sz="8" w:space="0" w:color="auto"/>
              <w:right w:val="single" w:sz="4" w:space="0" w:color="auto"/>
            </w:tcBorders>
            <w:shd w:val="clear" w:color="auto" w:fill="auto"/>
            <w:noWrap/>
            <w:vAlign w:val="center"/>
            <w:hideMark/>
          </w:tcPr>
          <w:p w:rsidR="001A2F19" w:rsidRPr="001A2F19" w:rsidRDefault="001A2F19" w:rsidP="00934797">
            <w:pPr>
              <w:rPr>
                <w:rFonts w:ascii="Arial" w:hAnsi="Arial" w:cs="Arial"/>
                <w:color w:val="000000" w:themeColor="text1"/>
                <w:sz w:val="22"/>
                <w:szCs w:val="22"/>
              </w:rPr>
            </w:pPr>
            <w:r>
              <w:rPr>
                <w:rFonts w:ascii="Arial" w:hAnsi="Arial"/>
                <w:color w:val="000000" w:themeColor="text1"/>
                <w:sz w:val="22"/>
                <w:szCs w:val="22"/>
              </w:rPr>
              <w:t>Higher education</w:t>
            </w:r>
          </w:p>
        </w:tc>
        <w:tc>
          <w:tcPr>
            <w:tcW w:w="888" w:type="dxa"/>
            <w:tcBorders>
              <w:top w:val="nil"/>
              <w:left w:val="nil"/>
              <w:bottom w:val="single" w:sz="8" w:space="0" w:color="auto"/>
              <w:right w:val="single" w:sz="4" w:space="0" w:color="auto"/>
            </w:tcBorders>
            <w:shd w:val="clear" w:color="auto" w:fill="auto"/>
            <w:noWrap/>
            <w:vAlign w:val="center"/>
            <w:hideMark/>
          </w:tcPr>
          <w:p w:rsidR="001A2F19" w:rsidRPr="001A2F19" w:rsidRDefault="001A2F19" w:rsidP="00934797">
            <w:pPr>
              <w:jc w:val="right"/>
              <w:rPr>
                <w:rFonts w:ascii="Arial" w:hAnsi="Arial" w:cs="Arial"/>
                <w:color w:val="000000" w:themeColor="text1"/>
                <w:sz w:val="22"/>
                <w:szCs w:val="22"/>
              </w:rPr>
            </w:pPr>
            <w:r>
              <w:rPr>
                <w:rFonts w:ascii="Arial" w:hAnsi="Arial"/>
                <w:color w:val="000000" w:themeColor="text1"/>
                <w:sz w:val="22"/>
                <w:szCs w:val="22"/>
              </w:rPr>
              <w:t>527</w:t>
            </w:r>
          </w:p>
        </w:tc>
        <w:tc>
          <w:tcPr>
            <w:tcW w:w="1389" w:type="dxa"/>
            <w:tcBorders>
              <w:top w:val="nil"/>
              <w:left w:val="nil"/>
              <w:bottom w:val="single" w:sz="8" w:space="0" w:color="auto"/>
              <w:right w:val="single" w:sz="4" w:space="0" w:color="auto"/>
            </w:tcBorders>
            <w:shd w:val="clear" w:color="auto" w:fill="auto"/>
            <w:noWrap/>
            <w:vAlign w:val="center"/>
            <w:hideMark/>
          </w:tcPr>
          <w:p w:rsidR="001A2F19" w:rsidRPr="001A2F19" w:rsidRDefault="00770C19" w:rsidP="00934797">
            <w:pPr>
              <w:jc w:val="center"/>
              <w:rPr>
                <w:rFonts w:ascii="Arial" w:hAnsi="Arial" w:cs="Arial"/>
                <w:color w:val="000000" w:themeColor="text1"/>
                <w:sz w:val="22"/>
                <w:szCs w:val="22"/>
              </w:rPr>
            </w:pPr>
            <w:r>
              <w:rPr>
                <w:rFonts w:ascii="Arial" w:hAnsi="Arial"/>
                <w:color w:val="000000" w:themeColor="text1"/>
                <w:sz w:val="22"/>
                <w:szCs w:val="22"/>
              </w:rPr>
              <w:t>31.37%</w:t>
            </w:r>
          </w:p>
        </w:tc>
        <w:tc>
          <w:tcPr>
            <w:tcW w:w="1058" w:type="dxa"/>
            <w:tcBorders>
              <w:top w:val="nil"/>
              <w:left w:val="nil"/>
              <w:bottom w:val="single" w:sz="8" w:space="0" w:color="auto"/>
              <w:right w:val="single" w:sz="4" w:space="0" w:color="auto"/>
            </w:tcBorders>
            <w:shd w:val="clear" w:color="auto" w:fill="auto"/>
            <w:noWrap/>
            <w:vAlign w:val="center"/>
            <w:hideMark/>
          </w:tcPr>
          <w:p w:rsidR="001A2F19" w:rsidRPr="002F3868" w:rsidRDefault="001A2F19" w:rsidP="00934797">
            <w:pPr>
              <w:jc w:val="center"/>
              <w:rPr>
                <w:rFonts w:ascii="Arial" w:hAnsi="Arial" w:cs="Arial"/>
                <w:bCs/>
                <w:color w:val="000000" w:themeColor="text1"/>
                <w:sz w:val="22"/>
                <w:szCs w:val="22"/>
              </w:rPr>
            </w:pPr>
            <w:r>
              <w:rPr>
                <w:rFonts w:ascii="Arial" w:hAnsi="Arial"/>
                <w:bCs/>
                <w:color w:val="000000" w:themeColor="text1"/>
                <w:sz w:val="22"/>
                <w:szCs w:val="22"/>
              </w:rPr>
              <w:t>190</w:t>
            </w:r>
          </w:p>
        </w:tc>
        <w:tc>
          <w:tcPr>
            <w:tcW w:w="1661" w:type="dxa"/>
            <w:tcBorders>
              <w:top w:val="nil"/>
              <w:left w:val="nil"/>
              <w:bottom w:val="single" w:sz="8" w:space="0" w:color="auto"/>
              <w:right w:val="single" w:sz="4" w:space="0" w:color="auto"/>
            </w:tcBorders>
            <w:shd w:val="clear" w:color="auto" w:fill="auto"/>
            <w:noWrap/>
            <w:vAlign w:val="center"/>
            <w:hideMark/>
          </w:tcPr>
          <w:p w:rsidR="001A2F19" w:rsidRPr="001A2F19" w:rsidRDefault="001A2F19" w:rsidP="00934797">
            <w:pPr>
              <w:jc w:val="center"/>
              <w:rPr>
                <w:rFonts w:ascii="Arial" w:hAnsi="Arial" w:cs="Arial"/>
                <w:color w:val="000000" w:themeColor="text1"/>
                <w:sz w:val="22"/>
                <w:szCs w:val="22"/>
              </w:rPr>
            </w:pPr>
            <w:r>
              <w:rPr>
                <w:rFonts w:ascii="Arial" w:hAnsi="Arial"/>
                <w:color w:val="000000" w:themeColor="text1"/>
                <w:sz w:val="22"/>
                <w:szCs w:val="22"/>
              </w:rPr>
              <w:t>11.30%</w:t>
            </w:r>
          </w:p>
        </w:tc>
        <w:tc>
          <w:tcPr>
            <w:tcW w:w="990" w:type="dxa"/>
            <w:tcBorders>
              <w:top w:val="nil"/>
              <w:left w:val="nil"/>
              <w:bottom w:val="single" w:sz="8" w:space="0" w:color="auto"/>
              <w:right w:val="single" w:sz="4" w:space="0" w:color="auto"/>
            </w:tcBorders>
            <w:shd w:val="clear" w:color="auto" w:fill="auto"/>
            <w:noWrap/>
            <w:vAlign w:val="center"/>
            <w:hideMark/>
          </w:tcPr>
          <w:p w:rsidR="001A2F19" w:rsidRPr="002F3868" w:rsidRDefault="001A2F19" w:rsidP="00934797">
            <w:pPr>
              <w:jc w:val="center"/>
              <w:rPr>
                <w:rFonts w:ascii="Arial" w:hAnsi="Arial" w:cs="Arial"/>
                <w:bCs/>
                <w:color w:val="000000" w:themeColor="text1"/>
                <w:sz w:val="22"/>
                <w:szCs w:val="22"/>
              </w:rPr>
            </w:pPr>
            <w:r>
              <w:rPr>
                <w:rFonts w:ascii="Arial" w:hAnsi="Arial"/>
                <w:bCs/>
                <w:color w:val="000000" w:themeColor="text1"/>
                <w:sz w:val="22"/>
                <w:szCs w:val="22"/>
              </w:rPr>
              <w:t>337</w:t>
            </w:r>
          </w:p>
        </w:tc>
        <w:tc>
          <w:tcPr>
            <w:tcW w:w="1354" w:type="dxa"/>
            <w:tcBorders>
              <w:top w:val="nil"/>
              <w:left w:val="nil"/>
              <w:bottom w:val="single" w:sz="8" w:space="0" w:color="auto"/>
              <w:right w:val="single" w:sz="8" w:space="0" w:color="auto"/>
            </w:tcBorders>
            <w:shd w:val="clear" w:color="auto" w:fill="auto"/>
            <w:noWrap/>
            <w:vAlign w:val="center"/>
            <w:hideMark/>
          </w:tcPr>
          <w:p w:rsidR="001A2F19" w:rsidRPr="001A2F19" w:rsidRDefault="001A2F19" w:rsidP="00934797">
            <w:pPr>
              <w:jc w:val="center"/>
              <w:rPr>
                <w:rFonts w:ascii="Arial" w:hAnsi="Arial" w:cs="Arial"/>
                <w:color w:val="000000" w:themeColor="text1"/>
                <w:sz w:val="22"/>
                <w:szCs w:val="22"/>
              </w:rPr>
            </w:pPr>
            <w:r>
              <w:rPr>
                <w:rFonts w:ascii="Arial" w:hAnsi="Arial"/>
                <w:color w:val="000000" w:themeColor="text1"/>
                <w:sz w:val="22"/>
                <w:szCs w:val="22"/>
              </w:rPr>
              <w:t>20.05%</w:t>
            </w:r>
          </w:p>
        </w:tc>
      </w:tr>
      <w:tr w:rsidR="001A2F19" w:rsidRPr="001A2F19" w:rsidTr="00A765FF">
        <w:trPr>
          <w:trHeight w:val="324"/>
          <w:jc w:val="center"/>
        </w:trPr>
        <w:tc>
          <w:tcPr>
            <w:tcW w:w="2374" w:type="dxa"/>
            <w:tcBorders>
              <w:top w:val="nil"/>
              <w:left w:val="single" w:sz="8" w:space="0" w:color="auto"/>
              <w:bottom w:val="single" w:sz="8" w:space="0" w:color="auto"/>
              <w:right w:val="single" w:sz="4" w:space="0" w:color="auto"/>
            </w:tcBorders>
            <w:shd w:val="clear" w:color="auto" w:fill="DEEAF6" w:themeFill="accent1" w:themeFillTint="33"/>
            <w:noWrap/>
            <w:vAlign w:val="center"/>
            <w:hideMark/>
          </w:tcPr>
          <w:p w:rsidR="001A2F19" w:rsidRPr="001A2F19" w:rsidRDefault="001A2F19" w:rsidP="00934797">
            <w:pPr>
              <w:rPr>
                <w:rFonts w:ascii="Arial" w:hAnsi="Arial" w:cs="Arial"/>
                <w:b/>
                <w:bCs/>
                <w:color w:val="000000"/>
                <w:sz w:val="22"/>
                <w:szCs w:val="22"/>
              </w:rPr>
            </w:pPr>
            <w:r>
              <w:rPr>
                <w:rFonts w:ascii="Arial" w:hAnsi="Arial"/>
                <w:b/>
                <w:bCs/>
                <w:color w:val="000000"/>
                <w:sz w:val="22"/>
                <w:szCs w:val="22"/>
              </w:rPr>
              <w:t>Total</w:t>
            </w:r>
          </w:p>
        </w:tc>
        <w:tc>
          <w:tcPr>
            <w:tcW w:w="888" w:type="dxa"/>
            <w:tcBorders>
              <w:top w:val="nil"/>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770C19">
            <w:pPr>
              <w:jc w:val="right"/>
              <w:rPr>
                <w:rFonts w:ascii="Arial" w:hAnsi="Arial" w:cs="Arial"/>
                <w:b/>
                <w:color w:val="000000"/>
                <w:sz w:val="22"/>
                <w:szCs w:val="22"/>
              </w:rPr>
            </w:pPr>
            <w:r>
              <w:rPr>
                <w:rFonts w:ascii="Arial" w:hAnsi="Arial"/>
                <w:b/>
                <w:color w:val="000000"/>
                <w:sz w:val="22"/>
                <w:szCs w:val="22"/>
              </w:rPr>
              <w:t>1,680</w:t>
            </w:r>
          </w:p>
        </w:tc>
        <w:tc>
          <w:tcPr>
            <w:tcW w:w="1389" w:type="dxa"/>
            <w:tcBorders>
              <w:top w:val="nil"/>
              <w:left w:val="nil"/>
              <w:bottom w:val="single" w:sz="8" w:space="0" w:color="auto"/>
              <w:right w:val="single" w:sz="4" w:space="0" w:color="auto"/>
            </w:tcBorders>
            <w:shd w:val="clear" w:color="auto" w:fill="DEEAF6" w:themeFill="accent1" w:themeFillTint="33"/>
            <w:noWrap/>
            <w:vAlign w:val="center"/>
            <w:hideMark/>
          </w:tcPr>
          <w:p w:rsidR="001A2F19" w:rsidRPr="00770C19" w:rsidRDefault="001A2F19" w:rsidP="00934797">
            <w:pPr>
              <w:jc w:val="center"/>
              <w:rPr>
                <w:rFonts w:ascii="Arial" w:hAnsi="Arial" w:cs="Arial"/>
                <w:b/>
                <w:color w:val="000000"/>
                <w:sz w:val="22"/>
                <w:szCs w:val="22"/>
              </w:rPr>
            </w:pPr>
            <w:r>
              <w:rPr>
                <w:rFonts w:ascii="Arial" w:hAnsi="Arial"/>
                <w:b/>
                <w:color w:val="000000"/>
                <w:sz w:val="22"/>
                <w:szCs w:val="22"/>
              </w:rPr>
              <w:t>100.00%</w:t>
            </w:r>
          </w:p>
        </w:tc>
        <w:tc>
          <w:tcPr>
            <w:tcW w:w="1058" w:type="dxa"/>
            <w:tcBorders>
              <w:top w:val="nil"/>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934797">
            <w:pPr>
              <w:jc w:val="center"/>
              <w:rPr>
                <w:rFonts w:ascii="Arial" w:hAnsi="Arial" w:cs="Arial"/>
                <w:b/>
                <w:bCs/>
                <w:color w:val="000000"/>
                <w:sz w:val="22"/>
                <w:szCs w:val="22"/>
              </w:rPr>
            </w:pPr>
            <w:r>
              <w:rPr>
                <w:rFonts w:ascii="Arial" w:hAnsi="Arial"/>
                <w:b/>
                <w:bCs/>
                <w:color w:val="000000"/>
                <w:sz w:val="22"/>
                <w:szCs w:val="22"/>
              </w:rPr>
              <w:t>292</w:t>
            </w:r>
          </w:p>
        </w:tc>
        <w:tc>
          <w:tcPr>
            <w:tcW w:w="1661" w:type="dxa"/>
            <w:tcBorders>
              <w:top w:val="nil"/>
              <w:left w:val="nil"/>
              <w:bottom w:val="single" w:sz="8" w:space="0" w:color="auto"/>
              <w:right w:val="single" w:sz="4" w:space="0" w:color="auto"/>
            </w:tcBorders>
            <w:shd w:val="clear" w:color="auto" w:fill="DEEAF6" w:themeFill="accent1" w:themeFillTint="33"/>
            <w:noWrap/>
            <w:vAlign w:val="center"/>
            <w:hideMark/>
          </w:tcPr>
          <w:p w:rsidR="001A2F19" w:rsidRPr="002F3868" w:rsidRDefault="001A2F19" w:rsidP="00934797">
            <w:pPr>
              <w:jc w:val="center"/>
              <w:rPr>
                <w:rFonts w:ascii="Arial" w:hAnsi="Arial" w:cs="Arial"/>
                <w:b/>
                <w:color w:val="000000"/>
                <w:sz w:val="22"/>
                <w:szCs w:val="22"/>
              </w:rPr>
            </w:pPr>
            <w:r>
              <w:rPr>
                <w:rFonts w:ascii="Arial" w:hAnsi="Arial"/>
                <w:b/>
                <w:color w:val="000000"/>
                <w:sz w:val="22"/>
                <w:szCs w:val="22"/>
              </w:rPr>
              <w:t>17.37%</w:t>
            </w:r>
          </w:p>
        </w:tc>
        <w:tc>
          <w:tcPr>
            <w:tcW w:w="990" w:type="dxa"/>
            <w:tcBorders>
              <w:top w:val="nil"/>
              <w:left w:val="nil"/>
              <w:bottom w:val="single" w:sz="8" w:space="0" w:color="auto"/>
              <w:right w:val="single" w:sz="4" w:space="0" w:color="auto"/>
            </w:tcBorders>
            <w:shd w:val="clear" w:color="auto" w:fill="DEEAF6" w:themeFill="accent1" w:themeFillTint="33"/>
            <w:noWrap/>
            <w:vAlign w:val="center"/>
            <w:hideMark/>
          </w:tcPr>
          <w:p w:rsidR="001A2F19" w:rsidRPr="001A2F19" w:rsidRDefault="001A2F19" w:rsidP="00934797">
            <w:pPr>
              <w:jc w:val="center"/>
              <w:rPr>
                <w:rFonts w:ascii="Arial" w:hAnsi="Arial" w:cs="Arial"/>
                <w:b/>
                <w:bCs/>
                <w:color w:val="000000"/>
                <w:sz w:val="22"/>
                <w:szCs w:val="22"/>
              </w:rPr>
            </w:pPr>
            <w:r>
              <w:rPr>
                <w:rFonts w:ascii="Arial" w:hAnsi="Arial"/>
                <w:b/>
                <w:bCs/>
                <w:color w:val="000000"/>
                <w:sz w:val="22"/>
                <w:szCs w:val="22"/>
              </w:rPr>
              <w:t>1,389</w:t>
            </w:r>
          </w:p>
        </w:tc>
        <w:tc>
          <w:tcPr>
            <w:tcW w:w="1354" w:type="dxa"/>
            <w:tcBorders>
              <w:top w:val="nil"/>
              <w:left w:val="nil"/>
              <w:bottom w:val="single" w:sz="8" w:space="0" w:color="auto"/>
              <w:right w:val="single" w:sz="8" w:space="0" w:color="auto"/>
            </w:tcBorders>
            <w:shd w:val="clear" w:color="auto" w:fill="DEEAF6" w:themeFill="accent1" w:themeFillTint="33"/>
            <w:noWrap/>
            <w:vAlign w:val="center"/>
            <w:hideMark/>
          </w:tcPr>
          <w:p w:rsidR="001A2F19" w:rsidRPr="002F3868" w:rsidRDefault="001A2F19" w:rsidP="00934797">
            <w:pPr>
              <w:jc w:val="center"/>
              <w:rPr>
                <w:rFonts w:ascii="Arial" w:hAnsi="Arial" w:cs="Arial"/>
                <w:b/>
                <w:color w:val="000000"/>
                <w:sz w:val="22"/>
                <w:szCs w:val="22"/>
              </w:rPr>
            </w:pPr>
            <w:r>
              <w:rPr>
                <w:rFonts w:ascii="Arial" w:hAnsi="Arial"/>
                <w:b/>
                <w:color w:val="000000"/>
                <w:sz w:val="22"/>
                <w:szCs w:val="22"/>
              </w:rPr>
              <w:t>82.63%</w:t>
            </w:r>
          </w:p>
        </w:tc>
      </w:tr>
    </w:tbl>
    <w:p w:rsidR="001A2F19" w:rsidRPr="001A2F19" w:rsidRDefault="001A2F19" w:rsidP="001A2F19">
      <w:pPr>
        <w:jc w:val="both"/>
        <w:rPr>
          <w:rFonts w:ascii="Arial" w:hAnsi="Arial" w:cs="Arial"/>
          <w:b/>
          <w:bCs/>
          <w:iCs/>
          <w:color w:val="000000" w:themeColor="text1"/>
          <w:sz w:val="22"/>
          <w:szCs w:val="22"/>
        </w:rPr>
      </w:pPr>
    </w:p>
    <w:p w:rsidR="001A2F19" w:rsidRPr="00591C58" w:rsidRDefault="00E8541C" w:rsidP="00306393">
      <w:pPr>
        <w:jc w:val="center"/>
        <w:rPr>
          <w:rFonts w:ascii="Arial" w:hAnsi="Arial" w:cs="Arial"/>
          <w:bCs/>
          <w:iCs/>
          <w:color w:val="000000" w:themeColor="text1"/>
          <w:sz w:val="16"/>
          <w:szCs w:val="16"/>
        </w:rPr>
      </w:pPr>
      <w:r>
        <w:rPr>
          <w:rFonts w:ascii="Arial" w:hAnsi="Arial"/>
          <w:bCs/>
          <w:iCs/>
          <w:color w:val="000000" w:themeColor="text1"/>
          <w:sz w:val="16"/>
          <w:szCs w:val="16"/>
        </w:rPr>
        <w:t xml:space="preserve">Table 8 - Personnel structure by education level and gender </w:t>
      </w:r>
    </w:p>
    <w:p w:rsidR="00E8541C" w:rsidRPr="00306393" w:rsidRDefault="00E8541C" w:rsidP="00306393">
      <w:pPr>
        <w:jc w:val="center"/>
        <w:rPr>
          <w:rFonts w:ascii="Arial" w:hAnsi="Arial" w:cs="Arial"/>
          <w:bCs/>
          <w:iCs/>
          <w:color w:val="000000" w:themeColor="text1"/>
        </w:rPr>
      </w:pPr>
    </w:p>
    <w:p w:rsidR="001A2F19" w:rsidRPr="00D349AF" w:rsidRDefault="007971B7" w:rsidP="00B33DBA">
      <w:pPr>
        <w:jc w:val="center"/>
        <w:rPr>
          <w:rFonts w:ascii="Arial" w:hAnsi="Arial" w:cs="Arial"/>
          <w:bCs/>
          <w:iCs/>
          <w:color w:val="FF0000"/>
        </w:rPr>
      </w:pPr>
      <w:r>
        <w:rPr>
          <w:noProof/>
          <w:lang w:eastAsia="en-US"/>
        </w:rPr>
        <w:lastRenderedPageBreak/>
        <w:drawing>
          <wp:inline distT="0" distB="0" distL="0" distR="0" wp14:anchorId="531D1D7A" wp14:editId="77F81276">
            <wp:extent cx="5657850" cy="2247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7850" cy="2247900"/>
                    </a:xfrm>
                    <a:prstGeom prst="rect">
                      <a:avLst/>
                    </a:prstGeom>
                  </pic:spPr>
                </pic:pic>
              </a:graphicData>
            </a:graphic>
          </wp:inline>
        </w:drawing>
      </w:r>
    </w:p>
    <w:p w:rsidR="001A2F19" w:rsidRPr="00591C58" w:rsidRDefault="007971B7" w:rsidP="00306393">
      <w:pPr>
        <w:jc w:val="center"/>
        <w:rPr>
          <w:rFonts w:ascii="Arial" w:hAnsi="Arial" w:cs="Arial"/>
          <w:bCs/>
          <w:iCs/>
          <w:sz w:val="16"/>
          <w:szCs w:val="16"/>
        </w:rPr>
      </w:pPr>
      <w:r>
        <w:rPr>
          <w:rFonts w:ascii="Arial" w:hAnsi="Arial"/>
          <w:bCs/>
          <w:iCs/>
          <w:sz w:val="16"/>
          <w:szCs w:val="16"/>
        </w:rPr>
        <w:t xml:space="preserve">Chart </w:t>
      </w:r>
      <w:proofErr w:type="gramStart"/>
      <w:r>
        <w:rPr>
          <w:rFonts w:ascii="Arial" w:hAnsi="Arial"/>
          <w:bCs/>
          <w:iCs/>
          <w:sz w:val="16"/>
          <w:szCs w:val="16"/>
        </w:rPr>
        <w:t>8</w:t>
      </w:r>
      <w:proofErr w:type="gramEnd"/>
      <w:r>
        <w:rPr>
          <w:rFonts w:ascii="Arial" w:hAnsi="Arial"/>
          <w:bCs/>
          <w:iCs/>
          <w:sz w:val="16"/>
          <w:szCs w:val="16"/>
        </w:rPr>
        <w:t xml:space="preserve"> - L</w:t>
      </w:r>
      <w:r w:rsidR="001E1D94">
        <w:rPr>
          <w:rFonts w:ascii="Arial" w:hAnsi="Arial"/>
          <w:bCs/>
          <w:iCs/>
          <w:sz w:val="16"/>
          <w:szCs w:val="16"/>
        </w:rPr>
        <w:t>evel of studies employees women/men</w:t>
      </w:r>
    </w:p>
    <w:p w:rsidR="00306393" w:rsidRPr="00D349AF" w:rsidRDefault="00306393" w:rsidP="001A2F19">
      <w:pPr>
        <w:jc w:val="both"/>
        <w:rPr>
          <w:rFonts w:ascii="Arial" w:hAnsi="Arial" w:cs="Arial"/>
          <w:bCs/>
          <w:iCs/>
          <w:color w:val="FF0000"/>
        </w:rPr>
      </w:pPr>
    </w:p>
    <w:p w:rsidR="001A2F19" w:rsidRDefault="001A2F19" w:rsidP="001A2F19">
      <w:pPr>
        <w:jc w:val="both"/>
        <w:rPr>
          <w:rFonts w:ascii="Arial" w:hAnsi="Arial" w:cs="Arial"/>
          <w:bCs/>
          <w:iCs/>
          <w:color w:val="000000" w:themeColor="text1"/>
          <w:sz w:val="22"/>
          <w:szCs w:val="22"/>
        </w:rPr>
      </w:pPr>
      <w:r>
        <w:rPr>
          <w:rFonts w:ascii="Arial" w:hAnsi="Arial"/>
          <w:bCs/>
          <w:iCs/>
          <w:color w:val="000000" w:themeColor="text1"/>
          <w:sz w:val="22"/>
          <w:szCs w:val="22"/>
        </w:rPr>
        <w:t>As compared to 2017, the situation by level of studies and gender in 2018 H1 is the following:</w:t>
      </w:r>
    </w:p>
    <w:p w:rsidR="00C62024" w:rsidRPr="00E028FD" w:rsidRDefault="00C62024" w:rsidP="001A2F19">
      <w:pPr>
        <w:jc w:val="both"/>
        <w:rPr>
          <w:rFonts w:ascii="Arial" w:hAnsi="Arial" w:cs="Arial"/>
          <w:bCs/>
          <w:iCs/>
          <w:color w:val="000000" w:themeColor="text1"/>
          <w:sz w:val="22"/>
          <w:szCs w:val="22"/>
        </w:rPr>
      </w:pPr>
    </w:p>
    <w:p w:rsidR="00C60CD4" w:rsidRDefault="00740567" w:rsidP="00C60CD4">
      <w:pPr>
        <w:jc w:val="center"/>
        <w:rPr>
          <w:rFonts w:ascii="Arial" w:hAnsi="Arial" w:cs="Arial"/>
          <w:bCs/>
          <w:iCs/>
          <w:color w:val="FF0000"/>
        </w:rPr>
      </w:pPr>
      <w:r>
        <w:rPr>
          <w:noProof/>
          <w:lang w:eastAsia="en-US"/>
        </w:rPr>
        <w:drawing>
          <wp:inline distT="0" distB="0" distL="0" distR="0" wp14:anchorId="22C531F7" wp14:editId="6B242CDA">
            <wp:extent cx="5419725" cy="2293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9580" cy="2305882"/>
                    </a:xfrm>
                    <a:prstGeom prst="rect">
                      <a:avLst/>
                    </a:prstGeom>
                  </pic:spPr>
                </pic:pic>
              </a:graphicData>
            </a:graphic>
          </wp:inline>
        </w:drawing>
      </w:r>
    </w:p>
    <w:p w:rsidR="004A5D9D" w:rsidRDefault="004A5D9D" w:rsidP="00C60CD4">
      <w:pPr>
        <w:jc w:val="center"/>
        <w:rPr>
          <w:rFonts w:ascii="Arial" w:hAnsi="Arial" w:cs="Arial"/>
          <w:bCs/>
          <w:iCs/>
          <w:sz w:val="16"/>
          <w:szCs w:val="16"/>
        </w:rPr>
      </w:pPr>
    </w:p>
    <w:p w:rsidR="001A2F19" w:rsidRPr="00591C58" w:rsidRDefault="00306393" w:rsidP="00C60CD4">
      <w:pPr>
        <w:jc w:val="center"/>
        <w:rPr>
          <w:rFonts w:ascii="Arial" w:hAnsi="Arial" w:cs="Arial"/>
          <w:bCs/>
          <w:iCs/>
          <w:sz w:val="16"/>
          <w:szCs w:val="16"/>
        </w:rPr>
      </w:pPr>
      <w:r>
        <w:rPr>
          <w:rFonts w:ascii="Arial" w:hAnsi="Arial"/>
          <w:bCs/>
          <w:iCs/>
          <w:sz w:val="16"/>
          <w:szCs w:val="16"/>
        </w:rPr>
        <w:t xml:space="preserve">Chart </w:t>
      </w:r>
      <w:proofErr w:type="gramStart"/>
      <w:r>
        <w:rPr>
          <w:rFonts w:ascii="Arial" w:hAnsi="Arial"/>
          <w:bCs/>
          <w:iCs/>
          <w:sz w:val="16"/>
          <w:szCs w:val="16"/>
        </w:rPr>
        <w:t>9</w:t>
      </w:r>
      <w:proofErr w:type="gramEnd"/>
      <w:r>
        <w:rPr>
          <w:rFonts w:ascii="Arial" w:hAnsi="Arial"/>
          <w:bCs/>
          <w:iCs/>
          <w:sz w:val="16"/>
          <w:szCs w:val="16"/>
        </w:rPr>
        <w:t xml:space="preserve"> - Personnel structure by level of studies employees women/men </w:t>
      </w:r>
    </w:p>
    <w:p w:rsidR="00306393" w:rsidRDefault="00306393" w:rsidP="001A2F19">
      <w:pPr>
        <w:jc w:val="both"/>
        <w:rPr>
          <w:rFonts w:ascii="Arial" w:hAnsi="Arial" w:cs="Arial"/>
          <w:bCs/>
          <w:iCs/>
          <w:color w:val="FF0000"/>
        </w:rPr>
      </w:pPr>
    </w:p>
    <w:p w:rsidR="00E028FD" w:rsidRPr="00E028FD" w:rsidRDefault="00E028FD" w:rsidP="00E028FD">
      <w:pPr>
        <w:spacing w:line="276" w:lineRule="auto"/>
        <w:jc w:val="both"/>
        <w:rPr>
          <w:rFonts w:ascii="Arial" w:hAnsi="Arial" w:cs="Arial"/>
          <w:sz w:val="22"/>
          <w:szCs w:val="22"/>
        </w:rPr>
      </w:pPr>
      <w:r>
        <w:rPr>
          <w:rFonts w:ascii="Arial" w:hAnsi="Arial"/>
          <w:sz w:val="22"/>
          <w:szCs w:val="22"/>
        </w:rPr>
        <w:t>The degree of unionization of the workforce for the first semester of 2018 is 99.76%.   During 2018 H1, there have been no elements of a conflicting nature between employees and t</w:t>
      </w:r>
      <w:r w:rsidR="00446D65">
        <w:rPr>
          <w:rFonts w:ascii="Arial" w:hAnsi="Arial"/>
          <w:sz w:val="22"/>
          <w:szCs w:val="22"/>
        </w:rPr>
        <w:t>he management of the company.</w:t>
      </w:r>
      <w:r w:rsidR="00446D65">
        <w:rPr>
          <w:rFonts w:ascii="Arial" w:hAnsi="Arial"/>
          <w:sz w:val="22"/>
          <w:szCs w:val="22"/>
        </w:rPr>
        <w:cr/>
      </w:r>
    </w:p>
    <w:p w:rsidR="00E028FD" w:rsidRPr="00E028FD" w:rsidRDefault="00E028FD" w:rsidP="00E028FD">
      <w:pPr>
        <w:spacing w:line="276" w:lineRule="auto"/>
        <w:jc w:val="both"/>
        <w:rPr>
          <w:rFonts w:ascii="Arial" w:hAnsi="Arial" w:cs="Arial"/>
          <w:bCs/>
          <w:iCs/>
          <w:color w:val="FF0000"/>
          <w:sz w:val="22"/>
          <w:szCs w:val="22"/>
        </w:rPr>
      </w:pPr>
    </w:p>
    <w:p w:rsidR="00E028FD" w:rsidRPr="009828D6" w:rsidRDefault="00E028FD" w:rsidP="00E028FD">
      <w:pPr>
        <w:spacing w:line="276" w:lineRule="auto"/>
        <w:ind w:left="360" w:hanging="360"/>
        <w:jc w:val="both"/>
        <w:rPr>
          <w:rFonts w:ascii="Arial" w:hAnsi="Arial" w:cs="Arial"/>
          <w:b/>
          <w:color w:val="1F4E79" w:themeColor="accent1" w:themeShade="80"/>
          <w:sz w:val="22"/>
          <w:szCs w:val="22"/>
        </w:rPr>
      </w:pPr>
      <w:r>
        <w:rPr>
          <w:rFonts w:ascii="Arial" w:hAnsi="Arial"/>
          <w:b/>
          <w:color w:val="1F4E79" w:themeColor="accent1" w:themeShade="80"/>
          <w:sz w:val="22"/>
          <w:szCs w:val="22"/>
        </w:rPr>
        <w:t xml:space="preserve">The Personnel Risk and the Waging System  </w:t>
      </w:r>
    </w:p>
    <w:p w:rsidR="00C16D1E" w:rsidRDefault="00C16D1E" w:rsidP="00E028FD">
      <w:pPr>
        <w:spacing w:line="276" w:lineRule="auto"/>
        <w:jc w:val="both"/>
        <w:rPr>
          <w:rFonts w:ascii="Arial" w:hAnsi="Arial" w:cs="Arial"/>
          <w:color w:val="000000" w:themeColor="text1"/>
          <w:sz w:val="22"/>
          <w:szCs w:val="22"/>
          <w:lang w:val="fr-FR"/>
        </w:rPr>
      </w:pPr>
    </w:p>
    <w:p w:rsidR="00E028FD" w:rsidRPr="00E028FD" w:rsidRDefault="00E028FD" w:rsidP="00E028FD">
      <w:pPr>
        <w:spacing w:line="276" w:lineRule="auto"/>
        <w:jc w:val="both"/>
        <w:rPr>
          <w:rFonts w:ascii="Arial" w:hAnsi="Arial" w:cs="Arial"/>
          <w:color w:val="000000" w:themeColor="text1"/>
          <w:sz w:val="22"/>
          <w:szCs w:val="22"/>
        </w:rPr>
      </w:pPr>
      <w:r>
        <w:rPr>
          <w:rFonts w:ascii="Arial" w:hAnsi="Arial"/>
          <w:color w:val="000000" w:themeColor="text1"/>
          <w:sz w:val="22"/>
          <w:szCs w:val="22"/>
        </w:rPr>
        <w:t xml:space="preserve">At June 30, 2018, the structure according to age is not balanced, the age category with the highest rate ratio in the company was the personnel where the age is ranging between 41-50 years old (41%), followed by the category where the age is ranging between 51-60 years old (36%) and between 31 - 40 years old (12%).  </w:t>
      </w:r>
    </w:p>
    <w:p w:rsidR="00934797" w:rsidRPr="00E028FD" w:rsidRDefault="00934797" w:rsidP="00E028FD">
      <w:pPr>
        <w:spacing w:line="276" w:lineRule="auto"/>
        <w:jc w:val="both"/>
        <w:rPr>
          <w:rFonts w:ascii="Arial" w:hAnsi="Arial" w:cs="Arial"/>
          <w:color w:val="000000" w:themeColor="text1"/>
          <w:sz w:val="22"/>
          <w:szCs w:val="22"/>
          <w:lang w:val="fr-FR"/>
        </w:rPr>
      </w:pPr>
    </w:p>
    <w:p w:rsidR="00E028FD" w:rsidRPr="00D349AF" w:rsidRDefault="00740567" w:rsidP="00E028FD">
      <w:pPr>
        <w:jc w:val="center"/>
        <w:rPr>
          <w:rFonts w:ascii="Arial" w:hAnsi="Arial" w:cs="Arial"/>
          <w:color w:val="000000" w:themeColor="text1"/>
        </w:rPr>
      </w:pPr>
      <w:r>
        <w:rPr>
          <w:noProof/>
          <w:lang w:eastAsia="en-US"/>
        </w:rPr>
        <w:lastRenderedPageBreak/>
        <w:drawing>
          <wp:inline distT="0" distB="0" distL="0" distR="0" wp14:anchorId="1039B2C8" wp14:editId="7391D65C">
            <wp:extent cx="3638550" cy="2038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8550" cy="2038350"/>
                    </a:xfrm>
                    <a:prstGeom prst="rect">
                      <a:avLst/>
                    </a:prstGeom>
                  </pic:spPr>
                </pic:pic>
              </a:graphicData>
            </a:graphic>
          </wp:inline>
        </w:drawing>
      </w:r>
    </w:p>
    <w:p w:rsidR="00E028FD" w:rsidRDefault="00E028FD" w:rsidP="00E028FD">
      <w:pPr>
        <w:jc w:val="both"/>
        <w:rPr>
          <w:rFonts w:ascii="Arial" w:hAnsi="Arial" w:cs="Arial"/>
          <w:color w:val="000000" w:themeColor="text1"/>
          <w:lang w:val="fr-FR"/>
        </w:rPr>
      </w:pPr>
    </w:p>
    <w:p w:rsidR="00306393" w:rsidRPr="00591C58" w:rsidRDefault="00306393" w:rsidP="00306393">
      <w:pPr>
        <w:jc w:val="center"/>
        <w:rPr>
          <w:rFonts w:ascii="Arial" w:hAnsi="Arial" w:cs="Arial"/>
          <w:color w:val="000000" w:themeColor="text1"/>
          <w:sz w:val="16"/>
          <w:szCs w:val="16"/>
        </w:rPr>
      </w:pPr>
      <w:r>
        <w:rPr>
          <w:rFonts w:ascii="Arial" w:hAnsi="Arial"/>
          <w:color w:val="000000" w:themeColor="text1"/>
          <w:sz w:val="16"/>
          <w:szCs w:val="16"/>
        </w:rPr>
        <w:t>Chart 10 - Structure by age groups</w:t>
      </w:r>
      <w:r>
        <w:rPr>
          <w:rFonts w:ascii="Arial" w:hAnsi="Arial"/>
          <w:color w:val="000000" w:themeColor="text1"/>
          <w:sz w:val="16"/>
          <w:szCs w:val="16"/>
        </w:rPr>
        <w:br/>
      </w:r>
    </w:p>
    <w:p w:rsidR="00E028FD" w:rsidRPr="00D349AF" w:rsidRDefault="00E028FD" w:rsidP="00E028FD">
      <w:pPr>
        <w:jc w:val="both"/>
        <w:rPr>
          <w:rFonts w:ascii="Arial" w:hAnsi="Arial" w:cs="Arial"/>
          <w:color w:val="000000" w:themeColor="text1"/>
          <w:lang w:val="fr-FR"/>
        </w:rPr>
      </w:pPr>
    </w:p>
    <w:p w:rsidR="00E028FD" w:rsidRPr="00E028FD" w:rsidRDefault="00E028FD" w:rsidP="00E028FD">
      <w:pPr>
        <w:spacing w:line="276" w:lineRule="auto"/>
        <w:jc w:val="both"/>
        <w:rPr>
          <w:rFonts w:ascii="Arial" w:hAnsi="Arial" w:cs="Arial"/>
          <w:color w:val="000000" w:themeColor="text1"/>
          <w:sz w:val="22"/>
          <w:szCs w:val="22"/>
        </w:rPr>
      </w:pPr>
      <w:r>
        <w:rPr>
          <w:rFonts w:ascii="Arial" w:hAnsi="Arial"/>
          <w:color w:val="000000" w:themeColor="text1"/>
          <w:sz w:val="22"/>
          <w:szCs w:val="22"/>
        </w:rPr>
        <w:t>The mean age of CONPET personnel is high enough (48 years old), the advantage being that 53.30% of the personnel has over 20 years of experience in the company, which stands for stability and professionalism of the company’s employees.</w:t>
      </w:r>
    </w:p>
    <w:p w:rsidR="00E028FD" w:rsidRDefault="00E028FD" w:rsidP="00E028FD">
      <w:pPr>
        <w:spacing w:line="276" w:lineRule="auto"/>
        <w:contextualSpacing/>
        <w:jc w:val="both"/>
        <w:rPr>
          <w:rFonts w:ascii="Arial" w:hAnsi="Arial" w:cs="Arial"/>
          <w:color w:val="000000" w:themeColor="text1"/>
          <w:sz w:val="22"/>
          <w:szCs w:val="22"/>
        </w:rPr>
      </w:pPr>
    </w:p>
    <w:p w:rsidR="00E028FD" w:rsidRPr="00E028FD" w:rsidRDefault="00E028FD" w:rsidP="00E028FD">
      <w:pPr>
        <w:spacing w:line="276" w:lineRule="auto"/>
        <w:contextualSpacing/>
        <w:jc w:val="both"/>
        <w:rPr>
          <w:rFonts w:ascii="Arial" w:hAnsi="Arial" w:cs="Arial"/>
          <w:color w:val="000000" w:themeColor="text1"/>
          <w:sz w:val="22"/>
          <w:szCs w:val="22"/>
        </w:rPr>
      </w:pPr>
      <w:r>
        <w:rPr>
          <w:rFonts w:ascii="Arial" w:hAnsi="Arial"/>
          <w:color w:val="000000" w:themeColor="text1"/>
          <w:sz w:val="22"/>
          <w:szCs w:val="22"/>
        </w:rPr>
        <w:t>The personnel related risk stands upon the possibility that in the future, the company be faced a lack of qualified personnel due to the retirement of the experienced employees.</w:t>
      </w:r>
    </w:p>
    <w:p w:rsidR="000A01F8" w:rsidRDefault="000A01F8" w:rsidP="00C16D1E">
      <w:pPr>
        <w:widowControl/>
        <w:autoSpaceDE/>
        <w:autoSpaceDN/>
        <w:adjustRightInd/>
        <w:spacing w:line="276" w:lineRule="auto"/>
        <w:jc w:val="both"/>
        <w:rPr>
          <w:rFonts w:ascii="Arial" w:hAnsi="Arial" w:cs="Arial"/>
          <w:b/>
          <w:color w:val="5B9BD5" w:themeColor="accent1"/>
          <w:sz w:val="24"/>
          <w:szCs w:val="24"/>
          <w:lang w:eastAsia="en-US"/>
        </w:rPr>
      </w:pPr>
    </w:p>
    <w:p w:rsidR="00C16D1E" w:rsidRPr="009828D6" w:rsidRDefault="00C16D1E" w:rsidP="00C16D1E">
      <w:pPr>
        <w:widowControl/>
        <w:autoSpaceDE/>
        <w:autoSpaceDN/>
        <w:adjustRightInd/>
        <w:spacing w:line="276" w:lineRule="auto"/>
        <w:jc w:val="both"/>
        <w:rPr>
          <w:rFonts w:ascii="Arial" w:hAnsi="Arial" w:cs="Arial"/>
          <w:b/>
          <w:color w:val="1F4E79" w:themeColor="accent1" w:themeShade="80"/>
          <w:sz w:val="24"/>
          <w:szCs w:val="24"/>
        </w:rPr>
      </w:pPr>
      <w:r>
        <w:rPr>
          <w:rFonts w:ascii="Arial" w:hAnsi="Arial"/>
          <w:b/>
          <w:color w:val="1F4E79" w:themeColor="accent1" w:themeShade="80"/>
          <w:sz w:val="24"/>
          <w:szCs w:val="24"/>
        </w:rPr>
        <w:t>The Negotiation and Conclusion of a new Collective Labor Agreement</w:t>
      </w:r>
    </w:p>
    <w:p w:rsidR="000A01F8" w:rsidRPr="00C15F0D" w:rsidRDefault="000A01F8" w:rsidP="00E028FD">
      <w:pPr>
        <w:spacing w:line="276" w:lineRule="auto"/>
        <w:jc w:val="both"/>
        <w:rPr>
          <w:rFonts w:ascii="Arial" w:hAnsi="Arial" w:cs="Arial"/>
          <w:sz w:val="22"/>
          <w:szCs w:val="22"/>
          <w:lang w:val="fr-FR"/>
        </w:rPr>
      </w:pPr>
    </w:p>
    <w:p w:rsidR="00E028FD" w:rsidRPr="00C15F0D" w:rsidRDefault="00892963" w:rsidP="00E028FD">
      <w:pPr>
        <w:spacing w:line="276" w:lineRule="auto"/>
        <w:jc w:val="both"/>
        <w:rPr>
          <w:rFonts w:ascii="Arial" w:hAnsi="Arial" w:cs="Arial"/>
          <w:sz w:val="22"/>
          <w:szCs w:val="22"/>
        </w:rPr>
      </w:pPr>
      <w:r>
        <w:rPr>
          <w:rFonts w:ascii="Arial" w:hAnsi="Arial"/>
          <w:sz w:val="22"/>
          <w:szCs w:val="22"/>
        </w:rPr>
        <w:t xml:space="preserve">The duration of the collective labor </w:t>
      </w:r>
      <w:proofErr w:type="gramStart"/>
      <w:r>
        <w:rPr>
          <w:rFonts w:ascii="Arial" w:hAnsi="Arial"/>
          <w:sz w:val="22"/>
          <w:szCs w:val="22"/>
        </w:rPr>
        <w:t>agreement  concluded</w:t>
      </w:r>
      <w:proofErr w:type="gramEnd"/>
      <w:r>
        <w:rPr>
          <w:rFonts w:ascii="Arial" w:hAnsi="Arial"/>
          <w:sz w:val="22"/>
          <w:szCs w:val="22"/>
        </w:rPr>
        <w:t xml:space="preserve"> between the company and the union’s representatives expires on August 31, 2018.</w:t>
      </w:r>
    </w:p>
    <w:p w:rsidR="00892963" w:rsidRPr="00C15F0D" w:rsidRDefault="00892963" w:rsidP="00E028FD">
      <w:pPr>
        <w:spacing w:line="276" w:lineRule="auto"/>
        <w:jc w:val="both"/>
        <w:rPr>
          <w:rFonts w:ascii="Arial" w:hAnsi="Arial" w:cs="Arial"/>
          <w:sz w:val="22"/>
          <w:szCs w:val="22"/>
          <w:lang w:val="fr-FR"/>
        </w:rPr>
      </w:pPr>
    </w:p>
    <w:p w:rsidR="00E028FD" w:rsidRPr="00C15F0D" w:rsidRDefault="00892963" w:rsidP="00306393">
      <w:pPr>
        <w:spacing w:line="276" w:lineRule="auto"/>
        <w:jc w:val="both"/>
        <w:rPr>
          <w:rFonts w:ascii="Arial" w:hAnsi="Arial" w:cs="Arial"/>
          <w:sz w:val="22"/>
          <w:szCs w:val="22"/>
        </w:rPr>
      </w:pPr>
      <w:r>
        <w:rPr>
          <w:rFonts w:ascii="Arial" w:hAnsi="Arial"/>
          <w:sz w:val="22"/>
          <w:szCs w:val="22"/>
        </w:rPr>
        <w:t>Following the proposal of the executive management, the Board of Administration, during the meeting held on 26.07.2018, granted mandate to the Director General to negotiate and conclude an addendum to extend the duration of the Collective Labor Agreement until 31.12.2018.</w:t>
      </w:r>
    </w:p>
    <w:p w:rsidR="00EB6CFC" w:rsidRPr="009828D6" w:rsidRDefault="00792F20" w:rsidP="00D87DA4">
      <w:pPr>
        <w:pStyle w:val="ListParagraph"/>
        <w:numPr>
          <w:ilvl w:val="1"/>
          <w:numId w:val="21"/>
        </w:numPr>
        <w:spacing w:before="144"/>
        <w:ind w:left="450" w:hanging="450"/>
        <w:rPr>
          <w:rFonts w:ascii="Arial" w:hAnsi="Arial" w:cs="Arial"/>
          <w:b/>
          <w:color w:val="1F4E79" w:themeColor="accent1" w:themeShade="80"/>
        </w:rPr>
      </w:pPr>
      <w:r>
        <w:rPr>
          <w:rFonts w:ascii="Arial" w:hAnsi="Arial"/>
          <w:b/>
          <w:color w:val="1F4E79" w:themeColor="accent1" w:themeShade="80"/>
          <w:sz w:val="24"/>
          <w:szCs w:val="24"/>
        </w:rPr>
        <w:t>Investments achieved in 2018 H1 as compared to the program of 2018 H1</w:t>
      </w:r>
      <w:r>
        <w:rPr>
          <w:rFonts w:ascii="Arial" w:hAnsi="Arial"/>
          <w:b/>
          <w:color w:val="1F4E79" w:themeColor="accent1" w:themeShade="80"/>
        </w:rPr>
        <w:t xml:space="preserve"> </w:t>
      </w:r>
    </w:p>
    <w:p w:rsidR="00EB6CFC" w:rsidRPr="002C3508" w:rsidRDefault="00EB6CFC" w:rsidP="002C3508">
      <w:pPr>
        <w:widowControl/>
        <w:adjustRightInd/>
        <w:spacing w:line="276" w:lineRule="auto"/>
        <w:jc w:val="both"/>
        <w:rPr>
          <w:rFonts w:ascii="Arial" w:eastAsia="Calibri" w:hAnsi="Arial" w:cs="Arial"/>
          <w:sz w:val="22"/>
          <w:szCs w:val="22"/>
        </w:rPr>
      </w:pPr>
      <w:r>
        <w:rPr>
          <w:rFonts w:ascii="Arial" w:hAnsi="Arial"/>
          <w:sz w:val="22"/>
          <w:szCs w:val="22"/>
        </w:rPr>
        <w:t>The investment projects within CONPET targets, mainly, enhancing efficiency of the transport activity under operation, under safe conditions, the National Transport System.</w:t>
      </w:r>
    </w:p>
    <w:p w:rsidR="00EB6CFC" w:rsidRPr="002C3508" w:rsidRDefault="00EB6CFC" w:rsidP="002C3508">
      <w:pPr>
        <w:widowControl/>
        <w:adjustRightInd/>
        <w:spacing w:line="276" w:lineRule="auto"/>
        <w:jc w:val="both"/>
        <w:rPr>
          <w:rFonts w:ascii="Arial" w:eastAsia="Calibri" w:hAnsi="Arial" w:cs="Arial"/>
          <w:sz w:val="22"/>
          <w:szCs w:val="22"/>
          <w:lang w:val="nb-NO"/>
        </w:rPr>
      </w:pPr>
    </w:p>
    <w:p w:rsidR="00EB6CFC" w:rsidRPr="002C3508" w:rsidRDefault="00EB6CFC" w:rsidP="002C3508">
      <w:pPr>
        <w:widowControl/>
        <w:adjustRightInd/>
        <w:spacing w:line="276" w:lineRule="auto"/>
        <w:jc w:val="both"/>
        <w:rPr>
          <w:rFonts w:ascii="Arial" w:eastAsia="Calibri" w:hAnsi="Arial" w:cs="Arial"/>
          <w:sz w:val="22"/>
          <w:szCs w:val="22"/>
        </w:rPr>
      </w:pPr>
      <w:r>
        <w:rPr>
          <w:rFonts w:ascii="Arial" w:hAnsi="Arial"/>
          <w:sz w:val="22"/>
          <w:szCs w:val="22"/>
        </w:rPr>
        <w:t>The investments are being financed out of own sources made up of: the modernization quota targeting exclusively the financing of works executed at the assets belonging to the public domain as well as for the financing of new investment related to the public domain and other own sources (profit and amortization).</w:t>
      </w:r>
    </w:p>
    <w:p w:rsidR="00EB6CFC" w:rsidRPr="002C3508" w:rsidRDefault="00EB6CFC" w:rsidP="002C3508">
      <w:pPr>
        <w:widowControl/>
        <w:autoSpaceDE/>
        <w:adjustRightInd/>
        <w:spacing w:line="276" w:lineRule="auto"/>
        <w:ind w:right="399"/>
        <w:jc w:val="both"/>
        <w:rPr>
          <w:rFonts w:ascii="Arial" w:eastAsia="Calibri" w:hAnsi="Arial" w:cs="Arial"/>
          <w:sz w:val="22"/>
          <w:szCs w:val="22"/>
        </w:rPr>
      </w:pPr>
      <w:r>
        <w:rPr>
          <w:rFonts w:ascii="Arial" w:hAnsi="Arial"/>
          <w:sz w:val="22"/>
          <w:szCs w:val="22"/>
        </w:rPr>
        <w:t xml:space="preserve">For 2018 H1, CONPET programmed investments in amount of 35,495 thousand RON and achieved 32,317 thousand RON (91%). </w:t>
      </w:r>
    </w:p>
    <w:p w:rsidR="00EB6CFC" w:rsidRPr="002C3508" w:rsidRDefault="00DF0868" w:rsidP="002C3508">
      <w:pPr>
        <w:widowControl/>
        <w:autoSpaceDE/>
        <w:adjustRightInd/>
        <w:spacing w:line="276" w:lineRule="auto"/>
        <w:jc w:val="both"/>
        <w:rPr>
          <w:rFonts w:ascii="Arial" w:eastAsia="Calibri" w:hAnsi="Arial" w:cs="Arial"/>
          <w:sz w:val="22"/>
          <w:szCs w:val="22"/>
        </w:rPr>
      </w:pPr>
      <w:r>
        <w:rPr>
          <w:rFonts w:ascii="Arial" w:hAnsi="Arial"/>
          <w:sz w:val="22"/>
          <w:szCs w:val="22"/>
        </w:rPr>
        <w:t>The value of the investment objectives achieved in 2018 H1, on types of assets’ membership, as compared to the program for the first semester and the same period of 2017, is as follows:    </w:t>
      </w:r>
    </w:p>
    <w:p w:rsidR="00EB6CFC" w:rsidRPr="00F5447A" w:rsidRDefault="00EB6CFC" w:rsidP="00EB6CFC">
      <w:pPr>
        <w:widowControl/>
        <w:autoSpaceDE/>
        <w:adjustRightInd/>
        <w:spacing w:line="276" w:lineRule="auto"/>
        <w:jc w:val="both"/>
        <w:rPr>
          <w:rFonts w:ascii="Arial" w:eastAsia="Calibri" w:hAnsi="Arial" w:cs="Arial"/>
          <w:lang w:val="it-IT" w:eastAsia="en-US"/>
        </w:rPr>
      </w:pP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050"/>
        <w:gridCol w:w="1106"/>
        <w:gridCol w:w="1039"/>
        <w:gridCol w:w="700"/>
        <w:gridCol w:w="1039"/>
        <w:gridCol w:w="1106"/>
        <w:gridCol w:w="1039"/>
        <w:gridCol w:w="757"/>
      </w:tblGrid>
      <w:tr w:rsidR="00EB6CFC" w:rsidRPr="007A616D" w:rsidTr="00F43345">
        <w:trPr>
          <w:trHeight w:val="257"/>
          <w:jc w:val="center"/>
        </w:trPr>
        <w:tc>
          <w:tcPr>
            <w:tcW w:w="1946" w:type="dxa"/>
            <w:vMerge w:val="restart"/>
            <w:shd w:val="clear" w:color="auto" w:fill="DEEAF6" w:themeFill="accent1" w:themeFillTint="33"/>
            <w:noWrap/>
            <w:vAlign w:val="center"/>
            <w:hideMark/>
          </w:tcPr>
          <w:p w:rsidR="00EB6CFC" w:rsidRPr="0082056F" w:rsidRDefault="00446D65" w:rsidP="00934797">
            <w:pPr>
              <w:widowControl/>
              <w:autoSpaceDE/>
              <w:autoSpaceDN/>
              <w:adjustRightInd/>
              <w:jc w:val="center"/>
              <w:rPr>
                <w:rFonts w:ascii="Arial" w:hAnsi="Arial" w:cs="Arial"/>
                <w:b/>
                <w:bCs/>
                <w:color w:val="000000"/>
              </w:rPr>
            </w:pPr>
            <w:r>
              <w:rPr>
                <w:rFonts w:ascii="Arial" w:hAnsi="Arial"/>
                <w:b/>
                <w:bCs/>
                <w:color w:val="000000"/>
              </w:rPr>
              <w:t>Name (thousand</w:t>
            </w:r>
            <w:r w:rsidR="00EB6CFC">
              <w:rPr>
                <w:rFonts w:ascii="Arial" w:hAnsi="Arial"/>
                <w:b/>
                <w:bCs/>
                <w:color w:val="000000"/>
              </w:rPr>
              <w:t xml:space="preserve"> RON) </w:t>
            </w:r>
          </w:p>
        </w:tc>
        <w:tc>
          <w:tcPr>
            <w:tcW w:w="1050" w:type="dxa"/>
            <w:shd w:val="clear" w:color="auto" w:fill="DEEAF6" w:themeFill="accent1" w:themeFillTint="33"/>
            <w:noWrap/>
            <w:vAlign w:val="bottom"/>
            <w:hideMark/>
          </w:tcPr>
          <w:p w:rsidR="00EB6CFC" w:rsidRPr="0082056F" w:rsidRDefault="00EB6CFC" w:rsidP="00934797">
            <w:pPr>
              <w:widowControl/>
              <w:autoSpaceDE/>
              <w:autoSpaceDN/>
              <w:adjustRightInd/>
              <w:jc w:val="center"/>
              <w:rPr>
                <w:rFonts w:ascii="Arial" w:hAnsi="Arial" w:cs="Arial"/>
                <w:b/>
                <w:color w:val="000000"/>
              </w:rPr>
            </w:pPr>
            <w:r>
              <w:rPr>
                <w:rFonts w:ascii="Arial" w:hAnsi="Arial"/>
                <w:b/>
                <w:color w:val="000000"/>
              </w:rPr>
              <w:t>Program</w:t>
            </w:r>
          </w:p>
        </w:tc>
        <w:tc>
          <w:tcPr>
            <w:tcW w:w="2622" w:type="dxa"/>
            <w:gridSpan w:val="3"/>
            <w:shd w:val="clear" w:color="auto" w:fill="DEEAF6" w:themeFill="accent1" w:themeFillTint="33"/>
            <w:noWrap/>
            <w:vAlign w:val="bottom"/>
            <w:hideMark/>
          </w:tcPr>
          <w:p w:rsidR="00EB6CFC" w:rsidRPr="0082056F" w:rsidRDefault="00792F20" w:rsidP="00934797">
            <w:pPr>
              <w:widowControl/>
              <w:autoSpaceDE/>
              <w:autoSpaceDN/>
              <w:adjustRightInd/>
              <w:jc w:val="center"/>
              <w:rPr>
                <w:rFonts w:ascii="Arial" w:hAnsi="Arial" w:cs="Arial"/>
                <w:b/>
                <w:color w:val="000000"/>
              </w:rPr>
            </w:pPr>
            <w:r>
              <w:rPr>
                <w:rFonts w:ascii="Arial" w:hAnsi="Arial"/>
                <w:b/>
                <w:color w:val="000000"/>
              </w:rPr>
              <w:t>2018 H1</w:t>
            </w:r>
          </w:p>
        </w:tc>
        <w:tc>
          <w:tcPr>
            <w:tcW w:w="1039" w:type="dxa"/>
            <w:shd w:val="clear" w:color="auto" w:fill="DEEAF6" w:themeFill="accent1" w:themeFillTint="33"/>
            <w:noWrap/>
            <w:vAlign w:val="bottom"/>
            <w:hideMark/>
          </w:tcPr>
          <w:p w:rsidR="00EB6CFC" w:rsidRPr="0082056F" w:rsidRDefault="00EB6CFC" w:rsidP="00934797">
            <w:pPr>
              <w:widowControl/>
              <w:autoSpaceDE/>
              <w:autoSpaceDN/>
              <w:adjustRightInd/>
              <w:jc w:val="center"/>
              <w:rPr>
                <w:rFonts w:ascii="Arial" w:hAnsi="Arial" w:cs="Arial"/>
                <w:b/>
                <w:color w:val="000000"/>
              </w:rPr>
            </w:pPr>
            <w:r>
              <w:rPr>
                <w:rFonts w:ascii="Arial" w:hAnsi="Arial"/>
                <w:b/>
                <w:color w:val="000000"/>
              </w:rPr>
              <w:t>Program</w:t>
            </w:r>
          </w:p>
        </w:tc>
        <w:tc>
          <w:tcPr>
            <w:tcW w:w="2790" w:type="dxa"/>
            <w:gridSpan w:val="3"/>
            <w:shd w:val="clear" w:color="auto" w:fill="DEEAF6" w:themeFill="accent1" w:themeFillTint="33"/>
            <w:noWrap/>
            <w:vAlign w:val="bottom"/>
            <w:hideMark/>
          </w:tcPr>
          <w:p w:rsidR="00EB6CFC" w:rsidRPr="0082056F" w:rsidRDefault="00792F20" w:rsidP="00934797">
            <w:pPr>
              <w:widowControl/>
              <w:autoSpaceDE/>
              <w:autoSpaceDN/>
              <w:adjustRightInd/>
              <w:jc w:val="center"/>
              <w:rPr>
                <w:rFonts w:ascii="Arial" w:hAnsi="Arial" w:cs="Arial"/>
                <w:b/>
                <w:color w:val="000000"/>
              </w:rPr>
            </w:pPr>
            <w:r>
              <w:rPr>
                <w:rFonts w:ascii="Arial" w:hAnsi="Arial"/>
                <w:b/>
                <w:color w:val="000000"/>
              </w:rPr>
              <w:t>Semester I 2017</w:t>
            </w:r>
          </w:p>
        </w:tc>
      </w:tr>
      <w:tr w:rsidR="00EB6CFC" w:rsidRPr="00355E15" w:rsidTr="00F43345">
        <w:trPr>
          <w:trHeight w:val="257"/>
          <w:jc w:val="center"/>
        </w:trPr>
        <w:tc>
          <w:tcPr>
            <w:tcW w:w="1946" w:type="dxa"/>
            <w:vMerge/>
            <w:shd w:val="clear" w:color="auto" w:fill="DEEAF6" w:themeFill="accent1" w:themeFillTint="33"/>
            <w:vAlign w:val="center"/>
            <w:hideMark/>
          </w:tcPr>
          <w:p w:rsidR="00EB6CFC" w:rsidRPr="0082056F" w:rsidRDefault="00EB6CFC" w:rsidP="00934797">
            <w:pPr>
              <w:widowControl/>
              <w:autoSpaceDE/>
              <w:autoSpaceDN/>
              <w:adjustRightInd/>
              <w:rPr>
                <w:rFonts w:ascii="Arial" w:hAnsi="Arial" w:cs="Arial"/>
                <w:b/>
                <w:bCs/>
                <w:color w:val="000000"/>
                <w:lang w:eastAsia="en-US"/>
              </w:rPr>
            </w:pPr>
          </w:p>
        </w:tc>
        <w:tc>
          <w:tcPr>
            <w:tcW w:w="1050" w:type="dxa"/>
            <w:shd w:val="clear" w:color="auto" w:fill="DEEAF6" w:themeFill="accent1" w:themeFillTint="33"/>
            <w:noWrap/>
            <w:vAlign w:val="bottom"/>
            <w:hideMark/>
          </w:tcPr>
          <w:p w:rsidR="00EB6CFC" w:rsidRPr="00F43E8E" w:rsidRDefault="00792F20" w:rsidP="00934797">
            <w:pPr>
              <w:widowControl/>
              <w:autoSpaceDE/>
              <w:autoSpaceDN/>
              <w:adjustRightInd/>
              <w:jc w:val="center"/>
              <w:rPr>
                <w:rFonts w:ascii="Arial" w:hAnsi="Arial" w:cs="Arial"/>
                <w:b/>
                <w:color w:val="000000"/>
              </w:rPr>
            </w:pPr>
            <w:r>
              <w:rPr>
                <w:rFonts w:ascii="Arial" w:hAnsi="Arial"/>
                <w:b/>
                <w:color w:val="000000"/>
              </w:rPr>
              <w:t>YEAR 2018</w:t>
            </w:r>
          </w:p>
        </w:tc>
        <w:tc>
          <w:tcPr>
            <w:tcW w:w="939" w:type="dxa"/>
            <w:shd w:val="clear" w:color="auto" w:fill="DEEAF6" w:themeFill="accent1" w:themeFillTint="33"/>
            <w:noWrap/>
            <w:vAlign w:val="center"/>
            <w:hideMark/>
          </w:tcPr>
          <w:p w:rsidR="00EB6CFC" w:rsidRPr="00F43E8E" w:rsidRDefault="00EB6CFC" w:rsidP="00934797">
            <w:pPr>
              <w:widowControl/>
              <w:autoSpaceDE/>
              <w:autoSpaceDN/>
              <w:adjustRightInd/>
              <w:jc w:val="center"/>
              <w:rPr>
                <w:rFonts w:ascii="Arial" w:hAnsi="Arial" w:cs="Arial"/>
                <w:b/>
                <w:color w:val="000000"/>
              </w:rPr>
            </w:pPr>
            <w:r>
              <w:rPr>
                <w:rFonts w:ascii="Arial" w:hAnsi="Arial"/>
                <w:b/>
                <w:color w:val="000000"/>
              </w:rPr>
              <w:t>Achieved</w:t>
            </w:r>
          </w:p>
        </w:tc>
        <w:tc>
          <w:tcPr>
            <w:tcW w:w="983" w:type="dxa"/>
            <w:shd w:val="clear" w:color="auto" w:fill="DEEAF6" w:themeFill="accent1" w:themeFillTint="33"/>
            <w:noWrap/>
            <w:vAlign w:val="center"/>
            <w:hideMark/>
          </w:tcPr>
          <w:p w:rsidR="00EB6CFC" w:rsidRPr="00F43E8E" w:rsidRDefault="00EB6CFC" w:rsidP="00934797">
            <w:pPr>
              <w:widowControl/>
              <w:autoSpaceDE/>
              <w:autoSpaceDN/>
              <w:adjustRightInd/>
              <w:jc w:val="center"/>
              <w:rPr>
                <w:rFonts w:ascii="Arial" w:hAnsi="Arial" w:cs="Arial"/>
                <w:b/>
                <w:color w:val="000000"/>
              </w:rPr>
            </w:pPr>
            <w:r>
              <w:rPr>
                <w:rFonts w:ascii="Arial" w:hAnsi="Arial"/>
                <w:b/>
                <w:color w:val="000000"/>
              </w:rPr>
              <w:t>Program</w:t>
            </w:r>
          </w:p>
        </w:tc>
        <w:tc>
          <w:tcPr>
            <w:tcW w:w="700" w:type="dxa"/>
            <w:shd w:val="clear" w:color="auto" w:fill="DEEAF6" w:themeFill="accent1" w:themeFillTint="33"/>
            <w:noWrap/>
            <w:vAlign w:val="bottom"/>
            <w:hideMark/>
          </w:tcPr>
          <w:p w:rsidR="00EB6CFC" w:rsidRPr="00F43E8E" w:rsidRDefault="00EB6CFC" w:rsidP="00934797">
            <w:pPr>
              <w:widowControl/>
              <w:autoSpaceDE/>
              <w:autoSpaceDN/>
              <w:adjustRightInd/>
              <w:jc w:val="center"/>
              <w:rPr>
                <w:rFonts w:ascii="Arial" w:hAnsi="Arial" w:cs="Arial"/>
                <w:b/>
                <w:color w:val="000000"/>
              </w:rPr>
            </w:pPr>
            <w:r>
              <w:rPr>
                <w:rFonts w:ascii="Arial" w:hAnsi="Arial"/>
                <w:b/>
                <w:color w:val="000000"/>
              </w:rPr>
              <w:t>%</w:t>
            </w:r>
          </w:p>
        </w:tc>
        <w:tc>
          <w:tcPr>
            <w:tcW w:w="1039" w:type="dxa"/>
            <w:shd w:val="clear" w:color="auto" w:fill="DEEAF6" w:themeFill="accent1" w:themeFillTint="33"/>
            <w:noWrap/>
            <w:vAlign w:val="bottom"/>
            <w:hideMark/>
          </w:tcPr>
          <w:p w:rsidR="00EB6CFC" w:rsidRPr="00F43E8E" w:rsidRDefault="00792F20" w:rsidP="00934797">
            <w:pPr>
              <w:widowControl/>
              <w:autoSpaceDE/>
              <w:autoSpaceDN/>
              <w:adjustRightInd/>
              <w:jc w:val="center"/>
              <w:rPr>
                <w:rFonts w:ascii="Arial" w:hAnsi="Arial" w:cs="Arial"/>
                <w:b/>
                <w:color w:val="000000"/>
              </w:rPr>
            </w:pPr>
            <w:r>
              <w:rPr>
                <w:rFonts w:ascii="Arial" w:hAnsi="Arial"/>
                <w:b/>
                <w:color w:val="000000"/>
              </w:rPr>
              <w:t>YEAR 2017</w:t>
            </w:r>
          </w:p>
        </w:tc>
        <w:tc>
          <w:tcPr>
            <w:tcW w:w="1050" w:type="dxa"/>
            <w:shd w:val="clear" w:color="auto" w:fill="DEEAF6" w:themeFill="accent1" w:themeFillTint="33"/>
            <w:noWrap/>
            <w:vAlign w:val="center"/>
            <w:hideMark/>
          </w:tcPr>
          <w:p w:rsidR="00EB6CFC" w:rsidRPr="00F43E8E" w:rsidRDefault="00EB6CFC" w:rsidP="00934797">
            <w:pPr>
              <w:widowControl/>
              <w:autoSpaceDE/>
              <w:autoSpaceDN/>
              <w:adjustRightInd/>
              <w:jc w:val="center"/>
              <w:rPr>
                <w:rFonts w:ascii="Arial" w:hAnsi="Arial" w:cs="Arial"/>
                <w:b/>
                <w:color w:val="000000"/>
              </w:rPr>
            </w:pPr>
            <w:r>
              <w:rPr>
                <w:rFonts w:ascii="Arial" w:hAnsi="Arial"/>
                <w:b/>
                <w:color w:val="000000"/>
              </w:rPr>
              <w:t>Achieved</w:t>
            </w:r>
          </w:p>
        </w:tc>
        <w:tc>
          <w:tcPr>
            <w:tcW w:w="983" w:type="dxa"/>
            <w:shd w:val="clear" w:color="auto" w:fill="DEEAF6" w:themeFill="accent1" w:themeFillTint="33"/>
            <w:noWrap/>
            <w:vAlign w:val="center"/>
            <w:hideMark/>
          </w:tcPr>
          <w:p w:rsidR="00EB6CFC" w:rsidRPr="00F43E8E" w:rsidRDefault="00EB6CFC" w:rsidP="00934797">
            <w:pPr>
              <w:widowControl/>
              <w:autoSpaceDE/>
              <w:autoSpaceDN/>
              <w:adjustRightInd/>
              <w:jc w:val="center"/>
              <w:rPr>
                <w:rFonts w:ascii="Arial" w:hAnsi="Arial" w:cs="Arial"/>
                <w:b/>
                <w:color w:val="000000"/>
              </w:rPr>
            </w:pPr>
            <w:r>
              <w:rPr>
                <w:rFonts w:ascii="Arial" w:hAnsi="Arial"/>
                <w:b/>
                <w:color w:val="000000"/>
              </w:rPr>
              <w:t>Program</w:t>
            </w:r>
          </w:p>
        </w:tc>
        <w:tc>
          <w:tcPr>
            <w:tcW w:w="757" w:type="dxa"/>
            <w:shd w:val="clear" w:color="auto" w:fill="DEEAF6" w:themeFill="accent1" w:themeFillTint="33"/>
            <w:noWrap/>
            <w:vAlign w:val="bottom"/>
            <w:hideMark/>
          </w:tcPr>
          <w:p w:rsidR="00EB6CFC" w:rsidRPr="00F43E8E" w:rsidRDefault="00EB6CFC" w:rsidP="00934797">
            <w:pPr>
              <w:widowControl/>
              <w:autoSpaceDE/>
              <w:autoSpaceDN/>
              <w:adjustRightInd/>
              <w:jc w:val="center"/>
              <w:rPr>
                <w:rFonts w:ascii="Arial" w:hAnsi="Arial" w:cs="Arial"/>
                <w:b/>
                <w:color w:val="000000"/>
              </w:rPr>
            </w:pPr>
            <w:r>
              <w:rPr>
                <w:rFonts w:ascii="Arial" w:hAnsi="Arial"/>
                <w:b/>
                <w:color w:val="000000"/>
              </w:rPr>
              <w:t>%</w:t>
            </w:r>
          </w:p>
        </w:tc>
      </w:tr>
      <w:tr w:rsidR="00EB6CFC" w:rsidRPr="00355E15" w:rsidTr="00F43345">
        <w:trPr>
          <w:trHeight w:val="257"/>
          <w:jc w:val="center"/>
        </w:trPr>
        <w:tc>
          <w:tcPr>
            <w:tcW w:w="1946" w:type="dxa"/>
            <w:shd w:val="clear" w:color="auto" w:fill="auto"/>
            <w:vAlign w:val="center"/>
            <w:hideMark/>
          </w:tcPr>
          <w:p w:rsidR="00EB6CFC" w:rsidRPr="0082056F" w:rsidRDefault="00EB6CFC" w:rsidP="00792F20">
            <w:pPr>
              <w:widowControl/>
              <w:autoSpaceDE/>
              <w:autoSpaceDN/>
              <w:adjustRightInd/>
              <w:rPr>
                <w:rFonts w:ascii="Arial" w:hAnsi="Arial" w:cs="Arial"/>
                <w:b/>
                <w:bCs/>
                <w:color w:val="000000"/>
              </w:rPr>
            </w:pPr>
            <w:r>
              <w:rPr>
                <w:rFonts w:ascii="Arial" w:hAnsi="Arial"/>
                <w:b/>
                <w:bCs/>
                <w:color w:val="000000"/>
              </w:rPr>
              <w:t>Total investments, o/w:</w:t>
            </w:r>
          </w:p>
        </w:tc>
        <w:tc>
          <w:tcPr>
            <w:tcW w:w="1050"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b/>
                <w:color w:val="000000"/>
              </w:rPr>
            </w:pPr>
            <w:r>
              <w:rPr>
                <w:rFonts w:ascii="Arial" w:hAnsi="Arial"/>
                <w:b/>
                <w:color w:val="000000"/>
              </w:rPr>
              <w:t>76,625</w:t>
            </w:r>
          </w:p>
        </w:tc>
        <w:tc>
          <w:tcPr>
            <w:tcW w:w="939" w:type="dxa"/>
            <w:shd w:val="clear" w:color="auto" w:fill="auto"/>
            <w:vAlign w:val="center"/>
            <w:hideMark/>
          </w:tcPr>
          <w:p w:rsidR="00EB6CFC" w:rsidRPr="0082056F" w:rsidRDefault="00EB6CFC" w:rsidP="00934797">
            <w:pPr>
              <w:widowControl/>
              <w:autoSpaceDE/>
              <w:autoSpaceDN/>
              <w:adjustRightInd/>
              <w:jc w:val="center"/>
              <w:rPr>
                <w:rFonts w:ascii="Arial" w:hAnsi="Arial" w:cs="Arial"/>
                <w:b/>
                <w:bCs/>
                <w:color w:val="000000"/>
              </w:rPr>
            </w:pPr>
            <w:r>
              <w:rPr>
                <w:rFonts w:ascii="Arial" w:hAnsi="Arial"/>
                <w:b/>
                <w:bCs/>
                <w:color w:val="000000"/>
              </w:rPr>
              <w:t>32,317</w:t>
            </w:r>
          </w:p>
        </w:tc>
        <w:tc>
          <w:tcPr>
            <w:tcW w:w="983" w:type="dxa"/>
            <w:shd w:val="clear" w:color="auto" w:fill="auto"/>
            <w:vAlign w:val="center"/>
            <w:hideMark/>
          </w:tcPr>
          <w:p w:rsidR="00EB6CFC" w:rsidRPr="0082056F" w:rsidRDefault="00EB6CFC" w:rsidP="00934797">
            <w:pPr>
              <w:widowControl/>
              <w:autoSpaceDE/>
              <w:autoSpaceDN/>
              <w:adjustRightInd/>
              <w:jc w:val="center"/>
              <w:rPr>
                <w:rFonts w:ascii="Arial" w:hAnsi="Arial" w:cs="Arial"/>
                <w:b/>
                <w:bCs/>
                <w:color w:val="000000"/>
              </w:rPr>
            </w:pPr>
            <w:r>
              <w:rPr>
                <w:rFonts w:ascii="Arial" w:hAnsi="Arial"/>
                <w:b/>
                <w:bCs/>
                <w:color w:val="000000"/>
              </w:rPr>
              <w:t>35,495</w:t>
            </w:r>
          </w:p>
        </w:tc>
        <w:tc>
          <w:tcPr>
            <w:tcW w:w="700"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b/>
                <w:color w:val="000000"/>
              </w:rPr>
            </w:pPr>
            <w:r>
              <w:rPr>
                <w:rFonts w:ascii="Arial" w:hAnsi="Arial"/>
                <w:b/>
                <w:color w:val="000000"/>
              </w:rPr>
              <w:t>91%</w:t>
            </w:r>
          </w:p>
        </w:tc>
        <w:tc>
          <w:tcPr>
            <w:tcW w:w="1039"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b/>
                <w:bCs/>
                <w:color w:val="000000"/>
              </w:rPr>
            </w:pPr>
            <w:r>
              <w:rPr>
                <w:rFonts w:ascii="Arial" w:hAnsi="Arial"/>
                <w:b/>
                <w:bCs/>
                <w:color w:val="000000"/>
              </w:rPr>
              <w:t>64,269</w:t>
            </w:r>
          </w:p>
        </w:tc>
        <w:tc>
          <w:tcPr>
            <w:tcW w:w="1050" w:type="dxa"/>
            <w:shd w:val="clear" w:color="auto" w:fill="auto"/>
            <w:noWrap/>
            <w:vAlign w:val="center"/>
            <w:hideMark/>
          </w:tcPr>
          <w:p w:rsidR="00EB6CFC" w:rsidRPr="0082056F" w:rsidRDefault="00EB6CFC" w:rsidP="00934797">
            <w:pPr>
              <w:widowControl/>
              <w:autoSpaceDE/>
              <w:autoSpaceDN/>
              <w:adjustRightInd/>
              <w:jc w:val="center"/>
              <w:rPr>
                <w:rFonts w:ascii="Arial" w:hAnsi="Arial" w:cs="Arial"/>
                <w:b/>
                <w:bCs/>
              </w:rPr>
            </w:pPr>
            <w:r>
              <w:rPr>
                <w:rFonts w:ascii="Arial" w:hAnsi="Arial"/>
                <w:b/>
                <w:bCs/>
              </w:rPr>
              <w:t>14,719</w:t>
            </w:r>
          </w:p>
        </w:tc>
        <w:tc>
          <w:tcPr>
            <w:tcW w:w="983" w:type="dxa"/>
            <w:shd w:val="clear" w:color="auto" w:fill="auto"/>
            <w:noWrap/>
            <w:vAlign w:val="center"/>
            <w:hideMark/>
          </w:tcPr>
          <w:p w:rsidR="00EB6CFC" w:rsidRPr="0082056F" w:rsidRDefault="00EB6CFC" w:rsidP="00934797">
            <w:pPr>
              <w:widowControl/>
              <w:autoSpaceDE/>
              <w:autoSpaceDN/>
              <w:adjustRightInd/>
              <w:jc w:val="center"/>
              <w:rPr>
                <w:rFonts w:ascii="Arial" w:hAnsi="Arial" w:cs="Arial"/>
                <w:b/>
                <w:bCs/>
              </w:rPr>
            </w:pPr>
            <w:r>
              <w:rPr>
                <w:rFonts w:ascii="Arial" w:hAnsi="Arial"/>
                <w:b/>
                <w:bCs/>
                <w:color w:val="000000"/>
              </w:rPr>
              <w:t>19,108</w:t>
            </w:r>
          </w:p>
        </w:tc>
        <w:tc>
          <w:tcPr>
            <w:tcW w:w="757"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b/>
              </w:rPr>
            </w:pPr>
            <w:r>
              <w:rPr>
                <w:rFonts w:ascii="Arial" w:hAnsi="Arial"/>
                <w:b/>
              </w:rPr>
              <w:t>77%</w:t>
            </w:r>
          </w:p>
        </w:tc>
      </w:tr>
      <w:tr w:rsidR="00EB6CFC" w:rsidRPr="00355E15" w:rsidTr="00F43345">
        <w:trPr>
          <w:trHeight w:val="257"/>
          <w:jc w:val="center"/>
        </w:trPr>
        <w:tc>
          <w:tcPr>
            <w:tcW w:w="1946" w:type="dxa"/>
            <w:shd w:val="clear" w:color="auto" w:fill="auto"/>
            <w:vAlign w:val="center"/>
            <w:hideMark/>
          </w:tcPr>
          <w:p w:rsidR="00EB6CFC" w:rsidRPr="0082056F" w:rsidRDefault="00EB6CFC" w:rsidP="00934797">
            <w:pPr>
              <w:widowControl/>
              <w:autoSpaceDE/>
              <w:autoSpaceDN/>
              <w:adjustRightInd/>
              <w:jc w:val="both"/>
              <w:rPr>
                <w:rFonts w:ascii="Arial" w:hAnsi="Arial" w:cs="Arial"/>
                <w:color w:val="000000"/>
              </w:rPr>
            </w:pPr>
            <w:r>
              <w:rPr>
                <w:rFonts w:ascii="Arial" w:hAnsi="Arial"/>
                <w:color w:val="000000"/>
              </w:rPr>
              <w:t>Public Domain</w:t>
            </w:r>
          </w:p>
        </w:tc>
        <w:tc>
          <w:tcPr>
            <w:tcW w:w="1050"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color w:val="000000"/>
              </w:rPr>
            </w:pPr>
            <w:r>
              <w:rPr>
                <w:rFonts w:ascii="Arial" w:hAnsi="Arial"/>
                <w:color w:val="000000"/>
              </w:rPr>
              <w:t>64,521</w:t>
            </w:r>
          </w:p>
        </w:tc>
        <w:tc>
          <w:tcPr>
            <w:tcW w:w="939" w:type="dxa"/>
            <w:shd w:val="clear" w:color="auto" w:fill="auto"/>
            <w:vAlign w:val="center"/>
            <w:hideMark/>
          </w:tcPr>
          <w:p w:rsidR="00EB6CFC" w:rsidRPr="0082056F" w:rsidRDefault="00EB6CFC" w:rsidP="00934797">
            <w:pPr>
              <w:widowControl/>
              <w:autoSpaceDE/>
              <w:autoSpaceDN/>
              <w:adjustRightInd/>
              <w:jc w:val="center"/>
              <w:rPr>
                <w:rFonts w:ascii="Arial" w:hAnsi="Arial" w:cs="Arial"/>
                <w:color w:val="000000"/>
              </w:rPr>
            </w:pPr>
            <w:r>
              <w:rPr>
                <w:rFonts w:ascii="Arial" w:hAnsi="Arial"/>
                <w:color w:val="000000"/>
              </w:rPr>
              <w:t>30,121</w:t>
            </w:r>
          </w:p>
        </w:tc>
        <w:tc>
          <w:tcPr>
            <w:tcW w:w="983" w:type="dxa"/>
            <w:shd w:val="clear" w:color="auto" w:fill="auto"/>
            <w:vAlign w:val="center"/>
            <w:hideMark/>
          </w:tcPr>
          <w:p w:rsidR="00EB6CFC" w:rsidRPr="0082056F" w:rsidRDefault="00EB6CFC" w:rsidP="00934797">
            <w:pPr>
              <w:widowControl/>
              <w:autoSpaceDE/>
              <w:autoSpaceDN/>
              <w:adjustRightInd/>
              <w:jc w:val="center"/>
              <w:rPr>
                <w:rFonts w:ascii="Arial" w:hAnsi="Arial" w:cs="Arial"/>
                <w:color w:val="000000"/>
              </w:rPr>
            </w:pPr>
            <w:r>
              <w:rPr>
                <w:rFonts w:ascii="Arial" w:hAnsi="Arial"/>
                <w:color w:val="000000"/>
              </w:rPr>
              <w:t>32,902</w:t>
            </w:r>
          </w:p>
        </w:tc>
        <w:tc>
          <w:tcPr>
            <w:tcW w:w="700" w:type="dxa"/>
            <w:shd w:val="clear" w:color="auto" w:fill="auto"/>
            <w:noWrap/>
            <w:vAlign w:val="center"/>
            <w:hideMark/>
          </w:tcPr>
          <w:p w:rsidR="00EB6CFC" w:rsidRPr="0082056F" w:rsidRDefault="00EB6CFC" w:rsidP="00934797">
            <w:pPr>
              <w:jc w:val="right"/>
              <w:rPr>
                <w:rFonts w:ascii="Arial" w:hAnsi="Arial" w:cs="Arial"/>
                <w:color w:val="000000"/>
              </w:rPr>
            </w:pPr>
            <w:r>
              <w:rPr>
                <w:rFonts w:ascii="Arial" w:hAnsi="Arial"/>
                <w:color w:val="000000"/>
              </w:rPr>
              <w:t>92%</w:t>
            </w:r>
          </w:p>
        </w:tc>
        <w:tc>
          <w:tcPr>
            <w:tcW w:w="1039"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color w:val="000000"/>
              </w:rPr>
            </w:pPr>
            <w:r>
              <w:rPr>
                <w:rFonts w:ascii="Arial" w:hAnsi="Arial"/>
                <w:color w:val="000000"/>
              </w:rPr>
              <w:t>51,317</w:t>
            </w:r>
          </w:p>
        </w:tc>
        <w:tc>
          <w:tcPr>
            <w:tcW w:w="1050" w:type="dxa"/>
            <w:shd w:val="clear" w:color="auto" w:fill="auto"/>
            <w:vAlign w:val="center"/>
            <w:hideMark/>
          </w:tcPr>
          <w:p w:rsidR="00EB6CFC" w:rsidRPr="0082056F" w:rsidRDefault="00EB6CFC" w:rsidP="00934797">
            <w:pPr>
              <w:widowControl/>
              <w:autoSpaceDE/>
              <w:autoSpaceDN/>
              <w:adjustRightInd/>
              <w:jc w:val="center"/>
              <w:rPr>
                <w:rFonts w:ascii="Arial" w:hAnsi="Arial" w:cs="Arial"/>
                <w:b/>
                <w:bCs/>
              </w:rPr>
            </w:pPr>
            <w:r>
              <w:rPr>
                <w:rFonts w:ascii="Arial" w:hAnsi="Arial"/>
                <w:bCs/>
              </w:rPr>
              <w:t>11,695</w:t>
            </w:r>
          </w:p>
        </w:tc>
        <w:tc>
          <w:tcPr>
            <w:tcW w:w="983" w:type="dxa"/>
            <w:shd w:val="clear" w:color="auto" w:fill="auto"/>
            <w:vAlign w:val="center"/>
            <w:hideMark/>
          </w:tcPr>
          <w:p w:rsidR="00EB6CFC" w:rsidRPr="0082056F" w:rsidRDefault="00EB6CFC" w:rsidP="00934797">
            <w:pPr>
              <w:widowControl/>
              <w:autoSpaceDE/>
              <w:autoSpaceDN/>
              <w:adjustRightInd/>
              <w:jc w:val="center"/>
              <w:rPr>
                <w:rFonts w:ascii="Arial" w:hAnsi="Arial" w:cs="Arial"/>
                <w:b/>
                <w:bCs/>
              </w:rPr>
            </w:pPr>
            <w:r>
              <w:rPr>
                <w:rFonts w:ascii="Arial" w:hAnsi="Arial"/>
                <w:color w:val="000000"/>
              </w:rPr>
              <w:t>16,834</w:t>
            </w:r>
          </w:p>
        </w:tc>
        <w:tc>
          <w:tcPr>
            <w:tcW w:w="757" w:type="dxa"/>
            <w:shd w:val="clear" w:color="auto" w:fill="auto"/>
            <w:noWrap/>
            <w:vAlign w:val="center"/>
            <w:hideMark/>
          </w:tcPr>
          <w:p w:rsidR="00EB6CFC" w:rsidRPr="0082056F" w:rsidRDefault="00EB6CFC" w:rsidP="00934797">
            <w:pPr>
              <w:jc w:val="right"/>
              <w:rPr>
                <w:rFonts w:ascii="Arial" w:hAnsi="Arial" w:cs="Arial"/>
              </w:rPr>
            </w:pPr>
            <w:r>
              <w:rPr>
                <w:rFonts w:ascii="Arial" w:hAnsi="Arial"/>
              </w:rPr>
              <w:t>69%</w:t>
            </w:r>
          </w:p>
        </w:tc>
      </w:tr>
      <w:tr w:rsidR="00EB6CFC" w:rsidRPr="00355E15" w:rsidTr="00F43345">
        <w:trPr>
          <w:trHeight w:val="257"/>
          <w:jc w:val="center"/>
        </w:trPr>
        <w:tc>
          <w:tcPr>
            <w:tcW w:w="1946" w:type="dxa"/>
            <w:shd w:val="clear" w:color="auto" w:fill="auto"/>
            <w:vAlign w:val="center"/>
            <w:hideMark/>
          </w:tcPr>
          <w:p w:rsidR="00EB6CFC" w:rsidRPr="0082056F" w:rsidRDefault="00EB6CFC" w:rsidP="00934797">
            <w:pPr>
              <w:widowControl/>
              <w:autoSpaceDE/>
              <w:autoSpaceDN/>
              <w:adjustRightInd/>
              <w:jc w:val="both"/>
              <w:rPr>
                <w:rFonts w:ascii="Arial" w:hAnsi="Arial" w:cs="Arial"/>
                <w:color w:val="000000"/>
              </w:rPr>
            </w:pPr>
            <w:r>
              <w:rPr>
                <w:rFonts w:ascii="Arial" w:hAnsi="Arial"/>
                <w:color w:val="000000"/>
              </w:rPr>
              <w:lastRenderedPageBreak/>
              <w:t>Operating Domain</w:t>
            </w:r>
          </w:p>
        </w:tc>
        <w:tc>
          <w:tcPr>
            <w:tcW w:w="1050"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color w:val="000000"/>
              </w:rPr>
            </w:pPr>
            <w:r>
              <w:rPr>
                <w:rFonts w:ascii="Arial" w:hAnsi="Arial"/>
                <w:color w:val="000000"/>
              </w:rPr>
              <w:t>12,104</w:t>
            </w:r>
          </w:p>
        </w:tc>
        <w:tc>
          <w:tcPr>
            <w:tcW w:w="939" w:type="dxa"/>
            <w:shd w:val="clear" w:color="auto" w:fill="auto"/>
            <w:vAlign w:val="center"/>
            <w:hideMark/>
          </w:tcPr>
          <w:p w:rsidR="00EB6CFC" w:rsidRPr="0082056F" w:rsidRDefault="00EB6CFC" w:rsidP="00934797">
            <w:pPr>
              <w:widowControl/>
              <w:autoSpaceDE/>
              <w:autoSpaceDN/>
              <w:adjustRightInd/>
              <w:jc w:val="center"/>
              <w:rPr>
                <w:rFonts w:ascii="Arial" w:hAnsi="Arial" w:cs="Arial"/>
                <w:color w:val="000000"/>
              </w:rPr>
            </w:pPr>
            <w:r>
              <w:rPr>
                <w:rFonts w:ascii="Arial" w:hAnsi="Arial"/>
                <w:color w:val="000000"/>
              </w:rPr>
              <w:t>2,196</w:t>
            </w:r>
          </w:p>
        </w:tc>
        <w:tc>
          <w:tcPr>
            <w:tcW w:w="983" w:type="dxa"/>
            <w:shd w:val="clear" w:color="auto" w:fill="auto"/>
            <w:vAlign w:val="center"/>
            <w:hideMark/>
          </w:tcPr>
          <w:p w:rsidR="00EB6CFC" w:rsidRPr="0082056F" w:rsidRDefault="00EB6CFC" w:rsidP="00934797">
            <w:pPr>
              <w:widowControl/>
              <w:autoSpaceDE/>
              <w:autoSpaceDN/>
              <w:adjustRightInd/>
              <w:jc w:val="center"/>
              <w:rPr>
                <w:rFonts w:ascii="Arial" w:hAnsi="Arial" w:cs="Arial"/>
                <w:color w:val="000000"/>
              </w:rPr>
            </w:pPr>
            <w:r>
              <w:rPr>
                <w:rFonts w:ascii="Arial" w:hAnsi="Arial"/>
                <w:color w:val="000000"/>
              </w:rPr>
              <w:t>2,593</w:t>
            </w:r>
          </w:p>
        </w:tc>
        <w:tc>
          <w:tcPr>
            <w:tcW w:w="700" w:type="dxa"/>
            <w:shd w:val="clear" w:color="auto" w:fill="auto"/>
            <w:noWrap/>
            <w:vAlign w:val="center"/>
            <w:hideMark/>
          </w:tcPr>
          <w:p w:rsidR="00EB6CFC" w:rsidRPr="0082056F" w:rsidRDefault="00EB6CFC" w:rsidP="00934797">
            <w:pPr>
              <w:jc w:val="right"/>
              <w:rPr>
                <w:rFonts w:ascii="Arial" w:hAnsi="Arial" w:cs="Arial"/>
                <w:color w:val="000000"/>
              </w:rPr>
            </w:pPr>
            <w:r>
              <w:rPr>
                <w:rFonts w:ascii="Arial" w:hAnsi="Arial"/>
                <w:color w:val="000000"/>
              </w:rPr>
              <w:t>85%</w:t>
            </w:r>
          </w:p>
        </w:tc>
        <w:tc>
          <w:tcPr>
            <w:tcW w:w="1039" w:type="dxa"/>
            <w:shd w:val="clear" w:color="auto" w:fill="auto"/>
            <w:noWrap/>
            <w:vAlign w:val="center"/>
            <w:hideMark/>
          </w:tcPr>
          <w:p w:rsidR="00EB6CFC" w:rsidRPr="0082056F" w:rsidRDefault="00EB6CFC" w:rsidP="00934797">
            <w:pPr>
              <w:widowControl/>
              <w:autoSpaceDE/>
              <w:autoSpaceDN/>
              <w:adjustRightInd/>
              <w:jc w:val="right"/>
              <w:rPr>
                <w:rFonts w:ascii="Arial" w:hAnsi="Arial" w:cs="Arial"/>
                <w:color w:val="000000"/>
              </w:rPr>
            </w:pPr>
            <w:r>
              <w:rPr>
                <w:rFonts w:ascii="Arial" w:hAnsi="Arial"/>
                <w:color w:val="000000"/>
              </w:rPr>
              <w:t>12,952</w:t>
            </w:r>
          </w:p>
        </w:tc>
        <w:tc>
          <w:tcPr>
            <w:tcW w:w="1050" w:type="dxa"/>
            <w:shd w:val="clear" w:color="auto" w:fill="auto"/>
            <w:vAlign w:val="center"/>
            <w:hideMark/>
          </w:tcPr>
          <w:p w:rsidR="00EB6CFC" w:rsidRPr="0082056F" w:rsidRDefault="00EB6CFC" w:rsidP="00934797">
            <w:pPr>
              <w:widowControl/>
              <w:autoSpaceDE/>
              <w:autoSpaceDN/>
              <w:adjustRightInd/>
              <w:jc w:val="center"/>
              <w:rPr>
                <w:rFonts w:ascii="Arial" w:hAnsi="Arial" w:cs="Arial"/>
              </w:rPr>
            </w:pPr>
            <w:r>
              <w:rPr>
                <w:rFonts w:ascii="Arial" w:hAnsi="Arial"/>
              </w:rPr>
              <w:t>3,024</w:t>
            </w:r>
          </w:p>
        </w:tc>
        <w:tc>
          <w:tcPr>
            <w:tcW w:w="983" w:type="dxa"/>
            <w:shd w:val="clear" w:color="auto" w:fill="auto"/>
            <w:vAlign w:val="center"/>
            <w:hideMark/>
          </w:tcPr>
          <w:p w:rsidR="00EB6CFC" w:rsidRPr="0082056F" w:rsidRDefault="00EB6CFC" w:rsidP="00934797">
            <w:pPr>
              <w:widowControl/>
              <w:autoSpaceDE/>
              <w:autoSpaceDN/>
              <w:adjustRightInd/>
              <w:jc w:val="center"/>
              <w:rPr>
                <w:rFonts w:ascii="Arial" w:hAnsi="Arial" w:cs="Arial"/>
              </w:rPr>
            </w:pPr>
            <w:r>
              <w:rPr>
                <w:rFonts w:ascii="Arial" w:hAnsi="Arial"/>
                <w:color w:val="000000"/>
              </w:rPr>
              <w:t>2,274</w:t>
            </w:r>
          </w:p>
        </w:tc>
        <w:tc>
          <w:tcPr>
            <w:tcW w:w="757" w:type="dxa"/>
            <w:shd w:val="clear" w:color="auto" w:fill="auto"/>
            <w:noWrap/>
            <w:vAlign w:val="center"/>
            <w:hideMark/>
          </w:tcPr>
          <w:p w:rsidR="00EB6CFC" w:rsidRPr="0082056F" w:rsidRDefault="00EB6CFC" w:rsidP="00934797">
            <w:pPr>
              <w:jc w:val="right"/>
              <w:rPr>
                <w:rFonts w:ascii="Arial" w:hAnsi="Arial" w:cs="Arial"/>
              </w:rPr>
            </w:pPr>
            <w:r>
              <w:rPr>
                <w:rFonts w:ascii="Arial" w:hAnsi="Arial"/>
              </w:rPr>
              <w:t>133%</w:t>
            </w:r>
          </w:p>
        </w:tc>
      </w:tr>
    </w:tbl>
    <w:p w:rsidR="00EB6CFC" w:rsidRPr="00F43345" w:rsidRDefault="00306393" w:rsidP="00EB6CFC">
      <w:pPr>
        <w:widowControl/>
        <w:adjustRightInd/>
        <w:spacing w:line="276" w:lineRule="auto"/>
        <w:jc w:val="center"/>
        <w:rPr>
          <w:rFonts w:ascii="Arial" w:eastAsia="Calibri" w:hAnsi="Arial" w:cs="Arial"/>
          <w:bCs/>
          <w:sz w:val="16"/>
          <w:szCs w:val="16"/>
        </w:rPr>
      </w:pPr>
      <w:r>
        <w:rPr>
          <w:rFonts w:ascii="Arial" w:hAnsi="Arial"/>
          <w:bCs/>
          <w:i/>
          <w:color w:val="FF0000"/>
          <w:sz w:val="18"/>
          <w:szCs w:val="18"/>
        </w:rPr>
        <w:br/>
      </w:r>
      <w:r>
        <w:rPr>
          <w:rFonts w:ascii="Arial" w:hAnsi="Arial"/>
          <w:bCs/>
          <w:sz w:val="16"/>
          <w:szCs w:val="16"/>
        </w:rPr>
        <w:t>Table 9 - Investments achieved in 2018 H1 as compared to the Budget and the similar period in 2017</w:t>
      </w:r>
    </w:p>
    <w:p w:rsidR="00EB6CFC" w:rsidRPr="005F4F15" w:rsidRDefault="00EB6CFC" w:rsidP="00EB6CFC">
      <w:pPr>
        <w:widowControl/>
        <w:adjustRightInd/>
        <w:spacing w:line="276" w:lineRule="auto"/>
        <w:ind w:right="397"/>
        <w:jc w:val="center"/>
        <w:rPr>
          <w:rFonts w:ascii="Arial" w:eastAsia="Calibri" w:hAnsi="Arial" w:cs="Arial"/>
          <w:bCs/>
          <w:i/>
          <w:sz w:val="18"/>
          <w:szCs w:val="18"/>
        </w:rPr>
      </w:pPr>
    </w:p>
    <w:p w:rsidR="00EB6CFC" w:rsidRPr="00555F32" w:rsidRDefault="00EB6CFC" w:rsidP="002C3508">
      <w:pPr>
        <w:widowControl/>
        <w:adjustRightInd/>
        <w:spacing w:line="276" w:lineRule="auto"/>
        <w:ind w:right="397"/>
        <w:jc w:val="both"/>
        <w:rPr>
          <w:rFonts w:ascii="Arial" w:eastAsia="Calibri" w:hAnsi="Arial" w:cs="Arial"/>
          <w:sz w:val="22"/>
          <w:szCs w:val="22"/>
        </w:rPr>
      </w:pPr>
      <w:r>
        <w:rPr>
          <w:rFonts w:ascii="Arial" w:hAnsi="Arial"/>
          <w:sz w:val="22"/>
          <w:szCs w:val="22"/>
        </w:rPr>
        <w:t>The investments achieved in 2018 H1, as compared to program and YOY, by financing sources, are exposed in the chart below:</w:t>
      </w:r>
    </w:p>
    <w:p w:rsidR="00EB6CFC" w:rsidRDefault="007173C6" w:rsidP="00EB6CFC">
      <w:pPr>
        <w:widowControl/>
        <w:autoSpaceDE/>
        <w:autoSpaceDN/>
        <w:adjustRightInd/>
        <w:spacing w:after="160" w:line="276" w:lineRule="auto"/>
        <w:jc w:val="center"/>
        <w:rPr>
          <w:rFonts w:ascii="Arial" w:eastAsia="Calibri" w:hAnsi="Arial" w:cs="Arial"/>
          <w:color w:val="FF0000"/>
          <w:sz w:val="22"/>
          <w:szCs w:val="22"/>
        </w:rPr>
      </w:pPr>
      <w:r>
        <w:rPr>
          <w:rFonts w:ascii="Arial" w:hAnsi="Arial"/>
          <w:color w:val="FF0000"/>
          <w:sz w:val="22"/>
          <w:szCs w:val="22"/>
        </w:rPr>
        <w:t xml:space="preserve">                </w:t>
      </w:r>
      <w:r w:rsidR="00B46093">
        <w:rPr>
          <w:noProof/>
          <w:lang w:eastAsia="en-US"/>
        </w:rPr>
        <w:drawing>
          <wp:inline distT="0" distB="0" distL="0" distR="0" wp14:anchorId="3D7348EF" wp14:editId="455A5C5B">
            <wp:extent cx="3333750" cy="2552403"/>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6698" cy="2569972"/>
                    </a:xfrm>
                    <a:prstGeom prst="rect">
                      <a:avLst/>
                    </a:prstGeom>
                  </pic:spPr>
                </pic:pic>
              </a:graphicData>
            </a:graphic>
          </wp:inline>
        </w:drawing>
      </w:r>
    </w:p>
    <w:p w:rsidR="00EB6CFC" w:rsidRPr="00D92A87" w:rsidRDefault="00EB6CFC" w:rsidP="00D92A87">
      <w:pPr>
        <w:widowControl/>
        <w:autoSpaceDE/>
        <w:autoSpaceDN/>
        <w:adjustRightInd/>
        <w:spacing w:after="160" w:line="276" w:lineRule="auto"/>
        <w:jc w:val="center"/>
        <w:rPr>
          <w:rFonts w:ascii="Arial" w:eastAsia="Calibri" w:hAnsi="Arial" w:cs="Arial"/>
          <w:sz w:val="16"/>
          <w:szCs w:val="16"/>
        </w:rPr>
      </w:pPr>
      <w:r>
        <w:rPr>
          <w:rFonts w:ascii="Arial" w:hAnsi="Arial"/>
          <w:sz w:val="16"/>
          <w:szCs w:val="16"/>
        </w:rPr>
        <w:t xml:space="preserve">Chart 11 - Investments achieved by financing sources </w:t>
      </w:r>
    </w:p>
    <w:p w:rsidR="00EB6CFC" w:rsidRPr="00493218" w:rsidRDefault="00DF0868" w:rsidP="002C3508">
      <w:pPr>
        <w:widowControl/>
        <w:tabs>
          <w:tab w:val="left" w:pos="8931"/>
        </w:tabs>
        <w:autoSpaceDE/>
        <w:autoSpaceDN/>
        <w:adjustRightInd/>
        <w:spacing w:line="276" w:lineRule="auto"/>
        <w:ind w:right="43"/>
        <w:jc w:val="both"/>
        <w:rPr>
          <w:rFonts w:ascii="Arial" w:eastAsia="Calibri" w:hAnsi="Arial" w:cs="Arial"/>
          <w:sz w:val="22"/>
          <w:szCs w:val="22"/>
        </w:rPr>
      </w:pPr>
      <w:r>
        <w:rPr>
          <w:rFonts w:ascii="Arial" w:hAnsi="Arial"/>
          <w:sz w:val="22"/>
          <w:szCs w:val="22"/>
        </w:rPr>
        <w:t xml:space="preserve">In </w:t>
      </w:r>
      <w:r w:rsidR="007662CF">
        <w:rPr>
          <w:rFonts w:ascii="Arial" w:hAnsi="Arial"/>
          <w:sz w:val="22"/>
          <w:szCs w:val="22"/>
        </w:rPr>
        <w:t>summary</w:t>
      </w:r>
      <w:r>
        <w:rPr>
          <w:rFonts w:ascii="Arial" w:hAnsi="Arial"/>
          <w:sz w:val="22"/>
          <w:szCs w:val="22"/>
        </w:rPr>
        <w:t xml:space="preserve">, the statement of the investment achievement in 2018 H1 </w:t>
      </w:r>
      <w:proofErr w:type="gramStart"/>
      <w:r>
        <w:rPr>
          <w:rFonts w:ascii="Arial" w:hAnsi="Arial"/>
          <w:sz w:val="22"/>
          <w:szCs w:val="22"/>
        </w:rPr>
        <w:t>is exposed</w:t>
      </w:r>
      <w:proofErr w:type="gramEnd"/>
      <w:r>
        <w:rPr>
          <w:rFonts w:ascii="Arial" w:hAnsi="Arial"/>
          <w:sz w:val="22"/>
          <w:szCs w:val="22"/>
        </w:rPr>
        <w:t xml:space="preserve"> as follows:</w:t>
      </w:r>
    </w:p>
    <w:p w:rsidR="00EB6CFC" w:rsidRPr="00493218" w:rsidRDefault="00EB6CFC" w:rsidP="002C3508">
      <w:pPr>
        <w:widowControl/>
        <w:tabs>
          <w:tab w:val="left" w:pos="8931"/>
        </w:tabs>
        <w:autoSpaceDE/>
        <w:autoSpaceDN/>
        <w:adjustRightInd/>
        <w:spacing w:line="276" w:lineRule="auto"/>
        <w:ind w:right="43"/>
        <w:jc w:val="both"/>
        <w:rPr>
          <w:rFonts w:ascii="Arial" w:eastAsia="Calibri" w:hAnsi="Arial" w:cs="Arial"/>
          <w:sz w:val="22"/>
          <w:szCs w:val="22"/>
          <w:lang w:eastAsia="en-US"/>
        </w:rPr>
      </w:pPr>
    </w:p>
    <w:p w:rsidR="00EB6CFC" w:rsidRPr="009828D6" w:rsidRDefault="00EB6CFC" w:rsidP="002C3508">
      <w:pPr>
        <w:widowControl/>
        <w:tabs>
          <w:tab w:val="left" w:pos="8931"/>
        </w:tabs>
        <w:autoSpaceDE/>
        <w:autoSpaceDN/>
        <w:adjustRightInd/>
        <w:spacing w:line="276" w:lineRule="auto"/>
        <w:ind w:right="43"/>
        <w:jc w:val="both"/>
        <w:rPr>
          <w:rFonts w:ascii="Arial" w:eastAsia="Calibri" w:hAnsi="Arial" w:cs="Arial"/>
          <w:color w:val="1F4E79" w:themeColor="accent1" w:themeShade="80"/>
          <w:sz w:val="22"/>
          <w:szCs w:val="22"/>
        </w:rPr>
      </w:pPr>
      <w:r>
        <w:rPr>
          <w:rFonts w:ascii="Arial" w:hAnsi="Arial"/>
          <w:b/>
          <w:color w:val="1F4E79" w:themeColor="accent1" w:themeShade="80"/>
          <w:sz w:val="22"/>
          <w:szCs w:val="22"/>
        </w:rPr>
        <w:t>Investment objectives in progress</w:t>
      </w:r>
      <w:r>
        <w:rPr>
          <w:rFonts w:ascii="Arial" w:hAnsi="Arial"/>
          <w:color w:val="1F4E79" w:themeColor="accent1" w:themeShade="80"/>
          <w:sz w:val="22"/>
          <w:szCs w:val="22"/>
        </w:rPr>
        <w:t xml:space="preserve"> </w:t>
      </w:r>
    </w:p>
    <w:p w:rsidR="005460F2" w:rsidRPr="00493218" w:rsidRDefault="005460F2" w:rsidP="002C3508">
      <w:pPr>
        <w:widowControl/>
        <w:tabs>
          <w:tab w:val="left" w:pos="8931"/>
        </w:tabs>
        <w:autoSpaceDE/>
        <w:autoSpaceDN/>
        <w:adjustRightInd/>
        <w:spacing w:line="276" w:lineRule="auto"/>
        <w:ind w:right="43"/>
        <w:jc w:val="both"/>
        <w:rPr>
          <w:rFonts w:ascii="Arial" w:eastAsia="Calibri" w:hAnsi="Arial" w:cs="Arial"/>
          <w:sz w:val="22"/>
          <w:szCs w:val="22"/>
          <w:lang w:eastAsia="en-US"/>
        </w:rPr>
      </w:pPr>
    </w:p>
    <w:p w:rsidR="00EB6CFC" w:rsidRPr="00493218" w:rsidRDefault="00EB6CFC" w:rsidP="002C3508">
      <w:pPr>
        <w:widowControl/>
        <w:tabs>
          <w:tab w:val="left" w:pos="8931"/>
        </w:tabs>
        <w:autoSpaceDE/>
        <w:autoSpaceDN/>
        <w:adjustRightInd/>
        <w:spacing w:line="276" w:lineRule="auto"/>
        <w:ind w:right="43"/>
        <w:jc w:val="both"/>
        <w:rPr>
          <w:rFonts w:ascii="Arial" w:hAnsi="Arial" w:cs="Arial"/>
          <w:sz w:val="22"/>
          <w:szCs w:val="22"/>
        </w:rPr>
      </w:pPr>
      <w:r>
        <w:rPr>
          <w:rFonts w:ascii="Arial" w:hAnsi="Arial"/>
          <w:sz w:val="22"/>
          <w:szCs w:val="22"/>
        </w:rPr>
        <w:t xml:space="preserve">In 2018 H1, have been achieved investment objectives in progress in amount of 30,365 thousand RON, as compared to a bi-annual program of 33,734 thousand RON and annually </w:t>
      </w:r>
      <w:proofErr w:type="gramStart"/>
      <w:r>
        <w:rPr>
          <w:rFonts w:ascii="Arial" w:hAnsi="Arial"/>
          <w:sz w:val="22"/>
          <w:szCs w:val="22"/>
        </w:rPr>
        <w:t>of  65,101</w:t>
      </w:r>
      <w:proofErr w:type="gramEnd"/>
      <w:r>
        <w:rPr>
          <w:rFonts w:ascii="Arial" w:hAnsi="Arial"/>
          <w:sz w:val="22"/>
          <w:szCs w:val="22"/>
        </w:rPr>
        <w:t xml:space="preserve"> thousand RON.</w:t>
      </w:r>
    </w:p>
    <w:p w:rsidR="00EB6CFC" w:rsidRPr="00493218" w:rsidRDefault="00EB6CFC" w:rsidP="002C3508">
      <w:pPr>
        <w:widowControl/>
        <w:tabs>
          <w:tab w:val="left" w:pos="8931"/>
        </w:tabs>
        <w:autoSpaceDE/>
        <w:autoSpaceDN/>
        <w:adjustRightInd/>
        <w:spacing w:line="276" w:lineRule="auto"/>
        <w:ind w:left="360" w:right="43"/>
        <w:jc w:val="both"/>
        <w:rPr>
          <w:rFonts w:ascii="Arial" w:hAnsi="Arial" w:cs="Arial"/>
          <w:sz w:val="16"/>
          <w:szCs w:val="16"/>
          <w:lang w:eastAsia="en-US"/>
        </w:rPr>
      </w:pPr>
    </w:p>
    <w:p w:rsidR="00EB6CFC" w:rsidRDefault="00EB6CFC" w:rsidP="002C3508">
      <w:pPr>
        <w:widowControl/>
        <w:tabs>
          <w:tab w:val="left" w:pos="8931"/>
        </w:tabs>
        <w:autoSpaceDE/>
        <w:autoSpaceDN/>
        <w:adjustRightInd/>
        <w:spacing w:line="276" w:lineRule="auto"/>
        <w:ind w:right="43"/>
        <w:jc w:val="both"/>
        <w:rPr>
          <w:rFonts w:ascii="Arial" w:hAnsi="Arial" w:cs="Arial"/>
          <w:sz w:val="22"/>
          <w:szCs w:val="22"/>
        </w:rPr>
      </w:pPr>
      <w:r>
        <w:rPr>
          <w:rFonts w:ascii="Arial" w:hAnsi="Arial"/>
          <w:sz w:val="22"/>
          <w:szCs w:val="22"/>
        </w:rPr>
        <w:t>The main investment objectives in progress are:</w:t>
      </w:r>
    </w:p>
    <w:p w:rsidR="005460F2" w:rsidRPr="00493218" w:rsidRDefault="005460F2" w:rsidP="002C3508">
      <w:pPr>
        <w:widowControl/>
        <w:tabs>
          <w:tab w:val="left" w:pos="8931"/>
        </w:tabs>
        <w:autoSpaceDE/>
        <w:autoSpaceDN/>
        <w:adjustRightInd/>
        <w:spacing w:line="276" w:lineRule="auto"/>
        <w:ind w:right="43"/>
        <w:jc w:val="both"/>
        <w:rPr>
          <w:rFonts w:ascii="Arial" w:hAnsi="Arial" w:cs="Arial"/>
          <w:sz w:val="22"/>
          <w:szCs w:val="22"/>
          <w:lang w:eastAsia="en-US"/>
        </w:rPr>
      </w:pPr>
    </w:p>
    <w:p w:rsidR="00D92A87" w:rsidRDefault="005460F2" w:rsidP="00EF3328">
      <w:pPr>
        <w:widowControl/>
        <w:numPr>
          <w:ilvl w:val="0"/>
          <w:numId w:val="6"/>
        </w:numPr>
        <w:autoSpaceDE/>
        <w:autoSpaceDN/>
        <w:adjustRightInd/>
        <w:spacing w:after="160"/>
        <w:jc w:val="both"/>
        <w:rPr>
          <w:rFonts w:ascii="Arial" w:eastAsia="Calibri" w:hAnsi="Arial" w:cs="Arial"/>
          <w:sz w:val="22"/>
          <w:szCs w:val="22"/>
        </w:rPr>
      </w:pPr>
      <w:r>
        <w:rPr>
          <w:rFonts w:ascii="Arial" w:hAnsi="Arial"/>
          <w:sz w:val="22"/>
          <w:szCs w:val="22"/>
        </w:rPr>
        <w:t>Replacement of the Ø 24” crude oil pipeline Constanta - Midia, in the area of Ovidiu city,  Constanta County, on a length of approximately 1140 m;</w:t>
      </w:r>
    </w:p>
    <w:p w:rsidR="00D92A87" w:rsidRDefault="005460F2" w:rsidP="00EF3328">
      <w:pPr>
        <w:widowControl/>
        <w:numPr>
          <w:ilvl w:val="0"/>
          <w:numId w:val="6"/>
        </w:numPr>
        <w:autoSpaceDE/>
        <w:autoSpaceDN/>
        <w:adjustRightInd/>
        <w:spacing w:after="160"/>
        <w:jc w:val="both"/>
        <w:rPr>
          <w:rFonts w:ascii="Arial" w:eastAsia="Calibri" w:hAnsi="Arial" w:cs="Arial"/>
          <w:sz w:val="22"/>
          <w:szCs w:val="22"/>
        </w:rPr>
      </w:pPr>
      <w:r>
        <w:rPr>
          <w:rFonts w:ascii="Arial" w:hAnsi="Arial"/>
          <w:sz w:val="22"/>
          <w:szCs w:val="22"/>
        </w:rPr>
        <w:t>Replacement crude oil pipeline Ø 14” Constanța - Bărăganu, Castelu - Cuza Vodă - Mircea Voda area,  Constanta County, on a length of approximately 12,580 m;</w:t>
      </w:r>
    </w:p>
    <w:p w:rsidR="00EB6CFC" w:rsidRPr="00493218" w:rsidRDefault="00EB6CFC" w:rsidP="00D92A87">
      <w:pPr>
        <w:widowControl/>
        <w:autoSpaceDE/>
        <w:autoSpaceDN/>
        <w:adjustRightInd/>
        <w:ind w:left="720"/>
        <w:contextualSpacing/>
        <w:jc w:val="both"/>
        <w:rPr>
          <w:rFonts w:ascii="Arial" w:eastAsia="Calibri" w:hAnsi="Arial" w:cs="Arial"/>
          <w:sz w:val="4"/>
          <w:szCs w:val="4"/>
          <w:lang w:eastAsia="en-US"/>
        </w:rPr>
      </w:pPr>
    </w:p>
    <w:p w:rsidR="00EB6CFC" w:rsidRPr="00493218" w:rsidRDefault="005460F2" w:rsidP="00EF3328">
      <w:pPr>
        <w:widowControl/>
        <w:numPr>
          <w:ilvl w:val="0"/>
          <w:numId w:val="6"/>
        </w:numPr>
        <w:autoSpaceDE/>
        <w:autoSpaceDN/>
        <w:adjustRightInd/>
        <w:spacing w:after="160"/>
        <w:jc w:val="both"/>
        <w:rPr>
          <w:rFonts w:ascii="Arial" w:eastAsia="Calibri" w:hAnsi="Arial" w:cs="Arial"/>
          <w:sz w:val="22"/>
          <w:szCs w:val="22"/>
        </w:rPr>
      </w:pPr>
      <w:r>
        <w:rPr>
          <w:rFonts w:ascii="Arial" w:hAnsi="Arial"/>
          <w:sz w:val="22"/>
          <w:szCs w:val="22"/>
        </w:rPr>
        <w:t>Replacement crude oil transport pipeline 14” Bărăganu - Călăreți resulted following the in-line inspection with smart pig in length of 7.5 km (by sections);</w:t>
      </w:r>
    </w:p>
    <w:p w:rsidR="00EB6CFC" w:rsidRPr="00493218" w:rsidRDefault="005460F2" w:rsidP="00EF3328">
      <w:pPr>
        <w:widowControl/>
        <w:numPr>
          <w:ilvl w:val="0"/>
          <w:numId w:val="6"/>
        </w:numPr>
        <w:autoSpaceDE/>
        <w:autoSpaceDN/>
        <w:adjustRightInd/>
        <w:spacing w:after="160"/>
        <w:jc w:val="both"/>
        <w:rPr>
          <w:rFonts w:ascii="Arial" w:eastAsia="Calibri" w:hAnsi="Arial" w:cs="Arial"/>
          <w:sz w:val="22"/>
          <w:szCs w:val="22"/>
        </w:rPr>
      </w:pPr>
      <w:r>
        <w:rPr>
          <w:rFonts w:ascii="Arial" w:hAnsi="Arial"/>
          <w:sz w:val="22"/>
          <w:szCs w:val="22"/>
        </w:rPr>
        <w:t>Safety disposal works for Arges river crossing, Cateasca area, Arges County, stage 2;</w:t>
      </w:r>
    </w:p>
    <w:p w:rsidR="00EB6CFC" w:rsidRPr="00493218" w:rsidRDefault="00EB6CFC" w:rsidP="00D92A87">
      <w:pPr>
        <w:widowControl/>
        <w:autoSpaceDE/>
        <w:autoSpaceDN/>
        <w:adjustRightInd/>
        <w:ind w:left="720"/>
        <w:contextualSpacing/>
        <w:jc w:val="both"/>
        <w:rPr>
          <w:rFonts w:ascii="Arial" w:eastAsia="Calibri" w:hAnsi="Arial" w:cs="Arial"/>
          <w:sz w:val="4"/>
          <w:szCs w:val="4"/>
          <w:lang w:eastAsia="en-US"/>
        </w:rPr>
      </w:pPr>
    </w:p>
    <w:p w:rsidR="00EB6CFC" w:rsidRPr="00493218" w:rsidRDefault="005460F2" w:rsidP="00EF3328">
      <w:pPr>
        <w:widowControl/>
        <w:numPr>
          <w:ilvl w:val="0"/>
          <w:numId w:val="6"/>
        </w:numPr>
        <w:autoSpaceDE/>
        <w:autoSpaceDN/>
        <w:adjustRightInd/>
        <w:spacing w:after="160"/>
        <w:jc w:val="both"/>
        <w:rPr>
          <w:rFonts w:ascii="Arial" w:eastAsia="Calibri" w:hAnsi="Arial" w:cs="Arial"/>
          <w:sz w:val="22"/>
          <w:szCs w:val="22"/>
        </w:rPr>
      </w:pPr>
      <w:r>
        <w:rPr>
          <w:rFonts w:ascii="Arial" w:hAnsi="Arial"/>
          <w:sz w:val="22"/>
          <w:szCs w:val="22"/>
        </w:rPr>
        <w:t>Safety disposal for the aerial crossing of Prahova river with the 12 3/4" and 14 3/4" pipelines Cartojani-Ploiesti, Stejaru village,  Brazi commune,  Prahova County;</w:t>
      </w:r>
    </w:p>
    <w:p w:rsidR="00EB6CFC" w:rsidRPr="00493218" w:rsidRDefault="00EB6CFC" w:rsidP="00D92A87">
      <w:pPr>
        <w:widowControl/>
        <w:autoSpaceDE/>
        <w:autoSpaceDN/>
        <w:adjustRightInd/>
        <w:ind w:firstLine="360"/>
        <w:jc w:val="both"/>
        <w:rPr>
          <w:rFonts w:ascii="Arial" w:eastAsia="Calibri" w:hAnsi="Arial" w:cs="Arial"/>
          <w:sz w:val="4"/>
          <w:szCs w:val="4"/>
          <w:lang w:eastAsia="en-US"/>
        </w:rPr>
      </w:pPr>
    </w:p>
    <w:p w:rsidR="00EB6CFC" w:rsidRPr="00493218" w:rsidRDefault="005460F2" w:rsidP="00EF3328">
      <w:pPr>
        <w:widowControl/>
        <w:numPr>
          <w:ilvl w:val="0"/>
          <w:numId w:val="6"/>
        </w:numPr>
        <w:autoSpaceDE/>
        <w:autoSpaceDN/>
        <w:adjustRightInd/>
        <w:spacing w:after="160"/>
        <w:jc w:val="both"/>
        <w:rPr>
          <w:rFonts w:ascii="Arial" w:eastAsia="Calibri" w:hAnsi="Arial" w:cs="Arial"/>
          <w:sz w:val="22"/>
          <w:szCs w:val="22"/>
        </w:rPr>
      </w:pPr>
      <w:r>
        <w:rPr>
          <w:rFonts w:ascii="Arial" w:hAnsi="Arial"/>
          <w:sz w:val="22"/>
          <w:szCs w:val="22"/>
        </w:rPr>
        <w:t>Modernization and monitoring of the cathodic protection system related to the NTS domestic and import;</w:t>
      </w:r>
    </w:p>
    <w:p w:rsidR="00EB6CFC" w:rsidRPr="00493218" w:rsidRDefault="00EB6CFC" w:rsidP="00D92A87">
      <w:pPr>
        <w:widowControl/>
        <w:autoSpaceDE/>
        <w:autoSpaceDN/>
        <w:adjustRightInd/>
        <w:ind w:left="720"/>
        <w:contextualSpacing/>
        <w:jc w:val="both"/>
        <w:rPr>
          <w:rFonts w:ascii="Arial" w:eastAsia="Calibri" w:hAnsi="Arial" w:cs="Arial"/>
          <w:sz w:val="4"/>
          <w:szCs w:val="4"/>
          <w:lang w:eastAsia="en-US"/>
        </w:rPr>
      </w:pPr>
    </w:p>
    <w:p w:rsidR="00EB6CFC" w:rsidRPr="00493218" w:rsidRDefault="005460F2" w:rsidP="00EF3328">
      <w:pPr>
        <w:widowControl/>
        <w:numPr>
          <w:ilvl w:val="0"/>
          <w:numId w:val="6"/>
        </w:numPr>
        <w:autoSpaceDE/>
        <w:autoSpaceDN/>
        <w:adjustRightInd/>
        <w:spacing w:after="160"/>
        <w:jc w:val="both"/>
        <w:rPr>
          <w:rFonts w:ascii="Arial" w:eastAsia="Calibri" w:hAnsi="Arial" w:cs="Arial"/>
          <w:sz w:val="22"/>
          <w:szCs w:val="22"/>
        </w:rPr>
      </w:pPr>
      <w:r>
        <w:rPr>
          <w:rFonts w:ascii="Arial" w:hAnsi="Arial"/>
          <w:sz w:val="22"/>
          <w:szCs w:val="22"/>
        </w:rPr>
        <w:t>Pilot system for the identification and location of product leaks from the crude oil main transport pipelines Poiana Lacului-Siliste-Ploiesti;</w:t>
      </w:r>
    </w:p>
    <w:p w:rsidR="00EB6CFC" w:rsidRPr="00493218" w:rsidRDefault="00EB6CFC" w:rsidP="00D92A87">
      <w:pPr>
        <w:widowControl/>
        <w:autoSpaceDE/>
        <w:autoSpaceDN/>
        <w:adjustRightInd/>
        <w:ind w:left="720"/>
        <w:contextualSpacing/>
        <w:jc w:val="both"/>
        <w:rPr>
          <w:rFonts w:ascii="Arial" w:eastAsia="Calibri" w:hAnsi="Arial" w:cs="Arial"/>
          <w:sz w:val="4"/>
          <w:szCs w:val="4"/>
          <w:lang w:eastAsia="en-US"/>
        </w:rPr>
      </w:pPr>
    </w:p>
    <w:p w:rsidR="00EB6CFC" w:rsidRPr="00493218" w:rsidRDefault="005460F2" w:rsidP="00EF3328">
      <w:pPr>
        <w:widowControl/>
        <w:numPr>
          <w:ilvl w:val="0"/>
          <w:numId w:val="6"/>
        </w:numPr>
        <w:autoSpaceDE/>
        <w:autoSpaceDN/>
        <w:adjustRightInd/>
        <w:spacing w:after="160"/>
        <w:jc w:val="both"/>
        <w:rPr>
          <w:rFonts w:ascii="Arial" w:eastAsia="Calibri" w:hAnsi="Arial" w:cs="Arial"/>
          <w:sz w:val="22"/>
          <w:szCs w:val="22"/>
        </w:rPr>
      </w:pPr>
      <w:r>
        <w:rPr>
          <w:rFonts w:ascii="Arial" w:hAnsi="Arial"/>
          <w:sz w:val="22"/>
          <w:szCs w:val="22"/>
        </w:rPr>
        <w:t>Upgrade in Moreni, Oprișenești, Mădulari pumping system.</w:t>
      </w:r>
    </w:p>
    <w:p w:rsidR="00EB6CFC" w:rsidRPr="00625062" w:rsidRDefault="00EB6CFC" w:rsidP="002C3508">
      <w:pPr>
        <w:widowControl/>
        <w:tabs>
          <w:tab w:val="left" w:pos="8931"/>
        </w:tabs>
        <w:autoSpaceDE/>
        <w:autoSpaceDN/>
        <w:adjustRightInd/>
        <w:spacing w:line="276" w:lineRule="auto"/>
        <w:ind w:right="43"/>
        <w:jc w:val="both"/>
        <w:rPr>
          <w:rFonts w:ascii="Arial" w:hAnsi="Arial" w:cs="Arial"/>
          <w:sz w:val="22"/>
          <w:szCs w:val="22"/>
        </w:rPr>
      </w:pPr>
      <w:r>
        <w:rPr>
          <w:rFonts w:ascii="Arial" w:hAnsi="Arial"/>
          <w:sz w:val="22"/>
          <w:szCs w:val="22"/>
        </w:rPr>
        <w:lastRenderedPageBreak/>
        <w:t>In 2018 H1, within the Development Maintenance Direction have been performed 37 design works, out of which have been endorsed in the Steering Committee of CONPET 14 works with a total investment value of 39,904.14 thousand RON, as follows:</w:t>
      </w:r>
    </w:p>
    <w:p w:rsidR="00EB6CFC" w:rsidRPr="00625062" w:rsidRDefault="00EB6CFC" w:rsidP="002C3508">
      <w:pPr>
        <w:widowControl/>
        <w:tabs>
          <w:tab w:val="left" w:pos="8931"/>
        </w:tabs>
        <w:autoSpaceDE/>
        <w:autoSpaceDN/>
        <w:adjustRightInd/>
        <w:spacing w:line="276" w:lineRule="auto"/>
        <w:ind w:right="43"/>
        <w:jc w:val="both"/>
        <w:rPr>
          <w:rFonts w:ascii="Arial" w:hAnsi="Arial" w:cs="Arial"/>
          <w:sz w:val="22"/>
          <w:szCs w:val="22"/>
          <w:lang w:eastAsia="en-US"/>
        </w:rPr>
      </w:pPr>
    </w:p>
    <w:p w:rsidR="00EB6CFC" w:rsidRDefault="005460F2" w:rsidP="00EF3328">
      <w:pPr>
        <w:pStyle w:val="ListParagraph"/>
        <w:numPr>
          <w:ilvl w:val="0"/>
          <w:numId w:val="6"/>
        </w:numPr>
        <w:tabs>
          <w:tab w:val="left" w:pos="8931"/>
        </w:tabs>
        <w:ind w:right="43"/>
        <w:jc w:val="both"/>
        <w:rPr>
          <w:rFonts w:ascii="Arial" w:hAnsi="Arial" w:cs="Arial"/>
        </w:rPr>
      </w:pPr>
      <w:r>
        <w:rPr>
          <w:rFonts w:ascii="Arial" w:hAnsi="Arial"/>
        </w:rPr>
        <w:t>Replacement of a section of the Ø10¾" Line1 pipeline Barbatesti-Orlesti in Bucsani area – Cerna river left bank, Fartatesti commune,  Valcea County –  500 m from the Suvar garden -V.S. Cerna river right bank, with a value estimated by the designer of 422.36 thousand RON;</w:t>
      </w:r>
    </w:p>
    <w:p w:rsidR="00EB6CFC" w:rsidRPr="005460F2" w:rsidRDefault="005460F2" w:rsidP="00EF3328">
      <w:pPr>
        <w:pStyle w:val="ListParagraph"/>
        <w:numPr>
          <w:ilvl w:val="0"/>
          <w:numId w:val="6"/>
        </w:numPr>
        <w:tabs>
          <w:tab w:val="left" w:pos="8931"/>
        </w:tabs>
        <w:ind w:right="43"/>
        <w:jc w:val="both"/>
        <w:rPr>
          <w:rFonts w:ascii="Arial" w:hAnsi="Arial" w:cs="Arial"/>
        </w:rPr>
      </w:pPr>
      <w:r>
        <w:rPr>
          <w:rFonts w:ascii="Arial" w:hAnsi="Arial"/>
        </w:rPr>
        <w:t>Safe disposal works pipeline Ø4” Izvoru-Joint Ø10¾” Icoana-Cartojani in Teleorman river area, with a value estimated by the designer of 200.05 thousand RON;</w:t>
      </w:r>
    </w:p>
    <w:p w:rsidR="00EB6CFC" w:rsidRPr="00604269" w:rsidRDefault="00604269" w:rsidP="00EF3328">
      <w:pPr>
        <w:pStyle w:val="ListParagraph"/>
        <w:numPr>
          <w:ilvl w:val="0"/>
          <w:numId w:val="6"/>
        </w:numPr>
        <w:tabs>
          <w:tab w:val="left" w:pos="8931"/>
        </w:tabs>
        <w:ind w:right="43"/>
        <w:jc w:val="both"/>
        <w:rPr>
          <w:rFonts w:ascii="Arial" w:hAnsi="Arial" w:cs="Arial"/>
          <w:b/>
          <w:i/>
        </w:rPr>
      </w:pPr>
      <w:r>
        <w:rPr>
          <w:rFonts w:ascii="Arial" w:hAnsi="Arial"/>
        </w:rPr>
        <w:t>Replacement of the 24” crude oil pipeline Constanta - Midia in the area of Navodari bridge - start of the above ground route, on a length of 405 m., with a value estimated by the designer of 1.238.30 thousand RON;</w:t>
      </w:r>
    </w:p>
    <w:p w:rsidR="00EB6CFC" w:rsidRPr="00604269" w:rsidRDefault="00604269" w:rsidP="00EF3328">
      <w:pPr>
        <w:pStyle w:val="ListParagraph"/>
        <w:numPr>
          <w:ilvl w:val="0"/>
          <w:numId w:val="6"/>
        </w:numPr>
        <w:tabs>
          <w:tab w:val="left" w:pos="8931"/>
        </w:tabs>
        <w:ind w:right="43"/>
        <w:jc w:val="both"/>
        <w:rPr>
          <w:rFonts w:ascii="Arial" w:hAnsi="Arial" w:cs="Arial"/>
          <w:b/>
          <w:i/>
        </w:rPr>
      </w:pPr>
      <w:r>
        <w:rPr>
          <w:rFonts w:ascii="Arial" w:hAnsi="Arial"/>
        </w:rPr>
        <w:t>Safety disposal for no. 2 undercrossing of Ø10¾" pipeline Potlogi – P.F.  Arges, Sabar river, Gaiseni locality, Giurgiu county, on a length of 350 m, with a value estimated by the designer of 613,75 thousand RON;</w:t>
      </w:r>
    </w:p>
    <w:p w:rsidR="00EB6CFC" w:rsidRPr="00604269" w:rsidRDefault="00604269" w:rsidP="00EF3328">
      <w:pPr>
        <w:pStyle w:val="ListParagraph"/>
        <w:numPr>
          <w:ilvl w:val="0"/>
          <w:numId w:val="6"/>
        </w:numPr>
        <w:tabs>
          <w:tab w:val="left" w:pos="8931"/>
        </w:tabs>
        <w:ind w:right="43"/>
        <w:jc w:val="both"/>
        <w:rPr>
          <w:rFonts w:ascii="Arial" w:hAnsi="Arial" w:cs="Arial"/>
        </w:rPr>
      </w:pPr>
      <w:r>
        <w:rPr>
          <w:rFonts w:ascii="Arial" w:hAnsi="Arial"/>
        </w:rPr>
        <w:t>Replacement of the 12"+14" crude oil pipeline Cartojani-Ploiesti in the areas Crivat-Catunu 550 m + 30 m horizontal drilling undercrossing National Road DN 1A Buc.-Pl., Cornesti commune, Dambovita county, with a value estimated by the designer of 1.364,35 thousand RON.</w:t>
      </w:r>
    </w:p>
    <w:p w:rsidR="00EC0212" w:rsidRPr="00EC0212" w:rsidRDefault="00604269" w:rsidP="00EF3328">
      <w:pPr>
        <w:pStyle w:val="ListParagraph"/>
        <w:numPr>
          <w:ilvl w:val="0"/>
          <w:numId w:val="6"/>
        </w:numPr>
        <w:tabs>
          <w:tab w:val="left" w:pos="8931"/>
        </w:tabs>
        <w:ind w:right="43"/>
        <w:jc w:val="both"/>
        <w:rPr>
          <w:rFonts w:ascii="Arial" w:hAnsi="Arial" w:cs="Arial"/>
        </w:rPr>
      </w:pPr>
      <w:r>
        <w:rPr>
          <w:rFonts w:ascii="Arial" w:hAnsi="Arial"/>
        </w:rPr>
        <w:t xml:space="preserve">Upgrade of the system for monitoring the vibrations and temperatures of the pumping machineries in the automated stations Calareti </w:t>
      </w:r>
      <w:r w:rsidR="007662CF">
        <w:rPr>
          <w:rFonts w:ascii="Arial" w:hAnsi="Arial"/>
        </w:rPr>
        <w:t>and</w:t>
      </w:r>
      <w:r>
        <w:rPr>
          <w:rFonts w:ascii="Arial" w:hAnsi="Arial"/>
        </w:rPr>
        <w:t xml:space="preserve"> Constanta Sud, with a value estimated by the designer of 572,85 thousand RON;</w:t>
      </w:r>
    </w:p>
    <w:p w:rsidR="00EB6CFC" w:rsidRPr="00EC0212" w:rsidRDefault="00604269" w:rsidP="00EF3328">
      <w:pPr>
        <w:pStyle w:val="ListParagraph"/>
        <w:numPr>
          <w:ilvl w:val="0"/>
          <w:numId w:val="6"/>
        </w:numPr>
        <w:tabs>
          <w:tab w:val="left" w:pos="8931"/>
        </w:tabs>
        <w:ind w:right="43"/>
        <w:jc w:val="both"/>
        <w:rPr>
          <w:rFonts w:ascii="Arial" w:hAnsi="Arial" w:cs="Arial"/>
        </w:rPr>
      </w:pPr>
      <w:r>
        <w:rPr>
          <w:rFonts w:ascii="Arial" w:hAnsi="Arial"/>
        </w:rPr>
        <w:t>Rehabilitation of the cathodic protection sy</w:t>
      </w:r>
      <w:r w:rsidR="007662CF">
        <w:rPr>
          <w:rFonts w:ascii="Arial" w:hAnsi="Arial"/>
        </w:rPr>
        <w:t xml:space="preserve">stem and earthing for leak tank of </w:t>
      </w:r>
      <w:r>
        <w:rPr>
          <w:rFonts w:ascii="Arial" w:hAnsi="Arial"/>
        </w:rPr>
        <w:t>500 cubic meters - Constanta Sud pumping station, with a value estimated by the designer of 60,90 thousand RON;</w:t>
      </w:r>
    </w:p>
    <w:p w:rsidR="00EB6CFC" w:rsidRPr="00604269" w:rsidRDefault="00604269" w:rsidP="00EF3328">
      <w:pPr>
        <w:pStyle w:val="ListParagraph"/>
        <w:numPr>
          <w:ilvl w:val="0"/>
          <w:numId w:val="6"/>
        </w:numPr>
        <w:tabs>
          <w:tab w:val="left" w:pos="8931"/>
        </w:tabs>
        <w:ind w:right="43"/>
        <w:jc w:val="both"/>
        <w:rPr>
          <w:rFonts w:ascii="Arial" w:hAnsi="Arial" w:cs="Arial"/>
          <w:b/>
          <w:i/>
        </w:rPr>
      </w:pPr>
      <w:r>
        <w:rPr>
          <w:rFonts w:ascii="Arial" w:hAnsi="Arial"/>
        </w:rPr>
        <w:t>Technical economic documentation (PT - technical report, CS - scope of work,  Work quantities, DDE - detail execution documentation, DE - economic documentation) for 6 cathodic protection stations of the domestic and import crude oil transport pipelines (SPC lndependența, SPC Lucianca, SPC Chiroiu, SPC Poieni, SPC Parc 9 and SPC Parc 7 Roata) by a value estimated by the designer of 1,533.78 thousand RON;</w:t>
      </w:r>
    </w:p>
    <w:p w:rsidR="00F43345" w:rsidRPr="00D92A87" w:rsidRDefault="00604269" w:rsidP="00EF3328">
      <w:pPr>
        <w:pStyle w:val="ListParagraph"/>
        <w:numPr>
          <w:ilvl w:val="0"/>
          <w:numId w:val="6"/>
        </w:numPr>
        <w:tabs>
          <w:tab w:val="left" w:pos="8931"/>
        </w:tabs>
        <w:ind w:right="43"/>
        <w:jc w:val="both"/>
        <w:rPr>
          <w:rFonts w:ascii="Arial" w:hAnsi="Arial" w:cs="Arial"/>
        </w:rPr>
      </w:pPr>
      <w:r>
        <w:rPr>
          <w:rFonts w:ascii="Arial" w:hAnsi="Arial"/>
        </w:rPr>
        <w:t xml:space="preserve">Replacement of Ø10 3/4’’ </w:t>
      </w:r>
      <w:r w:rsidR="007662CF">
        <w:rPr>
          <w:rFonts w:ascii="Arial" w:hAnsi="Arial"/>
        </w:rPr>
        <w:t xml:space="preserve">Line </w:t>
      </w:r>
      <w:r>
        <w:rPr>
          <w:rFonts w:ascii="Arial" w:hAnsi="Arial"/>
        </w:rPr>
        <w:t xml:space="preserve">1 + </w:t>
      </w:r>
      <w:r w:rsidR="007662CF">
        <w:rPr>
          <w:rFonts w:ascii="Arial" w:hAnsi="Arial"/>
        </w:rPr>
        <w:t xml:space="preserve">Line </w:t>
      </w:r>
      <w:r>
        <w:rPr>
          <w:rFonts w:ascii="Arial" w:hAnsi="Arial"/>
        </w:rPr>
        <w:t>2 crude oil pipeline Silistea Ploiesti, L= 2 x 3481m, in the areas Ilfoveni-Iuda forest, Racovita valley way, Habeni-Comisani, Mija, with a value estimated by the designer of 4,454.01 thousand RON;</w:t>
      </w:r>
    </w:p>
    <w:p w:rsidR="00EB6CFC" w:rsidRPr="00604269" w:rsidRDefault="00604269" w:rsidP="00EF3328">
      <w:pPr>
        <w:pStyle w:val="ListParagraph"/>
        <w:numPr>
          <w:ilvl w:val="0"/>
          <w:numId w:val="6"/>
        </w:numPr>
        <w:tabs>
          <w:tab w:val="left" w:pos="8931"/>
        </w:tabs>
        <w:ind w:right="43"/>
        <w:jc w:val="both"/>
        <w:rPr>
          <w:rFonts w:ascii="Arial" w:hAnsi="Arial" w:cs="Arial"/>
        </w:rPr>
      </w:pPr>
      <w:r>
        <w:rPr>
          <w:rFonts w:ascii="Arial" w:hAnsi="Arial"/>
        </w:rPr>
        <w:t>Safe disposal of the Argeș river aerial crossing Rătești area, Argeș county,  with a value estimated by the designer of 3,722.21 thousand RON;</w:t>
      </w:r>
    </w:p>
    <w:p w:rsidR="00EB6CFC" w:rsidRDefault="00604269" w:rsidP="00EF3328">
      <w:pPr>
        <w:pStyle w:val="ListParagraph"/>
        <w:numPr>
          <w:ilvl w:val="0"/>
          <w:numId w:val="6"/>
        </w:numPr>
        <w:tabs>
          <w:tab w:val="left" w:pos="8931"/>
        </w:tabs>
        <w:ind w:right="43"/>
        <w:jc w:val="both"/>
        <w:rPr>
          <w:rFonts w:ascii="Arial" w:hAnsi="Arial" w:cs="Arial"/>
        </w:rPr>
      </w:pPr>
      <w:r>
        <w:rPr>
          <w:rFonts w:ascii="Arial" w:hAnsi="Arial"/>
        </w:rPr>
        <w:t>Thermal power plant for technological steam production used in the warehouse and Barbatesti ramp, with a value estimated by the designer of 4,707.01 thousand RON;</w:t>
      </w:r>
    </w:p>
    <w:p w:rsidR="00EB6CFC" w:rsidRPr="00604269" w:rsidRDefault="00604269" w:rsidP="00EF3328">
      <w:pPr>
        <w:pStyle w:val="ListParagraph"/>
        <w:numPr>
          <w:ilvl w:val="0"/>
          <w:numId w:val="6"/>
        </w:numPr>
        <w:tabs>
          <w:tab w:val="left" w:pos="8931"/>
        </w:tabs>
        <w:ind w:right="43"/>
        <w:jc w:val="both"/>
        <w:rPr>
          <w:rFonts w:ascii="Arial" w:hAnsi="Arial" w:cs="Arial"/>
        </w:rPr>
      </w:pPr>
      <w:proofErr w:type="gramStart"/>
      <w:r>
        <w:rPr>
          <w:rFonts w:ascii="Arial" w:hAnsi="Arial"/>
        </w:rPr>
        <w:t>Hydro technical works for safety disposal of Prahova river aerial crossing by the crude oil transport pipelines belonging to CONPET S.A. - works of emergency intervention for the safety disposal of the metal piles supporting the aerial crossing of Prahova river, Stejaru area, Brazi commune, of the crude oil transport main lines ø12 3/4" și ø14 3/4", with a value estimated by the designer of 5,376.69 thousand RON, out of which have been executed under emergency conditions works in amount of 2,773.84 thousand RON; further on, will be submitted to tender works in amount of 2,602.85 thousand RON;</w:t>
      </w:r>
      <w:proofErr w:type="gramEnd"/>
    </w:p>
    <w:p w:rsidR="00EB6CFC" w:rsidRPr="00604269" w:rsidRDefault="00604269" w:rsidP="00EF3328">
      <w:pPr>
        <w:pStyle w:val="ListParagraph"/>
        <w:numPr>
          <w:ilvl w:val="0"/>
          <w:numId w:val="6"/>
        </w:numPr>
        <w:tabs>
          <w:tab w:val="left" w:pos="8931"/>
        </w:tabs>
        <w:ind w:right="43"/>
        <w:jc w:val="both"/>
        <w:rPr>
          <w:rFonts w:ascii="Arial" w:hAnsi="Arial" w:cs="Arial"/>
          <w:b/>
          <w:i/>
        </w:rPr>
      </w:pPr>
      <w:r>
        <w:rPr>
          <w:rFonts w:ascii="Arial" w:hAnsi="Arial"/>
        </w:rPr>
        <w:t xml:space="preserve">Replacement of the  Ø10’’ </w:t>
      </w:r>
      <w:r w:rsidR="007662CF">
        <w:rPr>
          <w:rFonts w:ascii="Arial" w:hAnsi="Arial"/>
        </w:rPr>
        <w:t>Line</w:t>
      </w:r>
      <w:r>
        <w:rPr>
          <w:rFonts w:ascii="Arial" w:hAnsi="Arial"/>
        </w:rPr>
        <w:t>1 crude oil pipeline Orlesti – Poiana Lacului, L=295m, Negrea grazing ground – Poiana Lacului area, with a value e</w:t>
      </w:r>
      <w:r w:rsidR="007662CF">
        <w:rPr>
          <w:rFonts w:ascii="Arial" w:hAnsi="Arial"/>
        </w:rPr>
        <w:t>stimated by the designer of 427.</w:t>
      </w:r>
      <w:r>
        <w:rPr>
          <w:rFonts w:ascii="Arial" w:hAnsi="Arial"/>
        </w:rPr>
        <w:t>90 thousand RON;.</w:t>
      </w:r>
    </w:p>
    <w:p w:rsidR="00EB6CFC" w:rsidRPr="00604269" w:rsidRDefault="00604269" w:rsidP="00EF3328">
      <w:pPr>
        <w:pStyle w:val="ListParagraph"/>
        <w:numPr>
          <w:ilvl w:val="0"/>
          <w:numId w:val="6"/>
        </w:numPr>
        <w:tabs>
          <w:tab w:val="left" w:pos="8931"/>
        </w:tabs>
        <w:ind w:right="43"/>
        <w:jc w:val="both"/>
        <w:rPr>
          <w:rFonts w:ascii="Arial" w:hAnsi="Arial" w:cs="Arial"/>
        </w:rPr>
      </w:pPr>
      <w:r>
        <w:rPr>
          <w:rFonts w:ascii="Arial" w:hAnsi="Arial"/>
        </w:rPr>
        <w:lastRenderedPageBreak/>
        <w:t>Optimization of SCADA system and Hardware and Software of the automation data transmission units, with a value 15,210.00 thousand RON</w:t>
      </w:r>
      <w:r w:rsidR="007662CF">
        <w:rPr>
          <w:rFonts w:ascii="Arial" w:hAnsi="Arial"/>
        </w:rPr>
        <w:t>.</w:t>
      </w:r>
    </w:p>
    <w:p w:rsidR="00EB6CFC" w:rsidRPr="00625062" w:rsidRDefault="00EB6CFC" w:rsidP="002C3508">
      <w:pPr>
        <w:widowControl/>
        <w:tabs>
          <w:tab w:val="left" w:pos="8931"/>
        </w:tabs>
        <w:autoSpaceDE/>
        <w:autoSpaceDN/>
        <w:adjustRightInd/>
        <w:spacing w:line="276" w:lineRule="auto"/>
        <w:ind w:right="43"/>
        <w:jc w:val="both"/>
        <w:rPr>
          <w:rFonts w:ascii="Arial" w:hAnsi="Arial" w:cs="Arial"/>
          <w:sz w:val="22"/>
          <w:szCs w:val="22"/>
        </w:rPr>
      </w:pPr>
      <w:r>
        <w:rPr>
          <w:rFonts w:ascii="Arial" w:hAnsi="Arial"/>
          <w:sz w:val="22"/>
          <w:szCs w:val="22"/>
        </w:rPr>
        <w:t>In 2018 H1, for the investment objectives have been obtained 19 building permits, out of which 10 for pipeline rehabilitation works.</w:t>
      </w:r>
    </w:p>
    <w:p w:rsidR="00EB6CFC" w:rsidRPr="00625062" w:rsidRDefault="00EB6CFC" w:rsidP="00EB6CFC">
      <w:pPr>
        <w:widowControl/>
        <w:tabs>
          <w:tab w:val="left" w:pos="8931"/>
        </w:tabs>
        <w:autoSpaceDE/>
        <w:autoSpaceDN/>
        <w:adjustRightInd/>
        <w:spacing w:line="276" w:lineRule="auto"/>
        <w:ind w:right="43"/>
        <w:jc w:val="both"/>
        <w:rPr>
          <w:rFonts w:ascii="Arial" w:hAnsi="Arial" w:cs="Arial"/>
          <w:sz w:val="22"/>
          <w:szCs w:val="22"/>
          <w:lang w:eastAsia="en-US"/>
        </w:rPr>
      </w:pPr>
    </w:p>
    <w:p w:rsidR="00EB6CFC" w:rsidRPr="00625062" w:rsidRDefault="00EB6CFC" w:rsidP="002C3508">
      <w:pPr>
        <w:widowControl/>
        <w:autoSpaceDE/>
        <w:autoSpaceDN/>
        <w:adjustRightInd/>
        <w:spacing w:line="276" w:lineRule="auto"/>
        <w:jc w:val="both"/>
        <w:rPr>
          <w:rFonts w:ascii="Arial" w:eastAsia="Calibri" w:hAnsi="Arial" w:cs="Arial"/>
          <w:sz w:val="22"/>
          <w:szCs w:val="22"/>
        </w:rPr>
      </w:pPr>
      <w:r>
        <w:rPr>
          <w:rFonts w:ascii="Arial" w:hAnsi="Arial"/>
          <w:sz w:val="22"/>
          <w:szCs w:val="22"/>
        </w:rPr>
        <w:t xml:space="preserve">In the activity related to the endorsement and conclusion of agreements regarding the right of way and temporary use of certain lands in order to perform the works provided in the investment program, we have encountered and we are still facing a series of shortcomings, such as: </w:t>
      </w:r>
    </w:p>
    <w:p w:rsidR="00EB6CFC" w:rsidRPr="00EC0212" w:rsidRDefault="00EC0212" w:rsidP="00D87DA4">
      <w:pPr>
        <w:pStyle w:val="ListParagraph"/>
        <w:numPr>
          <w:ilvl w:val="0"/>
          <w:numId w:val="25"/>
        </w:numPr>
        <w:spacing w:after="160"/>
        <w:jc w:val="both"/>
        <w:rPr>
          <w:rFonts w:ascii="Arial" w:hAnsi="Arial" w:cs="Arial"/>
        </w:rPr>
      </w:pPr>
      <w:r>
        <w:rPr>
          <w:rFonts w:ascii="Arial" w:hAnsi="Arial"/>
        </w:rPr>
        <w:t>Obtaining the permits for the works which are to be executed in the vicinity of the national roads, with reference to the conditional conclusion of the Contract of Use of the road area all along the existence of the crude oil NTS pipeline;</w:t>
      </w:r>
    </w:p>
    <w:p w:rsidR="00EB6CFC" w:rsidRPr="00EC0212" w:rsidRDefault="00EC0212" w:rsidP="00D87DA4">
      <w:pPr>
        <w:pStyle w:val="ListParagraph"/>
        <w:numPr>
          <w:ilvl w:val="0"/>
          <w:numId w:val="25"/>
        </w:numPr>
        <w:jc w:val="both"/>
        <w:rPr>
          <w:rFonts w:ascii="Arial" w:hAnsi="Arial" w:cs="Arial"/>
        </w:rPr>
      </w:pPr>
      <w:r>
        <w:rPr>
          <w:rFonts w:ascii="Arial" w:hAnsi="Arial"/>
        </w:rPr>
        <w:t>Conditioning the Forest Guard in what concerns the issue of permits of temporary occupation of the land plots belonging to the forestry private property real estate in the areas affected by CONPET investments, to the presentation, together with the technical documentation, of the landowner (s) agreement in authentic form;</w:t>
      </w:r>
    </w:p>
    <w:p w:rsidR="00EB6CFC" w:rsidRPr="00EC0212" w:rsidRDefault="00EC0212" w:rsidP="00D87DA4">
      <w:pPr>
        <w:pStyle w:val="ListParagraph"/>
        <w:numPr>
          <w:ilvl w:val="0"/>
          <w:numId w:val="25"/>
        </w:numPr>
        <w:jc w:val="both"/>
        <w:rPr>
          <w:rFonts w:ascii="Arial" w:hAnsi="Arial" w:cs="Arial"/>
        </w:rPr>
      </w:pPr>
      <w:r>
        <w:rPr>
          <w:rFonts w:ascii="Arial" w:hAnsi="Arial"/>
        </w:rPr>
        <w:t xml:space="preserve">Unreasonable financial claims of the landowners or even refusals thereof to enable the access to the land and works execution at the crude oil NTS components. </w:t>
      </w:r>
    </w:p>
    <w:p w:rsidR="00EB6CFC" w:rsidRPr="00625062" w:rsidRDefault="00CA7691" w:rsidP="002C3508">
      <w:pPr>
        <w:widowControl/>
        <w:autoSpaceDE/>
        <w:autoSpaceDN/>
        <w:adjustRightInd/>
        <w:spacing w:after="200" w:line="276" w:lineRule="auto"/>
        <w:contextualSpacing/>
        <w:jc w:val="both"/>
        <w:rPr>
          <w:rFonts w:ascii="Arial" w:eastAsia="Calibri" w:hAnsi="Arial" w:cs="Arial"/>
          <w:sz w:val="22"/>
          <w:szCs w:val="22"/>
        </w:rPr>
      </w:pPr>
      <w:r>
        <w:rPr>
          <w:rFonts w:ascii="Arial" w:hAnsi="Arial"/>
          <w:sz w:val="22"/>
          <w:szCs w:val="22"/>
        </w:rPr>
        <w:t xml:space="preserve">These situations occurred in the investment performance of the following works: </w:t>
      </w:r>
    </w:p>
    <w:p w:rsidR="00EB6CFC" w:rsidRPr="00625062" w:rsidRDefault="00EC0212" w:rsidP="00D87DA4">
      <w:pPr>
        <w:widowControl/>
        <w:numPr>
          <w:ilvl w:val="0"/>
          <w:numId w:val="10"/>
        </w:numPr>
        <w:autoSpaceDE/>
        <w:autoSpaceDN/>
        <w:adjustRightInd/>
        <w:spacing w:after="160" w:line="276" w:lineRule="auto"/>
        <w:ind w:left="720"/>
        <w:contextualSpacing/>
        <w:jc w:val="both"/>
        <w:rPr>
          <w:rFonts w:ascii="Arial" w:eastAsia="Calibri" w:hAnsi="Arial" w:cs="Arial"/>
          <w:sz w:val="22"/>
          <w:szCs w:val="22"/>
        </w:rPr>
      </w:pPr>
      <w:r>
        <w:rPr>
          <w:rFonts w:ascii="Arial" w:hAnsi="Arial"/>
          <w:sz w:val="22"/>
          <w:szCs w:val="22"/>
        </w:rPr>
        <w:t>Replacement crude oil transport pipeline 14” Bărăganu - Călăreți resulted following the in-line inspection with smart pig in length of 7.5 km, T6-Volanski Adrian;</w:t>
      </w:r>
    </w:p>
    <w:p w:rsidR="00EB6CFC" w:rsidRPr="00625062" w:rsidRDefault="00EC0212" w:rsidP="00D87DA4">
      <w:pPr>
        <w:widowControl/>
        <w:numPr>
          <w:ilvl w:val="0"/>
          <w:numId w:val="10"/>
        </w:numPr>
        <w:autoSpaceDE/>
        <w:autoSpaceDN/>
        <w:adjustRightInd/>
        <w:spacing w:after="160" w:line="276" w:lineRule="auto"/>
        <w:ind w:left="720"/>
        <w:contextualSpacing/>
        <w:jc w:val="both"/>
        <w:rPr>
          <w:rFonts w:ascii="Arial" w:eastAsia="Calibri" w:hAnsi="Arial" w:cs="Arial"/>
          <w:sz w:val="22"/>
          <w:szCs w:val="22"/>
        </w:rPr>
      </w:pPr>
      <w:r>
        <w:rPr>
          <w:rFonts w:ascii="Arial" w:hAnsi="Arial"/>
          <w:sz w:val="22"/>
          <w:szCs w:val="22"/>
        </w:rPr>
        <w:t>Safety disposal for no. 2 undercrossing of Ø10¾" pipeline Potlogi – P.F. Arges, Sabar river,  Gaiseni locality, Giurgiu county,  on a length of 350 m;</w:t>
      </w:r>
    </w:p>
    <w:p w:rsidR="00EB6CFC" w:rsidRPr="00625062" w:rsidRDefault="00EC0212" w:rsidP="00D87DA4">
      <w:pPr>
        <w:widowControl/>
        <w:numPr>
          <w:ilvl w:val="0"/>
          <w:numId w:val="10"/>
        </w:numPr>
        <w:autoSpaceDE/>
        <w:autoSpaceDN/>
        <w:adjustRightInd/>
        <w:spacing w:after="160" w:line="276" w:lineRule="auto"/>
        <w:ind w:left="720"/>
        <w:contextualSpacing/>
        <w:jc w:val="both"/>
        <w:rPr>
          <w:rFonts w:ascii="Arial" w:eastAsia="Calibri" w:hAnsi="Arial" w:cs="Arial"/>
          <w:sz w:val="22"/>
          <w:szCs w:val="22"/>
        </w:rPr>
      </w:pPr>
      <w:r>
        <w:rPr>
          <w:rFonts w:ascii="Arial" w:hAnsi="Arial"/>
          <w:sz w:val="22"/>
          <w:szCs w:val="22"/>
        </w:rPr>
        <w:t xml:space="preserve">Replacement of </w:t>
      </w:r>
      <w:proofErr w:type="gramStart"/>
      <w:r>
        <w:rPr>
          <w:rFonts w:ascii="Arial" w:hAnsi="Arial"/>
          <w:sz w:val="22"/>
          <w:szCs w:val="22"/>
        </w:rPr>
        <w:t>the  Ø10’’</w:t>
      </w:r>
      <w:proofErr w:type="gramEnd"/>
      <w:r>
        <w:rPr>
          <w:rFonts w:ascii="Arial" w:hAnsi="Arial"/>
          <w:sz w:val="22"/>
          <w:szCs w:val="22"/>
        </w:rPr>
        <w:t xml:space="preserve"> </w:t>
      </w:r>
      <w:r w:rsidR="007662CF">
        <w:rPr>
          <w:rFonts w:ascii="Arial" w:hAnsi="Arial"/>
          <w:sz w:val="22"/>
          <w:szCs w:val="22"/>
        </w:rPr>
        <w:t xml:space="preserve">Line </w:t>
      </w:r>
      <w:r>
        <w:rPr>
          <w:rFonts w:ascii="Arial" w:hAnsi="Arial"/>
          <w:sz w:val="22"/>
          <w:szCs w:val="22"/>
        </w:rPr>
        <w:t>1 crude oil pipeline Orlesti – Poiana Lacului, L=295m, Negrea grazing ground – Poiana Lacului ,  Arges county -10 euro/sq.m.;</w:t>
      </w:r>
    </w:p>
    <w:p w:rsidR="00EB6CFC" w:rsidRPr="00625062" w:rsidRDefault="00EC0212" w:rsidP="00D87DA4">
      <w:pPr>
        <w:widowControl/>
        <w:numPr>
          <w:ilvl w:val="0"/>
          <w:numId w:val="10"/>
        </w:numPr>
        <w:autoSpaceDE/>
        <w:autoSpaceDN/>
        <w:adjustRightInd/>
        <w:spacing w:after="160" w:line="276" w:lineRule="auto"/>
        <w:ind w:left="720"/>
        <w:contextualSpacing/>
        <w:jc w:val="both"/>
        <w:rPr>
          <w:rFonts w:ascii="Arial" w:eastAsia="Calibri" w:hAnsi="Arial" w:cs="Arial"/>
          <w:sz w:val="22"/>
          <w:szCs w:val="22"/>
        </w:rPr>
      </w:pPr>
      <w:r>
        <w:rPr>
          <w:rFonts w:ascii="Arial" w:hAnsi="Arial"/>
          <w:sz w:val="22"/>
          <w:szCs w:val="22"/>
        </w:rPr>
        <w:t>Replacement of the Ø 24” crude oil transport pipeline Constanta - Midia, in the area of Ovidiu city, Constanta County, on a length of approximately 1140 m” -Pandichi Dumitru.</w:t>
      </w:r>
    </w:p>
    <w:p w:rsidR="00EB6CFC" w:rsidRPr="00625062" w:rsidRDefault="00EB6CFC" w:rsidP="002C3508">
      <w:pPr>
        <w:widowControl/>
        <w:tabs>
          <w:tab w:val="center" w:pos="4680"/>
          <w:tab w:val="right" w:pos="9360"/>
        </w:tabs>
        <w:autoSpaceDE/>
        <w:autoSpaceDN/>
        <w:adjustRightInd/>
        <w:spacing w:line="276" w:lineRule="auto"/>
        <w:jc w:val="both"/>
        <w:rPr>
          <w:rFonts w:ascii="Arial" w:eastAsia="Calibri" w:hAnsi="Arial" w:cs="Arial"/>
          <w:i/>
          <w:sz w:val="22"/>
          <w:szCs w:val="22"/>
          <w:lang w:val="pt-BR" w:eastAsia="en-US"/>
        </w:rPr>
      </w:pPr>
    </w:p>
    <w:p w:rsidR="00EB6CFC" w:rsidRDefault="00EB6CFC" w:rsidP="002C3508">
      <w:pPr>
        <w:widowControl/>
        <w:tabs>
          <w:tab w:val="center" w:pos="4680"/>
          <w:tab w:val="right" w:pos="9360"/>
        </w:tabs>
        <w:autoSpaceDE/>
        <w:autoSpaceDN/>
        <w:adjustRightInd/>
        <w:spacing w:line="276" w:lineRule="auto"/>
        <w:jc w:val="both"/>
        <w:rPr>
          <w:rFonts w:ascii="Arial" w:eastAsia="Calibri" w:hAnsi="Arial" w:cs="Arial"/>
          <w:sz w:val="22"/>
          <w:szCs w:val="22"/>
        </w:rPr>
      </w:pPr>
      <w:r>
        <w:rPr>
          <w:rFonts w:ascii="Arial" w:hAnsi="Arial"/>
          <w:sz w:val="22"/>
          <w:szCs w:val="22"/>
        </w:rPr>
        <w:t xml:space="preserve">The unsettlement with celerity of these causes may influence the degree of achievement of 2018 investments program. </w:t>
      </w:r>
    </w:p>
    <w:p w:rsidR="00F43345" w:rsidRPr="00625062" w:rsidRDefault="00F43345" w:rsidP="002C3508">
      <w:pPr>
        <w:widowControl/>
        <w:tabs>
          <w:tab w:val="center" w:pos="4680"/>
          <w:tab w:val="right" w:pos="9360"/>
        </w:tabs>
        <w:autoSpaceDE/>
        <w:autoSpaceDN/>
        <w:adjustRightInd/>
        <w:spacing w:line="276" w:lineRule="auto"/>
        <w:jc w:val="both"/>
        <w:rPr>
          <w:rFonts w:ascii="Arial" w:eastAsia="Calibri" w:hAnsi="Arial" w:cs="Arial"/>
          <w:b/>
          <w:sz w:val="22"/>
          <w:szCs w:val="22"/>
          <w:lang w:eastAsia="en-US"/>
        </w:rPr>
      </w:pPr>
    </w:p>
    <w:p w:rsidR="00EB6CFC" w:rsidRPr="009828D6" w:rsidRDefault="00EB6CFC" w:rsidP="002C3508">
      <w:pPr>
        <w:widowControl/>
        <w:tabs>
          <w:tab w:val="center" w:pos="4680"/>
          <w:tab w:val="right" w:pos="9360"/>
        </w:tabs>
        <w:autoSpaceDE/>
        <w:autoSpaceDN/>
        <w:adjustRightInd/>
        <w:spacing w:line="276" w:lineRule="auto"/>
        <w:jc w:val="both"/>
        <w:rPr>
          <w:rFonts w:ascii="Arial" w:eastAsia="Calibri" w:hAnsi="Arial" w:cs="Arial"/>
          <w:color w:val="1F4E79" w:themeColor="accent1" w:themeShade="80"/>
          <w:sz w:val="22"/>
          <w:szCs w:val="22"/>
        </w:rPr>
      </w:pPr>
      <w:r>
        <w:rPr>
          <w:rFonts w:ascii="Arial" w:hAnsi="Arial"/>
          <w:b/>
          <w:color w:val="1F4E79" w:themeColor="accent1" w:themeShade="80"/>
          <w:sz w:val="22"/>
          <w:szCs w:val="22"/>
        </w:rPr>
        <w:t xml:space="preserve">New investment objectives </w:t>
      </w:r>
    </w:p>
    <w:p w:rsidR="00EB6CFC" w:rsidRPr="00625062" w:rsidRDefault="00EB6CFC" w:rsidP="002C3508">
      <w:pPr>
        <w:widowControl/>
        <w:tabs>
          <w:tab w:val="left" w:pos="8931"/>
        </w:tabs>
        <w:autoSpaceDE/>
        <w:autoSpaceDN/>
        <w:adjustRightInd/>
        <w:spacing w:line="276" w:lineRule="auto"/>
        <w:ind w:right="43"/>
        <w:jc w:val="both"/>
        <w:rPr>
          <w:rFonts w:ascii="Arial" w:eastAsia="Calibri" w:hAnsi="Arial" w:cs="Arial"/>
          <w:sz w:val="22"/>
          <w:szCs w:val="22"/>
          <w:lang w:eastAsia="en-US"/>
        </w:rPr>
      </w:pPr>
    </w:p>
    <w:p w:rsidR="00D92A87" w:rsidRDefault="00EB6CFC" w:rsidP="002C3508">
      <w:pPr>
        <w:widowControl/>
        <w:tabs>
          <w:tab w:val="left" w:pos="8931"/>
        </w:tabs>
        <w:autoSpaceDE/>
        <w:autoSpaceDN/>
        <w:adjustRightInd/>
        <w:spacing w:line="276" w:lineRule="auto"/>
        <w:ind w:right="43"/>
        <w:jc w:val="both"/>
        <w:rPr>
          <w:rFonts w:ascii="Arial" w:eastAsia="Calibri" w:hAnsi="Arial" w:cs="Arial"/>
          <w:sz w:val="22"/>
          <w:szCs w:val="22"/>
        </w:rPr>
      </w:pPr>
      <w:r>
        <w:rPr>
          <w:rFonts w:ascii="Arial" w:hAnsi="Arial"/>
          <w:sz w:val="22"/>
          <w:szCs w:val="22"/>
        </w:rPr>
        <w:t>In 2018 H1, have been achieved new investment objectives in amount of 1,953 thousand RON, the programmed value in 2018 H1 being of 1,761 thousand RON and per total year the program being of 11,524 thousand RON.</w:t>
      </w:r>
    </w:p>
    <w:p w:rsidR="00EB6CFC" w:rsidRPr="00625062" w:rsidRDefault="00EB6CFC" w:rsidP="002C3508">
      <w:pPr>
        <w:widowControl/>
        <w:autoSpaceDE/>
        <w:autoSpaceDN/>
        <w:adjustRightInd/>
        <w:spacing w:line="276" w:lineRule="auto"/>
        <w:jc w:val="both"/>
        <w:rPr>
          <w:rFonts w:ascii="Arial" w:hAnsi="Arial" w:cs="Arial"/>
          <w:sz w:val="22"/>
          <w:szCs w:val="22"/>
        </w:rPr>
      </w:pPr>
      <w:r>
        <w:rPr>
          <w:rFonts w:ascii="Arial" w:hAnsi="Arial"/>
          <w:sz w:val="22"/>
          <w:szCs w:val="22"/>
        </w:rPr>
        <w:t>The new investment objectives are, most of them in the stage of preparation/endorsement of the scope of work or in the procurement stage.</w:t>
      </w:r>
    </w:p>
    <w:p w:rsidR="00EB6CFC" w:rsidRPr="00625062" w:rsidRDefault="00EB6CFC" w:rsidP="002C3508">
      <w:pPr>
        <w:widowControl/>
        <w:autoSpaceDE/>
        <w:autoSpaceDN/>
        <w:adjustRightInd/>
        <w:spacing w:line="276" w:lineRule="auto"/>
        <w:jc w:val="both"/>
        <w:rPr>
          <w:rFonts w:ascii="Arial" w:hAnsi="Arial" w:cs="Arial"/>
          <w:sz w:val="22"/>
          <w:szCs w:val="22"/>
          <w:lang w:eastAsia="en-US"/>
        </w:rPr>
      </w:pPr>
    </w:p>
    <w:p w:rsidR="00EB6CFC" w:rsidRPr="00625062" w:rsidRDefault="00EB6CFC" w:rsidP="002C3508">
      <w:pPr>
        <w:widowControl/>
        <w:autoSpaceDE/>
        <w:autoSpaceDN/>
        <w:adjustRightInd/>
        <w:spacing w:line="276" w:lineRule="auto"/>
        <w:jc w:val="both"/>
        <w:rPr>
          <w:rFonts w:ascii="Arial" w:hAnsi="Arial" w:cs="Arial"/>
          <w:sz w:val="22"/>
          <w:szCs w:val="22"/>
        </w:rPr>
      </w:pPr>
      <w:r>
        <w:rPr>
          <w:rFonts w:ascii="Arial" w:hAnsi="Arial"/>
          <w:sz w:val="22"/>
          <w:szCs w:val="22"/>
        </w:rPr>
        <w:t>In 2018 H1, were endorsed in the Steering Committee 33 scope of works for the new investment objectives (here included independent machinery and equipment).</w:t>
      </w:r>
      <w:r>
        <w:rPr>
          <w:rFonts w:ascii="Arial" w:hAnsi="Arial"/>
          <w:sz w:val="22"/>
          <w:szCs w:val="22"/>
        </w:rPr>
        <w:tab/>
      </w:r>
    </w:p>
    <w:p w:rsidR="00EB6CFC" w:rsidRPr="00625062" w:rsidRDefault="00EB6CFC" w:rsidP="002C3508">
      <w:pPr>
        <w:widowControl/>
        <w:adjustRightInd/>
        <w:spacing w:line="276" w:lineRule="auto"/>
        <w:jc w:val="both"/>
        <w:rPr>
          <w:rFonts w:ascii="Arial" w:hAnsi="Arial" w:cs="Arial"/>
          <w:sz w:val="22"/>
          <w:szCs w:val="22"/>
          <w:lang w:eastAsia="en-US"/>
        </w:rPr>
      </w:pPr>
    </w:p>
    <w:p w:rsidR="00EB6CFC" w:rsidRPr="00625062" w:rsidRDefault="00EB6CFC" w:rsidP="002C3508">
      <w:pPr>
        <w:widowControl/>
        <w:adjustRightInd/>
        <w:spacing w:line="276" w:lineRule="auto"/>
        <w:jc w:val="both"/>
        <w:rPr>
          <w:rFonts w:ascii="Arial" w:hAnsi="Arial" w:cs="Arial"/>
          <w:sz w:val="22"/>
          <w:szCs w:val="22"/>
        </w:rPr>
      </w:pPr>
      <w:r>
        <w:rPr>
          <w:rFonts w:ascii="Arial" w:hAnsi="Arial"/>
          <w:sz w:val="22"/>
          <w:szCs w:val="22"/>
        </w:rPr>
        <w:t>During the same period, was finalized the procurement procedure for 34 investment objectives (here-included independent machinery and equipment).</w:t>
      </w:r>
    </w:p>
    <w:p w:rsidR="00EB6CFC" w:rsidRPr="00625062" w:rsidRDefault="00EB6CFC" w:rsidP="002C3508">
      <w:pPr>
        <w:widowControl/>
        <w:adjustRightInd/>
        <w:spacing w:line="276" w:lineRule="auto"/>
        <w:jc w:val="both"/>
        <w:rPr>
          <w:rFonts w:ascii="Arial" w:eastAsia="Calibri" w:hAnsi="Arial" w:cs="Arial"/>
          <w:sz w:val="22"/>
          <w:szCs w:val="22"/>
          <w:lang w:val="fr-FR"/>
        </w:rPr>
      </w:pPr>
    </w:p>
    <w:p w:rsidR="00EB6CFC" w:rsidRPr="00625062" w:rsidRDefault="00EB6CFC" w:rsidP="002C3508">
      <w:pPr>
        <w:widowControl/>
        <w:adjustRightInd/>
        <w:spacing w:line="276" w:lineRule="auto"/>
        <w:jc w:val="both"/>
        <w:rPr>
          <w:rFonts w:ascii="Arial" w:eastAsia="Calibri" w:hAnsi="Arial" w:cs="Arial"/>
          <w:sz w:val="22"/>
          <w:szCs w:val="22"/>
        </w:rPr>
      </w:pPr>
      <w:r>
        <w:rPr>
          <w:rFonts w:ascii="Arial" w:hAnsi="Arial"/>
          <w:sz w:val="22"/>
          <w:szCs w:val="22"/>
        </w:rPr>
        <w:t>Commissioning achieved within the first six months of 2018 amounted to 8,979 thousand RON, out of which, per financing sources:</w:t>
      </w:r>
    </w:p>
    <w:p w:rsidR="00EB6CFC" w:rsidRPr="00625062" w:rsidRDefault="00EB6CFC" w:rsidP="002C3508">
      <w:pPr>
        <w:widowControl/>
        <w:numPr>
          <w:ilvl w:val="0"/>
          <w:numId w:val="4"/>
        </w:numPr>
        <w:autoSpaceDE/>
        <w:autoSpaceDN/>
        <w:adjustRightInd/>
        <w:spacing w:line="276" w:lineRule="auto"/>
        <w:jc w:val="both"/>
        <w:rPr>
          <w:rFonts w:ascii="Arial" w:eastAsia="Calibri" w:hAnsi="Arial" w:cs="Arial"/>
          <w:sz w:val="22"/>
          <w:szCs w:val="22"/>
        </w:rPr>
      </w:pPr>
      <w:r>
        <w:rPr>
          <w:rFonts w:ascii="Arial" w:hAnsi="Arial"/>
          <w:sz w:val="22"/>
          <w:szCs w:val="22"/>
        </w:rPr>
        <w:t>7,036 thousand RON out of the modernization quota;</w:t>
      </w:r>
    </w:p>
    <w:p w:rsidR="00EB6CFC" w:rsidRPr="00D92A87" w:rsidRDefault="00EB6CFC" w:rsidP="002C3508">
      <w:pPr>
        <w:widowControl/>
        <w:numPr>
          <w:ilvl w:val="0"/>
          <w:numId w:val="4"/>
        </w:numPr>
        <w:autoSpaceDE/>
        <w:autoSpaceDN/>
        <w:adjustRightInd/>
        <w:spacing w:line="276" w:lineRule="auto"/>
        <w:jc w:val="both"/>
        <w:rPr>
          <w:rFonts w:ascii="Arial" w:eastAsia="Calibri" w:hAnsi="Arial" w:cs="Arial"/>
          <w:sz w:val="22"/>
          <w:szCs w:val="22"/>
        </w:rPr>
      </w:pPr>
      <w:r>
        <w:rPr>
          <w:rFonts w:ascii="Arial" w:hAnsi="Arial"/>
          <w:sz w:val="22"/>
          <w:szCs w:val="22"/>
        </w:rPr>
        <w:lastRenderedPageBreak/>
        <w:t>1,943 thousand RON out of other own sources;</w:t>
      </w:r>
    </w:p>
    <w:p w:rsidR="00D92A87" w:rsidRPr="00625062" w:rsidRDefault="00D92A87" w:rsidP="00D92A87">
      <w:pPr>
        <w:widowControl/>
        <w:autoSpaceDE/>
        <w:autoSpaceDN/>
        <w:adjustRightInd/>
        <w:spacing w:line="276" w:lineRule="auto"/>
        <w:ind w:left="720"/>
        <w:jc w:val="both"/>
        <w:rPr>
          <w:rFonts w:ascii="Arial" w:eastAsia="Calibri" w:hAnsi="Arial" w:cs="Arial"/>
          <w:sz w:val="22"/>
          <w:szCs w:val="22"/>
        </w:rPr>
      </w:pPr>
    </w:p>
    <w:p w:rsidR="00EB6CFC" w:rsidRPr="00625062" w:rsidRDefault="00281CAB" w:rsidP="002C3508">
      <w:pPr>
        <w:widowControl/>
        <w:adjustRightInd/>
        <w:spacing w:line="276" w:lineRule="auto"/>
        <w:jc w:val="both"/>
        <w:rPr>
          <w:rFonts w:ascii="Arial" w:eastAsia="Calibri" w:hAnsi="Arial" w:cs="Arial"/>
          <w:sz w:val="22"/>
          <w:szCs w:val="22"/>
        </w:rPr>
      </w:pPr>
      <w:r>
        <w:rPr>
          <w:rFonts w:ascii="Arial" w:hAnsi="Arial"/>
          <w:sz w:val="22"/>
          <w:szCs w:val="22"/>
        </w:rPr>
        <w:t>The main investment works commissioned were the followings:</w:t>
      </w:r>
    </w:p>
    <w:p w:rsidR="00EB6CFC" w:rsidRPr="00625062" w:rsidRDefault="00D92A87" w:rsidP="002C3508">
      <w:pPr>
        <w:widowControl/>
        <w:numPr>
          <w:ilvl w:val="0"/>
          <w:numId w:val="5"/>
        </w:numPr>
        <w:autoSpaceDE/>
        <w:autoSpaceDN/>
        <w:adjustRightInd/>
        <w:spacing w:line="276" w:lineRule="auto"/>
        <w:jc w:val="both"/>
        <w:rPr>
          <w:rFonts w:ascii="Arial" w:hAnsi="Arial" w:cs="Arial"/>
          <w:sz w:val="22"/>
          <w:szCs w:val="22"/>
        </w:rPr>
      </w:pPr>
      <w:r>
        <w:rPr>
          <w:rFonts w:ascii="Arial" w:hAnsi="Arial"/>
          <w:sz w:val="22"/>
          <w:szCs w:val="22"/>
        </w:rPr>
        <w:t>Upgrade of the heat station and heating network Marghita;</w:t>
      </w:r>
    </w:p>
    <w:p w:rsidR="00EB6CFC" w:rsidRPr="00625062" w:rsidRDefault="00D92A87" w:rsidP="002C3508">
      <w:pPr>
        <w:widowControl/>
        <w:numPr>
          <w:ilvl w:val="0"/>
          <w:numId w:val="5"/>
        </w:numPr>
        <w:autoSpaceDE/>
        <w:autoSpaceDN/>
        <w:adjustRightInd/>
        <w:spacing w:line="276" w:lineRule="auto"/>
        <w:jc w:val="both"/>
        <w:rPr>
          <w:rFonts w:ascii="Arial" w:hAnsi="Arial" w:cs="Arial"/>
          <w:sz w:val="22"/>
          <w:szCs w:val="22"/>
        </w:rPr>
      </w:pPr>
      <w:r>
        <w:rPr>
          <w:rFonts w:ascii="Arial" w:hAnsi="Arial"/>
          <w:sz w:val="22"/>
          <w:szCs w:val="22"/>
        </w:rPr>
        <w:t>Microwave radio relay transport capacity increase on Baraganu- Constanta section and displacement of Constanta Nord location + microwave radio relay system software upgrade;</w:t>
      </w:r>
    </w:p>
    <w:p w:rsidR="00EB6CFC" w:rsidRPr="00625062" w:rsidRDefault="00D92A87" w:rsidP="002C3508">
      <w:pPr>
        <w:widowControl/>
        <w:numPr>
          <w:ilvl w:val="0"/>
          <w:numId w:val="5"/>
        </w:numPr>
        <w:autoSpaceDE/>
        <w:autoSpaceDN/>
        <w:adjustRightInd/>
        <w:spacing w:line="276" w:lineRule="auto"/>
        <w:jc w:val="both"/>
        <w:rPr>
          <w:rFonts w:ascii="Arial" w:hAnsi="Arial" w:cs="Arial"/>
          <w:sz w:val="22"/>
          <w:szCs w:val="22"/>
        </w:rPr>
      </w:pPr>
      <w:r>
        <w:rPr>
          <w:rFonts w:ascii="Arial" w:hAnsi="Arial"/>
          <w:sz w:val="22"/>
          <w:szCs w:val="22"/>
        </w:rPr>
        <w:t>Modernization of exterior lightening by the use of LED technology sources from West and Import Divisions - locations Pecica, Orlești, Biled, Videle and Poiana Lacului;</w:t>
      </w:r>
    </w:p>
    <w:p w:rsidR="00EB6CFC" w:rsidRPr="00625062" w:rsidRDefault="00D92A87" w:rsidP="002C3508">
      <w:pPr>
        <w:widowControl/>
        <w:numPr>
          <w:ilvl w:val="0"/>
          <w:numId w:val="5"/>
        </w:numPr>
        <w:autoSpaceDE/>
        <w:autoSpaceDN/>
        <w:adjustRightInd/>
        <w:spacing w:line="276" w:lineRule="auto"/>
        <w:jc w:val="both"/>
        <w:rPr>
          <w:rFonts w:ascii="Arial" w:hAnsi="Arial" w:cs="Arial"/>
          <w:sz w:val="22"/>
          <w:szCs w:val="22"/>
        </w:rPr>
      </w:pPr>
      <w:r>
        <w:rPr>
          <w:rFonts w:ascii="Arial" w:hAnsi="Arial"/>
          <w:sz w:val="22"/>
          <w:szCs w:val="22"/>
        </w:rPr>
        <w:t>Modernization of exterior lightening by the use of LED technology sources from East and South Divisions - locations Urlați, Moreni, Cireșu and Berca;</w:t>
      </w:r>
    </w:p>
    <w:p w:rsidR="00EB6CFC" w:rsidRPr="00625062" w:rsidRDefault="00D92A87" w:rsidP="002C3508">
      <w:pPr>
        <w:pStyle w:val="ListParagraph"/>
        <w:numPr>
          <w:ilvl w:val="0"/>
          <w:numId w:val="5"/>
        </w:numPr>
        <w:spacing w:after="0"/>
        <w:jc w:val="both"/>
        <w:rPr>
          <w:rFonts w:ascii="Arial" w:hAnsi="Arial" w:cs="Arial"/>
        </w:rPr>
      </w:pPr>
      <w:r>
        <w:rPr>
          <w:rFonts w:ascii="Arial" w:hAnsi="Arial"/>
        </w:rPr>
        <w:t>Safe disposal of the crude oil pipeline Ø 10¾” F1 Bărbătești-Orleș</w:t>
      </w:r>
      <w:proofErr w:type="gramStart"/>
      <w:r>
        <w:rPr>
          <w:rFonts w:ascii="Arial" w:hAnsi="Arial"/>
        </w:rPr>
        <w:t>ti  in</w:t>
      </w:r>
      <w:proofErr w:type="gramEnd"/>
      <w:r>
        <w:rPr>
          <w:rFonts w:ascii="Arial" w:hAnsi="Arial"/>
        </w:rPr>
        <w:t xml:space="preserve"> Orlesti locality, Orlesti commune,  Valcea county</w:t>
      </w:r>
      <w:r w:rsidR="008E4135">
        <w:rPr>
          <w:rFonts w:ascii="Arial" w:hAnsi="Arial"/>
        </w:rPr>
        <w:t>.</w:t>
      </w:r>
    </w:p>
    <w:p w:rsidR="00EB6CFC" w:rsidRPr="00625062" w:rsidRDefault="00EB6CFC" w:rsidP="002C3508">
      <w:pPr>
        <w:widowControl/>
        <w:autoSpaceDE/>
        <w:autoSpaceDN/>
        <w:adjustRightInd/>
        <w:spacing w:line="276" w:lineRule="auto"/>
        <w:jc w:val="both"/>
        <w:rPr>
          <w:rFonts w:ascii="Arial" w:hAnsi="Arial" w:cs="Arial"/>
          <w:sz w:val="22"/>
          <w:szCs w:val="22"/>
        </w:rPr>
      </w:pPr>
    </w:p>
    <w:p w:rsidR="00EB6CFC" w:rsidRPr="00625062" w:rsidRDefault="00EB6CFC" w:rsidP="002C3508">
      <w:pPr>
        <w:widowControl/>
        <w:autoSpaceDE/>
        <w:autoSpaceDN/>
        <w:adjustRightInd/>
        <w:spacing w:line="276" w:lineRule="auto"/>
        <w:jc w:val="both"/>
        <w:rPr>
          <w:rFonts w:ascii="Arial" w:hAnsi="Arial" w:cs="Arial"/>
          <w:sz w:val="22"/>
          <w:szCs w:val="22"/>
        </w:rPr>
      </w:pPr>
      <w:r>
        <w:rPr>
          <w:rFonts w:ascii="Arial" w:hAnsi="Arial"/>
          <w:sz w:val="22"/>
          <w:szCs w:val="22"/>
        </w:rPr>
        <w:t xml:space="preserve">In addition, all along this period, the Development Maintenance Direction, following the regular analysis of the completion, in physical and value terms, of the investment program, undertook a series of measures for the acceleration of the works execution, as follows:  </w:t>
      </w:r>
      <w:r>
        <w:rPr>
          <w:rFonts w:ascii="Arial" w:hAnsi="Arial"/>
          <w:sz w:val="22"/>
          <w:szCs w:val="22"/>
        </w:rPr>
        <w:cr/>
      </w:r>
      <w:r>
        <w:rPr>
          <w:rFonts w:ascii="Arial" w:hAnsi="Arial"/>
          <w:sz w:val="22"/>
          <w:szCs w:val="22"/>
        </w:rPr>
        <w:br/>
      </w:r>
    </w:p>
    <w:p w:rsidR="00EB6CFC" w:rsidRPr="002C3508" w:rsidRDefault="002C3508" w:rsidP="00D87DA4">
      <w:pPr>
        <w:pStyle w:val="ListParagraph"/>
        <w:numPr>
          <w:ilvl w:val="0"/>
          <w:numId w:val="26"/>
        </w:numPr>
        <w:jc w:val="both"/>
        <w:rPr>
          <w:rFonts w:ascii="Arial" w:hAnsi="Arial" w:cs="Arial"/>
        </w:rPr>
      </w:pPr>
      <w:r>
        <w:rPr>
          <w:rFonts w:ascii="Arial" w:hAnsi="Arial"/>
        </w:rPr>
        <w:t xml:space="preserve">Meetings with the contractors of the objectives for the settlement, with celerity, of the various issues encountered during the contracts performance process. </w:t>
      </w:r>
    </w:p>
    <w:p w:rsidR="00F43345" w:rsidRDefault="002C3508" w:rsidP="00D87DA4">
      <w:pPr>
        <w:pStyle w:val="ListParagraph"/>
        <w:numPr>
          <w:ilvl w:val="0"/>
          <w:numId w:val="26"/>
        </w:numPr>
        <w:jc w:val="both"/>
        <w:rPr>
          <w:rFonts w:ascii="Arial" w:hAnsi="Arial" w:cs="Arial"/>
        </w:rPr>
      </w:pPr>
      <w:r>
        <w:rPr>
          <w:rFonts w:ascii="Arial" w:hAnsi="Arial"/>
        </w:rPr>
        <w:t xml:space="preserve">Meetings with the authorities having issued the endorsements/permits/agreements necessary in the process of works execution in order to clarify and speed up the settlement thereof.   </w:t>
      </w:r>
    </w:p>
    <w:p w:rsidR="00D92A87" w:rsidRPr="00D92A87" w:rsidRDefault="00D92A87" w:rsidP="00D92A87">
      <w:pPr>
        <w:pStyle w:val="ListParagraph"/>
        <w:jc w:val="both"/>
        <w:rPr>
          <w:rFonts w:ascii="Arial" w:hAnsi="Arial" w:cs="Arial"/>
        </w:rPr>
      </w:pPr>
    </w:p>
    <w:p w:rsidR="00785F31" w:rsidRPr="009828D6" w:rsidRDefault="00F43345" w:rsidP="00D87DA4">
      <w:pPr>
        <w:pStyle w:val="ListParagraph"/>
        <w:numPr>
          <w:ilvl w:val="1"/>
          <w:numId w:val="28"/>
        </w:numPr>
        <w:ind w:left="567" w:hanging="567"/>
        <w:jc w:val="both"/>
        <w:rPr>
          <w:rFonts w:ascii="Arial" w:hAnsi="Arial" w:cs="Arial"/>
          <w:b/>
          <w:color w:val="1F4E79" w:themeColor="accent1" w:themeShade="80"/>
          <w:sz w:val="24"/>
          <w:szCs w:val="24"/>
        </w:rPr>
      </w:pPr>
      <w:r>
        <w:rPr>
          <w:rFonts w:ascii="Arial" w:hAnsi="Arial"/>
          <w:b/>
          <w:color w:val="1F4E79" w:themeColor="accent1" w:themeShade="80"/>
          <w:sz w:val="24"/>
          <w:szCs w:val="24"/>
        </w:rPr>
        <w:t>Analysis of the financial business</w:t>
      </w:r>
    </w:p>
    <w:p w:rsidR="009966CC" w:rsidRDefault="00C30E9C" w:rsidP="009966CC">
      <w:pPr>
        <w:spacing w:line="276" w:lineRule="auto"/>
        <w:ind w:right="57"/>
        <w:contextualSpacing/>
        <w:jc w:val="both"/>
        <w:rPr>
          <w:rFonts w:ascii="Arial" w:hAnsi="Arial" w:cs="Arial"/>
          <w:sz w:val="22"/>
          <w:szCs w:val="22"/>
        </w:rPr>
      </w:pPr>
      <w:r>
        <w:rPr>
          <w:rFonts w:ascii="Arial" w:hAnsi="Arial"/>
          <w:sz w:val="22"/>
          <w:szCs w:val="22"/>
        </w:rPr>
        <w:t>The financial information presented in this report have been supplied based on the interim financial statements for the six months period ended June 30, 2018, prepared in compliance with the International Accounting Standard no. 34 - „Interim Financial Reporting”</w:t>
      </w:r>
    </w:p>
    <w:p w:rsidR="002228A3" w:rsidRDefault="002228A3" w:rsidP="002228A3">
      <w:pPr>
        <w:pStyle w:val="ListParagraph"/>
        <w:rPr>
          <w:rFonts w:ascii="Arial" w:hAnsi="Arial" w:cs="Arial"/>
          <w:b/>
          <w:color w:val="5B9BD5" w:themeColor="accent1"/>
          <w:sz w:val="24"/>
          <w:szCs w:val="24"/>
        </w:rPr>
      </w:pPr>
    </w:p>
    <w:p w:rsidR="002228A3" w:rsidRPr="009828D6" w:rsidRDefault="002228A3" w:rsidP="00D87DA4">
      <w:pPr>
        <w:pStyle w:val="ListParagraph"/>
        <w:numPr>
          <w:ilvl w:val="2"/>
          <w:numId w:val="29"/>
        </w:numPr>
        <w:rPr>
          <w:rFonts w:ascii="Arial" w:hAnsi="Arial" w:cs="Arial"/>
          <w:b/>
          <w:color w:val="1F4E79" w:themeColor="accent1" w:themeShade="80"/>
          <w:sz w:val="24"/>
          <w:szCs w:val="24"/>
        </w:rPr>
      </w:pPr>
      <w:r>
        <w:rPr>
          <w:rFonts w:ascii="Arial" w:hAnsi="Arial"/>
          <w:b/>
          <w:color w:val="1F4E79" w:themeColor="accent1" w:themeShade="80"/>
          <w:sz w:val="24"/>
          <w:szCs w:val="24"/>
        </w:rPr>
        <w:t>Report grounds</w:t>
      </w:r>
    </w:p>
    <w:p w:rsidR="002228A3" w:rsidRDefault="002228A3" w:rsidP="002228A3">
      <w:pPr>
        <w:widowControl/>
        <w:spacing w:line="276" w:lineRule="auto"/>
        <w:jc w:val="both"/>
        <w:rPr>
          <w:rFonts w:ascii="Arial" w:hAnsi="Arial" w:cs="Arial"/>
          <w:sz w:val="22"/>
          <w:szCs w:val="22"/>
        </w:rPr>
      </w:pPr>
      <w:r>
        <w:rPr>
          <w:rFonts w:ascii="Arial" w:hAnsi="Arial"/>
          <w:sz w:val="22"/>
          <w:szCs w:val="22"/>
        </w:rPr>
        <w:t>The bi-annual report of the Board of Administration for the period January - June 2018 is prepared in compliance with  the provisions of Article 65 of Law no. 24/2017 regarding financial instruments issuers and market operations and Annex no. 14 of ASF Regulation no.5/2018 regarding issuers and securities operations;</w:t>
      </w:r>
    </w:p>
    <w:p w:rsidR="00AD5B4F" w:rsidRDefault="00AD5B4F" w:rsidP="002228A3">
      <w:pPr>
        <w:widowControl/>
        <w:spacing w:line="276" w:lineRule="auto"/>
        <w:jc w:val="both"/>
        <w:rPr>
          <w:rFonts w:ascii="Arial" w:hAnsi="Arial" w:cs="Arial"/>
          <w:sz w:val="22"/>
          <w:szCs w:val="22"/>
          <w:lang w:eastAsia="en-US"/>
        </w:rPr>
      </w:pPr>
    </w:p>
    <w:p w:rsidR="009966CC" w:rsidRPr="0066123C" w:rsidRDefault="009966CC" w:rsidP="00170C8B">
      <w:pPr>
        <w:spacing w:line="200" w:lineRule="exact"/>
        <w:rPr>
          <w:rFonts w:ascii="Arial" w:hAnsi="Arial" w:cs="Arial"/>
          <w:b/>
          <w:color w:val="1F4E79" w:themeColor="accent1" w:themeShade="80"/>
          <w:sz w:val="22"/>
          <w:szCs w:val="22"/>
        </w:rPr>
      </w:pPr>
    </w:p>
    <w:p w:rsidR="00DD357E" w:rsidRPr="002228A3" w:rsidRDefault="002228A3" w:rsidP="002228A3">
      <w:pPr>
        <w:spacing w:line="200" w:lineRule="exact"/>
        <w:rPr>
          <w:rFonts w:ascii="Arial" w:hAnsi="Arial" w:cs="Arial"/>
          <w:b/>
          <w:color w:val="5B9BD5" w:themeColor="accent1"/>
          <w:sz w:val="24"/>
          <w:szCs w:val="24"/>
        </w:rPr>
      </w:pPr>
      <w:proofErr w:type="gramStart"/>
      <w:r>
        <w:rPr>
          <w:rFonts w:ascii="Arial" w:hAnsi="Arial"/>
          <w:b/>
          <w:color w:val="1F4E79" w:themeColor="accent1" w:themeShade="80"/>
          <w:sz w:val="24"/>
          <w:szCs w:val="24"/>
        </w:rPr>
        <w:t>3.3.2  Statement</w:t>
      </w:r>
      <w:proofErr w:type="gramEnd"/>
      <w:r>
        <w:rPr>
          <w:rFonts w:ascii="Arial" w:hAnsi="Arial"/>
          <w:b/>
          <w:color w:val="1F4E79" w:themeColor="accent1" w:themeShade="80"/>
          <w:sz w:val="24"/>
          <w:szCs w:val="24"/>
        </w:rPr>
        <w:t xml:space="preserve"> of the Financial Standing at June 30, 2018</w:t>
      </w:r>
    </w:p>
    <w:p w:rsidR="00C42AC8" w:rsidRPr="00845298" w:rsidRDefault="00C42AC8" w:rsidP="00C42AC8">
      <w:pPr>
        <w:pStyle w:val="ListParagraph"/>
        <w:spacing w:after="0" w:line="200" w:lineRule="exact"/>
        <w:ind w:left="360"/>
        <w:rPr>
          <w:rFonts w:ascii="Arial" w:hAnsi="Arial" w:cs="Arial"/>
          <w:b/>
          <w:color w:val="5B9BD5" w:themeColor="accent1"/>
          <w:sz w:val="24"/>
          <w:szCs w:val="24"/>
        </w:rPr>
      </w:pPr>
    </w:p>
    <w:p w:rsidR="002228A3" w:rsidRDefault="00B7422D" w:rsidP="005B7DAA">
      <w:pPr>
        <w:widowControl/>
        <w:autoSpaceDE/>
        <w:autoSpaceDN/>
        <w:adjustRightInd/>
        <w:spacing w:line="276" w:lineRule="auto"/>
        <w:jc w:val="both"/>
        <w:rPr>
          <w:rFonts w:ascii="Arial" w:hAnsi="Arial" w:cs="Arial"/>
          <w:sz w:val="22"/>
          <w:szCs w:val="22"/>
        </w:rPr>
      </w:pPr>
      <w:r>
        <w:rPr>
          <w:rFonts w:ascii="Arial" w:hAnsi="Arial"/>
          <w:sz w:val="22"/>
          <w:szCs w:val="22"/>
        </w:rPr>
        <w:t xml:space="preserve">In </w:t>
      </w:r>
      <w:r w:rsidR="008E4135">
        <w:rPr>
          <w:rFonts w:ascii="Arial" w:hAnsi="Arial"/>
          <w:sz w:val="22"/>
          <w:szCs w:val="22"/>
        </w:rPr>
        <w:t>summary</w:t>
      </w:r>
      <w:r>
        <w:rPr>
          <w:rFonts w:ascii="Arial" w:hAnsi="Arial"/>
          <w:sz w:val="22"/>
          <w:szCs w:val="22"/>
        </w:rPr>
        <w:t>, the statement of the financial standing at June 30, 2018 is as follows:</w:t>
      </w:r>
      <w:r>
        <w:rPr>
          <w:rFonts w:ascii="Arial" w:hAnsi="Arial"/>
          <w:sz w:val="22"/>
          <w:szCs w:val="22"/>
        </w:rPr>
        <w:tab/>
      </w:r>
    </w:p>
    <w:p w:rsidR="002C7CCD" w:rsidRDefault="002C7CCD" w:rsidP="005B7DAA">
      <w:pPr>
        <w:widowControl/>
        <w:autoSpaceDE/>
        <w:autoSpaceDN/>
        <w:adjustRightInd/>
        <w:spacing w:line="276" w:lineRule="auto"/>
        <w:jc w:val="both"/>
        <w:rPr>
          <w:rFonts w:ascii="Arial" w:hAnsi="Arial" w:cs="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8"/>
        <w:gridCol w:w="1902"/>
        <w:gridCol w:w="1890"/>
        <w:gridCol w:w="1206"/>
      </w:tblGrid>
      <w:tr w:rsidR="009C7C35" w:rsidRPr="007729CF" w:rsidTr="00DB1BDC">
        <w:trPr>
          <w:trHeight w:val="685"/>
          <w:tblHeader/>
          <w:jc w:val="center"/>
        </w:trPr>
        <w:tc>
          <w:tcPr>
            <w:tcW w:w="4038" w:type="dxa"/>
            <w:shd w:val="clear" w:color="auto" w:fill="DEEAF6" w:themeFill="accent1" w:themeFillTint="33"/>
            <w:vAlign w:val="center"/>
            <w:hideMark/>
          </w:tcPr>
          <w:p w:rsidR="009C7C35" w:rsidRPr="00F01C22" w:rsidRDefault="00EB643A" w:rsidP="00EB643A">
            <w:pPr>
              <w:jc w:val="center"/>
              <w:rPr>
                <w:rFonts w:ascii="Arial" w:hAnsi="Arial" w:cs="Arial"/>
                <w:b/>
              </w:rPr>
            </w:pPr>
            <w:r>
              <w:rPr>
                <w:rFonts w:ascii="Arial" w:hAnsi="Arial"/>
                <w:b/>
                <w:bCs/>
              </w:rPr>
              <w:t>Name of the element (</w:t>
            </w:r>
            <w:r w:rsidR="001E32BC">
              <w:rPr>
                <w:rFonts w:ascii="Arial" w:hAnsi="Arial"/>
                <w:b/>
                <w:sz w:val="22"/>
                <w:szCs w:val="22"/>
              </w:rPr>
              <w:t>thousand</w:t>
            </w:r>
            <w:r>
              <w:rPr>
                <w:rFonts w:ascii="Arial" w:hAnsi="Arial"/>
                <w:b/>
                <w:sz w:val="22"/>
                <w:szCs w:val="22"/>
              </w:rPr>
              <w:t xml:space="preserve"> RON)</w:t>
            </w:r>
          </w:p>
        </w:tc>
        <w:tc>
          <w:tcPr>
            <w:tcW w:w="1902" w:type="dxa"/>
            <w:shd w:val="clear" w:color="auto" w:fill="DEEAF6" w:themeFill="accent1" w:themeFillTint="33"/>
            <w:vAlign w:val="center"/>
            <w:hideMark/>
          </w:tcPr>
          <w:p w:rsidR="009C7C35" w:rsidRPr="007729CF" w:rsidRDefault="00C526CF" w:rsidP="0087324D">
            <w:pPr>
              <w:pStyle w:val="Subtitle"/>
              <w:ind w:left="313" w:hanging="425"/>
              <w:rPr>
                <w:rFonts w:cs="Arial"/>
                <w:b/>
                <w:sz w:val="20"/>
                <w:szCs w:val="20"/>
              </w:rPr>
            </w:pPr>
            <w:r>
              <w:rPr>
                <w:b/>
                <w:sz w:val="20"/>
                <w:szCs w:val="20"/>
              </w:rPr>
              <w:t>June 30, 2018</w:t>
            </w:r>
          </w:p>
          <w:p w:rsidR="009C7C35" w:rsidRPr="007729CF" w:rsidRDefault="009C7C35" w:rsidP="00607D39">
            <w:pPr>
              <w:pStyle w:val="Subtitle"/>
              <w:rPr>
                <w:rFonts w:cs="Arial"/>
                <w:b/>
                <w:sz w:val="20"/>
                <w:szCs w:val="20"/>
              </w:rPr>
            </w:pPr>
            <w:r>
              <w:rPr>
                <w:b/>
                <w:sz w:val="20"/>
                <w:szCs w:val="20"/>
              </w:rPr>
              <w:t>(revised)</w:t>
            </w:r>
          </w:p>
        </w:tc>
        <w:tc>
          <w:tcPr>
            <w:tcW w:w="1890" w:type="dxa"/>
            <w:shd w:val="clear" w:color="auto" w:fill="DEEAF6" w:themeFill="accent1" w:themeFillTint="33"/>
            <w:vAlign w:val="center"/>
            <w:hideMark/>
          </w:tcPr>
          <w:p w:rsidR="009C7C35" w:rsidRPr="007729CF" w:rsidRDefault="00EA2C4A" w:rsidP="00DD357E">
            <w:pPr>
              <w:spacing w:line="276" w:lineRule="auto"/>
              <w:jc w:val="center"/>
              <w:rPr>
                <w:rFonts w:ascii="Arial" w:hAnsi="Arial" w:cs="Arial"/>
                <w:b/>
                <w:bCs/>
              </w:rPr>
            </w:pPr>
            <w:r>
              <w:rPr>
                <w:rFonts w:ascii="Arial" w:hAnsi="Arial"/>
                <w:b/>
                <w:bCs/>
              </w:rPr>
              <w:t xml:space="preserve"> December 31, 2017 </w:t>
            </w:r>
          </w:p>
          <w:p w:rsidR="009C7C35" w:rsidRPr="007729CF" w:rsidRDefault="009C7C35" w:rsidP="00DD357E">
            <w:pPr>
              <w:spacing w:line="276" w:lineRule="auto"/>
              <w:jc w:val="center"/>
              <w:rPr>
                <w:rFonts w:ascii="Arial" w:hAnsi="Arial" w:cs="Arial"/>
                <w:b/>
                <w:bCs/>
              </w:rPr>
            </w:pPr>
            <w:r>
              <w:rPr>
                <w:rFonts w:ascii="Arial" w:hAnsi="Arial"/>
                <w:b/>
                <w:bCs/>
              </w:rPr>
              <w:t>(audited)</w:t>
            </w:r>
          </w:p>
        </w:tc>
        <w:tc>
          <w:tcPr>
            <w:tcW w:w="1206" w:type="dxa"/>
            <w:shd w:val="clear" w:color="auto" w:fill="DEEAF6" w:themeFill="accent1" w:themeFillTint="33"/>
            <w:vAlign w:val="center"/>
          </w:tcPr>
          <w:p w:rsidR="00DD7EA6" w:rsidRDefault="00176602" w:rsidP="00810549">
            <w:pPr>
              <w:spacing w:line="276" w:lineRule="auto"/>
              <w:jc w:val="center"/>
              <w:rPr>
                <w:rFonts w:ascii="Arial" w:hAnsi="Arial" w:cs="Arial"/>
                <w:b/>
                <w:bCs/>
              </w:rPr>
            </w:pPr>
            <w:r>
              <w:rPr>
                <w:rFonts w:ascii="Arial" w:hAnsi="Arial"/>
                <w:b/>
                <w:bCs/>
              </w:rPr>
              <w:t>Variation</w:t>
            </w:r>
          </w:p>
          <w:p w:rsidR="009C7C35" w:rsidRPr="007729CF" w:rsidRDefault="00176602" w:rsidP="00810549">
            <w:pPr>
              <w:spacing w:line="276" w:lineRule="auto"/>
              <w:jc w:val="center"/>
              <w:rPr>
                <w:rFonts w:ascii="Arial" w:hAnsi="Arial" w:cs="Arial"/>
                <w:b/>
                <w:bCs/>
              </w:rPr>
            </w:pPr>
            <w:r>
              <w:rPr>
                <w:rFonts w:ascii="Arial" w:hAnsi="Arial"/>
                <w:b/>
                <w:bCs/>
              </w:rPr>
              <w:t>2018/2017</w:t>
            </w:r>
          </w:p>
        </w:tc>
      </w:tr>
      <w:tr w:rsidR="00F32AF4" w:rsidRPr="007729CF" w:rsidTr="00DB1BDC">
        <w:trPr>
          <w:trHeight w:val="253"/>
          <w:jc w:val="center"/>
        </w:trPr>
        <w:tc>
          <w:tcPr>
            <w:tcW w:w="4038" w:type="dxa"/>
            <w:vAlign w:val="center"/>
          </w:tcPr>
          <w:p w:rsidR="00F32AF4" w:rsidRPr="007729CF" w:rsidRDefault="00F32AF4" w:rsidP="00F32AF4">
            <w:pPr>
              <w:spacing w:line="276" w:lineRule="auto"/>
              <w:rPr>
                <w:rFonts w:ascii="Arial" w:hAnsi="Arial" w:cs="Arial"/>
                <w:bCs/>
              </w:rPr>
            </w:pPr>
            <w:r>
              <w:rPr>
                <w:rFonts w:ascii="Arial" w:hAnsi="Arial"/>
                <w:bCs/>
              </w:rPr>
              <w:t xml:space="preserve">Non-current assets </w:t>
            </w:r>
          </w:p>
        </w:tc>
        <w:tc>
          <w:tcPr>
            <w:tcW w:w="1902" w:type="dxa"/>
            <w:noWrap/>
            <w:vAlign w:val="center"/>
          </w:tcPr>
          <w:p w:rsidR="00F32AF4" w:rsidRDefault="00F32AF4" w:rsidP="00DB1BDC">
            <w:pPr>
              <w:widowControl/>
              <w:autoSpaceDE/>
              <w:autoSpaceDN/>
              <w:adjustRightInd/>
              <w:jc w:val="right"/>
              <w:rPr>
                <w:rFonts w:ascii="Arial" w:hAnsi="Arial" w:cs="Arial"/>
                <w:color w:val="000000"/>
              </w:rPr>
            </w:pPr>
            <w:r>
              <w:rPr>
                <w:rFonts w:ascii="Arial" w:hAnsi="Arial"/>
                <w:color w:val="000000"/>
              </w:rPr>
              <w:t>421,778</w:t>
            </w:r>
          </w:p>
        </w:tc>
        <w:tc>
          <w:tcPr>
            <w:tcW w:w="1890" w:type="dxa"/>
            <w:noWrap/>
            <w:vAlign w:val="center"/>
          </w:tcPr>
          <w:p w:rsidR="00F32AF4" w:rsidRPr="007729CF" w:rsidRDefault="00F32AF4" w:rsidP="00DB1BDC">
            <w:pPr>
              <w:jc w:val="right"/>
              <w:rPr>
                <w:rFonts w:ascii="Arial" w:hAnsi="Arial" w:cs="Arial"/>
              </w:rPr>
            </w:pPr>
            <w:r>
              <w:rPr>
                <w:rFonts w:ascii="Arial" w:hAnsi="Arial"/>
              </w:rPr>
              <w:t>410,682</w:t>
            </w:r>
          </w:p>
        </w:tc>
        <w:tc>
          <w:tcPr>
            <w:tcW w:w="1206" w:type="dxa"/>
            <w:vAlign w:val="center"/>
          </w:tcPr>
          <w:p w:rsidR="00F32AF4" w:rsidRDefault="009D4012" w:rsidP="00DB1BDC">
            <w:pPr>
              <w:widowControl/>
              <w:autoSpaceDE/>
              <w:autoSpaceDN/>
              <w:adjustRightInd/>
              <w:jc w:val="right"/>
              <w:rPr>
                <w:rFonts w:ascii="Arial" w:hAnsi="Arial" w:cs="Arial"/>
                <w:color w:val="000000"/>
              </w:rPr>
            </w:pPr>
            <w:r>
              <w:rPr>
                <w:rFonts w:ascii="Arial" w:hAnsi="Arial"/>
                <w:color w:val="000000"/>
              </w:rPr>
              <w:t>▲2.70%</w:t>
            </w:r>
          </w:p>
        </w:tc>
      </w:tr>
      <w:tr w:rsidR="00F32AF4" w:rsidRPr="007729CF" w:rsidTr="00DB1BDC">
        <w:trPr>
          <w:trHeight w:val="266"/>
          <w:jc w:val="center"/>
        </w:trPr>
        <w:tc>
          <w:tcPr>
            <w:tcW w:w="4038" w:type="dxa"/>
            <w:vAlign w:val="center"/>
          </w:tcPr>
          <w:p w:rsidR="00F32AF4" w:rsidRPr="007729CF" w:rsidRDefault="00F32AF4" w:rsidP="00F32AF4">
            <w:pPr>
              <w:spacing w:line="276" w:lineRule="auto"/>
              <w:rPr>
                <w:rFonts w:ascii="Arial" w:hAnsi="Arial" w:cs="Arial"/>
                <w:bCs/>
              </w:rPr>
            </w:pPr>
            <w:r>
              <w:rPr>
                <w:rFonts w:ascii="Arial" w:hAnsi="Arial"/>
                <w:bCs/>
              </w:rPr>
              <w:t>Current assets</w:t>
            </w:r>
          </w:p>
        </w:tc>
        <w:tc>
          <w:tcPr>
            <w:tcW w:w="1902" w:type="dxa"/>
            <w:noWrap/>
            <w:vAlign w:val="center"/>
          </w:tcPr>
          <w:p w:rsidR="00F32AF4" w:rsidRDefault="00F32AF4" w:rsidP="00DB1BDC">
            <w:pPr>
              <w:jc w:val="right"/>
              <w:rPr>
                <w:rFonts w:ascii="Arial" w:hAnsi="Arial" w:cs="Arial"/>
                <w:color w:val="000000"/>
              </w:rPr>
            </w:pPr>
            <w:r>
              <w:rPr>
                <w:rFonts w:ascii="Arial" w:hAnsi="Arial"/>
                <w:color w:val="000000"/>
              </w:rPr>
              <w:t>295,361</w:t>
            </w:r>
          </w:p>
        </w:tc>
        <w:tc>
          <w:tcPr>
            <w:tcW w:w="1890" w:type="dxa"/>
            <w:noWrap/>
            <w:vAlign w:val="center"/>
          </w:tcPr>
          <w:p w:rsidR="00F32AF4" w:rsidRPr="007729CF" w:rsidRDefault="00F32AF4" w:rsidP="00DB1BDC">
            <w:pPr>
              <w:jc w:val="right"/>
              <w:rPr>
                <w:rFonts w:ascii="Arial" w:hAnsi="Arial" w:cs="Arial"/>
              </w:rPr>
            </w:pPr>
            <w:r>
              <w:rPr>
                <w:rFonts w:ascii="Arial" w:hAnsi="Arial"/>
              </w:rPr>
              <w:t>338,091</w:t>
            </w:r>
          </w:p>
        </w:tc>
        <w:tc>
          <w:tcPr>
            <w:tcW w:w="1206" w:type="dxa"/>
            <w:vAlign w:val="center"/>
          </w:tcPr>
          <w:p w:rsidR="00F32AF4" w:rsidRDefault="005C0320" w:rsidP="00DB1BDC">
            <w:pPr>
              <w:jc w:val="right"/>
              <w:rPr>
                <w:rFonts w:ascii="Arial" w:hAnsi="Arial" w:cs="Arial"/>
                <w:color w:val="000000"/>
              </w:rPr>
            </w:pPr>
            <w:r>
              <w:rPr>
                <w:rFonts w:ascii="Arial" w:hAnsi="Arial"/>
                <w:b/>
                <w:bCs/>
              </w:rPr>
              <w:t>▼</w:t>
            </w:r>
            <w:r>
              <w:rPr>
                <w:rFonts w:ascii="Arial" w:hAnsi="Arial"/>
                <w:color w:val="000000"/>
              </w:rPr>
              <w:t>12.64%</w:t>
            </w:r>
          </w:p>
        </w:tc>
      </w:tr>
      <w:tr w:rsidR="00F32AF4" w:rsidRPr="007729CF" w:rsidTr="00DB1BDC">
        <w:trPr>
          <w:trHeight w:val="280"/>
          <w:jc w:val="center"/>
        </w:trPr>
        <w:tc>
          <w:tcPr>
            <w:tcW w:w="4038" w:type="dxa"/>
            <w:shd w:val="clear" w:color="auto" w:fill="DEEAF6" w:themeFill="accent1" w:themeFillTint="33"/>
            <w:vAlign w:val="center"/>
            <w:hideMark/>
          </w:tcPr>
          <w:p w:rsidR="00F32AF4" w:rsidRPr="007729CF" w:rsidRDefault="00F32AF4" w:rsidP="00F32AF4">
            <w:pPr>
              <w:spacing w:line="276" w:lineRule="auto"/>
              <w:rPr>
                <w:rFonts w:ascii="Arial" w:hAnsi="Arial" w:cs="Arial"/>
                <w:b/>
                <w:bCs/>
              </w:rPr>
            </w:pPr>
            <w:r>
              <w:rPr>
                <w:rFonts w:ascii="Arial" w:hAnsi="Arial"/>
                <w:b/>
                <w:bCs/>
              </w:rPr>
              <w:t>Total Assets</w:t>
            </w:r>
          </w:p>
        </w:tc>
        <w:tc>
          <w:tcPr>
            <w:tcW w:w="1902" w:type="dxa"/>
            <w:shd w:val="clear" w:color="auto" w:fill="DEEAF6" w:themeFill="accent1" w:themeFillTint="33"/>
            <w:noWrap/>
            <w:vAlign w:val="center"/>
          </w:tcPr>
          <w:p w:rsidR="00F32AF4" w:rsidRDefault="00F32AF4" w:rsidP="00DB1BDC">
            <w:pPr>
              <w:jc w:val="right"/>
              <w:rPr>
                <w:rFonts w:ascii="Arial" w:hAnsi="Arial" w:cs="Arial"/>
                <w:b/>
                <w:bCs/>
                <w:color w:val="000000"/>
              </w:rPr>
            </w:pPr>
            <w:r>
              <w:rPr>
                <w:rFonts w:ascii="Arial" w:hAnsi="Arial"/>
                <w:b/>
                <w:bCs/>
                <w:color w:val="000000"/>
              </w:rPr>
              <w:t>717,139</w:t>
            </w:r>
          </w:p>
        </w:tc>
        <w:tc>
          <w:tcPr>
            <w:tcW w:w="1890" w:type="dxa"/>
            <w:shd w:val="clear" w:color="auto" w:fill="DEEAF6" w:themeFill="accent1" w:themeFillTint="33"/>
            <w:noWrap/>
            <w:vAlign w:val="center"/>
          </w:tcPr>
          <w:p w:rsidR="00F32AF4" w:rsidRPr="007729CF" w:rsidRDefault="00F32AF4" w:rsidP="00DB1BDC">
            <w:pPr>
              <w:jc w:val="right"/>
              <w:rPr>
                <w:rFonts w:ascii="Arial" w:hAnsi="Arial" w:cs="Arial"/>
                <w:b/>
              </w:rPr>
            </w:pPr>
            <w:r>
              <w:rPr>
                <w:rFonts w:ascii="Arial" w:hAnsi="Arial"/>
                <w:b/>
              </w:rPr>
              <w:t>748,773</w:t>
            </w:r>
          </w:p>
        </w:tc>
        <w:tc>
          <w:tcPr>
            <w:tcW w:w="1206" w:type="dxa"/>
            <w:shd w:val="clear" w:color="auto" w:fill="DEEAF6" w:themeFill="accent1" w:themeFillTint="33"/>
            <w:vAlign w:val="center"/>
          </w:tcPr>
          <w:p w:rsidR="00F32AF4" w:rsidRDefault="005C0320" w:rsidP="00DB1BDC">
            <w:pPr>
              <w:jc w:val="right"/>
              <w:rPr>
                <w:rFonts w:ascii="Arial" w:hAnsi="Arial" w:cs="Arial"/>
                <w:b/>
                <w:bCs/>
                <w:color w:val="000000"/>
              </w:rPr>
            </w:pPr>
            <w:r>
              <w:rPr>
                <w:rFonts w:ascii="Arial" w:hAnsi="Arial"/>
                <w:b/>
                <w:bCs/>
              </w:rPr>
              <w:t>▼</w:t>
            </w:r>
            <w:r>
              <w:rPr>
                <w:rFonts w:ascii="Arial" w:hAnsi="Arial"/>
                <w:b/>
                <w:bCs/>
                <w:color w:val="000000"/>
              </w:rPr>
              <w:t>4.22%</w:t>
            </w:r>
          </w:p>
        </w:tc>
      </w:tr>
      <w:tr w:rsidR="00027B92" w:rsidRPr="007729CF" w:rsidTr="00A53EA5">
        <w:trPr>
          <w:trHeight w:val="280"/>
          <w:jc w:val="center"/>
        </w:trPr>
        <w:tc>
          <w:tcPr>
            <w:tcW w:w="9036" w:type="dxa"/>
            <w:gridSpan w:val="4"/>
            <w:vAlign w:val="center"/>
            <w:hideMark/>
          </w:tcPr>
          <w:p w:rsidR="00027B92" w:rsidRDefault="00027B92" w:rsidP="00DB1BDC">
            <w:pPr>
              <w:jc w:val="right"/>
              <w:rPr>
                <w:rFonts w:ascii="Arial" w:hAnsi="Arial" w:cs="Arial"/>
                <w:b/>
                <w:bCs/>
                <w:color w:val="FF0000"/>
              </w:rPr>
            </w:pPr>
          </w:p>
        </w:tc>
      </w:tr>
      <w:tr w:rsidR="00F32AF4" w:rsidRPr="007729CF" w:rsidTr="00DB1BDC">
        <w:trPr>
          <w:trHeight w:val="280"/>
          <w:jc w:val="center"/>
        </w:trPr>
        <w:tc>
          <w:tcPr>
            <w:tcW w:w="4038" w:type="dxa"/>
            <w:vAlign w:val="center"/>
            <w:hideMark/>
          </w:tcPr>
          <w:p w:rsidR="00F32AF4" w:rsidRPr="007729CF" w:rsidRDefault="00F32AF4" w:rsidP="00F32AF4">
            <w:pPr>
              <w:spacing w:line="276" w:lineRule="auto"/>
              <w:rPr>
                <w:rFonts w:ascii="Arial" w:hAnsi="Arial" w:cs="Arial"/>
                <w:b/>
                <w:bCs/>
              </w:rPr>
            </w:pPr>
            <w:r>
              <w:rPr>
                <w:rFonts w:ascii="Arial" w:hAnsi="Arial"/>
                <w:b/>
                <w:bCs/>
              </w:rPr>
              <w:lastRenderedPageBreak/>
              <w:t>Equities</w:t>
            </w:r>
          </w:p>
        </w:tc>
        <w:tc>
          <w:tcPr>
            <w:tcW w:w="1902" w:type="dxa"/>
            <w:noWrap/>
            <w:vAlign w:val="center"/>
          </w:tcPr>
          <w:p w:rsidR="00F32AF4" w:rsidRDefault="00F32AF4" w:rsidP="00DB1BDC">
            <w:pPr>
              <w:jc w:val="right"/>
              <w:rPr>
                <w:rFonts w:ascii="Arial" w:hAnsi="Arial" w:cs="Arial"/>
                <w:b/>
                <w:bCs/>
                <w:color w:val="000000"/>
              </w:rPr>
            </w:pPr>
            <w:r>
              <w:rPr>
                <w:rFonts w:ascii="Arial" w:hAnsi="Arial"/>
                <w:b/>
                <w:bCs/>
                <w:color w:val="000000"/>
              </w:rPr>
              <w:t>621,532</w:t>
            </w:r>
          </w:p>
        </w:tc>
        <w:tc>
          <w:tcPr>
            <w:tcW w:w="1890" w:type="dxa"/>
            <w:noWrap/>
            <w:vAlign w:val="center"/>
          </w:tcPr>
          <w:p w:rsidR="00F32AF4" w:rsidRPr="00555F32" w:rsidRDefault="00F32AF4" w:rsidP="00DB1BDC">
            <w:pPr>
              <w:jc w:val="right"/>
              <w:rPr>
                <w:rFonts w:ascii="Arial" w:hAnsi="Arial" w:cs="Arial"/>
                <w:b/>
              </w:rPr>
            </w:pPr>
            <w:r>
              <w:rPr>
                <w:rFonts w:ascii="Arial" w:hAnsi="Arial"/>
                <w:b/>
              </w:rPr>
              <w:t>658,400</w:t>
            </w:r>
          </w:p>
        </w:tc>
        <w:tc>
          <w:tcPr>
            <w:tcW w:w="1206" w:type="dxa"/>
            <w:vAlign w:val="center"/>
          </w:tcPr>
          <w:p w:rsidR="00F32AF4" w:rsidRPr="00555F32" w:rsidRDefault="005C0320" w:rsidP="00DB1BDC">
            <w:pPr>
              <w:jc w:val="right"/>
              <w:rPr>
                <w:rFonts w:ascii="Arial" w:hAnsi="Arial" w:cs="Arial"/>
                <w:b/>
                <w:color w:val="000000"/>
              </w:rPr>
            </w:pPr>
            <w:r>
              <w:rPr>
                <w:rFonts w:ascii="Arial" w:hAnsi="Arial"/>
                <w:b/>
                <w:bCs/>
              </w:rPr>
              <w:t>▼</w:t>
            </w:r>
            <w:r>
              <w:rPr>
                <w:rFonts w:ascii="Arial" w:hAnsi="Arial"/>
                <w:b/>
                <w:color w:val="000000"/>
              </w:rPr>
              <w:t>5.60%</w:t>
            </w:r>
          </w:p>
        </w:tc>
      </w:tr>
      <w:tr w:rsidR="00F32AF4" w:rsidRPr="007729CF" w:rsidTr="00DB1BDC">
        <w:trPr>
          <w:trHeight w:val="352"/>
          <w:jc w:val="center"/>
        </w:trPr>
        <w:tc>
          <w:tcPr>
            <w:tcW w:w="4038" w:type="dxa"/>
            <w:vAlign w:val="center"/>
            <w:hideMark/>
          </w:tcPr>
          <w:p w:rsidR="00F32AF4" w:rsidRPr="007729CF" w:rsidRDefault="00F32AF4" w:rsidP="00F32AF4">
            <w:pPr>
              <w:spacing w:line="276" w:lineRule="auto"/>
              <w:rPr>
                <w:rFonts w:ascii="Arial" w:hAnsi="Arial" w:cs="Arial"/>
                <w:b/>
                <w:bCs/>
              </w:rPr>
            </w:pPr>
            <w:r>
              <w:rPr>
                <w:rFonts w:ascii="Arial" w:hAnsi="Arial"/>
                <w:b/>
              </w:rPr>
              <w:t xml:space="preserve">Deferred income                                                        </w:t>
            </w:r>
          </w:p>
        </w:tc>
        <w:tc>
          <w:tcPr>
            <w:tcW w:w="1902" w:type="dxa"/>
            <w:noWrap/>
            <w:vAlign w:val="center"/>
          </w:tcPr>
          <w:p w:rsidR="00F32AF4" w:rsidRDefault="00F32AF4" w:rsidP="00DB1BDC">
            <w:pPr>
              <w:jc w:val="right"/>
              <w:rPr>
                <w:rFonts w:ascii="Arial" w:hAnsi="Arial" w:cs="Arial"/>
                <w:b/>
                <w:bCs/>
                <w:color w:val="000000"/>
              </w:rPr>
            </w:pPr>
            <w:r>
              <w:rPr>
                <w:rFonts w:ascii="Arial" w:hAnsi="Arial"/>
                <w:b/>
                <w:bCs/>
                <w:color w:val="000000"/>
              </w:rPr>
              <w:t>1,259</w:t>
            </w:r>
          </w:p>
        </w:tc>
        <w:tc>
          <w:tcPr>
            <w:tcW w:w="1890" w:type="dxa"/>
            <w:noWrap/>
            <w:vAlign w:val="center"/>
          </w:tcPr>
          <w:p w:rsidR="00F32AF4" w:rsidRPr="00555F32" w:rsidRDefault="00F32AF4" w:rsidP="00DB1BDC">
            <w:pPr>
              <w:jc w:val="right"/>
              <w:rPr>
                <w:rFonts w:ascii="Arial" w:hAnsi="Arial" w:cs="Arial"/>
                <w:b/>
              </w:rPr>
            </w:pPr>
            <w:r>
              <w:rPr>
                <w:rFonts w:ascii="Arial" w:hAnsi="Arial"/>
                <w:b/>
              </w:rPr>
              <w:t>1,326</w:t>
            </w:r>
          </w:p>
        </w:tc>
        <w:tc>
          <w:tcPr>
            <w:tcW w:w="1206" w:type="dxa"/>
            <w:vAlign w:val="center"/>
          </w:tcPr>
          <w:p w:rsidR="00F32AF4" w:rsidRPr="00555F32" w:rsidRDefault="005C0320" w:rsidP="00DB1BDC">
            <w:pPr>
              <w:jc w:val="right"/>
              <w:rPr>
                <w:rFonts w:ascii="Arial" w:hAnsi="Arial" w:cs="Arial"/>
                <w:b/>
                <w:color w:val="000000"/>
              </w:rPr>
            </w:pPr>
            <w:r>
              <w:rPr>
                <w:rFonts w:ascii="Arial" w:hAnsi="Arial"/>
                <w:b/>
                <w:bCs/>
              </w:rPr>
              <w:t>▼</w:t>
            </w:r>
            <w:r>
              <w:rPr>
                <w:rFonts w:ascii="Arial" w:hAnsi="Arial"/>
                <w:b/>
                <w:color w:val="000000"/>
              </w:rPr>
              <w:t>5.05%</w:t>
            </w:r>
          </w:p>
        </w:tc>
      </w:tr>
      <w:tr w:rsidR="00F32AF4" w:rsidRPr="007729CF" w:rsidTr="00DB1BDC">
        <w:trPr>
          <w:trHeight w:val="266"/>
          <w:jc w:val="center"/>
        </w:trPr>
        <w:tc>
          <w:tcPr>
            <w:tcW w:w="4038" w:type="dxa"/>
            <w:vAlign w:val="center"/>
            <w:hideMark/>
          </w:tcPr>
          <w:p w:rsidR="00F32AF4" w:rsidRPr="007729CF" w:rsidRDefault="00F32AF4" w:rsidP="00F32AF4">
            <w:pPr>
              <w:spacing w:line="276" w:lineRule="auto"/>
              <w:rPr>
                <w:rFonts w:ascii="Arial" w:hAnsi="Arial" w:cs="Arial"/>
                <w:b/>
                <w:bCs/>
              </w:rPr>
            </w:pPr>
            <w:r>
              <w:rPr>
                <w:rFonts w:ascii="Arial" w:hAnsi="Arial"/>
                <w:b/>
                <w:bCs/>
              </w:rPr>
              <w:t xml:space="preserve">Total liabilities </w:t>
            </w:r>
          </w:p>
        </w:tc>
        <w:tc>
          <w:tcPr>
            <w:tcW w:w="1902" w:type="dxa"/>
            <w:noWrap/>
            <w:vAlign w:val="center"/>
          </w:tcPr>
          <w:p w:rsidR="00F32AF4" w:rsidRDefault="00DF47F2" w:rsidP="00DB1BDC">
            <w:pPr>
              <w:jc w:val="right"/>
              <w:rPr>
                <w:rFonts w:ascii="Arial" w:hAnsi="Arial" w:cs="Arial"/>
                <w:b/>
                <w:bCs/>
                <w:color w:val="000000"/>
              </w:rPr>
            </w:pPr>
            <w:r>
              <w:rPr>
                <w:rFonts w:ascii="Arial" w:hAnsi="Arial"/>
                <w:b/>
                <w:bCs/>
                <w:color w:val="000000"/>
              </w:rPr>
              <w:t>94,348</w:t>
            </w:r>
          </w:p>
        </w:tc>
        <w:tc>
          <w:tcPr>
            <w:tcW w:w="1890" w:type="dxa"/>
            <w:noWrap/>
            <w:vAlign w:val="center"/>
          </w:tcPr>
          <w:p w:rsidR="00F32AF4" w:rsidRPr="00555F32" w:rsidRDefault="00F32AF4" w:rsidP="00DB1BDC">
            <w:pPr>
              <w:jc w:val="right"/>
              <w:rPr>
                <w:rFonts w:ascii="Arial" w:hAnsi="Arial" w:cs="Arial"/>
                <w:b/>
              </w:rPr>
            </w:pPr>
            <w:r>
              <w:rPr>
                <w:rFonts w:ascii="Arial" w:hAnsi="Arial"/>
                <w:b/>
              </w:rPr>
              <w:t>89,047</w:t>
            </w:r>
          </w:p>
        </w:tc>
        <w:tc>
          <w:tcPr>
            <w:tcW w:w="1206" w:type="dxa"/>
            <w:vAlign w:val="center"/>
          </w:tcPr>
          <w:p w:rsidR="00F32AF4" w:rsidRPr="00555F32" w:rsidRDefault="009D4012" w:rsidP="00DB1BDC">
            <w:pPr>
              <w:jc w:val="right"/>
              <w:rPr>
                <w:rFonts w:ascii="Arial" w:hAnsi="Arial" w:cs="Arial"/>
                <w:b/>
                <w:color w:val="000000"/>
              </w:rPr>
            </w:pPr>
            <w:r>
              <w:rPr>
                <w:rFonts w:ascii="Arial" w:hAnsi="Arial"/>
                <w:b/>
                <w:color w:val="000000"/>
              </w:rPr>
              <w:t>▲5.95%</w:t>
            </w:r>
          </w:p>
        </w:tc>
      </w:tr>
      <w:tr w:rsidR="00F32AF4" w:rsidRPr="007729CF" w:rsidTr="00DB1BDC">
        <w:trPr>
          <w:trHeight w:val="343"/>
          <w:jc w:val="center"/>
        </w:trPr>
        <w:tc>
          <w:tcPr>
            <w:tcW w:w="4038" w:type="dxa"/>
            <w:shd w:val="clear" w:color="auto" w:fill="DEEAF6" w:themeFill="accent1" w:themeFillTint="33"/>
            <w:vAlign w:val="center"/>
            <w:hideMark/>
          </w:tcPr>
          <w:p w:rsidR="00F32AF4" w:rsidRPr="007729CF" w:rsidRDefault="00F32AF4" w:rsidP="00F32AF4">
            <w:pPr>
              <w:spacing w:line="276" w:lineRule="auto"/>
              <w:rPr>
                <w:rFonts w:ascii="Arial" w:hAnsi="Arial" w:cs="Arial"/>
                <w:b/>
                <w:bCs/>
              </w:rPr>
            </w:pPr>
            <w:r>
              <w:rPr>
                <w:rFonts w:ascii="Arial" w:hAnsi="Arial"/>
                <w:b/>
                <w:bCs/>
              </w:rPr>
              <w:t>Shareholders’ equity and liabilities</w:t>
            </w:r>
          </w:p>
        </w:tc>
        <w:tc>
          <w:tcPr>
            <w:tcW w:w="1902" w:type="dxa"/>
            <w:shd w:val="clear" w:color="auto" w:fill="DEEAF6" w:themeFill="accent1" w:themeFillTint="33"/>
            <w:noWrap/>
            <w:vAlign w:val="center"/>
          </w:tcPr>
          <w:p w:rsidR="00F32AF4" w:rsidRDefault="00F32AF4" w:rsidP="00DB1BDC">
            <w:pPr>
              <w:jc w:val="right"/>
              <w:rPr>
                <w:rFonts w:ascii="Arial" w:hAnsi="Arial" w:cs="Arial"/>
                <w:b/>
                <w:bCs/>
                <w:color w:val="000000"/>
              </w:rPr>
            </w:pPr>
            <w:r>
              <w:rPr>
                <w:rFonts w:ascii="Arial" w:hAnsi="Arial"/>
                <w:b/>
                <w:bCs/>
                <w:color w:val="000000"/>
              </w:rPr>
              <w:t>717,139</w:t>
            </w:r>
          </w:p>
        </w:tc>
        <w:tc>
          <w:tcPr>
            <w:tcW w:w="1890" w:type="dxa"/>
            <w:shd w:val="clear" w:color="auto" w:fill="DEEAF6" w:themeFill="accent1" w:themeFillTint="33"/>
            <w:noWrap/>
            <w:vAlign w:val="center"/>
          </w:tcPr>
          <w:p w:rsidR="00F32AF4" w:rsidRPr="007729CF" w:rsidRDefault="00F32AF4" w:rsidP="00DB1BDC">
            <w:pPr>
              <w:jc w:val="right"/>
              <w:rPr>
                <w:rFonts w:ascii="Arial" w:hAnsi="Arial" w:cs="Arial"/>
                <w:b/>
              </w:rPr>
            </w:pPr>
            <w:r>
              <w:rPr>
                <w:rFonts w:ascii="Arial" w:hAnsi="Arial"/>
                <w:b/>
              </w:rPr>
              <w:t>748,773</w:t>
            </w:r>
          </w:p>
        </w:tc>
        <w:tc>
          <w:tcPr>
            <w:tcW w:w="1206" w:type="dxa"/>
            <w:shd w:val="clear" w:color="auto" w:fill="DEEAF6" w:themeFill="accent1" w:themeFillTint="33"/>
            <w:vAlign w:val="center"/>
          </w:tcPr>
          <w:p w:rsidR="00F32AF4" w:rsidRDefault="005C0320" w:rsidP="00DB1BDC">
            <w:pPr>
              <w:jc w:val="right"/>
              <w:rPr>
                <w:rFonts w:ascii="Arial" w:hAnsi="Arial" w:cs="Arial"/>
                <w:b/>
                <w:bCs/>
                <w:color w:val="000000"/>
              </w:rPr>
            </w:pPr>
            <w:r>
              <w:rPr>
                <w:rFonts w:ascii="Arial" w:hAnsi="Arial"/>
                <w:b/>
                <w:bCs/>
              </w:rPr>
              <w:t>▼</w:t>
            </w:r>
            <w:r>
              <w:rPr>
                <w:rFonts w:ascii="Arial" w:hAnsi="Arial"/>
                <w:b/>
                <w:bCs/>
                <w:color w:val="000000"/>
              </w:rPr>
              <w:t>4.22%</w:t>
            </w:r>
          </w:p>
        </w:tc>
      </w:tr>
    </w:tbl>
    <w:p w:rsidR="00176602" w:rsidRDefault="00176602" w:rsidP="00E20FB9">
      <w:pPr>
        <w:widowControl/>
        <w:autoSpaceDE/>
        <w:autoSpaceDN/>
        <w:adjustRightInd/>
        <w:spacing w:after="120"/>
        <w:jc w:val="center"/>
        <w:rPr>
          <w:rFonts w:ascii="Arial" w:hAnsi="Arial" w:cs="Arial"/>
          <w:i/>
          <w:sz w:val="18"/>
          <w:szCs w:val="18"/>
          <w:lang w:val="fr-FR" w:eastAsia="en-US"/>
        </w:rPr>
      </w:pPr>
    </w:p>
    <w:p w:rsidR="00DD357E" w:rsidRPr="00E20FB9" w:rsidRDefault="001929CB" w:rsidP="00E20FB9">
      <w:pPr>
        <w:widowControl/>
        <w:autoSpaceDE/>
        <w:autoSpaceDN/>
        <w:adjustRightInd/>
        <w:spacing w:after="120"/>
        <w:jc w:val="center"/>
        <w:rPr>
          <w:rFonts w:ascii="Arial" w:hAnsi="Arial" w:cs="Arial"/>
          <w:i/>
          <w:sz w:val="18"/>
          <w:szCs w:val="18"/>
        </w:rPr>
      </w:pPr>
      <w:r>
        <w:rPr>
          <w:rFonts w:ascii="Arial" w:hAnsi="Arial"/>
          <w:i/>
          <w:sz w:val="18"/>
          <w:szCs w:val="18"/>
        </w:rPr>
        <w:t>Table 10 - Synthesis of the company’s financial standing at 30.06.2018 as compared to 31.12.2017</w:t>
      </w:r>
    </w:p>
    <w:p w:rsidR="00E20FB9" w:rsidRDefault="00E20FB9" w:rsidP="009C7C35">
      <w:pPr>
        <w:widowControl/>
        <w:autoSpaceDE/>
        <w:autoSpaceDN/>
        <w:adjustRightInd/>
        <w:spacing w:line="276" w:lineRule="auto"/>
        <w:rPr>
          <w:rFonts w:ascii="Arial" w:hAnsi="Arial" w:cs="Arial"/>
          <w:sz w:val="22"/>
          <w:szCs w:val="22"/>
          <w:lang w:eastAsia="en-US"/>
        </w:rPr>
      </w:pPr>
    </w:p>
    <w:p w:rsidR="003B3982" w:rsidRPr="00555F32" w:rsidRDefault="00B7422D" w:rsidP="009C7C35">
      <w:pPr>
        <w:widowControl/>
        <w:autoSpaceDE/>
        <w:autoSpaceDN/>
        <w:adjustRightInd/>
        <w:spacing w:line="276" w:lineRule="auto"/>
        <w:rPr>
          <w:rFonts w:ascii="Arial" w:hAnsi="Arial" w:cs="Arial"/>
          <w:sz w:val="22"/>
          <w:szCs w:val="22"/>
        </w:rPr>
      </w:pPr>
      <w:r>
        <w:rPr>
          <w:rFonts w:ascii="Arial" w:hAnsi="Arial"/>
          <w:sz w:val="22"/>
          <w:szCs w:val="22"/>
        </w:rPr>
        <w:t>The extended variant of the financial standing at June 30, 2018 is presented in Annex no. 1.</w:t>
      </w:r>
    </w:p>
    <w:p w:rsidR="00065B41" w:rsidRPr="00A72BEA" w:rsidRDefault="00065B41" w:rsidP="00170C8B">
      <w:pPr>
        <w:widowControl/>
        <w:autoSpaceDE/>
        <w:autoSpaceDN/>
        <w:adjustRightInd/>
        <w:spacing w:line="200" w:lineRule="exact"/>
        <w:rPr>
          <w:rFonts w:ascii="Arial" w:hAnsi="Arial" w:cs="Arial"/>
          <w:b/>
          <w:color w:val="FF0000"/>
          <w:sz w:val="22"/>
          <w:szCs w:val="22"/>
          <w:lang w:eastAsia="en-US"/>
        </w:rPr>
      </w:pPr>
    </w:p>
    <w:p w:rsidR="00C95317" w:rsidRPr="00555F32" w:rsidRDefault="00C95317" w:rsidP="000502E4">
      <w:pPr>
        <w:widowControl/>
        <w:autoSpaceDE/>
        <w:autoSpaceDN/>
        <w:adjustRightInd/>
        <w:spacing w:line="276" w:lineRule="auto"/>
        <w:jc w:val="both"/>
        <w:rPr>
          <w:rFonts w:ascii="Arial" w:hAnsi="Arial" w:cs="Arial"/>
          <w:sz w:val="22"/>
          <w:szCs w:val="22"/>
        </w:rPr>
      </w:pPr>
      <w:r>
        <w:rPr>
          <w:rFonts w:ascii="Arial" w:hAnsi="Arial"/>
          <w:b/>
          <w:color w:val="1F4E79" w:themeColor="accent1" w:themeShade="80"/>
          <w:sz w:val="22"/>
          <w:szCs w:val="22"/>
        </w:rPr>
        <w:t xml:space="preserve">The total </w:t>
      </w:r>
      <w:proofErr w:type="gramStart"/>
      <w:r>
        <w:rPr>
          <w:rFonts w:ascii="Arial" w:hAnsi="Arial"/>
          <w:b/>
          <w:color w:val="1F4E79" w:themeColor="accent1" w:themeShade="80"/>
          <w:sz w:val="22"/>
          <w:szCs w:val="22"/>
        </w:rPr>
        <w:t>assets</w:t>
      </w:r>
      <w:r>
        <w:rPr>
          <w:rFonts w:ascii="Arial" w:hAnsi="Arial"/>
          <w:color w:val="1F4E79" w:themeColor="accent1" w:themeShade="80"/>
          <w:sz w:val="22"/>
          <w:szCs w:val="22"/>
        </w:rPr>
        <w:t xml:space="preserve"> </w:t>
      </w:r>
      <w:r>
        <w:rPr>
          <w:rFonts w:ascii="Arial" w:hAnsi="Arial"/>
          <w:sz w:val="22"/>
          <w:szCs w:val="22"/>
        </w:rPr>
        <w:t xml:space="preserve"> decreased</w:t>
      </w:r>
      <w:proofErr w:type="gramEnd"/>
      <w:r>
        <w:rPr>
          <w:rFonts w:ascii="Arial" w:hAnsi="Arial"/>
          <w:sz w:val="22"/>
          <w:szCs w:val="22"/>
        </w:rPr>
        <w:t xml:space="preserve"> by 4.22% (31,634 thousand RON) as compared to the level recorded at December 31, 2017 following the decrease of the circulating assets.</w:t>
      </w:r>
    </w:p>
    <w:p w:rsidR="00D70714" w:rsidRPr="00A72BEA" w:rsidRDefault="00D70714" w:rsidP="00B30ED3">
      <w:pPr>
        <w:widowControl/>
        <w:autoSpaceDE/>
        <w:autoSpaceDN/>
        <w:adjustRightInd/>
        <w:spacing w:line="276" w:lineRule="auto"/>
        <w:jc w:val="both"/>
        <w:rPr>
          <w:rFonts w:ascii="Arial" w:hAnsi="Arial" w:cs="Arial"/>
          <w:color w:val="FF0000"/>
          <w:sz w:val="16"/>
          <w:szCs w:val="16"/>
          <w:lang w:val="fr-FR" w:eastAsia="en-US"/>
        </w:rPr>
      </w:pPr>
    </w:p>
    <w:p w:rsidR="002C7CCD" w:rsidRPr="00555F32" w:rsidRDefault="00D70714" w:rsidP="00B30ED3">
      <w:pPr>
        <w:widowControl/>
        <w:autoSpaceDE/>
        <w:autoSpaceDN/>
        <w:adjustRightInd/>
        <w:spacing w:line="276" w:lineRule="auto"/>
        <w:jc w:val="both"/>
        <w:rPr>
          <w:rFonts w:ascii="Arial" w:hAnsi="Arial" w:cs="Arial"/>
          <w:sz w:val="22"/>
          <w:szCs w:val="22"/>
        </w:rPr>
      </w:pPr>
      <w:r>
        <w:rPr>
          <w:rFonts w:ascii="Arial" w:hAnsi="Arial"/>
          <w:b/>
          <w:color w:val="1F4E79" w:themeColor="accent1" w:themeShade="80"/>
          <w:sz w:val="22"/>
          <w:szCs w:val="22"/>
        </w:rPr>
        <w:t xml:space="preserve">The intangible </w:t>
      </w:r>
      <w:proofErr w:type="gramStart"/>
      <w:r>
        <w:rPr>
          <w:rFonts w:ascii="Arial" w:hAnsi="Arial"/>
          <w:b/>
          <w:color w:val="1F4E79" w:themeColor="accent1" w:themeShade="80"/>
          <w:sz w:val="22"/>
          <w:szCs w:val="22"/>
        </w:rPr>
        <w:t>assets</w:t>
      </w:r>
      <w:r>
        <w:rPr>
          <w:rFonts w:ascii="Arial" w:hAnsi="Arial"/>
          <w:color w:val="1F4E79" w:themeColor="accent1" w:themeShade="80"/>
          <w:sz w:val="22"/>
          <w:szCs w:val="22"/>
        </w:rPr>
        <w:t xml:space="preserve"> </w:t>
      </w:r>
      <w:r>
        <w:rPr>
          <w:rFonts w:ascii="Arial" w:hAnsi="Arial"/>
          <w:sz w:val="22"/>
          <w:szCs w:val="22"/>
        </w:rPr>
        <w:t xml:space="preserve"> recorded</w:t>
      </w:r>
      <w:proofErr w:type="gramEnd"/>
      <w:r>
        <w:rPr>
          <w:rFonts w:ascii="Arial" w:hAnsi="Arial"/>
          <w:sz w:val="22"/>
          <w:szCs w:val="22"/>
        </w:rPr>
        <w:t>, at 30.06.2018, 2.70% increase, as compared to December 31, 2017</w:t>
      </w:r>
      <w:r w:rsidR="008E4135">
        <w:rPr>
          <w:rFonts w:ascii="Arial" w:hAnsi="Arial"/>
          <w:sz w:val="22"/>
          <w:szCs w:val="22"/>
        </w:rPr>
        <w:t>, mainly generated</w:t>
      </w:r>
      <w:r>
        <w:rPr>
          <w:rFonts w:ascii="Arial" w:hAnsi="Arial"/>
          <w:sz w:val="22"/>
          <w:szCs w:val="22"/>
        </w:rPr>
        <w:t xml:space="preserve"> by input of fixed assets in a value higher than the value of the amortization registered in 2018 H1.</w:t>
      </w:r>
    </w:p>
    <w:p w:rsidR="0053792A" w:rsidRDefault="0053792A" w:rsidP="00B30ED3">
      <w:pPr>
        <w:widowControl/>
        <w:autoSpaceDE/>
        <w:autoSpaceDN/>
        <w:adjustRightInd/>
        <w:spacing w:line="276" w:lineRule="auto"/>
        <w:jc w:val="both"/>
        <w:rPr>
          <w:rFonts w:ascii="Arial" w:hAnsi="Arial" w:cs="Arial"/>
          <w:color w:val="FF0000"/>
          <w:sz w:val="16"/>
          <w:szCs w:val="16"/>
          <w:lang w:val="fr-FR" w:eastAsia="en-US"/>
        </w:rPr>
      </w:pPr>
    </w:p>
    <w:p w:rsidR="00805DA2" w:rsidRDefault="00805DA2" w:rsidP="00805DA2">
      <w:pPr>
        <w:pStyle w:val="Text"/>
        <w:tabs>
          <w:tab w:val="left" w:pos="450"/>
        </w:tabs>
        <w:spacing w:after="0" w:line="276" w:lineRule="auto"/>
        <w:rPr>
          <w:rFonts w:ascii="Arial" w:hAnsi="Arial" w:cs="Arial"/>
          <w:szCs w:val="22"/>
        </w:rPr>
      </w:pPr>
      <w:r>
        <w:rPr>
          <w:rFonts w:ascii="Arial" w:hAnsi="Arial"/>
          <w:b/>
          <w:color w:val="1F4E79" w:themeColor="accent1" w:themeShade="80"/>
          <w:szCs w:val="22"/>
        </w:rPr>
        <w:t xml:space="preserve">The current </w:t>
      </w:r>
      <w:proofErr w:type="gramStart"/>
      <w:r>
        <w:rPr>
          <w:rFonts w:ascii="Arial" w:hAnsi="Arial"/>
          <w:b/>
          <w:color w:val="1F4E79" w:themeColor="accent1" w:themeShade="80"/>
          <w:szCs w:val="22"/>
        </w:rPr>
        <w:t>assets</w:t>
      </w:r>
      <w:r>
        <w:rPr>
          <w:rFonts w:ascii="Arial" w:hAnsi="Arial"/>
          <w:color w:val="1F4E79" w:themeColor="accent1" w:themeShade="80"/>
          <w:szCs w:val="22"/>
        </w:rPr>
        <w:t xml:space="preserve"> </w:t>
      </w:r>
      <w:r>
        <w:rPr>
          <w:rFonts w:ascii="Arial" w:hAnsi="Arial"/>
          <w:szCs w:val="22"/>
        </w:rPr>
        <w:t xml:space="preserve"> lowered</w:t>
      </w:r>
      <w:proofErr w:type="gramEnd"/>
      <w:r>
        <w:rPr>
          <w:rFonts w:ascii="Arial" w:hAnsi="Arial"/>
          <w:szCs w:val="22"/>
        </w:rPr>
        <w:t xml:space="preserve"> by 12.64%  (42,730 thousand RON), from 338,091 thousand RON at 31.12.</w:t>
      </w:r>
      <w:r w:rsidR="008E4135">
        <w:rPr>
          <w:rFonts w:ascii="Arial" w:hAnsi="Arial"/>
          <w:szCs w:val="22"/>
        </w:rPr>
        <w:t>2017 to 295,361 thousand RON</w:t>
      </w:r>
      <w:r>
        <w:rPr>
          <w:rFonts w:ascii="Arial" w:hAnsi="Arial"/>
          <w:szCs w:val="22"/>
        </w:rPr>
        <w:t xml:space="preserve"> at 30.06.2018. The decrease was mainly determined by the diminution of the cash availabilities due to the dividends payment in June 2018.</w:t>
      </w:r>
    </w:p>
    <w:p w:rsidR="00805DA2" w:rsidRDefault="00805DA2" w:rsidP="00805DA2">
      <w:pPr>
        <w:pStyle w:val="Text"/>
        <w:tabs>
          <w:tab w:val="left" w:pos="450"/>
        </w:tabs>
        <w:spacing w:after="0" w:line="276" w:lineRule="auto"/>
        <w:rPr>
          <w:rFonts w:ascii="Arial" w:hAnsi="Arial" w:cs="Arial"/>
          <w:szCs w:val="22"/>
        </w:rPr>
      </w:pPr>
    </w:p>
    <w:p w:rsidR="00805DA2" w:rsidRDefault="00805DA2" w:rsidP="00805DA2">
      <w:pPr>
        <w:widowControl/>
        <w:tabs>
          <w:tab w:val="left" w:pos="450"/>
        </w:tabs>
        <w:overflowPunct w:val="0"/>
        <w:spacing w:line="276" w:lineRule="auto"/>
        <w:jc w:val="both"/>
        <w:textAlignment w:val="baseline"/>
        <w:rPr>
          <w:rFonts w:ascii="Arial" w:hAnsi="Arial" w:cs="Arial"/>
          <w:sz w:val="22"/>
          <w:szCs w:val="22"/>
        </w:rPr>
      </w:pPr>
      <w:r>
        <w:rPr>
          <w:rFonts w:ascii="Arial" w:hAnsi="Arial"/>
          <w:sz w:val="22"/>
          <w:szCs w:val="22"/>
        </w:rPr>
        <w:t xml:space="preserve">At 30.06.2018, the modernization quota in bank accounts and in government securities amounted to 200,411 </w:t>
      </w:r>
      <w:proofErr w:type="gramStart"/>
      <w:r>
        <w:rPr>
          <w:rFonts w:ascii="Arial" w:hAnsi="Arial"/>
          <w:sz w:val="22"/>
          <w:szCs w:val="22"/>
        </w:rPr>
        <w:t xml:space="preserve">thousand </w:t>
      </w:r>
      <w:r>
        <w:rPr>
          <w:rFonts w:ascii="Arial" w:hAnsi="Arial"/>
          <w:sz w:val="24"/>
          <w:szCs w:val="22"/>
        </w:rPr>
        <w:t xml:space="preserve"> </w:t>
      </w:r>
      <w:r>
        <w:rPr>
          <w:rFonts w:ascii="Arial" w:hAnsi="Arial"/>
          <w:sz w:val="22"/>
          <w:szCs w:val="22"/>
        </w:rPr>
        <w:t>RON</w:t>
      </w:r>
      <w:proofErr w:type="gramEnd"/>
      <w:r>
        <w:rPr>
          <w:rFonts w:ascii="Arial" w:hAnsi="Arial"/>
          <w:sz w:val="22"/>
          <w:szCs w:val="22"/>
        </w:rPr>
        <w:t>, lower by 11,441 thousand RON as compared to the modernization quota registered at 31.12.2017 (211,852 thousand RON</w:t>
      </w:r>
      <w:r w:rsidR="008E4135">
        <w:rPr>
          <w:rFonts w:ascii="Arial" w:hAnsi="Arial"/>
          <w:sz w:val="22"/>
          <w:szCs w:val="22"/>
        </w:rPr>
        <w:t>)</w:t>
      </w:r>
      <w:r>
        <w:rPr>
          <w:rFonts w:ascii="Arial" w:hAnsi="Arial"/>
          <w:sz w:val="22"/>
          <w:szCs w:val="22"/>
        </w:rPr>
        <w:t xml:space="preserve">. The cash representing the modernization quota has a special regime, provided in GD no. 168/1998, this </w:t>
      </w:r>
      <w:proofErr w:type="gramStart"/>
      <w:r>
        <w:rPr>
          <w:rFonts w:ascii="Arial" w:hAnsi="Arial"/>
          <w:sz w:val="22"/>
          <w:szCs w:val="22"/>
        </w:rPr>
        <w:t>being  destined</w:t>
      </w:r>
      <w:proofErr w:type="gramEnd"/>
      <w:r>
        <w:rPr>
          <w:rFonts w:ascii="Arial" w:hAnsi="Arial"/>
          <w:sz w:val="22"/>
          <w:szCs w:val="22"/>
        </w:rPr>
        <w:t xml:space="preserve"> exclusively to the financing of the modernization works and development works related to the goods belonging to the public domain.</w:t>
      </w:r>
    </w:p>
    <w:p w:rsidR="00805DA2" w:rsidRPr="0053792A" w:rsidRDefault="00805DA2" w:rsidP="00805DA2">
      <w:pPr>
        <w:tabs>
          <w:tab w:val="left" w:pos="450"/>
        </w:tabs>
        <w:spacing w:line="276" w:lineRule="auto"/>
        <w:jc w:val="both"/>
        <w:rPr>
          <w:rFonts w:ascii="Arial" w:hAnsi="Arial" w:cs="Arial"/>
          <w:b/>
          <w:sz w:val="16"/>
          <w:szCs w:val="16"/>
        </w:rPr>
      </w:pPr>
    </w:p>
    <w:p w:rsidR="00805DA2" w:rsidRPr="00DB1CA0" w:rsidRDefault="00805DA2" w:rsidP="00805DA2">
      <w:pPr>
        <w:tabs>
          <w:tab w:val="left" w:pos="450"/>
        </w:tabs>
        <w:spacing w:line="276" w:lineRule="auto"/>
        <w:jc w:val="both"/>
        <w:rPr>
          <w:rFonts w:ascii="Arial" w:hAnsi="Arial" w:cs="Arial"/>
          <w:sz w:val="22"/>
          <w:szCs w:val="22"/>
        </w:rPr>
      </w:pPr>
      <w:r>
        <w:rPr>
          <w:rFonts w:ascii="Arial" w:hAnsi="Arial"/>
          <w:b/>
          <w:color w:val="1F4E79" w:themeColor="accent1" w:themeShade="80"/>
          <w:sz w:val="22"/>
          <w:szCs w:val="22"/>
        </w:rPr>
        <w:t xml:space="preserve">The </w:t>
      </w:r>
      <w:proofErr w:type="gramStart"/>
      <w:r>
        <w:rPr>
          <w:rFonts w:ascii="Arial" w:hAnsi="Arial"/>
          <w:b/>
          <w:color w:val="1F4E79" w:themeColor="accent1" w:themeShade="80"/>
          <w:sz w:val="22"/>
          <w:szCs w:val="22"/>
        </w:rPr>
        <w:t>equities</w:t>
      </w:r>
      <w:r>
        <w:rPr>
          <w:rFonts w:ascii="Arial" w:hAnsi="Arial"/>
          <w:color w:val="1F4E79" w:themeColor="accent1" w:themeShade="80"/>
          <w:sz w:val="22"/>
          <w:szCs w:val="22"/>
        </w:rPr>
        <w:t xml:space="preserve"> </w:t>
      </w:r>
      <w:r>
        <w:rPr>
          <w:rFonts w:ascii="Arial" w:hAnsi="Arial"/>
          <w:sz w:val="22"/>
          <w:szCs w:val="22"/>
        </w:rPr>
        <w:t xml:space="preserve"> lowered</w:t>
      </w:r>
      <w:proofErr w:type="gramEnd"/>
      <w:r>
        <w:rPr>
          <w:rFonts w:ascii="Arial" w:hAnsi="Arial"/>
          <w:sz w:val="22"/>
          <w:szCs w:val="22"/>
        </w:rPr>
        <w:t xml:space="preserve"> by 5.60% (36,868 thousand RON) as compared to December 31, 2017  reaching 621,532 thousand RON, the decrease being determined by the amendment of the following capital elements:</w:t>
      </w:r>
    </w:p>
    <w:p w:rsidR="00772915" w:rsidRPr="00240B8E" w:rsidRDefault="00772915" w:rsidP="00314550">
      <w:pPr>
        <w:pStyle w:val="ListParagraph"/>
        <w:numPr>
          <w:ilvl w:val="0"/>
          <w:numId w:val="3"/>
        </w:numPr>
        <w:tabs>
          <w:tab w:val="left" w:pos="360"/>
        </w:tabs>
        <w:ind w:left="450" w:hanging="270"/>
        <w:jc w:val="both"/>
        <w:rPr>
          <w:rFonts w:ascii="Arial" w:hAnsi="Arial" w:cs="Arial"/>
          <w:sz w:val="10"/>
          <w:szCs w:val="10"/>
        </w:rPr>
      </w:pPr>
      <w:r>
        <w:rPr>
          <w:rFonts w:ascii="Arial" w:hAnsi="Arial"/>
        </w:rPr>
        <w:t xml:space="preserve"> other reserves records an increase by 14,</w:t>
      </w:r>
      <w:r w:rsidR="008E4135">
        <w:rPr>
          <w:rFonts w:ascii="Arial" w:hAnsi="Arial"/>
        </w:rPr>
        <w:t xml:space="preserve">287 thousand RON following the </w:t>
      </w:r>
      <w:r>
        <w:rPr>
          <w:rFonts w:ascii="Arial" w:hAnsi="Arial"/>
        </w:rPr>
        <w:t>augmentation by 11,128 thousand RON of the reserve representing modernization quota, from 445,943 thousand RON at December 31, 2017 to 457,071 thousand RON at June 30, 2018, as well as the augmentation of the reserve representing financing own sources distributed out of 2017 profit, in amount of 3,159 thousand RON;</w:t>
      </w:r>
    </w:p>
    <w:p w:rsidR="00772915" w:rsidRPr="009D068B" w:rsidRDefault="00772915" w:rsidP="00314550">
      <w:pPr>
        <w:pStyle w:val="ListParagraph"/>
        <w:numPr>
          <w:ilvl w:val="0"/>
          <w:numId w:val="3"/>
        </w:numPr>
        <w:tabs>
          <w:tab w:val="left" w:pos="450"/>
          <w:tab w:val="left" w:pos="630"/>
        </w:tabs>
        <w:ind w:left="450" w:hanging="270"/>
        <w:jc w:val="both"/>
        <w:rPr>
          <w:rFonts w:ascii="Arial" w:hAnsi="Arial" w:cs="Arial"/>
          <w:sz w:val="10"/>
          <w:szCs w:val="10"/>
        </w:rPr>
      </w:pPr>
      <w:r>
        <w:rPr>
          <w:rFonts w:ascii="Arial" w:hAnsi="Arial"/>
        </w:rPr>
        <w:t>the capital elements representing retained earnings and the  result</w:t>
      </w:r>
      <w:r w:rsidR="008E4135">
        <w:rPr>
          <w:rFonts w:ascii="Arial" w:hAnsi="Arial"/>
        </w:rPr>
        <w:t xml:space="preserve"> of the period</w:t>
      </w:r>
      <w:r>
        <w:rPr>
          <w:rFonts w:ascii="Arial" w:hAnsi="Arial"/>
        </w:rPr>
        <w:t xml:space="preserve"> records a total decrease in amount of 48,484 thousand RON, mainly generated </w:t>
      </w:r>
      <w:r w:rsidR="008E4135">
        <w:rPr>
          <w:rFonts w:ascii="Arial" w:hAnsi="Arial"/>
        </w:rPr>
        <w:t>by</w:t>
      </w:r>
      <w:r>
        <w:rPr>
          <w:rFonts w:ascii="Arial" w:hAnsi="Arial"/>
        </w:rPr>
        <w:t xml:space="preserve"> the net profit achieved in 2018 H1, below the level of the net profit achieved in 2017; </w:t>
      </w:r>
    </w:p>
    <w:p w:rsidR="00805DA2" w:rsidRPr="002E15C8" w:rsidRDefault="00805DA2" w:rsidP="00A87EFF">
      <w:pPr>
        <w:pStyle w:val="ListParagraph"/>
        <w:numPr>
          <w:ilvl w:val="0"/>
          <w:numId w:val="3"/>
        </w:numPr>
        <w:tabs>
          <w:tab w:val="left" w:pos="450"/>
        </w:tabs>
        <w:ind w:left="540"/>
        <w:jc w:val="both"/>
        <w:rPr>
          <w:rFonts w:ascii="Arial" w:hAnsi="Arial" w:cs="Arial"/>
          <w:sz w:val="10"/>
          <w:szCs w:val="10"/>
        </w:rPr>
      </w:pPr>
      <w:r>
        <w:rPr>
          <w:rFonts w:ascii="Arial" w:hAnsi="Arial"/>
        </w:rPr>
        <w:t>the diminution of the revaluation reserves by the amount of 2,671 thousand RON.</w:t>
      </w:r>
    </w:p>
    <w:p w:rsidR="00805DA2" w:rsidRDefault="00805DA2" w:rsidP="00805DA2">
      <w:pPr>
        <w:tabs>
          <w:tab w:val="left" w:pos="450"/>
        </w:tabs>
        <w:spacing w:line="276" w:lineRule="auto"/>
        <w:jc w:val="both"/>
        <w:rPr>
          <w:rFonts w:ascii="Arial" w:hAnsi="Arial" w:cs="Arial"/>
          <w:sz w:val="22"/>
          <w:szCs w:val="22"/>
        </w:rPr>
      </w:pPr>
      <w:r>
        <w:rPr>
          <w:rFonts w:ascii="Arial" w:hAnsi="Arial"/>
          <w:b/>
          <w:color w:val="1F4E79" w:themeColor="accent1" w:themeShade="80"/>
          <w:sz w:val="22"/>
          <w:szCs w:val="22"/>
        </w:rPr>
        <w:t xml:space="preserve">The long-term </w:t>
      </w:r>
      <w:proofErr w:type="gramStart"/>
      <w:r>
        <w:rPr>
          <w:rFonts w:ascii="Arial" w:hAnsi="Arial"/>
          <w:b/>
          <w:color w:val="1F4E79" w:themeColor="accent1" w:themeShade="80"/>
          <w:sz w:val="22"/>
          <w:szCs w:val="22"/>
        </w:rPr>
        <w:t>liabilities</w:t>
      </w:r>
      <w:r>
        <w:rPr>
          <w:rFonts w:ascii="Arial" w:hAnsi="Arial"/>
          <w:color w:val="1F4E79" w:themeColor="accent1" w:themeShade="80"/>
          <w:sz w:val="22"/>
          <w:szCs w:val="22"/>
        </w:rPr>
        <w:t xml:space="preserve"> </w:t>
      </w:r>
      <w:r>
        <w:rPr>
          <w:rFonts w:ascii="Arial" w:hAnsi="Arial"/>
          <w:sz w:val="22"/>
          <w:szCs w:val="22"/>
        </w:rPr>
        <w:t xml:space="preserve"> records</w:t>
      </w:r>
      <w:proofErr w:type="gramEnd"/>
      <w:r>
        <w:rPr>
          <w:rFonts w:ascii="Arial" w:hAnsi="Arial"/>
          <w:sz w:val="22"/>
          <w:szCs w:val="22"/>
        </w:rPr>
        <w:t xml:space="preserve"> an increase by 3.73% (478 thousand RON) as compared to December 31,2017, following the augmentation of the long-term provisions.</w:t>
      </w:r>
    </w:p>
    <w:p w:rsidR="00805DA2" w:rsidRPr="00124CB3" w:rsidRDefault="00805DA2" w:rsidP="00805DA2">
      <w:pPr>
        <w:tabs>
          <w:tab w:val="left" w:pos="450"/>
        </w:tabs>
        <w:spacing w:line="276" w:lineRule="auto"/>
        <w:jc w:val="both"/>
        <w:rPr>
          <w:rFonts w:ascii="Arial" w:hAnsi="Arial" w:cs="Arial"/>
          <w:sz w:val="22"/>
          <w:szCs w:val="22"/>
        </w:rPr>
      </w:pPr>
      <w:r>
        <w:rPr>
          <w:rFonts w:ascii="Arial" w:hAnsi="Arial"/>
          <w:b/>
          <w:color w:val="1F4E79" w:themeColor="accent1" w:themeShade="80"/>
          <w:sz w:val="22"/>
          <w:szCs w:val="22"/>
        </w:rPr>
        <w:t>Current liabilities</w:t>
      </w:r>
      <w:r>
        <w:rPr>
          <w:rFonts w:ascii="Arial" w:hAnsi="Arial"/>
          <w:b/>
          <w:sz w:val="22"/>
          <w:szCs w:val="22"/>
        </w:rPr>
        <w:t>,</w:t>
      </w:r>
      <w:r>
        <w:rPr>
          <w:rFonts w:ascii="Arial" w:hAnsi="Arial"/>
          <w:sz w:val="22"/>
          <w:szCs w:val="22"/>
        </w:rPr>
        <w:t xml:space="preserve">  in amount of 81,</w:t>
      </w:r>
      <w:r w:rsidR="00DA139A">
        <w:rPr>
          <w:rFonts w:ascii="Arial" w:hAnsi="Arial"/>
          <w:sz w:val="22"/>
          <w:szCs w:val="22"/>
        </w:rPr>
        <w:t>052 thousand RON, are higher by</w:t>
      </w:r>
      <w:r>
        <w:rPr>
          <w:rFonts w:ascii="Arial" w:hAnsi="Arial"/>
          <w:sz w:val="22"/>
          <w:szCs w:val="22"/>
        </w:rPr>
        <w:t xml:space="preserve"> 4,822 thousand RON as compared to December 31, 2017, mainly due to the increase of the dividends to be paid and of the provisions for untaken annual leaves and for the employees’ share of profit.</w:t>
      </w:r>
    </w:p>
    <w:p w:rsidR="00805DA2" w:rsidRPr="00A72BEA" w:rsidRDefault="00805DA2" w:rsidP="00B30ED3">
      <w:pPr>
        <w:widowControl/>
        <w:autoSpaceDE/>
        <w:autoSpaceDN/>
        <w:adjustRightInd/>
        <w:spacing w:line="276" w:lineRule="auto"/>
        <w:jc w:val="both"/>
        <w:rPr>
          <w:rFonts w:ascii="Arial" w:hAnsi="Arial" w:cs="Arial"/>
          <w:color w:val="FF0000"/>
          <w:sz w:val="16"/>
          <w:szCs w:val="16"/>
          <w:lang w:val="fr-FR" w:eastAsia="en-US"/>
        </w:rPr>
      </w:pPr>
    </w:p>
    <w:p w:rsidR="00740567" w:rsidRDefault="00740567" w:rsidP="002228A3">
      <w:pPr>
        <w:tabs>
          <w:tab w:val="left" w:pos="450"/>
        </w:tabs>
        <w:jc w:val="both"/>
        <w:rPr>
          <w:rFonts w:ascii="Arial" w:hAnsi="Arial"/>
          <w:b/>
          <w:bCs/>
          <w:color w:val="1F4E79" w:themeColor="accent1" w:themeShade="80"/>
          <w:sz w:val="24"/>
          <w:szCs w:val="24"/>
        </w:rPr>
      </w:pPr>
    </w:p>
    <w:p w:rsidR="004E6FD5" w:rsidRPr="009828D6" w:rsidRDefault="002228A3" w:rsidP="002228A3">
      <w:pPr>
        <w:tabs>
          <w:tab w:val="left" w:pos="450"/>
        </w:tabs>
        <w:jc w:val="both"/>
        <w:rPr>
          <w:rFonts w:ascii="Arial" w:hAnsi="Arial" w:cs="Arial"/>
          <w:b/>
          <w:bCs/>
          <w:color w:val="1F4E79" w:themeColor="accent1" w:themeShade="80"/>
          <w:sz w:val="24"/>
          <w:szCs w:val="24"/>
        </w:rPr>
      </w:pPr>
      <w:r>
        <w:rPr>
          <w:rFonts w:ascii="Arial" w:hAnsi="Arial"/>
          <w:b/>
          <w:bCs/>
          <w:color w:val="1F4E79" w:themeColor="accent1" w:themeShade="80"/>
          <w:sz w:val="24"/>
          <w:szCs w:val="24"/>
        </w:rPr>
        <w:lastRenderedPageBreak/>
        <w:t xml:space="preserve">3.3.3. Profit &amp; Loss Account for the period January - June 2018 </w:t>
      </w:r>
    </w:p>
    <w:p w:rsidR="007B19E0" w:rsidRPr="002228A3" w:rsidRDefault="007B19E0" w:rsidP="002228A3">
      <w:pPr>
        <w:tabs>
          <w:tab w:val="left" w:pos="450"/>
        </w:tabs>
        <w:jc w:val="both"/>
        <w:rPr>
          <w:rFonts w:ascii="Arial" w:hAnsi="Arial" w:cs="Arial"/>
          <w:color w:val="5B9BD5" w:themeColor="accent1"/>
          <w:sz w:val="24"/>
          <w:szCs w:val="24"/>
        </w:rPr>
      </w:pPr>
    </w:p>
    <w:p w:rsidR="00FD1512" w:rsidRDefault="001C5990" w:rsidP="00060D97">
      <w:pPr>
        <w:spacing w:line="276" w:lineRule="auto"/>
        <w:jc w:val="both"/>
        <w:rPr>
          <w:rFonts w:ascii="Arial" w:hAnsi="Arial" w:cs="Arial"/>
          <w:bCs/>
          <w:sz w:val="22"/>
          <w:szCs w:val="22"/>
        </w:rPr>
      </w:pPr>
      <w:r>
        <w:rPr>
          <w:rFonts w:ascii="Arial" w:hAnsi="Arial"/>
          <w:bCs/>
          <w:sz w:val="22"/>
          <w:szCs w:val="22"/>
        </w:rPr>
        <w:t>Within the 6 months period en</w:t>
      </w:r>
      <w:r w:rsidR="00DA139A">
        <w:rPr>
          <w:rFonts w:ascii="Arial" w:hAnsi="Arial"/>
          <w:bCs/>
          <w:sz w:val="22"/>
          <w:szCs w:val="22"/>
        </w:rPr>
        <w:t>ded June 30, 2018, CONPET S.A. o</w:t>
      </w:r>
      <w:r>
        <w:rPr>
          <w:rFonts w:ascii="Arial" w:hAnsi="Arial"/>
          <w:bCs/>
          <w:sz w:val="22"/>
          <w:szCs w:val="22"/>
        </w:rPr>
        <w:t xml:space="preserve">btained a net profit of 21,626 thousand RON, lower by 14,141 thousand RON as </w:t>
      </w:r>
      <w:proofErr w:type="gramStart"/>
      <w:r>
        <w:rPr>
          <w:rFonts w:ascii="Arial" w:hAnsi="Arial"/>
          <w:bCs/>
          <w:sz w:val="22"/>
          <w:szCs w:val="22"/>
        </w:rPr>
        <w:t>compared  to</w:t>
      </w:r>
      <w:proofErr w:type="gramEnd"/>
      <w:r>
        <w:rPr>
          <w:rFonts w:ascii="Arial" w:hAnsi="Arial"/>
          <w:bCs/>
          <w:sz w:val="22"/>
          <w:szCs w:val="22"/>
        </w:rPr>
        <w:t xml:space="preserve"> 2017 H1 (35,767 thousand RON). </w:t>
      </w:r>
    </w:p>
    <w:p w:rsidR="00062115" w:rsidRDefault="00062115" w:rsidP="00DA7600">
      <w:pPr>
        <w:spacing w:line="276" w:lineRule="auto"/>
        <w:rPr>
          <w:rFonts w:ascii="Arial" w:hAnsi="Arial" w:cs="Arial"/>
          <w:sz w:val="22"/>
          <w:szCs w:val="22"/>
        </w:rPr>
      </w:pPr>
    </w:p>
    <w:p w:rsidR="00816479" w:rsidRDefault="00816479" w:rsidP="00ED4B57">
      <w:pPr>
        <w:spacing w:line="276" w:lineRule="auto"/>
        <w:jc w:val="both"/>
        <w:rPr>
          <w:rFonts w:ascii="Arial" w:hAnsi="Arial" w:cs="Arial"/>
          <w:sz w:val="22"/>
          <w:szCs w:val="22"/>
        </w:rPr>
      </w:pPr>
      <w:r>
        <w:rPr>
          <w:rFonts w:ascii="Arial" w:hAnsi="Arial"/>
          <w:sz w:val="22"/>
          <w:szCs w:val="22"/>
        </w:rPr>
        <w:t xml:space="preserve">The financial result achieved in 2018 H1, as compared to Budget and the achievements of the </w:t>
      </w:r>
      <w:r w:rsidR="00DA139A">
        <w:rPr>
          <w:rFonts w:ascii="Arial" w:hAnsi="Arial"/>
          <w:sz w:val="22"/>
          <w:szCs w:val="22"/>
        </w:rPr>
        <w:t xml:space="preserve">similar </w:t>
      </w:r>
      <w:r>
        <w:rPr>
          <w:rFonts w:ascii="Arial" w:hAnsi="Arial"/>
          <w:sz w:val="22"/>
          <w:szCs w:val="22"/>
        </w:rPr>
        <w:t xml:space="preserve">period </w:t>
      </w:r>
      <w:r w:rsidR="00DA139A">
        <w:rPr>
          <w:rFonts w:ascii="Arial" w:hAnsi="Arial"/>
          <w:sz w:val="22"/>
          <w:szCs w:val="22"/>
        </w:rPr>
        <w:t>in</w:t>
      </w:r>
      <w:r>
        <w:rPr>
          <w:rFonts w:ascii="Arial" w:hAnsi="Arial"/>
          <w:sz w:val="22"/>
          <w:szCs w:val="22"/>
        </w:rPr>
        <w:t xml:space="preserve"> 2017 are the followings:</w:t>
      </w:r>
    </w:p>
    <w:p w:rsidR="00906B62" w:rsidRDefault="00906B62" w:rsidP="00DA7600">
      <w:pPr>
        <w:spacing w:line="276" w:lineRule="auto"/>
        <w:rPr>
          <w:rFonts w:ascii="Arial" w:hAnsi="Arial" w:cs="Arial"/>
          <w:sz w:val="22"/>
          <w:szCs w:val="22"/>
        </w:rPr>
      </w:pPr>
    </w:p>
    <w:tbl>
      <w:tblPr>
        <w:tblW w:w="9482" w:type="dxa"/>
        <w:jc w:val="center"/>
        <w:tblLook w:val="04A0" w:firstRow="1" w:lastRow="0" w:firstColumn="1" w:lastColumn="0" w:noHBand="0" w:noVBand="1"/>
      </w:tblPr>
      <w:tblGrid>
        <w:gridCol w:w="3055"/>
        <w:gridCol w:w="1170"/>
        <w:gridCol w:w="1480"/>
        <w:gridCol w:w="1480"/>
        <w:gridCol w:w="1204"/>
        <w:gridCol w:w="1093"/>
      </w:tblGrid>
      <w:tr w:rsidR="00816479" w:rsidRPr="00456736" w:rsidTr="00EA3A67">
        <w:trPr>
          <w:trHeight w:val="152"/>
          <w:tblHeader/>
          <w:jc w:val="center"/>
        </w:trPr>
        <w:tc>
          <w:tcPr>
            <w:tcW w:w="3055"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16479" w:rsidRPr="00240B8E" w:rsidRDefault="00816479" w:rsidP="004F3B3B">
            <w:pPr>
              <w:jc w:val="center"/>
              <w:rPr>
                <w:rFonts w:ascii="Arial" w:hAnsi="Arial" w:cs="Arial"/>
                <w:b/>
                <w:color w:val="000000"/>
              </w:rPr>
            </w:pPr>
            <w:r>
              <w:rPr>
                <w:rFonts w:ascii="Arial" w:hAnsi="Arial"/>
                <w:b/>
                <w:color w:val="000000"/>
              </w:rPr>
              <w:t>Indicators                           (thousand RON</w:t>
            </w:r>
            <w:r w:rsidR="001E32BC">
              <w:rPr>
                <w:rFonts w:ascii="Arial" w:hAnsi="Arial"/>
                <w:b/>
                <w:color w:val="000000"/>
              </w:rPr>
              <w:t>)</w:t>
            </w:r>
          </w:p>
        </w:tc>
        <w:tc>
          <w:tcPr>
            <w:tcW w:w="1170" w:type="dxa"/>
            <w:tcBorders>
              <w:top w:val="single" w:sz="4" w:space="0" w:color="auto"/>
              <w:left w:val="nil"/>
              <w:bottom w:val="single" w:sz="4" w:space="0" w:color="auto"/>
              <w:right w:val="single" w:sz="4" w:space="0" w:color="auto"/>
            </w:tcBorders>
            <w:shd w:val="clear" w:color="000000" w:fill="DDEBF7"/>
            <w:noWrap/>
            <w:vAlign w:val="center"/>
            <w:hideMark/>
          </w:tcPr>
          <w:p w:rsidR="00816479" w:rsidRPr="00240B8E" w:rsidRDefault="00816479" w:rsidP="004F3B3B">
            <w:pPr>
              <w:jc w:val="center"/>
              <w:rPr>
                <w:rFonts w:ascii="Arial" w:hAnsi="Arial" w:cs="Arial"/>
                <w:b/>
                <w:color w:val="000000"/>
              </w:rPr>
            </w:pPr>
            <w:r>
              <w:rPr>
                <w:rFonts w:ascii="Arial" w:hAnsi="Arial"/>
                <w:b/>
                <w:color w:val="000000"/>
              </w:rPr>
              <w:t>Achieved</w:t>
            </w:r>
          </w:p>
        </w:tc>
        <w:tc>
          <w:tcPr>
            <w:tcW w:w="1480" w:type="dxa"/>
            <w:tcBorders>
              <w:top w:val="single" w:sz="4" w:space="0" w:color="auto"/>
              <w:left w:val="nil"/>
              <w:bottom w:val="single" w:sz="4" w:space="0" w:color="auto"/>
              <w:right w:val="single" w:sz="4" w:space="0" w:color="auto"/>
            </w:tcBorders>
            <w:shd w:val="clear" w:color="000000" w:fill="DDEBF7"/>
            <w:noWrap/>
            <w:vAlign w:val="center"/>
            <w:hideMark/>
          </w:tcPr>
          <w:p w:rsidR="00816479" w:rsidRPr="00240B8E" w:rsidRDefault="00816479" w:rsidP="004F3B3B">
            <w:pPr>
              <w:jc w:val="center"/>
              <w:rPr>
                <w:rFonts w:ascii="Arial" w:hAnsi="Arial" w:cs="Arial"/>
                <w:b/>
                <w:color w:val="000000"/>
              </w:rPr>
            </w:pPr>
            <w:r>
              <w:rPr>
                <w:rFonts w:ascii="Arial" w:hAnsi="Arial"/>
                <w:b/>
                <w:color w:val="000000"/>
              </w:rPr>
              <w:t>Budget</w:t>
            </w:r>
          </w:p>
        </w:tc>
        <w:tc>
          <w:tcPr>
            <w:tcW w:w="1480" w:type="dxa"/>
            <w:tcBorders>
              <w:top w:val="single" w:sz="4" w:space="0" w:color="auto"/>
              <w:left w:val="nil"/>
              <w:bottom w:val="single" w:sz="4" w:space="0" w:color="auto"/>
              <w:right w:val="single" w:sz="4" w:space="0" w:color="auto"/>
            </w:tcBorders>
            <w:shd w:val="clear" w:color="000000" w:fill="DDEBF7"/>
            <w:noWrap/>
            <w:vAlign w:val="center"/>
            <w:hideMark/>
          </w:tcPr>
          <w:p w:rsidR="00816479" w:rsidRPr="00240B8E" w:rsidRDefault="00816479" w:rsidP="004F3B3B">
            <w:pPr>
              <w:jc w:val="center"/>
              <w:rPr>
                <w:rFonts w:ascii="Arial" w:hAnsi="Arial" w:cs="Arial"/>
                <w:b/>
                <w:color w:val="000000"/>
              </w:rPr>
            </w:pPr>
            <w:r>
              <w:rPr>
                <w:rFonts w:ascii="Arial" w:hAnsi="Arial"/>
                <w:b/>
                <w:color w:val="000000"/>
              </w:rPr>
              <w:t>Achieved</w:t>
            </w:r>
          </w:p>
        </w:tc>
        <w:tc>
          <w:tcPr>
            <w:tcW w:w="2297"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816479" w:rsidRPr="00240B8E" w:rsidRDefault="00816479" w:rsidP="004F3B3B">
            <w:pPr>
              <w:jc w:val="center"/>
              <w:rPr>
                <w:rFonts w:ascii="Arial" w:hAnsi="Arial" w:cs="Arial"/>
                <w:b/>
                <w:color w:val="000000"/>
              </w:rPr>
            </w:pPr>
            <w:r>
              <w:rPr>
                <w:rFonts w:ascii="Arial" w:hAnsi="Arial"/>
                <w:b/>
                <w:color w:val="000000"/>
              </w:rPr>
              <w:t>Variation</w:t>
            </w:r>
          </w:p>
        </w:tc>
      </w:tr>
      <w:tr w:rsidR="00816479" w:rsidRPr="00456736" w:rsidTr="00EA3A67">
        <w:trPr>
          <w:trHeight w:val="311"/>
          <w:tblHeader/>
          <w:jc w:val="center"/>
        </w:trPr>
        <w:tc>
          <w:tcPr>
            <w:tcW w:w="3055" w:type="dxa"/>
            <w:vMerge/>
            <w:tcBorders>
              <w:top w:val="single" w:sz="4" w:space="0" w:color="auto"/>
              <w:left w:val="single" w:sz="4" w:space="0" w:color="auto"/>
              <w:bottom w:val="single" w:sz="4" w:space="0" w:color="auto"/>
              <w:right w:val="single" w:sz="4" w:space="0" w:color="auto"/>
            </w:tcBorders>
            <w:vAlign w:val="center"/>
            <w:hideMark/>
          </w:tcPr>
          <w:p w:rsidR="00816479" w:rsidRPr="00240B8E" w:rsidRDefault="00816479" w:rsidP="004F3B3B">
            <w:pPr>
              <w:rPr>
                <w:rFonts w:ascii="Arial" w:hAnsi="Arial" w:cs="Arial"/>
                <w:b/>
                <w:color w:val="000000"/>
              </w:rPr>
            </w:pPr>
          </w:p>
        </w:tc>
        <w:tc>
          <w:tcPr>
            <w:tcW w:w="1170" w:type="dxa"/>
            <w:tcBorders>
              <w:top w:val="nil"/>
              <w:left w:val="nil"/>
              <w:bottom w:val="single" w:sz="4" w:space="0" w:color="auto"/>
              <w:right w:val="single" w:sz="4" w:space="0" w:color="auto"/>
            </w:tcBorders>
            <w:shd w:val="clear" w:color="000000" w:fill="DDEBF7"/>
            <w:vAlign w:val="center"/>
            <w:hideMark/>
          </w:tcPr>
          <w:p w:rsidR="00816479" w:rsidRPr="00240B8E" w:rsidRDefault="00B34E5D" w:rsidP="004F3B3B">
            <w:pPr>
              <w:jc w:val="center"/>
              <w:rPr>
                <w:rFonts w:ascii="Arial" w:hAnsi="Arial" w:cs="Arial"/>
                <w:b/>
                <w:color w:val="000000"/>
              </w:rPr>
            </w:pPr>
            <w:r>
              <w:rPr>
                <w:rFonts w:ascii="Arial" w:hAnsi="Arial"/>
                <w:b/>
                <w:color w:val="000000"/>
              </w:rPr>
              <w:t>Semester I 2018</w:t>
            </w:r>
          </w:p>
        </w:tc>
        <w:tc>
          <w:tcPr>
            <w:tcW w:w="1480" w:type="dxa"/>
            <w:tcBorders>
              <w:top w:val="nil"/>
              <w:left w:val="nil"/>
              <w:bottom w:val="single" w:sz="4" w:space="0" w:color="auto"/>
              <w:right w:val="single" w:sz="4" w:space="0" w:color="auto"/>
            </w:tcBorders>
            <w:shd w:val="clear" w:color="000000" w:fill="DDEBF7"/>
            <w:vAlign w:val="center"/>
            <w:hideMark/>
          </w:tcPr>
          <w:p w:rsidR="00816479" w:rsidRPr="00240B8E" w:rsidRDefault="00B34E5D" w:rsidP="004F3B3B">
            <w:pPr>
              <w:jc w:val="center"/>
              <w:rPr>
                <w:rFonts w:ascii="Arial" w:hAnsi="Arial" w:cs="Arial"/>
                <w:b/>
                <w:color w:val="000000"/>
              </w:rPr>
            </w:pPr>
            <w:r>
              <w:rPr>
                <w:rFonts w:ascii="Arial" w:hAnsi="Arial"/>
                <w:b/>
                <w:color w:val="000000"/>
              </w:rPr>
              <w:t>Semester I</w:t>
            </w:r>
          </w:p>
          <w:p w:rsidR="00816479" w:rsidRPr="00240B8E" w:rsidRDefault="00816479" w:rsidP="004F3B3B">
            <w:pPr>
              <w:jc w:val="center"/>
              <w:rPr>
                <w:rFonts w:ascii="Arial" w:hAnsi="Arial" w:cs="Arial"/>
                <w:b/>
                <w:color w:val="000000"/>
              </w:rPr>
            </w:pPr>
            <w:r>
              <w:rPr>
                <w:rFonts w:ascii="Arial" w:hAnsi="Arial"/>
                <w:b/>
                <w:color w:val="000000"/>
              </w:rPr>
              <w:t xml:space="preserve"> 2018</w:t>
            </w:r>
          </w:p>
        </w:tc>
        <w:tc>
          <w:tcPr>
            <w:tcW w:w="1480" w:type="dxa"/>
            <w:tcBorders>
              <w:top w:val="nil"/>
              <w:left w:val="nil"/>
              <w:bottom w:val="single" w:sz="4" w:space="0" w:color="auto"/>
              <w:right w:val="single" w:sz="4" w:space="0" w:color="auto"/>
            </w:tcBorders>
            <w:shd w:val="clear" w:color="000000" w:fill="DDEBF7"/>
            <w:vAlign w:val="center"/>
            <w:hideMark/>
          </w:tcPr>
          <w:p w:rsidR="00816479" w:rsidRPr="00240B8E" w:rsidRDefault="00B34E5D" w:rsidP="004F3B3B">
            <w:pPr>
              <w:jc w:val="center"/>
              <w:rPr>
                <w:rFonts w:ascii="Arial" w:hAnsi="Arial" w:cs="Arial"/>
                <w:b/>
                <w:color w:val="000000"/>
              </w:rPr>
            </w:pPr>
            <w:r>
              <w:rPr>
                <w:rFonts w:ascii="Arial" w:hAnsi="Arial"/>
                <w:b/>
                <w:color w:val="000000"/>
              </w:rPr>
              <w:t>Semester I</w:t>
            </w:r>
          </w:p>
          <w:p w:rsidR="00816479" w:rsidRPr="00240B8E" w:rsidRDefault="00816479" w:rsidP="004F3B3B">
            <w:pPr>
              <w:jc w:val="center"/>
              <w:rPr>
                <w:rFonts w:ascii="Arial" w:hAnsi="Arial" w:cs="Arial"/>
                <w:b/>
                <w:color w:val="000000"/>
              </w:rPr>
            </w:pPr>
            <w:r>
              <w:rPr>
                <w:rFonts w:ascii="Arial" w:hAnsi="Arial"/>
                <w:b/>
                <w:color w:val="000000"/>
              </w:rPr>
              <w:t xml:space="preserve"> 2017</w:t>
            </w:r>
          </w:p>
        </w:tc>
        <w:tc>
          <w:tcPr>
            <w:tcW w:w="1204" w:type="dxa"/>
            <w:tcBorders>
              <w:top w:val="nil"/>
              <w:left w:val="nil"/>
              <w:bottom w:val="single" w:sz="4" w:space="0" w:color="auto"/>
              <w:right w:val="single" w:sz="4" w:space="0" w:color="auto"/>
            </w:tcBorders>
            <w:shd w:val="clear" w:color="000000" w:fill="DDEBF7"/>
            <w:vAlign w:val="center"/>
            <w:hideMark/>
          </w:tcPr>
          <w:p w:rsidR="00816479" w:rsidRPr="00240B8E" w:rsidRDefault="009B7BAD" w:rsidP="009B7BAD">
            <w:pPr>
              <w:jc w:val="center"/>
              <w:rPr>
                <w:rFonts w:ascii="Arial" w:hAnsi="Arial" w:cs="Arial"/>
                <w:b/>
                <w:color w:val="000000"/>
              </w:rPr>
            </w:pPr>
            <w:r>
              <w:rPr>
                <w:rFonts w:ascii="Arial" w:hAnsi="Arial"/>
                <w:b/>
                <w:color w:val="000000"/>
              </w:rPr>
              <w:t xml:space="preserve">Achieved vs. Budget 2018 </w:t>
            </w:r>
          </w:p>
        </w:tc>
        <w:tc>
          <w:tcPr>
            <w:tcW w:w="1093" w:type="dxa"/>
            <w:tcBorders>
              <w:top w:val="nil"/>
              <w:left w:val="nil"/>
              <w:bottom w:val="single" w:sz="4" w:space="0" w:color="auto"/>
              <w:right w:val="single" w:sz="4" w:space="0" w:color="auto"/>
            </w:tcBorders>
            <w:shd w:val="clear" w:color="000000" w:fill="DDEBF7"/>
            <w:vAlign w:val="center"/>
            <w:hideMark/>
          </w:tcPr>
          <w:p w:rsidR="00816479" w:rsidRPr="00240B8E" w:rsidRDefault="00816479" w:rsidP="004F3B3B">
            <w:pPr>
              <w:jc w:val="center"/>
              <w:rPr>
                <w:rFonts w:ascii="Arial" w:hAnsi="Arial" w:cs="Arial"/>
                <w:b/>
                <w:color w:val="000000"/>
              </w:rPr>
            </w:pPr>
            <w:r>
              <w:rPr>
                <w:rFonts w:ascii="Arial" w:hAnsi="Arial"/>
                <w:b/>
                <w:color w:val="000000"/>
              </w:rPr>
              <w:t>2018 vs. 2017</w:t>
            </w:r>
          </w:p>
        </w:tc>
      </w:tr>
      <w:tr w:rsidR="00B4605B" w:rsidRPr="00456736" w:rsidTr="00EA3A67">
        <w:trPr>
          <w:trHeight w:val="397"/>
          <w:jc w:val="center"/>
        </w:trPr>
        <w:tc>
          <w:tcPr>
            <w:tcW w:w="3055" w:type="dxa"/>
            <w:tcBorders>
              <w:top w:val="nil"/>
              <w:left w:val="single" w:sz="4" w:space="0" w:color="auto"/>
              <w:bottom w:val="single" w:sz="4" w:space="0" w:color="auto"/>
              <w:right w:val="single" w:sz="4" w:space="0" w:color="auto"/>
            </w:tcBorders>
            <w:shd w:val="clear" w:color="auto" w:fill="DEEAF6"/>
            <w:noWrap/>
            <w:vAlign w:val="center"/>
            <w:hideMark/>
          </w:tcPr>
          <w:p w:rsidR="00B4605B" w:rsidRPr="00F22FA3" w:rsidRDefault="00B4605B" w:rsidP="00B4605B">
            <w:pPr>
              <w:rPr>
                <w:rFonts w:ascii="Arial" w:hAnsi="Arial" w:cs="Arial"/>
                <w:b/>
                <w:bCs/>
              </w:rPr>
            </w:pPr>
            <w:r>
              <w:rPr>
                <w:rFonts w:ascii="Arial" w:hAnsi="Arial"/>
                <w:b/>
                <w:bCs/>
              </w:rPr>
              <w:t>Turnover</w:t>
            </w:r>
          </w:p>
        </w:tc>
        <w:tc>
          <w:tcPr>
            <w:tcW w:w="117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widowControl/>
              <w:autoSpaceDE/>
              <w:autoSpaceDN/>
              <w:adjustRightInd/>
              <w:jc w:val="right"/>
              <w:rPr>
                <w:rFonts w:ascii="Arial" w:hAnsi="Arial" w:cs="Arial"/>
                <w:b/>
                <w:bCs/>
                <w:color w:val="000000"/>
              </w:rPr>
            </w:pPr>
            <w:r>
              <w:rPr>
                <w:rFonts w:ascii="Arial" w:hAnsi="Arial"/>
                <w:b/>
                <w:bCs/>
                <w:color w:val="000000"/>
              </w:rPr>
              <w:t>184,931</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Pr>
                <w:rFonts w:ascii="Arial" w:hAnsi="Arial"/>
                <w:b/>
                <w:bCs/>
                <w:color w:val="000000"/>
              </w:rPr>
              <w:t>181,493</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Pr>
                <w:rFonts w:ascii="Arial" w:hAnsi="Arial"/>
                <w:b/>
                <w:bCs/>
                <w:color w:val="000000"/>
              </w:rPr>
              <w:t>186,314</w:t>
            </w:r>
          </w:p>
        </w:tc>
        <w:tc>
          <w:tcPr>
            <w:tcW w:w="1204" w:type="dxa"/>
            <w:tcBorders>
              <w:top w:val="nil"/>
              <w:left w:val="nil"/>
              <w:bottom w:val="single" w:sz="4" w:space="0" w:color="auto"/>
              <w:right w:val="single" w:sz="4" w:space="0" w:color="auto"/>
            </w:tcBorders>
            <w:shd w:val="clear" w:color="auto" w:fill="DEEAF6"/>
            <w:noWrap/>
            <w:vAlign w:val="center"/>
            <w:hideMark/>
          </w:tcPr>
          <w:p w:rsidR="00B4605B" w:rsidRPr="00F22FA3" w:rsidRDefault="0060614B" w:rsidP="00B4605B">
            <w:pPr>
              <w:widowControl/>
              <w:autoSpaceDE/>
              <w:autoSpaceDN/>
              <w:adjustRightInd/>
              <w:jc w:val="right"/>
              <w:rPr>
                <w:rFonts w:ascii="Arial" w:hAnsi="Arial" w:cs="Arial"/>
                <w:b/>
                <w:bCs/>
                <w:color w:val="000000"/>
              </w:rPr>
            </w:pPr>
            <w:r>
              <w:rPr>
                <w:rFonts w:ascii="Arial" w:hAnsi="Arial"/>
                <w:b/>
                <w:bCs/>
              </w:rPr>
              <w:t>▲</w:t>
            </w:r>
            <w:r>
              <w:rPr>
                <w:rFonts w:ascii="Arial" w:hAnsi="Arial"/>
                <w:b/>
                <w:bCs/>
                <w:color w:val="000000"/>
              </w:rPr>
              <w:t>1.89%</w:t>
            </w:r>
          </w:p>
        </w:tc>
        <w:tc>
          <w:tcPr>
            <w:tcW w:w="1093" w:type="dxa"/>
            <w:tcBorders>
              <w:top w:val="nil"/>
              <w:left w:val="nil"/>
              <w:bottom w:val="single" w:sz="4" w:space="0" w:color="auto"/>
              <w:right w:val="single" w:sz="4" w:space="0" w:color="auto"/>
            </w:tcBorders>
            <w:shd w:val="clear" w:color="auto" w:fill="DEEAF6"/>
            <w:noWrap/>
            <w:vAlign w:val="center"/>
            <w:hideMark/>
          </w:tcPr>
          <w:p w:rsidR="00B4605B" w:rsidRPr="00F22FA3" w:rsidRDefault="00B962C7" w:rsidP="00B4605B">
            <w:pPr>
              <w:jc w:val="right"/>
              <w:rPr>
                <w:rFonts w:ascii="Arial" w:hAnsi="Arial" w:cs="Arial"/>
                <w:b/>
                <w:bCs/>
                <w:color w:val="000000"/>
              </w:rPr>
            </w:pPr>
            <w:r>
              <w:rPr>
                <w:rFonts w:ascii="Arial" w:hAnsi="Arial"/>
                <w:bCs/>
              </w:rPr>
              <w:t>▼</w:t>
            </w:r>
            <w:r>
              <w:rPr>
                <w:rFonts w:ascii="Arial" w:hAnsi="Arial"/>
                <w:b/>
                <w:bCs/>
                <w:color w:val="000000"/>
              </w:rPr>
              <w:t>0.74%</w:t>
            </w:r>
          </w:p>
        </w:tc>
      </w:tr>
      <w:tr w:rsidR="00B4605B" w:rsidRPr="00456736" w:rsidTr="00EA3A67">
        <w:trPr>
          <w:trHeight w:val="279"/>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Pr>
                <w:rFonts w:ascii="Arial" w:hAnsi="Arial"/>
                <w:color w:val="000000"/>
              </w:rPr>
              <w:t>Total operating revenues</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Pr>
                <w:rFonts w:ascii="Arial" w:hAnsi="Arial"/>
                <w:color w:val="000000"/>
              </w:rPr>
              <w:t>199,977</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Pr>
                <w:rFonts w:ascii="Arial" w:hAnsi="Arial"/>
                <w:color w:val="000000"/>
              </w:rPr>
              <w:t>196,905</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7E5EC2" w:rsidP="00B4605B">
            <w:pPr>
              <w:jc w:val="right"/>
              <w:rPr>
                <w:rFonts w:ascii="Arial" w:hAnsi="Arial" w:cs="Arial"/>
                <w:color w:val="000000"/>
              </w:rPr>
            </w:pPr>
            <w:r>
              <w:rPr>
                <w:rFonts w:ascii="Arial" w:hAnsi="Arial"/>
                <w:color w:val="000000"/>
              </w:rPr>
              <w:t>202,603</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B4605B">
            <w:pPr>
              <w:jc w:val="right"/>
              <w:rPr>
                <w:rFonts w:ascii="Arial" w:hAnsi="Arial" w:cs="Arial"/>
                <w:bCs/>
                <w:color w:val="000000"/>
              </w:rPr>
            </w:pPr>
            <w:r>
              <w:rPr>
                <w:rFonts w:ascii="Arial" w:hAnsi="Arial"/>
                <w:bCs/>
              </w:rPr>
              <w:t>▲</w:t>
            </w:r>
            <w:r>
              <w:rPr>
                <w:rFonts w:ascii="Arial" w:hAnsi="Arial"/>
                <w:bCs/>
                <w:color w:val="000000"/>
              </w:rPr>
              <w:t>1.56%</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B962C7" w:rsidP="00B4605B">
            <w:pPr>
              <w:jc w:val="right"/>
              <w:rPr>
                <w:rFonts w:ascii="Arial" w:hAnsi="Arial" w:cs="Arial"/>
                <w:bCs/>
                <w:color w:val="000000"/>
              </w:rPr>
            </w:pPr>
            <w:r>
              <w:rPr>
                <w:rFonts w:ascii="Arial" w:hAnsi="Arial"/>
                <w:bCs/>
              </w:rPr>
              <w:t>▼</w:t>
            </w:r>
            <w:r>
              <w:rPr>
                <w:rFonts w:ascii="Arial" w:hAnsi="Arial"/>
                <w:bCs/>
                <w:color w:val="000000"/>
              </w:rPr>
              <w:t>1.30%</w:t>
            </w:r>
          </w:p>
        </w:tc>
      </w:tr>
      <w:tr w:rsidR="00B4605B" w:rsidRPr="00456736" w:rsidTr="00EA3A67">
        <w:trPr>
          <w:trHeight w:val="342"/>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Pr>
                <w:rFonts w:ascii="Arial" w:hAnsi="Arial"/>
                <w:color w:val="000000"/>
              </w:rPr>
              <w:t>Total operating expenses</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Pr>
                <w:rFonts w:ascii="Arial" w:hAnsi="Arial"/>
                <w:color w:val="000000"/>
              </w:rPr>
              <w:t>176,722</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Pr>
                <w:rFonts w:ascii="Arial" w:hAnsi="Arial"/>
                <w:color w:val="000000"/>
              </w:rPr>
              <w:t>173,039</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D84E8A">
            <w:pPr>
              <w:jc w:val="right"/>
              <w:rPr>
                <w:rFonts w:ascii="Arial" w:hAnsi="Arial" w:cs="Arial"/>
                <w:color w:val="000000"/>
              </w:rPr>
            </w:pPr>
            <w:r>
              <w:rPr>
                <w:rFonts w:ascii="Arial" w:hAnsi="Arial"/>
                <w:color w:val="000000"/>
              </w:rPr>
              <w:t>162,175</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B4605B">
            <w:pPr>
              <w:jc w:val="right"/>
              <w:rPr>
                <w:rFonts w:ascii="Arial" w:hAnsi="Arial" w:cs="Arial"/>
                <w:bCs/>
                <w:color w:val="000000"/>
              </w:rPr>
            </w:pPr>
            <w:r>
              <w:rPr>
                <w:rFonts w:ascii="Arial" w:hAnsi="Arial"/>
                <w:bCs/>
              </w:rPr>
              <w:t>▲</w:t>
            </w:r>
            <w:r>
              <w:rPr>
                <w:rFonts w:ascii="Arial" w:hAnsi="Arial"/>
                <w:bCs/>
                <w:color w:val="000000"/>
              </w:rPr>
              <w:t>2.13%</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pPr>
              <w:jc w:val="right"/>
              <w:rPr>
                <w:rFonts w:ascii="Arial" w:hAnsi="Arial" w:cs="Arial"/>
                <w:bCs/>
                <w:color w:val="000000"/>
              </w:rPr>
            </w:pPr>
            <w:r>
              <w:rPr>
                <w:rFonts w:ascii="Arial" w:hAnsi="Arial"/>
                <w:bCs/>
              </w:rPr>
              <w:t>▲</w:t>
            </w:r>
            <w:r>
              <w:rPr>
                <w:rFonts w:ascii="Arial" w:hAnsi="Arial"/>
                <w:bCs/>
                <w:color w:val="000000"/>
              </w:rPr>
              <w:t>8.97%</w:t>
            </w:r>
          </w:p>
        </w:tc>
      </w:tr>
      <w:tr w:rsidR="00B4605B" w:rsidRPr="00456736" w:rsidTr="00EA3A67">
        <w:trPr>
          <w:trHeight w:val="321"/>
          <w:jc w:val="center"/>
        </w:trPr>
        <w:tc>
          <w:tcPr>
            <w:tcW w:w="3055" w:type="dxa"/>
            <w:tcBorders>
              <w:top w:val="nil"/>
              <w:left w:val="single" w:sz="4" w:space="0" w:color="auto"/>
              <w:bottom w:val="single" w:sz="4" w:space="0" w:color="auto"/>
              <w:right w:val="single" w:sz="4" w:space="0" w:color="auto"/>
            </w:tcBorders>
            <w:shd w:val="clear" w:color="auto" w:fill="DEEAF6"/>
            <w:noWrap/>
            <w:vAlign w:val="center"/>
            <w:hideMark/>
          </w:tcPr>
          <w:p w:rsidR="00B4605B" w:rsidRPr="00F22FA3" w:rsidRDefault="00B4605B" w:rsidP="00B4605B">
            <w:pPr>
              <w:rPr>
                <w:rFonts w:ascii="Arial" w:hAnsi="Arial" w:cs="Arial"/>
                <w:b/>
                <w:bCs/>
                <w:color w:val="000000"/>
              </w:rPr>
            </w:pPr>
            <w:r>
              <w:rPr>
                <w:rFonts w:ascii="Arial" w:hAnsi="Arial"/>
                <w:b/>
                <w:bCs/>
                <w:color w:val="000000"/>
              </w:rPr>
              <w:t>Operating Profit (EBIT)</w:t>
            </w:r>
          </w:p>
        </w:tc>
        <w:tc>
          <w:tcPr>
            <w:tcW w:w="117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Pr>
                <w:rFonts w:ascii="Arial" w:hAnsi="Arial"/>
                <w:b/>
                <w:bCs/>
                <w:color w:val="000000"/>
              </w:rPr>
              <w:t>23,255</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Pr>
                <w:rFonts w:ascii="Arial" w:hAnsi="Arial"/>
                <w:b/>
                <w:bCs/>
                <w:color w:val="000000"/>
              </w:rPr>
              <w:t>23,866</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D84E8A">
            <w:pPr>
              <w:jc w:val="right"/>
              <w:rPr>
                <w:rFonts w:ascii="Arial" w:hAnsi="Arial" w:cs="Arial"/>
                <w:b/>
                <w:bCs/>
                <w:color w:val="000000"/>
              </w:rPr>
            </w:pPr>
            <w:r>
              <w:rPr>
                <w:rFonts w:ascii="Arial" w:hAnsi="Arial"/>
                <w:b/>
                <w:bCs/>
                <w:color w:val="000000"/>
              </w:rPr>
              <w:t>40,428</w:t>
            </w:r>
          </w:p>
        </w:tc>
        <w:tc>
          <w:tcPr>
            <w:tcW w:w="1204" w:type="dxa"/>
            <w:tcBorders>
              <w:top w:val="nil"/>
              <w:left w:val="nil"/>
              <w:bottom w:val="single" w:sz="4" w:space="0" w:color="auto"/>
              <w:right w:val="single" w:sz="4" w:space="0" w:color="auto"/>
            </w:tcBorders>
            <w:shd w:val="clear" w:color="auto" w:fill="DEEAF6"/>
            <w:noWrap/>
            <w:vAlign w:val="center"/>
            <w:hideMark/>
          </w:tcPr>
          <w:p w:rsidR="00B4605B" w:rsidRPr="00F22FA3" w:rsidRDefault="00131477" w:rsidP="00B4605B">
            <w:pPr>
              <w:jc w:val="right"/>
              <w:rPr>
                <w:rFonts w:ascii="Arial" w:hAnsi="Arial" w:cs="Arial"/>
                <w:b/>
                <w:bCs/>
                <w:color w:val="000000"/>
              </w:rPr>
            </w:pPr>
            <w:r>
              <w:rPr>
                <w:rFonts w:ascii="Arial" w:hAnsi="Arial"/>
                <w:bCs/>
              </w:rPr>
              <w:t>▼</w:t>
            </w:r>
            <w:r>
              <w:rPr>
                <w:rFonts w:ascii="Arial" w:hAnsi="Arial"/>
                <w:b/>
                <w:bCs/>
                <w:color w:val="000000"/>
              </w:rPr>
              <w:t>2.56%</w:t>
            </w:r>
          </w:p>
        </w:tc>
        <w:tc>
          <w:tcPr>
            <w:tcW w:w="1093" w:type="dxa"/>
            <w:tcBorders>
              <w:top w:val="nil"/>
              <w:left w:val="nil"/>
              <w:bottom w:val="single" w:sz="4" w:space="0" w:color="auto"/>
              <w:right w:val="single" w:sz="4" w:space="0" w:color="auto"/>
            </w:tcBorders>
            <w:shd w:val="clear" w:color="auto" w:fill="DEEAF6"/>
            <w:noWrap/>
            <w:vAlign w:val="center"/>
            <w:hideMark/>
          </w:tcPr>
          <w:p w:rsidR="00B4605B" w:rsidRPr="00F22FA3" w:rsidRDefault="0067267B">
            <w:pPr>
              <w:jc w:val="right"/>
              <w:rPr>
                <w:rFonts w:ascii="Arial" w:hAnsi="Arial" w:cs="Arial"/>
                <w:b/>
                <w:bCs/>
                <w:color w:val="000000"/>
              </w:rPr>
            </w:pPr>
            <w:r>
              <w:rPr>
                <w:rFonts w:ascii="Arial" w:hAnsi="Arial"/>
                <w:bCs/>
              </w:rPr>
              <w:t>▼</w:t>
            </w:r>
            <w:r>
              <w:rPr>
                <w:rFonts w:ascii="Arial" w:hAnsi="Arial"/>
                <w:b/>
                <w:bCs/>
                <w:color w:val="000000"/>
              </w:rPr>
              <w:t>42.48%</w:t>
            </w:r>
          </w:p>
        </w:tc>
      </w:tr>
      <w:tr w:rsidR="00B4605B" w:rsidRPr="00456736" w:rsidTr="00946F1E">
        <w:trPr>
          <w:trHeight w:val="298"/>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b/>
                <w:bCs/>
                <w:color w:val="000000"/>
              </w:rPr>
            </w:pPr>
            <w:r>
              <w:rPr>
                <w:rFonts w:ascii="Arial" w:hAnsi="Arial"/>
                <w:b/>
                <w:bCs/>
                <w:color w:val="000000"/>
              </w:rPr>
              <w:t>EBITDA</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widowControl/>
              <w:autoSpaceDE/>
              <w:autoSpaceDN/>
              <w:adjustRightInd/>
              <w:jc w:val="right"/>
              <w:rPr>
                <w:rFonts w:ascii="Arial" w:hAnsi="Arial" w:cs="Arial"/>
                <w:b/>
                <w:bCs/>
                <w:color w:val="000000"/>
              </w:rPr>
            </w:pPr>
            <w:r>
              <w:rPr>
                <w:rFonts w:ascii="Arial" w:hAnsi="Arial"/>
                <w:b/>
                <w:bCs/>
                <w:color w:val="000000"/>
              </w:rPr>
              <w:t>45,497</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b/>
                <w:bCs/>
                <w:color w:val="000000"/>
              </w:rPr>
            </w:pPr>
            <w:r>
              <w:rPr>
                <w:rFonts w:ascii="Arial" w:hAnsi="Arial"/>
                <w:b/>
                <w:bCs/>
                <w:color w:val="000000"/>
              </w:rPr>
              <w:t>46,205</w:t>
            </w:r>
          </w:p>
        </w:tc>
        <w:tc>
          <w:tcPr>
            <w:tcW w:w="1480" w:type="dxa"/>
            <w:tcBorders>
              <w:top w:val="nil"/>
              <w:left w:val="nil"/>
              <w:bottom w:val="single" w:sz="4" w:space="0" w:color="auto"/>
              <w:right w:val="single" w:sz="4" w:space="0" w:color="auto"/>
            </w:tcBorders>
            <w:shd w:val="clear" w:color="auto" w:fill="auto"/>
            <w:noWrap/>
            <w:vAlign w:val="center"/>
          </w:tcPr>
          <w:p w:rsidR="00B4605B" w:rsidRPr="00F22FA3" w:rsidRDefault="00B4605B">
            <w:pPr>
              <w:jc w:val="right"/>
              <w:rPr>
                <w:rFonts w:ascii="Arial" w:hAnsi="Arial" w:cs="Arial"/>
                <w:b/>
                <w:bCs/>
                <w:color w:val="000000"/>
              </w:rPr>
            </w:pPr>
            <w:r>
              <w:rPr>
                <w:rFonts w:ascii="Arial" w:hAnsi="Arial"/>
                <w:b/>
                <w:bCs/>
                <w:color w:val="000000"/>
              </w:rPr>
              <w:t>62,708</w:t>
            </w:r>
          </w:p>
        </w:tc>
        <w:tc>
          <w:tcPr>
            <w:tcW w:w="1204" w:type="dxa"/>
            <w:tcBorders>
              <w:top w:val="nil"/>
              <w:left w:val="nil"/>
              <w:bottom w:val="single" w:sz="4" w:space="0" w:color="auto"/>
              <w:right w:val="single" w:sz="4" w:space="0" w:color="auto"/>
            </w:tcBorders>
            <w:shd w:val="clear" w:color="auto" w:fill="auto"/>
            <w:noWrap/>
            <w:vAlign w:val="center"/>
          </w:tcPr>
          <w:p w:rsidR="00B4605B" w:rsidRPr="00F22FA3" w:rsidRDefault="00131477" w:rsidP="00B4605B">
            <w:pPr>
              <w:jc w:val="right"/>
              <w:rPr>
                <w:rFonts w:ascii="Arial" w:hAnsi="Arial" w:cs="Arial"/>
                <w:b/>
                <w:bCs/>
                <w:color w:val="000000"/>
              </w:rPr>
            </w:pPr>
            <w:r>
              <w:rPr>
                <w:rFonts w:ascii="Arial" w:hAnsi="Arial"/>
                <w:bCs/>
              </w:rPr>
              <w:t>▼</w:t>
            </w:r>
            <w:r>
              <w:rPr>
                <w:rFonts w:ascii="Arial" w:hAnsi="Arial"/>
                <w:b/>
                <w:bCs/>
                <w:color w:val="000000"/>
              </w:rPr>
              <w:t>1.53%</w:t>
            </w:r>
          </w:p>
        </w:tc>
        <w:tc>
          <w:tcPr>
            <w:tcW w:w="1093" w:type="dxa"/>
            <w:tcBorders>
              <w:top w:val="nil"/>
              <w:left w:val="nil"/>
              <w:bottom w:val="single" w:sz="4" w:space="0" w:color="auto"/>
              <w:right w:val="single" w:sz="4" w:space="0" w:color="auto"/>
            </w:tcBorders>
            <w:shd w:val="clear" w:color="auto" w:fill="auto"/>
            <w:noWrap/>
            <w:vAlign w:val="center"/>
          </w:tcPr>
          <w:p w:rsidR="00B4605B" w:rsidRPr="00F22FA3" w:rsidRDefault="0067267B">
            <w:pPr>
              <w:jc w:val="right"/>
              <w:rPr>
                <w:rFonts w:ascii="Arial" w:hAnsi="Arial" w:cs="Arial"/>
                <w:b/>
                <w:bCs/>
                <w:color w:val="000000"/>
              </w:rPr>
            </w:pPr>
            <w:r>
              <w:rPr>
                <w:rFonts w:ascii="Arial" w:hAnsi="Arial"/>
                <w:bCs/>
              </w:rPr>
              <w:t>▼</w:t>
            </w:r>
            <w:r>
              <w:rPr>
                <w:rFonts w:ascii="Arial" w:hAnsi="Arial"/>
                <w:b/>
                <w:bCs/>
                <w:color w:val="000000"/>
              </w:rPr>
              <w:t>27.45%</w:t>
            </w:r>
          </w:p>
        </w:tc>
      </w:tr>
      <w:tr w:rsidR="00B4605B" w:rsidRPr="00456736" w:rsidTr="00946F1E">
        <w:trPr>
          <w:trHeight w:val="262"/>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Pr>
                <w:rFonts w:ascii="Arial" w:hAnsi="Arial"/>
                <w:color w:val="000000"/>
              </w:rPr>
              <w:t>Financial revenues</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C949A7">
            <w:pPr>
              <w:jc w:val="right"/>
              <w:rPr>
                <w:rFonts w:ascii="Arial" w:hAnsi="Arial" w:cs="Arial"/>
                <w:color w:val="000000"/>
              </w:rPr>
            </w:pPr>
            <w:r>
              <w:rPr>
                <w:rFonts w:ascii="Arial" w:hAnsi="Arial"/>
                <w:color w:val="000000"/>
              </w:rPr>
              <w:t>2,373</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Pr>
                <w:rFonts w:ascii="Arial" w:hAnsi="Arial"/>
                <w:color w:val="000000"/>
              </w:rPr>
              <w:t>809</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Pr>
                <w:rFonts w:ascii="Arial" w:hAnsi="Arial"/>
                <w:color w:val="000000"/>
              </w:rPr>
              <w:t>1,920</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C949A7">
            <w:pPr>
              <w:jc w:val="right"/>
              <w:rPr>
                <w:rFonts w:ascii="Arial" w:hAnsi="Arial" w:cs="Arial"/>
                <w:bCs/>
                <w:color w:val="000000"/>
              </w:rPr>
            </w:pPr>
            <w:r>
              <w:rPr>
                <w:rFonts w:ascii="Arial" w:hAnsi="Arial"/>
                <w:bCs/>
              </w:rPr>
              <w:t>▲</w:t>
            </w:r>
            <w:r>
              <w:rPr>
                <w:rFonts w:ascii="Arial" w:hAnsi="Arial"/>
                <w:bCs/>
                <w:color w:val="000000"/>
              </w:rPr>
              <w:t>193.32%</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C949A7">
            <w:pPr>
              <w:jc w:val="right"/>
              <w:rPr>
                <w:rFonts w:ascii="Arial" w:hAnsi="Arial" w:cs="Arial"/>
                <w:bCs/>
                <w:color w:val="000000"/>
              </w:rPr>
            </w:pPr>
            <w:r>
              <w:rPr>
                <w:rFonts w:ascii="Arial" w:hAnsi="Arial"/>
                <w:bCs/>
              </w:rPr>
              <w:t>▲</w:t>
            </w:r>
            <w:r>
              <w:rPr>
                <w:rFonts w:ascii="Arial" w:hAnsi="Arial"/>
                <w:bCs/>
                <w:color w:val="000000"/>
              </w:rPr>
              <w:t>23.59%</w:t>
            </w:r>
          </w:p>
        </w:tc>
      </w:tr>
      <w:tr w:rsidR="00B4605B" w:rsidRPr="00456736" w:rsidTr="00946F1E">
        <w:trPr>
          <w:trHeight w:val="262"/>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Pr>
                <w:rFonts w:ascii="Arial" w:hAnsi="Arial"/>
                <w:color w:val="000000"/>
              </w:rPr>
              <w:t>Financial expenses</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Pr>
                <w:rFonts w:ascii="Arial" w:hAnsi="Arial"/>
                <w:color w:val="000000"/>
              </w:rPr>
              <w:t>4</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B4605B" w:rsidP="00B4605B">
            <w:pPr>
              <w:jc w:val="right"/>
              <w:rPr>
                <w:rFonts w:ascii="Arial" w:hAnsi="Arial" w:cs="Arial"/>
                <w:color w:val="000000"/>
              </w:rPr>
            </w:pPr>
            <w:r>
              <w:rPr>
                <w:rFonts w:ascii="Arial" w:hAnsi="Arial"/>
                <w:color w:val="000000"/>
              </w:rPr>
              <w:t>50</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F22FA3" w:rsidRDefault="007E5EC2" w:rsidP="00B4605B">
            <w:pPr>
              <w:jc w:val="right"/>
              <w:rPr>
                <w:rFonts w:ascii="Arial" w:hAnsi="Arial" w:cs="Arial"/>
                <w:color w:val="000000"/>
              </w:rPr>
            </w:pPr>
            <w:r>
              <w:rPr>
                <w:rFonts w:ascii="Arial" w:hAnsi="Arial"/>
                <w:color w:val="000000"/>
              </w:rPr>
              <w:t>19</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8279D7" w:rsidP="00C42AC8">
            <w:pPr>
              <w:jc w:val="right"/>
              <w:rPr>
                <w:rFonts w:ascii="Arial" w:hAnsi="Arial" w:cs="Arial"/>
                <w:bCs/>
                <w:color w:val="000000"/>
              </w:rPr>
            </w:pPr>
            <w:r>
              <w:rPr>
                <w:rFonts w:ascii="Arial" w:hAnsi="Arial"/>
                <w:bCs/>
              </w:rPr>
              <w:t>▼9</w:t>
            </w:r>
            <w:r>
              <w:rPr>
                <w:rFonts w:ascii="Arial" w:hAnsi="Arial"/>
                <w:bCs/>
                <w:color w:val="000000"/>
              </w:rPr>
              <w:t>2.00%</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803DE7" w:rsidP="00847368">
            <w:pPr>
              <w:jc w:val="right"/>
              <w:rPr>
                <w:rFonts w:ascii="Arial" w:hAnsi="Arial" w:cs="Arial"/>
                <w:bCs/>
                <w:color w:val="000000"/>
              </w:rPr>
            </w:pPr>
            <w:r>
              <w:rPr>
                <w:rFonts w:ascii="Arial" w:hAnsi="Arial"/>
                <w:bCs/>
              </w:rPr>
              <w:t>▼</w:t>
            </w:r>
            <w:r>
              <w:rPr>
                <w:rFonts w:ascii="Arial" w:hAnsi="Arial"/>
                <w:bCs/>
                <w:color w:val="000000"/>
              </w:rPr>
              <w:t>78.95%</w:t>
            </w:r>
          </w:p>
        </w:tc>
      </w:tr>
      <w:tr w:rsidR="00B4605B" w:rsidRPr="00456736" w:rsidTr="00946F1E">
        <w:trPr>
          <w:trHeight w:val="253"/>
          <w:jc w:val="center"/>
        </w:trPr>
        <w:tc>
          <w:tcPr>
            <w:tcW w:w="3055" w:type="dxa"/>
            <w:tcBorders>
              <w:top w:val="nil"/>
              <w:left w:val="single" w:sz="4" w:space="0" w:color="auto"/>
              <w:bottom w:val="single" w:sz="4" w:space="0" w:color="auto"/>
              <w:right w:val="single" w:sz="4" w:space="0" w:color="auto"/>
            </w:tcBorders>
            <w:shd w:val="clear" w:color="auto" w:fill="DEEAF6"/>
            <w:noWrap/>
            <w:vAlign w:val="center"/>
            <w:hideMark/>
          </w:tcPr>
          <w:p w:rsidR="00B4605B" w:rsidRPr="00F22FA3" w:rsidRDefault="00B4605B" w:rsidP="00B4605B">
            <w:pPr>
              <w:rPr>
                <w:rFonts w:ascii="Arial" w:hAnsi="Arial" w:cs="Arial"/>
                <w:b/>
                <w:bCs/>
                <w:color w:val="000000"/>
              </w:rPr>
            </w:pPr>
            <w:r>
              <w:rPr>
                <w:rFonts w:ascii="Arial" w:hAnsi="Arial"/>
                <w:b/>
                <w:bCs/>
                <w:color w:val="000000"/>
              </w:rPr>
              <w:t>Financial profit</w:t>
            </w:r>
          </w:p>
        </w:tc>
        <w:tc>
          <w:tcPr>
            <w:tcW w:w="117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C949A7">
            <w:pPr>
              <w:jc w:val="right"/>
              <w:rPr>
                <w:rFonts w:ascii="Arial" w:hAnsi="Arial" w:cs="Arial"/>
                <w:b/>
                <w:bCs/>
                <w:color w:val="000000"/>
              </w:rPr>
            </w:pPr>
            <w:r>
              <w:rPr>
                <w:rFonts w:ascii="Arial" w:hAnsi="Arial"/>
                <w:b/>
                <w:bCs/>
                <w:color w:val="000000"/>
              </w:rPr>
              <w:t>2,369</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Pr>
                <w:rFonts w:ascii="Arial" w:hAnsi="Arial"/>
                <w:b/>
                <w:bCs/>
                <w:color w:val="000000"/>
              </w:rPr>
              <w:t>759</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6A0485">
            <w:pPr>
              <w:jc w:val="right"/>
              <w:rPr>
                <w:rFonts w:ascii="Arial" w:hAnsi="Arial" w:cs="Arial"/>
                <w:b/>
                <w:bCs/>
                <w:color w:val="000000"/>
              </w:rPr>
            </w:pPr>
            <w:r>
              <w:rPr>
                <w:rFonts w:ascii="Arial" w:hAnsi="Arial"/>
                <w:b/>
                <w:bCs/>
                <w:color w:val="000000"/>
              </w:rPr>
              <w:t>1,901</w:t>
            </w:r>
          </w:p>
        </w:tc>
        <w:tc>
          <w:tcPr>
            <w:tcW w:w="1204" w:type="dxa"/>
            <w:tcBorders>
              <w:top w:val="nil"/>
              <w:left w:val="nil"/>
              <w:bottom w:val="single" w:sz="4" w:space="0" w:color="auto"/>
              <w:right w:val="single" w:sz="4" w:space="0" w:color="auto"/>
            </w:tcBorders>
            <w:shd w:val="clear" w:color="auto" w:fill="DEEAF6"/>
            <w:noWrap/>
            <w:vAlign w:val="center"/>
            <w:hideMark/>
          </w:tcPr>
          <w:p w:rsidR="00B4605B" w:rsidRPr="00F22FA3" w:rsidRDefault="0060614B" w:rsidP="00C923CF">
            <w:pPr>
              <w:jc w:val="right"/>
              <w:rPr>
                <w:rFonts w:ascii="Arial" w:hAnsi="Arial" w:cs="Arial"/>
                <w:b/>
                <w:bCs/>
                <w:color w:val="000000"/>
              </w:rPr>
            </w:pPr>
            <w:r>
              <w:rPr>
                <w:rFonts w:ascii="Arial" w:hAnsi="Arial"/>
                <w:b/>
                <w:bCs/>
              </w:rPr>
              <w:t>▲</w:t>
            </w:r>
            <w:r>
              <w:rPr>
                <w:rFonts w:ascii="Arial" w:hAnsi="Arial"/>
                <w:b/>
                <w:bCs/>
                <w:color w:val="000000"/>
              </w:rPr>
              <w:t>212.12%</w:t>
            </w:r>
          </w:p>
        </w:tc>
        <w:tc>
          <w:tcPr>
            <w:tcW w:w="1093" w:type="dxa"/>
            <w:tcBorders>
              <w:top w:val="nil"/>
              <w:left w:val="nil"/>
              <w:bottom w:val="single" w:sz="4" w:space="0" w:color="auto"/>
              <w:right w:val="single" w:sz="4" w:space="0" w:color="auto"/>
            </w:tcBorders>
            <w:shd w:val="clear" w:color="auto" w:fill="DEEAF6"/>
            <w:noWrap/>
            <w:vAlign w:val="center"/>
            <w:hideMark/>
          </w:tcPr>
          <w:p w:rsidR="00B4605B" w:rsidRPr="00F22FA3" w:rsidRDefault="0060614B" w:rsidP="00C923CF">
            <w:pPr>
              <w:jc w:val="right"/>
              <w:rPr>
                <w:rFonts w:ascii="Arial" w:hAnsi="Arial" w:cs="Arial"/>
                <w:b/>
                <w:bCs/>
                <w:color w:val="000000"/>
              </w:rPr>
            </w:pPr>
            <w:r>
              <w:rPr>
                <w:rFonts w:ascii="Arial" w:hAnsi="Arial"/>
                <w:b/>
                <w:bCs/>
              </w:rPr>
              <w:t>▲</w:t>
            </w:r>
            <w:r>
              <w:rPr>
                <w:rFonts w:ascii="Arial" w:hAnsi="Arial"/>
                <w:b/>
                <w:bCs/>
                <w:color w:val="000000"/>
              </w:rPr>
              <w:t>24.62%</w:t>
            </w:r>
          </w:p>
        </w:tc>
      </w:tr>
      <w:tr w:rsidR="00B4605B" w:rsidRPr="00456736" w:rsidTr="00EA3A67">
        <w:trPr>
          <w:trHeight w:val="351"/>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Pr>
                <w:rFonts w:ascii="Arial" w:hAnsi="Arial"/>
                <w:color w:val="000000"/>
              </w:rPr>
              <w:t>Total revenues</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rsidP="00B4605B">
            <w:pPr>
              <w:jc w:val="right"/>
              <w:rPr>
                <w:rFonts w:ascii="Arial" w:hAnsi="Arial" w:cs="Arial"/>
                <w:bCs/>
                <w:color w:val="000000"/>
              </w:rPr>
            </w:pPr>
            <w:r>
              <w:rPr>
                <w:rFonts w:ascii="Arial" w:hAnsi="Arial"/>
                <w:bCs/>
                <w:color w:val="000000"/>
              </w:rPr>
              <w:t>202,350</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rsidP="00B4605B">
            <w:pPr>
              <w:jc w:val="right"/>
              <w:rPr>
                <w:rFonts w:ascii="Arial" w:hAnsi="Arial" w:cs="Arial"/>
                <w:bCs/>
                <w:color w:val="000000"/>
              </w:rPr>
            </w:pPr>
            <w:r>
              <w:rPr>
                <w:rFonts w:ascii="Arial" w:hAnsi="Arial"/>
                <w:bCs/>
                <w:color w:val="000000"/>
              </w:rPr>
              <w:t>197,714</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rsidP="00B4605B">
            <w:pPr>
              <w:jc w:val="right"/>
              <w:rPr>
                <w:rFonts w:ascii="Arial" w:hAnsi="Arial" w:cs="Arial"/>
                <w:bCs/>
                <w:color w:val="000000"/>
              </w:rPr>
            </w:pPr>
            <w:r>
              <w:rPr>
                <w:rFonts w:ascii="Arial" w:hAnsi="Arial"/>
                <w:bCs/>
                <w:color w:val="000000"/>
              </w:rPr>
              <w:t>204,524</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B4605B">
            <w:pPr>
              <w:jc w:val="right"/>
              <w:rPr>
                <w:rFonts w:ascii="Arial" w:hAnsi="Arial" w:cs="Arial"/>
                <w:bCs/>
                <w:color w:val="000000"/>
              </w:rPr>
            </w:pPr>
            <w:r>
              <w:rPr>
                <w:rFonts w:ascii="Arial" w:hAnsi="Arial"/>
                <w:bCs/>
              </w:rPr>
              <w:t>▲</w:t>
            </w:r>
            <w:r>
              <w:rPr>
                <w:rFonts w:ascii="Arial" w:hAnsi="Arial"/>
                <w:bCs/>
                <w:color w:val="000000"/>
              </w:rPr>
              <w:t>2.34%</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803DE7" w:rsidP="00803DE7">
            <w:pPr>
              <w:jc w:val="right"/>
              <w:rPr>
                <w:rFonts w:ascii="Arial" w:hAnsi="Arial" w:cs="Arial"/>
                <w:bCs/>
                <w:color w:val="000000"/>
              </w:rPr>
            </w:pPr>
            <w:r>
              <w:rPr>
                <w:rFonts w:ascii="Arial" w:hAnsi="Arial"/>
                <w:bCs/>
              </w:rPr>
              <w:t>▼</w:t>
            </w:r>
            <w:r>
              <w:rPr>
                <w:rFonts w:ascii="Arial" w:hAnsi="Arial"/>
                <w:bCs/>
                <w:color w:val="000000"/>
              </w:rPr>
              <w:t>1.06%</w:t>
            </w:r>
          </w:p>
        </w:tc>
      </w:tr>
      <w:tr w:rsidR="00B4605B" w:rsidRPr="00456736" w:rsidTr="00EA3A67">
        <w:trPr>
          <w:trHeight w:val="331"/>
          <w:jc w:val="center"/>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rsidR="00B4605B" w:rsidRPr="00F22FA3" w:rsidRDefault="00B4605B" w:rsidP="00B4605B">
            <w:pPr>
              <w:rPr>
                <w:rFonts w:ascii="Arial" w:hAnsi="Arial" w:cs="Arial"/>
                <w:color w:val="000000"/>
              </w:rPr>
            </w:pPr>
            <w:r>
              <w:rPr>
                <w:rFonts w:ascii="Arial" w:hAnsi="Arial"/>
                <w:color w:val="000000"/>
              </w:rPr>
              <w:t>Total expenses</w:t>
            </w:r>
          </w:p>
        </w:tc>
        <w:tc>
          <w:tcPr>
            <w:tcW w:w="117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rsidP="00B4605B">
            <w:pPr>
              <w:jc w:val="right"/>
              <w:rPr>
                <w:rFonts w:ascii="Arial" w:hAnsi="Arial" w:cs="Arial"/>
                <w:bCs/>
                <w:color w:val="000000"/>
              </w:rPr>
            </w:pPr>
            <w:r>
              <w:rPr>
                <w:rFonts w:ascii="Arial" w:hAnsi="Arial"/>
                <w:bCs/>
                <w:color w:val="000000"/>
              </w:rPr>
              <w:t>176,726</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rsidP="00B4605B">
            <w:pPr>
              <w:jc w:val="right"/>
              <w:rPr>
                <w:rFonts w:ascii="Arial" w:hAnsi="Arial" w:cs="Arial"/>
                <w:bCs/>
                <w:color w:val="000000"/>
              </w:rPr>
            </w:pPr>
            <w:r>
              <w:rPr>
                <w:rFonts w:ascii="Arial" w:hAnsi="Arial"/>
                <w:bCs/>
                <w:color w:val="000000"/>
              </w:rPr>
              <w:t>173,089</w:t>
            </w:r>
          </w:p>
        </w:tc>
        <w:tc>
          <w:tcPr>
            <w:tcW w:w="1480" w:type="dxa"/>
            <w:tcBorders>
              <w:top w:val="nil"/>
              <w:left w:val="nil"/>
              <w:bottom w:val="single" w:sz="4" w:space="0" w:color="auto"/>
              <w:right w:val="single" w:sz="4" w:space="0" w:color="auto"/>
            </w:tcBorders>
            <w:shd w:val="clear" w:color="auto" w:fill="auto"/>
            <w:noWrap/>
            <w:vAlign w:val="center"/>
            <w:hideMark/>
          </w:tcPr>
          <w:p w:rsidR="00B4605B" w:rsidRPr="00A96C5A" w:rsidRDefault="00B4605B">
            <w:pPr>
              <w:jc w:val="right"/>
              <w:rPr>
                <w:rFonts w:ascii="Arial" w:hAnsi="Arial" w:cs="Arial"/>
                <w:bCs/>
                <w:color w:val="000000"/>
              </w:rPr>
            </w:pPr>
            <w:r>
              <w:rPr>
                <w:rFonts w:ascii="Arial" w:hAnsi="Arial"/>
                <w:bCs/>
                <w:color w:val="000000"/>
              </w:rPr>
              <w:t>162,194</w:t>
            </w:r>
          </w:p>
        </w:tc>
        <w:tc>
          <w:tcPr>
            <w:tcW w:w="1204"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rsidP="00B4605B">
            <w:pPr>
              <w:jc w:val="right"/>
              <w:rPr>
                <w:rFonts w:ascii="Arial" w:hAnsi="Arial" w:cs="Arial"/>
                <w:bCs/>
                <w:color w:val="000000"/>
              </w:rPr>
            </w:pPr>
            <w:r>
              <w:rPr>
                <w:rFonts w:ascii="Arial" w:hAnsi="Arial"/>
                <w:bCs/>
              </w:rPr>
              <w:t>▲</w:t>
            </w:r>
            <w:r>
              <w:rPr>
                <w:rFonts w:ascii="Arial" w:hAnsi="Arial"/>
                <w:bCs/>
                <w:color w:val="000000"/>
              </w:rPr>
              <w:t>2.10%</w:t>
            </w:r>
          </w:p>
        </w:tc>
        <w:tc>
          <w:tcPr>
            <w:tcW w:w="1093" w:type="dxa"/>
            <w:tcBorders>
              <w:top w:val="nil"/>
              <w:left w:val="nil"/>
              <w:bottom w:val="single" w:sz="4" w:space="0" w:color="auto"/>
              <w:right w:val="single" w:sz="4" w:space="0" w:color="auto"/>
            </w:tcBorders>
            <w:shd w:val="clear" w:color="auto" w:fill="auto"/>
            <w:noWrap/>
            <w:vAlign w:val="center"/>
            <w:hideMark/>
          </w:tcPr>
          <w:p w:rsidR="00B4605B" w:rsidRPr="00A96C5A" w:rsidRDefault="0060614B">
            <w:pPr>
              <w:jc w:val="right"/>
              <w:rPr>
                <w:rFonts w:ascii="Arial" w:hAnsi="Arial" w:cs="Arial"/>
                <w:bCs/>
                <w:color w:val="000000"/>
              </w:rPr>
            </w:pPr>
            <w:r>
              <w:rPr>
                <w:rFonts w:ascii="Arial" w:hAnsi="Arial"/>
                <w:bCs/>
              </w:rPr>
              <w:t>▲</w:t>
            </w:r>
            <w:r>
              <w:rPr>
                <w:rFonts w:ascii="Arial" w:hAnsi="Arial"/>
                <w:bCs/>
                <w:color w:val="000000"/>
              </w:rPr>
              <w:t>8.96%</w:t>
            </w:r>
          </w:p>
        </w:tc>
      </w:tr>
      <w:tr w:rsidR="00B4605B" w:rsidRPr="00456736" w:rsidTr="00946F1E">
        <w:trPr>
          <w:trHeight w:val="280"/>
          <w:jc w:val="center"/>
        </w:trPr>
        <w:tc>
          <w:tcPr>
            <w:tcW w:w="3055" w:type="dxa"/>
            <w:tcBorders>
              <w:top w:val="nil"/>
              <w:left w:val="single" w:sz="4" w:space="0" w:color="auto"/>
              <w:bottom w:val="single" w:sz="4" w:space="0" w:color="auto"/>
              <w:right w:val="single" w:sz="4" w:space="0" w:color="auto"/>
            </w:tcBorders>
            <w:shd w:val="clear" w:color="auto" w:fill="DEEAF6"/>
            <w:noWrap/>
            <w:vAlign w:val="center"/>
            <w:hideMark/>
          </w:tcPr>
          <w:p w:rsidR="00B4605B" w:rsidRPr="00F22FA3" w:rsidRDefault="00B4605B" w:rsidP="00B4605B">
            <w:pPr>
              <w:rPr>
                <w:rFonts w:ascii="Arial" w:hAnsi="Arial" w:cs="Arial"/>
                <w:b/>
                <w:bCs/>
                <w:color w:val="000000"/>
              </w:rPr>
            </w:pPr>
            <w:r>
              <w:rPr>
                <w:rFonts w:ascii="Arial" w:hAnsi="Arial"/>
                <w:b/>
                <w:bCs/>
                <w:color w:val="000000"/>
              </w:rPr>
              <w:t>Gross Profit</w:t>
            </w:r>
          </w:p>
        </w:tc>
        <w:tc>
          <w:tcPr>
            <w:tcW w:w="117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Pr>
                <w:rFonts w:ascii="Arial" w:hAnsi="Arial"/>
                <w:b/>
                <w:bCs/>
                <w:color w:val="000000"/>
              </w:rPr>
              <w:t>25,624</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Pr>
                <w:rFonts w:ascii="Arial" w:hAnsi="Arial"/>
                <w:b/>
                <w:bCs/>
                <w:color w:val="000000"/>
              </w:rPr>
              <w:t>24,625</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pPr>
              <w:jc w:val="right"/>
              <w:rPr>
                <w:rFonts w:ascii="Arial" w:hAnsi="Arial" w:cs="Arial"/>
                <w:b/>
                <w:bCs/>
                <w:color w:val="000000"/>
              </w:rPr>
            </w:pPr>
            <w:r>
              <w:rPr>
                <w:rFonts w:ascii="Arial" w:hAnsi="Arial"/>
                <w:b/>
                <w:bCs/>
                <w:color w:val="000000"/>
              </w:rPr>
              <w:t>42,329</w:t>
            </w:r>
          </w:p>
        </w:tc>
        <w:tc>
          <w:tcPr>
            <w:tcW w:w="1204" w:type="dxa"/>
            <w:tcBorders>
              <w:top w:val="nil"/>
              <w:left w:val="nil"/>
              <w:bottom w:val="single" w:sz="4" w:space="0" w:color="auto"/>
              <w:right w:val="single" w:sz="4" w:space="0" w:color="auto"/>
            </w:tcBorders>
            <w:shd w:val="clear" w:color="auto" w:fill="DEEAF6"/>
            <w:noWrap/>
            <w:vAlign w:val="center"/>
            <w:hideMark/>
          </w:tcPr>
          <w:p w:rsidR="00B4605B" w:rsidRPr="00F22FA3" w:rsidRDefault="0060614B" w:rsidP="00B4605B">
            <w:pPr>
              <w:jc w:val="right"/>
              <w:rPr>
                <w:rFonts w:ascii="Arial" w:hAnsi="Arial" w:cs="Arial"/>
                <w:b/>
                <w:bCs/>
                <w:color w:val="000000"/>
              </w:rPr>
            </w:pPr>
            <w:r>
              <w:rPr>
                <w:rFonts w:ascii="Arial" w:hAnsi="Arial"/>
                <w:b/>
                <w:bCs/>
              </w:rPr>
              <w:t>▲</w:t>
            </w:r>
            <w:r>
              <w:rPr>
                <w:rFonts w:ascii="Arial" w:hAnsi="Arial"/>
                <w:b/>
                <w:bCs/>
                <w:color w:val="000000"/>
              </w:rPr>
              <w:t>4.06%</w:t>
            </w:r>
          </w:p>
        </w:tc>
        <w:tc>
          <w:tcPr>
            <w:tcW w:w="1093" w:type="dxa"/>
            <w:tcBorders>
              <w:top w:val="nil"/>
              <w:left w:val="nil"/>
              <w:bottom w:val="single" w:sz="4" w:space="0" w:color="auto"/>
              <w:right w:val="single" w:sz="4" w:space="0" w:color="auto"/>
            </w:tcBorders>
            <w:shd w:val="clear" w:color="auto" w:fill="DEEAF6"/>
            <w:noWrap/>
            <w:vAlign w:val="center"/>
            <w:hideMark/>
          </w:tcPr>
          <w:p w:rsidR="00B4605B" w:rsidRPr="00F22FA3" w:rsidRDefault="00803DE7">
            <w:pPr>
              <w:jc w:val="right"/>
              <w:rPr>
                <w:rFonts w:ascii="Arial" w:hAnsi="Arial" w:cs="Arial"/>
                <w:b/>
                <w:bCs/>
                <w:color w:val="000000"/>
              </w:rPr>
            </w:pPr>
            <w:r>
              <w:rPr>
                <w:rFonts w:ascii="Arial" w:hAnsi="Arial"/>
                <w:bCs/>
              </w:rPr>
              <w:t>▼</w:t>
            </w:r>
            <w:r>
              <w:rPr>
                <w:rFonts w:ascii="Arial" w:hAnsi="Arial"/>
                <w:b/>
                <w:bCs/>
                <w:color w:val="000000"/>
              </w:rPr>
              <w:t>39.46%</w:t>
            </w:r>
          </w:p>
        </w:tc>
      </w:tr>
      <w:tr w:rsidR="00B4605B" w:rsidRPr="00456736" w:rsidTr="00946F1E">
        <w:trPr>
          <w:trHeight w:val="271"/>
          <w:jc w:val="center"/>
        </w:trPr>
        <w:tc>
          <w:tcPr>
            <w:tcW w:w="3055" w:type="dxa"/>
            <w:tcBorders>
              <w:top w:val="nil"/>
              <w:left w:val="single" w:sz="4" w:space="0" w:color="auto"/>
              <w:bottom w:val="single" w:sz="4" w:space="0" w:color="auto"/>
              <w:right w:val="single" w:sz="4" w:space="0" w:color="auto"/>
            </w:tcBorders>
            <w:shd w:val="clear" w:color="auto" w:fill="DEEAF6"/>
            <w:noWrap/>
            <w:vAlign w:val="center"/>
            <w:hideMark/>
          </w:tcPr>
          <w:p w:rsidR="00B4605B" w:rsidRPr="00F22FA3" w:rsidRDefault="00B4605B" w:rsidP="00B4605B">
            <w:pPr>
              <w:shd w:val="clear" w:color="auto" w:fill="DEEAF6"/>
              <w:rPr>
                <w:rFonts w:ascii="Arial" w:hAnsi="Arial" w:cs="Arial"/>
                <w:b/>
                <w:bCs/>
                <w:color w:val="000000"/>
              </w:rPr>
            </w:pPr>
            <w:r>
              <w:rPr>
                <w:rFonts w:ascii="Arial" w:hAnsi="Arial"/>
                <w:b/>
                <w:bCs/>
                <w:color w:val="000000"/>
              </w:rPr>
              <w:t>Net Profit</w:t>
            </w:r>
          </w:p>
        </w:tc>
        <w:tc>
          <w:tcPr>
            <w:tcW w:w="117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9206BC">
            <w:pPr>
              <w:jc w:val="right"/>
              <w:rPr>
                <w:rFonts w:ascii="Arial" w:hAnsi="Arial" w:cs="Arial"/>
                <w:b/>
                <w:bCs/>
                <w:color w:val="000000"/>
              </w:rPr>
            </w:pPr>
            <w:r>
              <w:rPr>
                <w:rFonts w:ascii="Arial" w:hAnsi="Arial"/>
                <w:b/>
                <w:bCs/>
                <w:color w:val="000000"/>
              </w:rPr>
              <w:t>21,626</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B4605B" w:rsidP="00B4605B">
            <w:pPr>
              <w:jc w:val="right"/>
              <w:rPr>
                <w:rFonts w:ascii="Arial" w:hAnsi="Arial" w:cs="Arial"/>
                <w:b/>
                <w:bCs/>
                <w:color w:val="000000"/>
              </w:rPr>
            </w:pPr>
            <w:r>
              <w:rPr>
                <w:rFonts w:ascii="Arial" w:hAnsi="Arial"/>
                <w:b/>
                <w:bCs/>
                <w:color w:val="000000"/>
              </w:rPr>
              <w:t>20,521</w:t>
            </w:r>
          </w:p>
        </w:tc>
        <w:tc>
          <w:tcPr>
            <w:tcW w:w="1480" w:type="dxa"/>
            <w:tcBorders>
              <w:top w:val="nil"/>
              <w:left w:val="nil"/>
              <w:bottom w:val="single" w:sz="4" w:space="0" w:color="auto"/>
              <w:right w:val="single" w:sz="4" w:space="0" w:color="auto"/>
            </w:tcBorders>
            <w:shd w:val="clear" w:color="auto" w:fill="DEEAF6"/>
            <w:noWrap/>
            <w:vAlign w:val="center"/>
            <w:hideMark/>
          </w:tcPr>
          <w:p w:rsidR="00B4605B" w:rsidRPr="00F22FA3" w:rsidRDefault="005D1B4B" w:rsidP="00C0011A">
            <w:pPr>
              <w:jc w:val="right"/>
              <w:rPr>
                <w:rFonts w:ascii="Arial" w:hAnsi="Arial" w:cs="Arial"/>
                <w:b/>
                <w:bCs/>
                <w:color w:val="000000"/>
              </w:rPr>
            </w:pPr>
            <w:r>
              <w:rPr>
                <w:rFonts w:ascii="Arial" w:hAnsi="Arial"/>
                <w:b/>
                <w:bCs/>
                <w:color w:val="000000"/>
              </w:rPr>
              <w:t>35,767</w:t>
            </w:r>
          </w:p>
        </w:tc>
        <w:tc>
          <w:tcPr>
            <w:tcW w:w="1204" w:type="dxa"/>
            <w:tcBorders>
              <w:top w:val="nil"/>
              <w:left w:val="nil"/>
              <w:bottom w:val="single" w:sz="4" w:space="0" w:color="auto"/>
              <w:right w:val="single" w:sz="4" w:space="0" w:color="auto"/>
            </w:tcBorders>
            <w:shd w:val="clear" w:color="auto" w:fill="DEEAF6"/>
            <w:noWrap/>
            <w:vAlign w:val="center"/>
            <w:hideMark/>
          </w:tcPr>
          <w:p w:rsidR="00B4605B" w:rsidRPr="00F22FA3" w:rsidRDefault="0060614B" w:rsidP="009206BC">
            <w:pPr>
              <w:jc w:val="right"/>
              <w:rPr>
                <w:rFonts w:ascii="Arial" w:hAnsi="Arial" w:cs="Arial"/>
                <w:b/>
                <w:bCs/>
                <w:color w:val="000000"/>
              </w:rPr>
            </w:pPr>
            <w:r>
              <w:rPr>
                <w:rFonts w:ascii="Arial" w:hAnsi="Arial"/>
                <w:b/>
                <w:bCs/>
              </w:rPr>
              <w:t>▲</w:t>
            </w:r>
            <w:r>
              <w:rPr>
                <w:rFonts w:ascii="Arial" w:hAnsi="Arial"/>
                <w:b/>
                <w:bCs/>
                <w:color w:val="000000"/>
              </w:rPr>
              <w:t>5.38%</w:t>
            </w:r>
          </w:p>
        </w:tc>
        <w:tc>
          <w:tcPr>
            <w:tcW w:w="1093" w:type="dxa"/>
            <w:tcBorders>
              <w:top w:val="nil"/>
              <w:left w:val="nil"/>
              <w:bottom w:val="single" w:sz="4" w:space="0" w:color="auto"/>
              <w:right w:val="single" w:sz="4" w:space="0" w:color="auto"/>
            </w:tcBorders>
            <w:shd w:val="clear" w:color="auto" w:fill="DEEAF6"/>
            <w:noWrap/>
            <w:vAlign w:val="center"/>
            <w:hideMark/>
          </w:tcPr>
          <w:p w:rsidR="00B4605B" w:rsidRPr="00F22FA3" w:rsidRDefault="00803DE7" w:rsidP="00C0011A">
            <w:pPr>
              <w:jc w:val="right"/>
              <w:rPr>
                <w:rFonts w:ascii="Arial" w:hAnsi="Arial" w:cs="Arial"/>
                <w:b/>
                <w:bCs/>
                <w:color w:val="000000"/>
              </w:rPr>
            </w:pPr>
            <w:r>
              <w:rPr>
                <w:rFonts w:ascii="Arial" w:hAnsi="Arial"/>
                <w:bCs/>
              </w:rPr>
              <w:t>▼</w:t>
            </w:r>
            <w:r>
              <w:rPr>
                <w:rFonts w:ascii="Arial" w:hAnsi="Arial"/>
                <w:b/>
                <w:bCs/>
                <w:color w:val="000000"/>
              </w:rPr>
              <w:t>39.54%</w:t>
            </w:r>
          </w:p>
        </w:tc>
      </w:tr>
    </w:tbl>
    <w:p w:rsidR="00816479" w:rsidRPr="00A74CF5" w:rsidRDefault="00816479" w:rsidP="00816479">
      <w:pPr>
        <w:rPr>
          <w:rFonts w:ascii="Arial" w:hAnsi="Arial" w:cs="Arial"/>
          <w:sz w:val="22"/>
          <w:szCs w:val="22"/>
        </w:rPr>
      </w:pPr>
    </w:p>
    <w:p w:rsidR="00816479" w:rsidRPr="00F43345" w:rsidRDefault="009E1FB0" w:rsidP="00816479">
      <w:pPr>
        <w:jc w:val="center"/>
        <w:rPr>
          <w:rFonts w:ascii="Arial" w:hAnsi="Arial" w:cs="Arial"/>
          <w:sz w:val="16"/>
          <w:szCs w:val="16"/>
        </w:rPr>
      </w:pPr>
      <w:r>
        <w:rPr>
          <w:rFonts w:ascii="Arial" w:hAnsi="Arial"/>
          <w:sz w:val="16"/>
          <w:szCs w:val="16"/>
        </w:rPr>
        <w:t xml:space="preserve">Table 11 - The main economic-financial Indicators achieved in 2018 H1 vs </w:t>
      </w:r>
      <w:proofErr w:type="gramStart"/>
      <w:r>
        <w:rPr>
          <w:rFonts w:ascii="Arial" w:hAnsi="Arial"/>
          <w:sz w:val="16"/>
          <w:szCs w:val="16"/>
        </w:rPr>
        <w:t>Budget  2018</w:t>
      </w:r>
      <w:proofErr w:type="gramEnd"/>
      <w:r>
        <w:rPr>
          <w:rFonts w:ascii="Arial" w:hAnsi="Arial"/>
          <w:sz w:val="16"/>
          <w:szCs w:val="16"/>
        </w:rPr>
        <w:t xml:space="preserve"> and the same period of 2017</w:t>
      </w:r>
    </w:p>
    <w:p w:rsidR="00816479" w:rsidRPr="0053792A" w:rsidRDefault="00816479" w:rsidP="00816479">
      <w:pPr>
        <w:jc w:val="center"/>
        <w:rPr>
          <w:rFonts w:ascii="Arial" w:hAnsi="Arial" w:cs="Arial"/>
          <w:i/>
          <w:sz w:val="18"/>
          <w:szCs w:val="18"/>
        </w:rPr>
      </w:pPr>
    </w:p>
    <w:p w:rsidR="007C2533" w:rsidRPr="00045BD9" w:rsidRDefault="005A4F87" w:rsidP="00045BD9">
      <w:pPr>
        <w:jc w:val="both"/>
        <w:rPr>
          <w:rFonts w:ascii="Arial" w:eastAsia="Calibri" w:hAnsi="Arial" w:cs="Arial"/>
          <w:sz w:val="22"/>
          <w:szCs w:val="22"/>
        </w:rPr>
      </w:pPr>
      <w:r>
        <w:rPr>
          <w:rFonts w:ascii="Arial" w:hAnsi="Arial"/>
          <w:b/>
          <w:color w:val="1F4E79" w:themeColor="accent1" w:themeShade="80"/>
          <w:sz w:val="22"/>
          <w:szCs w:val="22"/>
        </w:rPr>
        <w:t>The operating profit</w:t>
      </w:r>
      <w:r>
        <w:rPr>
          <w:rFonts w:ascii="Arial" w:hAnsi="Arial"/>
          <w:color w:val="1F4E79" w:themeColor="accent1" w:themeShade="80"/>
          <w:sz w:val="22"/>
          <w:szCs w:val="22"/>
        </w:rPr>
        <w:t xml:space="preserve"> </w:t>
      </w:r>
      <w:r>
        <w:rPr>
          <w:rFonts w:ascii="Arial" w:hAnsi="Arial"/>
          <w:sz w:val="22"/>
          <w:szCs w:val="22"/>
        </w:rPr>
        <w:t xml:space="preserve"> achieved in 2018 H1 Y</w:t>
      </w:r>
      <w:r w:rsidR="00DA139A">
        <w:rPr>
          <w:rFonts w:ascii="Arial" w:hAnsi="Arial"/>
          <w:sz w:val="22"/>
          <w:szCs w:val="22"/>
        </w:rPr>
        <w:t>o</w:t>
      </w:r>
      <w:r>
        <w:rPr>
          <w:rFonts w:ascii="Arial" w:hAnsi="Arial"/>
          <w:sz w:val="22"/>
          <w:szCs w:val="22"/>
        </w:rPr>
        <w:t>Y lowered by 17,173 thousand RON (42.48%)  mainly due to the decrease in revenues obtained for the supply of crude oil , rich gas and condensate  transport services and the increase of the personnel expenses. Consequently, the gross profit and the net profit also recorded decreases by 16,705 thousand RON (39.46%) and respectively of 14,141 thousand RON (39.54%) and EBITDA indicator is 17,211 thousand RON (27.45%) lower than the preceding year.</w:t>
      </w:r>
    </w:p>
    <w:p w:rsidR="00E20FB9" w:rsidRDefault="00E20FB9" w:rsidP="00B92724">
      <w:pPr>
        <w:shd w:val="clear" w:color="auto" w:fill="FFFFFF"/>
        <w:spacing w:line="276" w:lineRule="auto"/>
        <w:jc w:val="both"/>
        <w:rPr>
          <w:rFonts w:ascii="Arial" w:eastAsia="Calibri" w:hAnsi="Arial" w:cs="Arial"/>
          <w:spacing w:val="-10"/>
          <w:sz w:val="22"/>
          <w:szCs w:val="22"/>
        </w:rPr>
      </w:pPr>
    </w:p>
    <w:p w:rsidR="00A400DC" w:rsidRPr="005E7F1C" w:rsidRDefault="005A4F87" w:rsidP="005E7F1C">
      <w:pPr>
        <w:jc w:val="both"/>
        <w:rPr>
          <w:rFonts w:ascii="Arial" w:eastAsia="Calibri" w:hAnsi="Arial" w:cs="Arial"/>
          <w:sz w:val="22"/>
          <w:szCs w:val="22"/>
        </w:rPr>
      </w:pPr>
      <w:r>
        <w:rPr>
          <w:rFonts w:ascii="Arial" w:hAnsi="Arial"/>
          <w:sz w:val="22"/>
          <w:szCs w:val="22"/>
        </w:rPr>
        <w:t xml:space="preserve">As compared to the budget provisions, the operating profit accounts for 97.44% of the scheduled level and the EBITDA indicator reflects a degree of achievement of 98.47%. When structuring the budget for 2018 was foreseen an increase in the transport tariffs starting with the month of April, but this amendment was approved by NAMR in June. This time-lag of almost three months in the change of tariffs had unpleasant effects on the transport revenues and the modernization quota expense. These effects have been partially compensated by a higher transport demand as compared to the scheduled figures as well as by the economies the company achieved with the material expenses, personnel expenses, maintenance and repair expenses and with other services. The demand for rail and combined transport services (via pipelines and by rail) was higher than the plan; </w:t>
      </w:r>
      <w:proofErr w:type="gramStart"/>
      <w:r>
        <w:rPr>
          <w:rFonts w:ascii="Arial" w:hAnsi="Arial"/>
          <w:sz w:val="22"/>
          <w:szCs w:val="22"/>
        </w:rPr>
        <w:t>consequently</w:t>
      </w:r>
      <w:proofErr w:type="gramEnd"/>
      <w:r>
        <w:rPr>
          <w:rFonts w:ascii="Arial" w:hAnsi="Arial"/>
          <w:sz w:val="22"/>
          <w:szCs w:val="22"/>
        </w:rPr>
        <w:t xml:space="preserve"> the rail transport expenses were higher than the budget provisions. The provisions established for untaken annual leaves and the employees’ share of profit have also been higher than the budgeted values. </w:t>
      </w:r>
    </w:p>
    <w:p w:rsidR="00045BD9" w:rsidRDefault="00045BD9" w:rsidP="00D313D0">
      <w:pPr>
        <w:jc w:val="both"/>
        <w:rPr>
          <w:rFonts w:ascii="Arial" w:eastAsia="Calibri" w:hAnsi="Arial" w:cs="Arial"/>
          <w:sz w:val="22"/>
          <w:szCs w:val="22"/>
        </w:rPr>
      </w:pPr>
    </w:p>
    <w:p w:rsidR="00721A5C" w:rsidRPr="0043265B" w:rsidRDefault="00721A5C" w:rsidP="00045BD9">
      <w:pPr>
        <w:jc w:val="both"/>
        <w:rPr>
          <w:rFonts w:ascii="Arial" w:eastAsia="Calibri" w:hAnsi="Arial" w:cs="Arial"/>
          <w:sz w:val="22"/>
          <w:szCs w:val="22"/>
        </w:rPr>
      </w:pPr>
      <w:r>
        <w:rPr>
          <w:rFonts w:ascii="Arial" w:hAnsi="Arial"/>
          <w:sz w:val="22"/>
          <w:szCs w:val="22"/>
        </w:rPr>
        <w:t xml:space="preserve">The company registered financial revenues higher </w:t>
      </w:r>
      <w:proofErr w:type="gramStart"/>
      <w:r>
        <w:rPr>
          <w:rFonts w:ascii="Arial" w:hAnsi="Arial"/>
          <w:sz w:val="22"/>
          <w:szCs w:val="22"/>
        </w:rPr>
        <w:t>than those</w:t>
      </w:r>
      <w:proofErr w:type="gramEnd"/>
      <w:r>
        <w:rPr>
          <w:rFonts w:ascii="Arial" w:hAnsi="Arial"/>
          <w:sz w:val="22"/>
          <w:szCs w:val="22"/>
        </w:rPr>
        <w:t xml:space="preserve"> provided in the budget, in such a way that the gross profit and net profit exceeded the planned values by 4.06%, respectively by 5.38%. </w:t>
      </w:r>
    </w:p>
    <w:p w:rsidR="00CD78BC" w:rsidRPr="0043265B" w:rsidRDefault="00CD78BC" w:rsidP="00555F32">
      <w:pPr>
        <w:shd w:val="clear" w:color="auto" w:fill="FFFFFF"/>
        <w:spacing w:after="200" w:line="276" w:lineRule="auto"/>
        <w:contextualSpacing/>
        <w:jc w:val="both"/>
        <w:rPr>
          <w:rFonts w:ascii="Arial" w:eastAsia="Calibri" w:hAnsi="Arial" w:cs="Arial"/>
          <w:spacing w:val="-10"/>
          <w:sz w:val="22"/>
          <w:szCs w:val="22"/>
        </w:rPr>
      </w:pPr>
    </w:p>
    <w:p w:rsidR="00242014" w:rsidRPr="0043265B" w:rsidRDefault="00242014" w:rsidP="00060D97">
      <w:pPr>
        <w:spacing w:line="276" w:lineRule="auto"/>
        <w:jc w:val="both"/>
        <w:rPr>
          <w:rFonts w:ascii="Arial" w:hAnsi="Arial" w:cs="Arial"/>
          <w:bCs/>
          <w:sz w:val="22"/>
          <w:szCs w:val="22"/>
        </w:rPr>
      </w:pPr>
      <w:r>
        <w:rPr>
          <w:rFonts w:ascii="Arial" w:hAnsi="Arial"/>
          <w:bCs/>
          <w:sz w:val="22"/>
          <w:szCs w:val="22"/>
        </w:rPr>
        <w:lastRenderedPageBreak/>
        <w:t xml:space="preserve">The statement of the profit and loss account for the six months period ended June 30, 2018 </w:t>
      </w:r>
      <w:proofErr w:type="gramStart"/>
      <w:r>
        <w:rPr>
          <w:rFonts w:ascii="Arial" w:hAnsi="Arial"/>
          <w:bCs/>
          <w:sz w:val="22"/>
          <w:szCs w:val="22"/>
        </w:rPr>
        <w:t>is presented</w:t>
      </w:r>
      <w:proofErr w:type="gramEnd"/>
      <w:r>
        <w:rPr>
          <w:rFonts w:ascii="Arial" w:hAnsi="Arial"/>
          <w:bCs/>
          <w:sz w:val="22"/>
          <w:szCs w:val="22"/>
        </w:rPr>
        <w:t xml:space="preserve"> in detail in annex no. 2.</w:t>
      </w:r>
    </w:p>
    <w:p w:rsidR="00947A87" w:rsidRPr="0043265B" w:rsidRDefault="00947A87" w:rsidP="00060D97">
      <w:pPr>
        <w:spacing w:line="276" w:lineRule="auto"/>
        <w:rPr>
          <w:rFonts w:ascii="Arial" w:hAnsi="Arial" w:cs="Arial"/>
          <w:bCs/>
          <w:sz w:val="22"/>
          <w:szCs w:val="22"/>
        </w:rPr>
      </w:pPr>
    </w:p>
    <w:p w:rsidR="00E20FB9" w:rsidRPr="0043265B" w:rsidRDefault="00242014" w:rsidP="00060D97">
      <w:pPr>
        <w:spacing w:line="276" w:lineRule="auto"/>
        <w:rPr>
          <w:rFonts w:ascii="Arial" w:hAnsi="Arial" w:cs="Arial"/>
          <w:noProof/>
          <w:sz w:val="22"/>
          <w:szCs w:val="22"/>
        </w:rPr>
      </w:pPr>
      <w:r>
        <w:rPr>
          <w:rFonts w:ascii="Arial" w:hAnsi="Arial"/>
          <w:bCs/>
          <w:sz w:val="22"/>
          <w:szCs w:val="22"/>
        </w:rPr>
        <w:t>The evolution of the financial results in 2018 H1 YoY is exposed in the Chart below:</w:t>
      </w:r>
      <w:r>
        <w:rPr>
          <w:rFonts w:ascii="Arial" w:hAnsi="Arial"/>
          <w:sz w:val="22"/>
          <w:szCs w:val="22"/>
        </w:rPr>
        <w:t xml:space="preserve"> </w:t>
      </w:r>
    </w:p>
    <w:p w:rsidR="00F60A18" w:rsidRDefault="00DA139A" w:rsidP="00501B00">
      <w:pPr>
        <w:spacing w:line="276" w:lineRule="auto"/>
        <w:jc w:val="center"/>
        <w:rPr>
          <w:rFonts w:ascii="Arial" w:hAnsi="Arial" w:cs="Arial"/>
          <w:noProof/>
          <w:sz w:val="22"/>
          <w:szCs w:val="22"/>
        </w:rPr>
      </w:pPr>
      <w:r>
        <w:rPr>
          <w:noProof/>
          <w:lang w:eastAsia="en-US"/>
        </w:rPr>
        <w:drawing>
          <wp:inline distT="0" distB="0" distL="0" distR="0" wp14:anchorId="56C70BCA" wp14:editId="79165DF4">
            <wp:extent cx="4695825" cy="2583783"/>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18208" cy="2596099"/>
                    </a:xfrm>
                    <a:prstGeom prst="rect">
                      <a:avLst/>
                    </a:prstGeom>
                  </pic:spPr>
                </pic:pic>
              </a:graphicData>
            </a:graphic>
          </wp:inline>
        </w:drawing>
      </w:r>
    </w:p>
    <w:p w:rsidR="002D3D36" w:rsidRDefault="002D3D36" w:rsidP="00060D97">
      <w:pPr>
        <w:spacing w:line="276" w:lineRule="auto"/>
        <w:rPr>
          <w:rFonts w:ascii="Arial" w:hAnsi="Arial" w:cs="Arial"/>
          <w:noProof/>
          <w:sz w:val="22"/>
          <w:szCs w:val="22"/>
          <w:lang w:eastAsia="en-US"/>
        </w:rPr>
      </w:pPr>
    </w:p>
    <w:p w:rsidR="00BF1E6C" w:rsidRPr="00F43345" w:rsidRDefault="00BF1E6C" w:rsidP="00BF1E6C">
      <w:pPr>
        <w:jc w:val="center"/>
        <w:rPr>
          <w:rFonts w:ascii="Arial" w:hAnsi="Arial" w:cs="Arial"/>
          <w:bCs/>
          <w:sz w:val="16"/>
          <w:szCs w:val="16"/>
        </w:rPr>
      </w:pPr>
      <w:r>
        <w:rPr>
          <w:rFonts w:ascii="Arial" w:hAnsi="Arial"/>
          <w:bCs/>
          <w:sz w:val="16"/>
          <w:szCs w:val="16"/>
        </w:rPr>
        <w:t>Chart 12 - Synthesis of the financial results in Semester I of 2017-2018</w:t>
      </w:r>
    </w:p>
    <w:p w:rsidR="00F43345" w:rsidRDefault="00F43345" w:rsidP="00BF1E6C">
      <w:pPr>
        <w:widowControl/>
        <w:autoSpaceDE/>
        <w:autoSpaceDN/>
        <w:adjustRightInd/>
        <w:jc w:val="both"/>
        <w:rPr>
          <w:b/>
          <w:i/>
          <w:spacing w:val="3"/>
          <w:sz w:val="24"/>
          <w:szCs w:val="24"/>
        </w:rPr>
      </w:pPr>
    </w:p>
    <w:p w:rsidR="00104EE4" w:rsidRPr="00E46854" w:rsidRDefault="004E6FD5" w:rsidP="000502E4">
      <w:pPr>
        <w:widowControl/>
        <w:overflowPunct w:val="0"/>
        <w:spacing w:line="276" w:lineRule="auto"/>
        <w:jc w:val="both"/>
        <w:textAlignment w:val="baseline"/>
        <w:rPr>
          <w:rFonts w:ascii="Arial" w:hAnsi="Arial" w:cs="Arial"/>
          <w:b/>
          <w:color w:val="1F4E79" w:themeColor="accent1" w:themeShade="80"/>
          <w:sz w:val="24"/>
          <w:szCs w:val="24"/>
        </w:rPr>
      </w:pPr>
      <w:r>
        <w:rPr>
          <w:rFonts w:ascii="Arial" w:hAnsi="Arial"/>
          <w:b/>
          <w:color w:val="1F4E79" w:themeColor="accent1" w:themeShade="80"/>
          <w:sz w:val="24"/>
          <w:szCs w:val="24"/>
        </w:rPr>
        <w:t>Operating Revenues</w:t>
      </w:r>
    </w:p>
    <w:p w:rsidR="00F30E3A" w:rsidRPr="00F30E3A" w:rsidRDefault="00F30E3A" w:rsidP="000502E4">
      <w:pPr>
        <w:widowControl/>
        <w:overflowPunct w:val="0"/>
        <w:spacing w:line="276" w:lineRule="auto"/>
        <w:jc w:val="both"/>
        <w:textAlignment w:val="baseline"/>
        <w:rPr>
          <w:rFonts w:ascii="Arial" w:hAnsi="Arial" w:cs="Arial"/>
          <w:b/>
          <w:color w:val="5B9BD5" w:themeColor="accent1"/>
          <w:sz w:val="24"/>
          <w:szCs w:val="24"/>
          <w:lang w:val="en-GB"/>
        </w:rPr>
      </w:pPr>
    </w:p>
    <w:p w:rsidR="004E6FD5" w:rsidRDefault="004E6FD5" w:rsidP="000502E4">
      <w:pPr>
        <w:widowControl/>
        <w:overflowPunct w:val="0"/>
        <w:spacing w:line="276" w:lineRule="auto"/>
        <w:jc w:val="both"/>
        <w:textAlignment w:val="baseline"/>
        <w:rPr>
          <w:rFonts w:ascii="Arial" w:hAnsi="Arial" w:cs="Arial"/>
          <w:sz w:val="22"/>
          <w:szCs w:val="22"/>
        </w:rPr>
      </w:pPr>
      <w:r>
        <w:rPr>
          <w:rFonts w:ascii="Arial" w:hAnsi="Arial"/>
          <w:sz w:val="22"/>
          <w:szCs w:val="22"/>
        </w:rPr>
        <w:t>As compared to the approved budget and preceding period, the total revenues of the operating activity in 2018 H1 is as follows:</w:t>
      </w:r>
    </w:p>
    <w:p w:rsidR="004F5963" w:rsidRDefault="004F5963" w:rsidP="000502E4">
      <w:pPr>
        <w:widowControl/>
        <w:overflowPunct w:val="0"/>
        <w:spacing w:line="276" w:lineRule="auto"/>
        <w:jc w:val="both"/>
        <w:textAlignment w:val="baseline"/>
        <w:rPr>
          <w:rFonts w:ascii="Arial" w:hAnsi="Arial" w:cs="Arial"/>
          <w:sz w:val="22"/>
          <w:szCs w:val="22"/>
          <w:lang w:val="en-GB" w:eastAsia="en-US"/>
        </w:rPr>
      </w:pPr>
    </w:p>
    <w:tbl>
      <w:tblPr>
        <w:tblW w:w="9712" w:type="dxa"/>
        <w:tblInd w:w="113" w:type="dxa"/>
        <w:tblLook w:val="04A0" w:firstRow="1" w:lastRow="0" w:firstColumn="1" w:lastColumn="0" w:noHBand="0" w:noVBand="1"/>
      </w:tblPr>
      <w:tblGrid>
        <w:gridCol w:w="1117"/>
        <w:gridCol w:w="1117"/>
        <w:gridCol w:w="1161"/>
        <w:gridCol w:w="2923"/>
        <w:gridCol w:w="1123"/>
        <w:gridCol w:w="1117"/>
        <w:gridCol w:w="1162"/>
      </w:tblGrid>
      <w:tr w:rsidR="00F30E3A" w:rsidRPr="00566A7E" w:rsidTr="00F60A18">
        <w:trPr>
          <w:trHeight w:val="1038"/>
          <w:tblHeader/>
        </w:trPr>
        <w:tc>
          <w:tcPr>
            <w:tcW w:w="1117"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F30E3A" w:rsidRPr="00F30E3A" w:rsidRDefault="00F30E3A" w:rsidP="003F6C38">
            <w:pPr>
              <w:widowControl/>
              <w:autoSpaceDE/>
              <w:autoSpaceDN/>
              <w:adjustRightInd/>
              <w:jc w:val="center"/>
              <w:rPr>
                <w:rFonts w:ascii="Arial" w:hAnsi="Arial" w:cs="Arial"/>
                <w:b/>
                <w:color w:val="000000"/>
              </w:rPr>
            </w:pPr>
            <w:r>
              <w:rPr>
                <w:rFonts w:ascii="Arial" w:hAnsi="Arial"/>
                <w:b/>
                <w:color w:val="000000"/>
              </w:rPr>
              <w:t>Achieved Semester I 2018</w:t>
            </w:r>
          </w:p>
        </w:tc>
        <w:tc>
          <w:tcPr>
            <w:tcW w:w="1117"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F30E3A" w:rsidRPr="00F30E3A" w:rsidRDefault="00F30E3A" w:rsidP="003F6C38">
            <w:pPr>
              <w:widowControl/>
              <w:autoSpaceDE/>
              <w:autoSpaceDN/>
              <w:adjustRightInd/>
              <w:jc w:val="center"/>
              <w:rPr>
                <w:rFonts w:ascii="Arial" w:hAnsi="Arial" w:cs="Arial"/>
                <w:b/>
                <w:color w:val="000000"/>
              </w:rPr>
            </w:pPr>
            <w:r>
              <w:rPr>
                <w:rFonts w:ascii="Arial" w:hAnsi="Arial"/>
                <w:b/>
                <w:color w:val="000000"/>
              </w:rPr>
              <w:t>Budget               Semester I 2018</w:t>
            </w:r>
          </w:p>
        </w:tc>
        <w:tc>
          <w:tcPr>
            <w:tcW w:w="1183"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3F6C38" w:rsidRDefault="00F30E3A" w:rsidP="003F6C38">
            <w:pPr>
              <w:widowControl/>
              <w:autoSpaceDE/>
              <w:autoSpaceDN/>
              <w:adjustRightInd/>
              <w:jc w:val="center"/>
              <w:rPr>
                <w:rFonts w:ascii="Arial" w:hAnsi="Arial" w:cs="Arial"/>
                <w:b/>
                <w:color w:val="000000"/>
              </w:rPr>
            </w:pPr>
            <w:r>
              <w:rPr>
                <w:rFonts w:ascii="Arial" w:hAnsi="Arial"/>
                <w:b/>
                <w:color w:val="000000"/>
              </w:rPr>
              <w:t xml:space="preserve">Variation % Achieved/ </w:t>
            </w:r>
          </w:p>
          <w:p w:rsidR="00F30E3A" w:rsidRPr="00F30E3A" w:rsidRDefault="00F30E3A" w:rsidP="003F6C38">
            <w:pPr>
              <w:widowControl/>
              <w:autoSpaceDE/>
              <w:autoSpaceDN/>
              <w:adjustRightInd/>
              <w:jc w:val="center"/>
              <w:rPr>
                <w:rFonts w:ascii="Arial" w:hAnsi="Arial" w:cs="Arial"/>
                <w:b/>
                <w:color w:val="000000"/>
              </w:rPr>
            </w:pPr>
            <w:r>
              <w:rPr>
                <w:rFonts w:ascii="Arial" w:hAnsi="Arial"/>
                <w:b/>
                <w:color w:val="000000"/>
              </w:rPr>
              <w:t>Budget 2018</w:t>
            </w:r>
          </w:p>
        </w:tc>
        <w:tc>
          <w:tcPr>
            <w:tcW w:w="2923" w:type="dxa"/>
            <w:tcBorders>
              <w:top w:val="single" w:sz="4" w:space="0" w:color="auto"/>
              <w:left w:val="nil"/>
              <w:bottom w:val="single" w:sz="4" w:space="0" w:color="auto"/>
              <w:right w:val="single" w:sz="4" w:space="0" w:color="auto"/>
            </w:tcBorders>
            <w:shd w:val="clear" w:color="000000" w:fill="DEEAF6"/>
            <w:noWrap/>
            <w:vAlign w:val="center"/>
            <w:hideMark/>
          </w:tcPr>
          <w:p w:rsidR="00F30E3A" w:rsidRPr="00F30E3A" w:rsidRDefault="00F30E3A" w:rsidP="00117C4A">
            <w:pPr>
              <w:widowControl/>
              <w:autoSpaceDE/>
              <w:autoSpaceDN/>
              <w:adjustRightInd/>
              <w:jc w:val="center"/>
              <w:rPr>
                <w:rFonts w:ascii="Arial" w:hAnsi="Arial" w:cs="Arial"/>
                <w:b/>
                <w:color w:val="000000"/>
              </w:rPr>
            </w:pPr>
            <w:r>
              <w:rPr>
                <w:rFonts w:ascii="Arial" w:hAnsi="Arial"/>
                <w:b/>
                <w:color w:val="000000"/>
              </w:rPr>
              <w:t>Indicators (thousand RON)</w:t>
            </w:r>
          </w:p>
        </w:tc>
        <w:tc>
          <w:tcPr>
            <w:tcW w:w="1123"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F30E3A" w:rsidRPr="00F30E3A" w:rsidRDefault="00F30E3A" w:rsidP="003F6C38">
            <w:pPr>
              <w:widowControl/>
              <w:autoSpaceDE/>
              <w:autoSpaceDN/>
              <w:adjustRightInd/>
              <w:jc w:val="center"/>
              <w:rPr>
                <w:rFonts w:ascii="Arial" w:hAnsi="Arial" w:cs="Arial"/>
                <w:b/>
                <w:color w:val="000000"/>
              </w:rPr>
            </w:pPr>
            <w:r>
              <w:rPr>
                <w:rFonts w:ascii="Arial" w:hAnsi="Arial"/>
                <w:b/>
                <w:color w:val="000000"/>
              </w:rPr>
              <w:t>Achieved Semester I 2018</w:t>
            </w:r>
          </w:p>
        </w:tc>
        <w:tc>
          <w:tcPr>
            <w:tcW w:w="1107"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F30E3A" w:rsidRPr="00F30E3A" w:rsidRDefault="00F30E3A" w:rsidP="003F6C38">
            <w:pPr>
              <w:widowControl/>
              <w:autoSpaceDE/>
              <w:autoSpaceDN/>
              <w:adjustRightInd/>
              <w:jc w:val="center"/>
              <w:rPr>
                <w:rFonts w:ascii="Arial" w:hAnsi="Arial" w:cs="Arial"/>
                <w:b/>
                <w:color w:val="000000"/>
              </w:rPr>
            </w:pPr>
            <w:r>
              <w:rPr>
                <w:rFonts w:ascii="Arial" w:hAnsi="Arial"/>
                <w:b/>
                <w:color w:val="000000"/>
              </w:rPr>
              <w:t>Achieved Semester I 2017</w:t>
            </w:r>
          </w:p>
        </w:tc>
        <w:tc>
          <w:tcPr>
            <w:tcW w:w="1142"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F30E3A" w:rsidRPr="00F30E3A" w:rsidRDefault="00F30E3A" w:rsidP="00117C4A">
            <w:pPr>
              <w:widowControl/>
              <w:autoSpaceDE/>
              <w:autoSpaceDN/>
              <w:adjustRightInd/>
              <w:jc w:val="center"/>
              <w:rPr>
                <w:rFonts w:ascii="Arial" w:hAnsi="Arial" w:cs="Arial"/>
                <w:b/>
                <w:color w:val="000000"/>
              </w:rPr>
            </w:pPr>
            <w:r>
              <w:rPr>
                <w:rFonts w:ascii="Arial" w:hAnsi="Arial"/>
                <w:b/>
                <w:color w:val="000000"/>
              </w:rPr>
              <w:t>Variation % 2018/2017</w:t>
            </w:r>
          </w:p>
        </w:tc>
      </w:tr>
      <w:tr w:rsidR="004F5963" w:rsidRPr="00566A7E" w:rsidTr="00F60A18">
        <w:trPr>
          <w:trHeight w:val="529"/>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963" w:rsidRPr="008C7F9D" w:rsidRDefault="004F5963" w:rsidP="00117C4A">
            <w:pPr>
              <w:widowControl/>
              <w:autoSpaceDE/>
              <w:autoSpaceDN/>
              <w:adjustRightInd/>
              <w:jc w:val="right"/>
              <w:rPr>
                <w:rFonts w:ascii="Arial" w:hAnsi="Arial" w:cs="Arial"/>
                <w:color w:val="000000"/>
              </w:rPr>
            </w:pPr>
            <w:r>
              <w:rPr>
                <w:rFonts w:ascii="Arial" w:hAnsi="Arial"/>
                <w:color w:val="000000"/>
              </w:rPr>
              <w:t>182,034</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Pr>
                <w:rFonts w:ascii="Arial" w:hAnsi="Arial"/>
                <w:color w:val="000000"/>
              </w:rPr>
              <w:t>179,676</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bCs/>
                <w:color w:val="000000"/>
              </w:rPr>
            </w:pPr>
            <w:r>
              <w:rPr>
                <w:rFonts w:ascii="Arial" w:hAnsi="Arial"/>
                <w:bCs/>
              </w:rPr>
              <w:t>▲</w:t>
            </w:r>
            <w:r>
              <w:rPr>
                <w:rFonts w:ascii="Arial" w:hAnsi="Arial"/>
                <w:bCs/>
                <w:color w:val="000000"/>
              </w:rPr>
              <w:t>1.31%</w:t>
            </w:r>
          </w:p>
        </w:tc>
        <w:tc>
          <w:tcPr>
            <w:tcW w:w="2923" w:type="dxa"/>
            <w:tcBorders>
              <w:top w:val="single" w:sz="4" w:space="0" w:color="auto"/>
              <w:left w:val="nil"/>
              <w:bottom w:val="single" w:sz="4" w:space="0" w:color="auto"/>
              <w:right w:val="single" w:sz="4" w:space="0" w:color="auto"/>
            </w:tcBorders>
            <w:shd w:val="clear" w:color="auto" w:fill="auto"/>
            <w:vAlign w:val="center"/>
            <w:hideMark/>
          </w:tcPr>
          <w:p w:rsidR="004F5963" w:rsidRPr="008C7F9D" w:rsidRDefault="004F5963" w:rsidP="00117C4A">
            <w:pPr>
              <w:widowControl/>
              <w:autoSpaceDE/>
              <w:autoSpaceDN/>
              <w:adjustRightInd/>
              <w:rPr>
                <w:rFonts w:ascii="Arial" w:hAnsi="Arial" w:cs="Arial"/>
                <w:color w:val="000000"/>
              </w:rPr>
            </w:pPr>
            <w:r>
              <w:rPr>
                <w:rFonts w:ascii="Arial" w:hAnsi="Arial"/>
                <w:color w:val="000000"/>
              </w:rPr>
              <w:t>Total revenues from transport services</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4F5963" w:rsidRPr="008C7F9D" w:rsidRDefault="004F5963" w:rsidP="00117C4A">
            <w:pPr>
              <w:widowControl/>
              <w:autoSpaceDE/>
              <w:autoSpaceDN/>
              <w:adjustRightInd/>
              <w:jc w:val="right"/>
              <w:rPr>
                <w:rFonts w:ascii="Arial" w:hAnsi="Arial" w:cs="Arial"/>
                <w:color w:val="000000"/>
              </w:rPr>
            </w:pPr>
            <w:r>
              <w:rPr>
                <w:rFonts w:ascii="Arial" w:hAnsi="Arial"/>
                <w:color w:val="000000"/>
              </w:rPr>
              <w:t>182,034</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Pr>
                <w:rFonts w:ascii="Arial" w:hAnsi="Arial"/>
                <w:color w:val="000000"/>
              </w:rPr>
              <w:t>184,126</w:t>
            </w:r>
          </w:p>
        </w:tc>
        <w:tc>
          <w:tcPr>
            <w:tcW w:w="1142"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bCs/>
                <w:color w:val="000000"/>
              </w:rPr>
            </w:pPr>
            <w:r>
              <w:rPr>
                <w:rFonts w:ascii="Arial" w:hAnsi="Arial"/>
                <w:bCs/>
              </w:rPr>
              <w:t>▼</w:t>
            </w:r>
            <w:r>
              <w:rPr>
                <w:rFonts w:ascii="Arial" w:hAnsi="Arial"/>
                <w:bCs/>
                <w:color w:val="000000"/>
              </w:rPr>
              <w:t>1.14%</w:t>
            </w:r>
          </w:p>
        </w:tc>
      </w:tr>
      <w:tr w:rsidR="004F5963" w:rsidRPr="00566A7E" w:rsidTr="00F60A18">
        <w:trPr>
          <w:trHeight w:val="529"/>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Pr>
                <w:rFonts w:ascii="Arial" w:hAnsi="Arial"/>
                <w:color w:val="000000"/>
              </w:rPr>
              <w:t>2,897</w:t>
            </w:r>
          </w:p>
        </w:tc>
        <w:tc>
          <w:tcPr>
            <w:tcW w:w="1117"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color w:val="000000"/>
              </w:rPr>
            </w:pPr>
            <w:r>
              <w:rPr>
                <w:rFonts w:ascii="Arial" w:hAnsi="Arial"/>
                <w:color w:val="000000"/>
              </w:rPr>
              <w:t>1,817</w:t>
            </w:r>
          </w:p>
        </w:tc>
        <w:tc>
          <w:tcPr>
            <w:tcW w:w="118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4F5963">
            <w:pPr>
              <w:jc w:val="right"/>
              <w:rPr>
                <w:rFonts w:ascii="Arial" w:hAnsi="Arial" w:cs="Arial"/>
                <w:bCs/>
                <w:color w:val="000000"/>
              </w:rPr>
            </w:pPr>
            <w:r>
              <w:rPr>
                <w:rFonts w:ascii="Arial" w:hAnsi="Arial"/>
                <w:bCs/>
              </w:rPr>
              <w:t>▲</w:t>
            </w:r>
            <w:r>
              <w:rPr>
                <w:rFonts w:ascii="Arial" w:hAnsi="Arial"/>
                <w:bCs/>
                <w:color w:val="000000"/>
              </w:rPr>
              <w:t>59.44%</w:t>
            </w:r>
          </w:p>
        </w:tc>
        <w:tc>
          <w:tcPr>
            <w:tcW w:w="292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widowControl/>
              <w:autoSpaceDE/>
              <w:autoSpaceDN/>
              <w:adjustRightInd/>
              <w:rPr>
                <w:rFonts w:ascii="Arial" w:hAnsi="Arial" w:cs="Arial"/>
                <w:color w:val="000000"/>
              </w:rPr>
            </w:pPr>
            <w:r>
              <w:rPr>
                <w:rFonts w:ascii="Arial" w:hAnsi="Arial"/>
                <w:color w:val="000000"/>
              </w:rPr>
              <w:t>Other Turnover Revenues</w:t>
            </w:r>
          </w:p>
        </w:tc>
        <w:tc>
          <w:tcPr>
            <w:tcW w:w="1123"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Pr>
                <w:rFonts w:ascii="Arial" w:hAnsi="Arial"/>
                <w:color w:val="000000"/>
              </w:rPr>
              <w:t>2,897</w:t>
            </w:r>
          </w:p>
        </w:tc>
        <w:tc>
          <w:tcPr>
            <w:tcW w:w="1107" w:type="dxa"/>
            <w:tcBorders>
              <w:top w:val="nil"/>
              <w:left w:val="nil"/>
              <w:bottom w:val="single" w:sz="4" w:space="0" w:color="auto"/>
              <w:right w:val="single" w:sz="4" w:space="0" w:color="auto"/>
            </w:tcBorders>
            <w:shd w:val="clear" w:color="auto" w:fill="auto"/>
            <w:noWrap/>
            <w:vAlign w:val="center"/>
            <w:hideMark/>
          </w:tcPr>
          <w:p w:rsidR="004F5963" w:rsidRPr="008C7F9D" w:rsidRDefault="00A226C3" w:rsidP="00117C4A">
            <w:pPr>
              <w:jc w:val="right"/>
              <w:rPr>
                <w:rFonts w:ascii="Arial" w:hAnsi="Arial" w:cs="Arial"/>
                <w:color w:val="000000"/>
              </w:rPr>
            </w:pPr>
            <w:r>
              <w:rPr>
                <w:rFonts w:ascii="Arial" w:hAnsi="Arial"/>
                <w:color w:val="000000"/>
              </w:rPr>
              <w:t>2,188</w:t>
            </w:r>
          </w:p>
        </w:tc>
        <w:tc>
          <w:tcPr>
            <w:tcW w:w="1142"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A226C3">
            <w:pPr>
              <w:jc w:val="right"/>
              <w:rPr>
                <w:rFonts w:ascii="Arial" w:hAnsi="Arial" w:cs="Arial"/>
                <w:bCs/>
                <w:color w:val="000000"/>
              </w:rPr>
            </w:pPr>
            <w:r>
              <w:rPr>
                <w:rFonts w:ascii="Arial" w:hAnsi="Arial"/>
                <w:bCs/>
              </w:rPr>
              <w:t>▲</w:t>
            </w:r>
            <w:r>
              <w:rPr>
                <w:rFonts w:ascii="Arial" w:hAnsi="Arial"/>
                <w:bCs/>
                <w:color w:val="000000"/>
              </w:rPr>
              <w:t>32.40%</w:t>
            </w:r>
          </w:p>
        </w:tc>
      </w:tr>
      <w:tr w:rsidR="004F5963" w:rsidRPr="00566A7E" w:rsidTr="00F60A18">
        <w:trPr>
          <w:trHeight w:val="31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b/>
                <w:color w:val="000000"/>
              </w:rPr>
            </w:pPr>
            <w:r>
              <w:rPr>
                <w:rFonts w:ascii="Arial" w:hAnsi="Arial"/>
                <w:b/>
                <w:color w:val="000000"/>
              </w:rPr>
              <w:t>184,931</w:t>
            </w:r>
          </w:p>
        </w:tc>
        <w:tc>
          <w:tcPr>
            <w:tcW w:w="1117"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b/>
                <w:color w:val="000000"/>
              </w:rPr>
            </w:pPr>
            <w:r>
              <w:rPr>
                <w:rFonts w:ascii="Arial" w:hAnsi="Arial"/>
                <w:b/>
                <w:color w:val="000000"/>
              </w:rPr>
              <w:t>181,493</w:t>
            </w:r>
          </w:p>
        </w:tc>
        <w:tc>
          <w:tcPr>
            <w:tcW w:w="118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b/>
                <w:bCs/>
                <w:color w:val="000000"/>
              </w:rPr>
            </w:pPr>
            <w:r>
              <w:rPr>
                <w:rFonts w:ascii="Arial" w:hAnsi="Arial"/>
                <w:b/>
                <w:bCs/>
              </w:rPr>
              <w:t>▲</w:t>
            </w:r>
            <w:r>
              <w:rPr>
                <w:rFonts w:ascii="Arial" w:hAnsi="Arial"/>
                <w:b/>
                <w:bCs/>
                <w:color w:val="000000"/>
              </w:rPr>
              <w:t>1.89%</w:t>
            </w:r>
          </w:p>
        </w:tc>
        <w:tc>
          <w:tcPr>
            <w:tcW w:w="292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widowControl/>
              <w:autoSpaceDE/>
              <w:autoSpaceDN/>
              <w:adjustRightInd/>
              <w:rPr>
                <w:rFonts w:ascii="Arial" w:hAnsi="Arial" w:cs="Arial"/>
                <w:b/>
                <w:iCs/>
                <w:color w:val="000000"/>
              </w:rPr>
            </w:pPr>
            <w:r>
              <w:rPr>
                <w:rFonts w:ascii="Arial" w:hAnsi="Arial"/>
                <w:b/>
                <w:iCs/>
                <w:color w:val="000000"/>
              </w:rPr>
              <w:t>Turnover</w:t>
            </w:r>
          </w:p>
        </w:tc>
        <w:tc>
          <w:tcPr>
            <w:tcW w:w="1123"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b/>
                <w:color w:val="000000"/>
              </w:rPr>
            </w:pPr>
            <w:r>
              <w:rPr>
                <w:rFonts w:ascii="Arial" w:hAnsi="Arial"/>
                <w:b/>
                <w:color w:val="000000"/>
              </w:rPr>
              <w:t>184,931</w:t>
            </w:r>
          </w:p>
        </w:tc>
        <w:tc>
          <w:tcPr>
            <w:tcW w:w="1107"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b/>
                <w:color w:val="000000"/>
              </w:rPr>
            </w:pPr>
            <w:r>
              <w:rPr>
                <w:rFonts w:ascii="Arial" w:hAnsi="Arial"/>
                <w:b/>
                <w:color w:val="000000"/>
              </w:rPr>
              <w:t>186,314</w:t>
            </w:r>
          </w:p>
        </w:tc>
        <w:tc>
          <w:tcPr>
            <w:tcW w:w="1142"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b/>
                <w:bCs/>
                <w:color w:val="000000"/>
              </w:rPr>
            </w:pPr>
            <w:r>
              <w:rPr>
                <w:rFonts w:ascii="Arial" w:hAnsi="Arial"/>
                <w:b/>
                <w:bCs/>
              </w:rPr>
              <w:t>▼</w:t>
            </w:r>
            <w:r>
              <w:rPr>
                <w:rFonts w:ascii="Arial" w:hAnsi="Arial"/>
                <w:b/>
                <w:bCs/>
                <w:color w:val="000000"/>
              </w:rPr>
              <w:t>0.74%</w:t>
            </w:r>
          </w:p>
        </w:tc>
      </w:tr>
      <w:tr w:rsidR="004F5963" w:rsidRPr="00566A7E" w:rsidTr="00F60A18">
        <w:trPr>
          <w:trHeight w:val="795"/>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Pr>
                <w:rFonts w:ascii="Arial" w:hAnsi="Arial"/>
                <w:color w:val="000000"/>
              </w:rPr>
              <w:t>14,198</w:t>
            </w:r>
          </w:p>
        </w:tc>
        <w:tc>
          <w:tcPr>
            <w:tcW w:w="1117"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color w:val="000000"/>
              </w:rPr>
            </w:pPr>
            <w:r>
              <w:rPr>
                <w:rFonts w:ascii="Arial" w:hAnsi="Arial"/>
                <w:color w:val="000000"/>
              </w:rPr>
              <w:t>14,734</w:t>
            </w:r>
          </w:p>
        </w:tc>
        <w:tc>
          <w:tcPr>
            <w:tcW w:w="118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B12164">
            <w:pPr>
              <w:jc w:val="right"/>
              <w:rPr>
                <w:rFonts w:ascii="Arial" w:hAnsi="Arial" w:cs="Arial"/>
                <w:bCs/>
                <w:color w:val="000000"/>
              </w:rPr>
            </w:pPr>
            <w:r>
              <w:rPr>
                <w:rFonts w:ascii="Arial" w:hAnsi="Arial"/>
                <w:bCs/>
              </w:rPr>
              <w:t>▼</w:t>
            </w:r>
            <w:r>
              <w:rPr>
                <w:rFonts w:ascii="Arial" w:hAnsi="Arial"/>
                <w:bCs/>
                <w:color w:val="000000"/>
              </w:rPr>
              <w:t>3.64%</w:t>
            </w:r>
          </w:p>
        </w:tc>
        <w:tc>
          <w:tcPr>
            <w:tcW w:w="292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widowControl/>
              <w:autoSpaceDE/>
              <w:autoSpaceDN/>
              <w:adjustRightInd/>
              <w:rPr>
                <w:rFonts w:ascii="Arial" w:hAnsi="Arial" w:cs="Arial"/>
                <w:iCs/>
                <w:color w:val="000000"/>
              </w:rPr>
            </w:pPr>
            <w:r>
              <w:rPr>
                <w:rFonts w:ascii="Arial" w:hAnsi="Arial"/>
                <w:iCs/>
                <w:color w:val="000000"/>
              </w:rPr>
              <w:t>Write-back of reserve constituted based on the expenses with the modernization quota</w:t>
            </w:r>
          </w:p>
        </w:tc>
        <w:tc>
          <w:tcPr>
            <w:tcW w:w="1123"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Pr>
                <w:rFonts w:ascii="Arial" w:hAnsi="Arial"/>
                <w:color w:val="000000"/>
              </w:rPr>
              <w:t>14,198</w:t>
            </w:r>
          </w:p>
        </w:tc>
        <w:tc>
          <w:tcPr>
            <w:tcW w:w="1107"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Pr>
                <w:rFonts w:ascii="Arial" w:hAnsi="Arial"/>
                <w:color w:val="000000"/>
              </w:rPr>
              <w:t>15,105</w:t>
            </w:r>
          </w:p>
        </w:tc>
        <w:tc>
          <w:tcPr>
            <w:tcW w:w="1142"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jc w:val="right"/>
              <w:rPr>
                <w:rFonts w:ascii="Arial" w:hAnsi="Arial" w:cs="Arial"/>
                <w:bCs/>
                <w:color w:val="000000"/>
              </w:rPr>
            </w:pPr>
            <w:r>
              <w:rPr>
                <w:rFonts w:ascii="Arial" w:hAnsi="Arial"/>
                <w:bCs/>
              </w:rPr>
              <w:t>▼6</w:t>
            </w:r>
            <w:r>
              <w:rPr>
                <w:rFonts w:ascii="Arial" w:hAnsi="Arial"/>
                <w:bCs/>
                <w:color w:val="000000"/>
              </w:rPr>
              <w:t>.00%</w:t>
            </w:r>
          </w:p>
        </w:tc>
      </w:tr>
      <w:tr w:rsidR="004F5963" w:rsidRPr="00566A7E" w:rsidTr="00F60A18">
        <w:trPr>
          <w:trHeight w:val="31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4F5963" w:rsidRPr="008C7F9D" w:rsidRDefault="004F5963" w:rsidP="008C7F9D">
            <w:pPr>
              <w:widowControl/>
              <w:autoSpaceDE/>
              <w:autoSpaceDN/>
              <w:adjustRightInd/>
              <w:jc w:val="right"/>
              <w:rPr>
                <w:rFonts w:ascii="Arial" w:hAnsi="Arial" w:cs="Arial"/>
                <w:color w:val="000000"/>
              </w:rPr>
            </w:pPr>
            <w:r>
              <w:rPr>
                <w:rFonts w:ascii="Arial" w:hAnsi="Arial"/>
                <w:color w:val="000000"/>
              </w:rPr>
              <w:t>848</w:t>
            </w:r>
          </w:p>
        </w:tc>
        <w:tc>
          <w:tcPr>
            <w:tcW w:w="1117"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8C7F9D">
            <w:pPr>
              <w:jc w:val="right"/>
              <w:rPr>
                <w:rFonts w:ascii="Arial" w:hAnsi="Arial" w:cs="Arial"/>
                <w:color w:val="000000"/>
              </w:rPr>
            </w:pPr>
            <w:r>
              <w:rPr>
                <w:rFonts w:ascii="Arial" w:hAnsi="Arial"/>
                <w:color w:val="000000"/>
              </w:rPr>
              <w:t>678</w:t>
            </w:r>
          </w:p>
        </w:tc>
        <w:tc>
          <w:tcPr>
            <w:tcW w:w="118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924684">
            <w:pPr>
              <w:jc w:val="right"/>
              <w:rPr>
                <w:rFonts w:ascii="Arial" w:hAnsi="Arial" w:cs="Arial"/>
                <w:bCs/>
                <w:color w:val="000000"/>
              </w:rPr>
            </w:pPr>
            <w:r>
              <w:rPr>
                <w:rFonts w:ascii="Arial" w:hAnsi="Arial"/>
                <w:bCs/>
              </w:rPr>
              <w:t>▲</w:t>
            </w:r>
            <w:r>
              <w:rPr>
                <w:rFonts w:ascii="Arial" w:hAnsi="Arial"/>
                <w:bCs/>
                <w:color w:val="000000"/>
              </w:rPr>
              <w:t>25.07%</w:t>
            </w:r>
          </w:p>
        </w:tc>
        <w:tc>
          <w:tcPr>
            <w:tcW w:w="2923"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117C4A">
            <w:pPr>
              <w:widowControl/>
              <w:autoSpaceDE/>
              <w:autoSpaceDN/>
              <w:adjustRightInd/>
              <w:rPr>
                <w:rFonts w:ascii="Arial" w:hAnsi="Arial" w:cs="Arial"/>
                <w:color w:val="000000"/>
              </w:rPr>
            </w:pPr>
            <w:r>
              <w:rPr>
                <w:rFonts w:ascii="Arial" w:hAnsi="Arial"/>
                <w:color w:val="000000"/>
              </w:rPr>
              <w:t>Other operating revenues</w:t>
            </w:r>
          </w:p>
        </w:tc>
        <w:tc>
          <w:tcPr>
            <w:tcW w:w="1123"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8C7F9D">
            <w:pPr>
              <w:widowControl/>
              <w:autoSpaceDE/>
              <w:autoSpaceDN/>
              <w:adjustRightInd/>
              <w:jc w:val="right"/>
              <w:rPr>
                <w:rFonts w:ascii="Arial" w:hAnsi="Arial" w:cs="Arial"/>
                <w:color w:val="000000"/>
              </w:rPr>
            </w:pPr>
            <w:r>
              <w:rPr>
                <w:rFonts w:ascii="Arial" w:hAnsi="Arial"/>
                <w:color w:val="000000"/>
              </w:rPr>
              <w:t>848</w:t>
            </w:r>
          </w:p>
        </w:tc>
        <w:tc>
          <w:tcPr>
            <w:tcW w:w="1107" w:type="dxa"/>
            <w:tcBorders>
              <w:top w:val="nil"/>
              <w:left w:val="nil"/>
              <w:bottom w:val="single" w:sz="4" w:space="0" w:color="auto"/>
              <w:right w:val="single" w:sz="4" w:space="0" w:color="auto"/>
            </w:tcBorders>
            <w:shd w:val="clear" w:color="auto" w:fill="auto"/>
            <w:noWrap/>
            <w:vAlign w:val="center"/>
            <w:hideMark/>
          </w:tcPr>
          <w:p w:rsidR="004F5963" w:rsidRPr="008C7F9D" w:rsidRDefault="004F5963" w:rsidP="00117C4A">
            <w:pPr>
              <w:jc w:val="right"/>
              <w:rPr>
                <w:rFonts w:ascii="Arial" w:hAnsi="Arial" w:cs="Arial"/>
                <w:color w:val="000000"/>
              </w:rPr>
            </w:pPr>
            <w:r>
              <w:rPr>
                <w:rFonts w:ascii="Arial" w:hAnsi="Arial"/>
                <w:color w:val="000000"/>
              </w:rPr>
              <w:t>1,184</w:t>
            </w:r>
          </w:p>
        </w:tc>
        <w:tc>
          <w:tcPr>
            <w:tcW w:w="1142" w:type="dxa"/>
            <w:tcBorders>
              <w:top w:val="nil"/>
              <w:left w:val="nil"/>
              <w:bottom w:val="single" w:sz="4" w:space="0" w:color="auto"/>
              <w:right w:val="single" w:sz="4" w:space="0" w:color="auto"/>
            </w:tcBorders>
            <w:shd w:val="clear" w:color="auto" w:fill="auto"/>
            <w:vAlign w:val="center"/>
            <w:hideMark/>
          </w:tcPr>
          <w:p w:rsidR="004F5963" w:rsidRPr="008C7F9D" w:rsidRDefault="004F5963" w:rsidP="00947A87">
            <w:pPr>
              <w:jc w:val="right"/>
              <w:rPr>
                <w:rFonts w:ascii="Arial" w:hAnsi="Arial" w:cs="Arial"/>
                <w:bCs/>
                <w:color w:val="000000"/>
              </w:rPr>
            </w:pPr>
            <w:r>
              <w:rPr>
                <w:rFonts w:ascii="Arial" w:hAnsi="Arial"/>
                <w:bCs/>
              </w:rPr>
              <w:t>▼</w:t>
            </w:r>
            <w:r>
              <w:rPr>
                <w:rFonts w:ascii="Arial" w:hAnsi="Arial"/>
                <w:bCs/>
                <w:color w:val="000000"/>
              </w:rPr>
              <w:t>28.38%</w:t>
            </w:r>
          </w:p>
        </w:tc>
      </w:tr>
      <w:tr w:rsidR="004F5963" w:rsidRPr="00566A7E" w:rsidTr="00F60A18">
        <w:trPr>
          <w:trHeight w:val="310"/>
        </w:trPr>
        <w:tc>
          <w:tcPr>
            <w:tcW w:w="1117" w:type="dxa"/>
            <w:tcBorders>
              <w:top w:val="nil"/>
              <w:left w:val="single" w:sz="4" w:space="0" w:color="auto"/>
              <w:bottom w:val="single" w:sz="4" w:space="0" w:color="auto"/>
              <w:right w:val="single" w:sz="4" w:space="0" w:color="auto"/>
            </w:tcBorders>
            <w:shd w:val="clear" w:color="000000" w:fill="DEEAF6"/>
            <w:noWrap/>
            <w:vAlign w:val="center"/>
            <w:hideMark/>
          </w:tcPr>
          <w:p w:rsidR="004F5963" w:rsidRDefault="004F5963" w:rsidP="00117C4A">
            <w:pPr>
              <w:jc w:val="right"/>
              <w:rPr>
                <w:rFonts w:ascii="Arial" w:hAnsi="Arial" w:cs="Arial"/>
                <w:b/>
                <w:bCs/>
                <w:color w:val="000000"/>
              </w:rPr>
            </w:pPr>
            <w:r>
              <w:rPr>
                <w:rFonts w:ascii="Arial" w:hAnsi="Arial"/>
                <w:b/>
                <w:bCs/>
                <w:color w:val="000000"/>
              </w:rPr>
              <w:t>199,977</w:t>
            </w:r>
          </w:p>
        </w:tc>
        <w:tc>
          <w:tcPr>
            <w:tcW w:w="1117" w:type="dxa"/>
            <w:tcBorders>
              <w:top w:val="nil"/>
              <w:left w:val="nil"/>
              <w:bottom w:val="single" w:sz="4" w:space="0" w:color="auto"/>
              <w:right w:val="single" w:sz="4" w:space="0" w:color="auto"/>
            </w:tcBorders>
            <w:shd w:val="clear" w:color="000000" w:fill="DEEAF6"/>
            <w:noWrap/>
            <w:vAlign w:val="center"/>
            <w:hideMark/>
          </w:tcPr>
          <w:p w:rsidR="004F5963" w:rsidRDefault="004F5963" w:rsidP="00117C4A">
            <w:pPr>
              <w:jc w:val="right"/>
              <w:rPr>
                <w:rFonts w:ascii="Arial" w:hAnsi="Arial" w:cs="Arial"/>
                <w:b/>
                <w:bCs/>
                <w:color w:val="000000"/>
              </w:rPr>
            </w:pPr>
            <w:r>
              <w:rPr>
                <w:rFonts w:ascii="Arial" w:hAnsi="Arial"/>
                <w:b/>
                <w:bCs/>
                <w:color w:val="000000"/>
              </w:rPr>
              <w:t>196,905</w:t>
            </w:r>
          </w:p>
        </w:tc>
        <w:tc>
          <w:tcPr>
            <w:tcW w:w="1183" w:type="dxa"/>
            <w:tcBorders>
              <w:top w:val="nil"/>
              <w:left w:val="nil"/>
              <w:bottom w:val="single" w:sz="4" w:space="0" w:color="auto"/>
              <w:right w:val="single" w:sz="4" w:space="0" w:color="auto"/>
            </w:tcBorders>
            <w:shd w:val="clear" w:color="000000" w:fill="DDEBF7"/>
            <w:vAlign w:val="center"/>
            <w:hideMark/>
          </w:tcPr>
          <w:p w:rsidR="004F5963" w:rsidRDefault="004F5963" w:rsidP="00117C4A">
            <w:pPr>
              <w:jc w:val="right"/>
              <w:rPr>
                <w:rFonts w:ascii="Arial" w:hAnsi="Arial" w:cs="Arial"/>
                <w:b/>
                <w:bCs/>
                <w:color w:val="000000"/>
              </w:rPr>
            </w:pPr>
            <w:r>
              <w:rPr>
                <w:rFonts w:ascii="Arial" w:hAnsi="Arial"/>
                <w:b/>
                <w:bCs/>
              </w:rPr>
              <w:t>▲</w:t>
            </w:r>
            <w:r>
              <w:rPr>
                <w:rFonts w:ascii="Arial" w:hAnsi="Arial"/>
                <w:b/>
                <w:bCs/>
                <w:color w:val="000000"/>
              </w:rPr>
              <w:t>1.56%</w:t>
            </w:r>
          </w:p>
        </w:tc>
        <w:tc>
          <w:tcPr>
            <w:tcW w:w="2923" w:type="dxa"/>
            <w:tcBorders>
              <w:top w:val="nil"/>
              <w:left w:val="nil"/>
              <w:bottom w:val="single" w:sz="4" w:space="0" w:color="auto"/>
              <w:right w:val="single" w:sz="4" w:space="0" w:color="auto"/>
            </w:tcBorders>
            <w:shd w:val="clear" w:color="000000" w:fill="DEEAF6"/>
            <w:vAlign w:val="center"/>
            <w:hideMark/>
          </w:tcPr>
          <w:p w:rsidR="004F5963" w:rsidRPr="00566A7E" w:rsidRDefault="004F5963" w:rsidP="00117C4A">
            <w:pPr>
              <w:widowControl/>
              <w:autoSpaceDE/>
              <w:autoSpaceDN/>
              <w:adjustRightInd/>
              <w:rPr>
                <w:rFonts w:ascii="Arial" w:hAnsi="Arial" w:cs="Arial"/>
                <w:b/>
                <w:bCs/>
                <w:color w:val="000000"/>
              </w:rPr>
            </w:pPr>
            <w:r>
              <w:rPr>
                <w:rFonts w:ascii="Arial" w:hAnsi="Arial"/>
                <w:b/>
                <w:bCs/>
                <w:color w:val="000000"/>
              </w:rPr>
              <w:t>Total operating revenues</w:t>
            </w:r>
          </w:p>
        </w:tc>
        <w:tc>
          <w:tcPr>
            <w:tcW w:w="1123" w:type="dxa"/>
            <w:tcBorders>
              <w:top w:val="nil"/>
              <w:left w:val="nil"/>
              <w:bottom w:val="single" w:sz="4" w:space="0" w:color="auto"/>
              <w:right w:val="single" w:sz="4" w:space="0" w:color="auto"/>
            </w:tcBorders>
            <w:shd w:val="clear" w:color="000000" w:fill="DEEAF6"/>
            <w:noWrap/>
            <w:vAlign w:val="center"/>
            <w:hideMark/>
          </w:tcPr>
          <w:p w:rsidR="004F5963" w:rsidRDefault="004F5963" w:rsidP="00117C4A">
            <w:pPr>
              <w:jc w:val="right"/>
              <w:rPr>
                <w:rFonts w:ascii="Arial" w:hAnsi="Arial" w:cs="Arial"/>
                <w:b/>
                <w:bCs/>
                <w:color w:val="000000"/>
              </w:rPr>
            </w:pPr>
            <w:r>
              <w:rPr>
                <w:rFonts w:ascii="Arial" w:hAnsi="Arial"/>
                <w:b/>
                <w:bCs/>
                <w:color w:val="000000"/>
              </w:rPr>
              <w:t>199,977</w:t>
            </w:r>
          </w:p>
        </w:tc>
        <w:tc>
          <w:tcPr>
            <w:tcW w:w="1107" w:type="dxa"/>
            <w:tcBorders>
              <w:top w:val="nil"/>
              <w:left w:val="nil"/>
              <w:bottom w:val="single" w:sz="4" w:space="0" w:color="auto"/>
              <w:right w:val="single" w:sz="4" w:space="0" w:color="auto"/>
            </w:tcBorders>
            <w:shd w:val="clear" w:color="000000" w:fill="DEEAF6"/>
            <w:noWrap/>
            <w:vAlign w:val="center"/>
            <w:hideMark/>
          </w:tcPr>
          <w:p w:rsidR="004F5963" w:rsidRDefault="004F5963" w:rsidP="009631C9">
            <w:pPr>
              <w:jc w:val="right"/>
              <w:rPr>
                <w:rFonts w:ascii="Arial" w:hAnsi="Arial" w:cs="Arial"/>
                <w:b/>
                <w:bCs/>
                <w:color w:val="000000"/>
              </w:rPr>
            </w:pPr>
            <w:r>
              <w:rPr>
                <w:rFonts w:ascii="Arial" w:hAnsi="Arial"/>
                <w:b/>
                <w:bCs/>
                <w:color w:val="000000"/>
              </w:rPr>
              <w:t>202,603</w:t>
            </w:r>
          </w:p>
        </w:tc>
        <w:tc>
          <w:tcPr>
            <w:tcW w:w="1142" w:type="dxa"/>
            <w:tcBorders>
              <w:top w:val="nil"/>
              <w:left w:val="nil"/>
              <w:bottom w:val="single" w:sz="4" w:space="0" w:color="auto"/>
              <w:right w:val="single" w:sz="4" w:space="0" w:color="auto"/>
            </w:tcBorders>
            <w:shd w:val="clear" w:color="000000" w:fill="DDEBF7"/>
            <w:vAlign w:val="center"/>
            <w:hideMark/>
          </w:tcPr>
          <w:p w:rsidR="004F5963" w:rsidRDefault="004F5963" w:rsidP="00117C4A">
            <w:pPr>
              <w:jc w:val="right"/>
              <w:rPr>
                <w:rFonts w:ascii="Arial" w:hAnsi="Arial" w:cs="Arial"/>
                <w:b/>
                <w:bCs/>
                <w:color w:val="000000"/>
              </w:rPr>
            </w:pPr>
            <w:r>
              <w:rPr>
                <w:rFonts w:ascii="Arial" w:hAnsi="Arial"/>
                <w:bCs/>
              </w:rPr>
              <w:t>▼</w:t>
            </w:r>
            <w:r>
              <w:rPr>
                <w:rFonts w:ascii="Arial" w:hAnsi="Arial"/>
                <w:b/>
                <w:bCs/>
                <w:color w:val="000000"/>
              </w:rPr>
              <w:t>1.30%</w:t>
            </w:r>
          </w:p>
        </w:tc>
      </w:tr>
    </w:tbl>
    <w:p w:rsidR="002228A3" w:rsidRDefault="002228A3" w:rsidP="00E853E3">
      <w:pPr>
        <w:widowControl/>
        <w:overflowPunct w:val="0"/>
        <w:spacing w:line="276" w:lineRule="auto"/>
        <w:jc w:val="center"/>
        <w:textAlignment w:val="baseline"/>
        <w:rPr>
          <w:rFonts w:ascii="Arial" w:hAnsi="Arial" w:cs="Arial"/>
          <w:i/>
          <w:sz w:val="18"/>
          <w:szCs w:val="18"/>
          <w:lang w:val="en-GB" w:eastAsia="en-US"/>
        </w:rPr>
      </w:pPr>
    </w:p>
    <w:p w:rsidR="004E6FD5" w:rsidRPr="00F43345" w:rsidRDefault="00E853E3" w:rsidP="00E853E3">
      <w:pPr>
        <w:widowControl/>
        <w:overflowPunct w:val="0"/>
        <w:spacing w:line="276" w:lineRule="auto"/>
        <w:jc w:val="center"/>
        <w:textAlignment w:val="baseline"/>
        <w:rPr>
          <w:rFonts w:ascii="Arial" w:hAnsi="Arial" w:cs="Arial"/>
          <w:sz w:val="16"/>
          <w:szCs w:val="16"/>
        </w:rPr>
      </w:pPr>
      <w:r>
        <w:rPr>
          <w:rFonts w:ascii="Arial" w:hAnsi="Arial"/>
          <w:sz w:val="16"/>
          <w:szCs w:val="16"/>
        </w:rPr>
        <w:t>Table 12 - Statement of the operating revenues</w:t>
      </w:r>
    </w:p>
    <w:p w:rsidR="00947A87" w:rsidRDefault="00947A87" w:rsidP="004E6FD5">
      <w:pPr>
        <w:widowControl/>
        <w:overflowPunct w:val="0"/>
        <w:spacing w:line="276" w:lineRule="auto"/>
        <w:jc w:val="both"/>
        <w:textAlignment w:val="baseline"/>
        <w:rPr>
          <w:rFonts w:ascii="Arial" w:hAnsi="Arial" w:cs="Arial"/>
          <w:b/>
          <w:sz w:val="22"/>
          <w:szCs w:val="22"/>
          <w:lang w:val="en-GB" w:eastAsia="en-US"/>
        </w:rPr>
      </w:pPr>
    </w:p>
    <w:p w:rsidR="00194172" w:rsidRPr="00E46854" w:rsidRDefault="00194172" w:rsidP="00FE1B45">
      <w:pPr>
        <w:widowControl/>
        <w:shd w:val="clear" w:color="auto" w:fill="FFFFFF"/>
        <w:autoSpaceDE/>
        <w:autoSpaceDN/>
        <w:adjustRightInd/>
        <w:spacing w:line="276" w:lineRule="auto"/>
        <w:ind w:right="7"/>
        <w:jc w:val="both"/>
        <w:rPr>
          <w:rFonts w:ascii="Arial" w:eastAsia="Calibri" w:hAnsi="Arial" w:cs="Arial"/>
          <w:b/>
          <w:bCs/>
          <w:color w:val="1F4E79" w:themeColor="accent1" w:themeShade="80"/>
          <w:sz w:val="22"/>
          <w:szCs w:val="22"/>
        </w:rPr>
      </w:pPr>
      <w:r>
        <w:rPr>
          <w:rFonts w:ascii="Arial" w:hAnsi="Arial"/>
          <w:b/>
          <w:bCs/>
          <w:color w:val="1F4E79" w:themeColor="accent1" w:themeShade="80"/>
          <w:sz w:val="22"/>
          <w:szCs w:val="22"/>
        </w:rPr>
        <w:t>Revenues from transport services supplied via the National Transport System</w:t>
      </w:r>
    </w:p>
    <w:p w:rsidR="00DA7600" w:rsidRDefault="00DA7600" w:rsidP="00FE1B45">
      <w:pPr>
        <w:widowControl/>
        <w:shd w:val="clear" w:color="auto" w:fill="FFFFFF"/>
        <w:autoSpaceDE/>
        <w:autoSpaceDN/>
        <w:adjustRightInd/>
        <w:spacing w:line="276" w:lineRule="auto"/>
        <w:ind w:right="7"/>
        <w:jc w:val="both"/>
        <w:rPr>
          <w:rFonts w:ascii="Arial" w:eastAsia="Calibri" w:hAnsi="Arial" w:cs="Arial"/>
          <w:bCs/>
          <w:sz w:val="22"/>
          <w:szCs w:val="22"/>
          <w:lang w:eastAsia="en-NZ"/>
        </w:rPr>
      </w:pPr>
    </w:p>
    <w:p w:rsidR="008F6F35" w:rsidRDefault="008F6F35" w:rsidP="008F6F35">
      <w:pPr>
        <w:spacing w:line="276" w:lineRule="auto"/>
        <w:jc w:val="both"/>
        <w:rPr>
          <w:rFonts w:ascii="Arial" w:hAnsi="Arial" w:cs="Arial"/>
          <w:sz w:val="22"/>
          <w:szCs w:val="22"/>
        </w:rPr>
      </w:pPr>
      <w:r>
        <w:rPr>
          <w:rFonts w:ascii="Arial" w:hAnsi="Arial"/>
          <w:sz w:val="22"/>
          <w:szCs w:val="22"/>
        </w:rPr>
        <w:t xml:space="preserve">The transport revenues hold 98.43% in turnover, the difference of 1.57% (2,897 thousand RON) representing revenues from various activities such as leases of lands and telecommunication equipments, rail shunting, sale of pipe material etc. </w:t>
      </w:r>
    </w:p>
    <w:p w:rsidR="007624A2" w:rsidRDefault="007624A2" w:rsidP="008F6F35">
      <w:pPr>
        <w:spacing w:line="276" w:lineRule="auto"/>
        <w:jc w:val="both"/>
        <w:rPr>
          <w:rFonts w:ascii="Arial" w:hAnsi="Arial" w:cs="Arial"/>
          <w:sz w:val="22"/>
          <w:szCs w:val="22"/>
        </w:rPr>
      </w:pPr>
    </w:p>
    <w:p w:rsidR="008F6F35" w:rsidRPr="008F6F35" w:rsidRDefault="008F6F35" w:rsidP="008F6F35">
      <w:pPr>
        <w:shd w:val="clear" w:color="auto" w:fill="FFFFFF"/>
        <w:jc w:val="both"/>
        <w:rPr>
          <w:rFonts w:ascii="Arial" w:hAnsi="Arial" w:cs="Arial"/>
          <w:b/>
          <w:sz w:val="22"/>
          <w:szCs w:val="22"/>
        </w:rPr>
      </w:pPr>
      <w:r>
        <w:rPr>
          <w:rFonts w:ascii="Arial" w:hAnsi="Arial"/>
          <w:sz w:val="22"/>
          <w:szCs w:val="22"/>
        </w:rPr>
        <w:lastRenderedPageBreak/>
        <w:t xml:space="preserve">The company recognizes monthly, </w:t>
      </w:r>
      <w:r w:rsidR="00DA139A">
        <w:rPr>
          <w:rFonts w:ascii="Arial" w:hAnsi="Arial"/>
          <w:sz w:val="22"/>
          <w:szCs w:val="22"/>
        </w:rPr>
        <w:t xml:space="preserve">in </w:t>
      </w:r>
      <w:r>
        <w:rPr>
          <w:rFonts w:ascii="Arial" w:hAnsi="Arial"/>
          <w:sz w:val="22"/>
          <w:szCs w:val="22"/>
        </w:rPr>
        <w:t>the operating revenues, reserves from the modernization quota at the level of the amortization of the tangible assets financed therefrom. Within the first 6 months, the value of these revenues is of 14,198 thousand RON.</w:t>
      </w:r>
    </w:p>
    <w:p w:rsidR="008F6F35" w:rsidRPr="008F6F35" w:rsidRDefault="008F6F35" w:rsidP="008F6F35">
      <w:pPr>
        <w:shd w:val="clear" w:color="auto" w:fill="FFFFFF"/>
        <w:jc w:val="both"/>
        <w:rPr>
          <w:rFonts w:ascii="Arial" w:hAnsi="Arial" w:cs="Arial"/>
          <w:b/>
          <w:sz w:val="22"/>
          <w:szCs w:val="22"/>
        </w:rPr>
      </w:pPr>
    </w:p>
    <w:p w:rsidR="004E6FD5" w:rsidRDefault="004E6FD5" w:rsidP="000502E4">
      <w:pPr>
        <w:spacing w:line="276" w:lineRule="auto"/>
        <w:jc w:val="both"/>
        <w:rPr>
          <w:rFonts w:ascii="Arial" w:hAnsi="Arial" w:cs="Arial"/>
          <w:sz w:val="22"/>
          <w:szCs w:val="22"/>
        </w:rPr>
      </w:pPr>
      <w:r>
        <w:rPr>
          <w:rFonts w:ascii="Arial" w:hAnsi="Arial"/>
          <w:b/>
          <w:color w:val="1F4E79" w:themeColor="accent1" w:themeShade="80"/>
          <w:sz w:val="22"/>
          <w:szCs w:val="22"/>
        </w:rPr>
        <w:t xml:space="preserve">The operating </w:t>
      </w:r>
      <w:proofErr w:type="gramStart"/>
      <w:r>
        <w:rPr>
          <w:rFonts w:ascii="Arial" w:hAnsi="Arial"/>
          <w:b/>
          <w:color w:val="1F4E79" w:themeColor="accent1" w:themeShade="80"/>
          <w:sz w:val="22"/>
          <w:szCs w:val="22"/>
        </w:rPr>
        <w:t>expenses</w:t>
      </w:r>
      <w:r>
        <w:rPr>
          <w:rFonts w:ascii="Arial" w:hAnsi="Arial"/>
          <w:b/>
          <w:i/>
          <w:color w:val="1F4E79" w:themeColor="accent1" w:themeShade="80"/>
          <w:sz w:val="22"/>
          <w:szCs w:val="22"/>
        </w:rPr>
        <w:t xml:space="preserve"> </w:t>
      </w:r>
      <w:r>
        <w:rPr>
          <w:rFonts w:ascii="Arial" w:hAnsi="Arial"/>
          <w:sz w:val="22"/>
          <w:szCs w:val="22"/>
        </w:rPr>
        <w:t xml:space="preserve"> achieved</w:t>
      </w:r>
      <w:proofErr w:type="gramEnd"/>
      <w:r>
        <w:rPr>
          <w:rFonts w:ascii="Arial" w:hAnsi="Arial"/>
          <w:sz w:val="22"/>
          <w:szCs w:val="22"/>
        </w:rPr>
        <w:t xml:space="preserve"> during January - June 2018, as compared to the same period of the preceding year and the budgeted provisions are as follows:</w:t>
      </w:r>
    </w:p>
    <w:p w:rsidR="00D948FA" w:rsidRDefault="00D948FA" w:rsidP="000502E4">
      <w:pPr>
        <w:spacing w:line="276" w:lineRule="auto"/>
        <w:jc w:val="both"/>
        <w:rPr>
          <w:rFonts w:ascii="Arial" w:hAnsi="Arial" w:cs="Arial"/>
          <w:sz w:val="22"/>
          <w:szCs w:val="22"/>
        </w:rPr>
      </w:pPr>
    </w:p>
    <w:tbl>
      <w:tblPr>
        <w:tblW w:w="9625" w:type="dxa"/>
        <w:jc w:val="center"/>
        <w:tblLook w:val="04A0" w:firstRow="1" w:lastRow="0" w:firstColumn="1" w:lastColumn="0" w:noHBand="0" w:noVBand="1"/>
      </w:tblPr>
      <w:tblGrid>
        <w:gridCol w:w="1106"/>
        <w:gridCol w:w="979"/>
        <w:gridCol w:w="1850"/>
        <w:gridCol w:w="1841"/>
        <w:gridCol w:w="1246"/>
        <w:gridCol w:w="1263"/>
        <w:gridCol w:w="1340"/>
      </w:tblGrid>
      <w:tr w:rsidR="00D948FA" w:rsidRPr="00D948FA" w:rsidTr="0027205E">
        <w:trPr>
          <w:trHeight w:val="301"/>
          <w:tblHeader/>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DEEAF6"/>
            <w:vAlign w:val="center"/>
            <w:hideMark/>
          </w:tcPr>
          <w:p w:rsidR="00D948FA" w:rsidRPr="00D948FA" w:rsidRDefault="0027205E" w:rsidP="00D948FA">
            <w:pPr>
              <w:widowControl/>
              <w:autoSpaceDE/>
              <w:autoSpaceDN/>
              <w:adjustRightInd/>
              <w:jc w:val="center"/>
              <w:rPr>
                <w:rFonts w:ascii="Arial" w:hAnsi="Arial" w:cs="Arial"/>
                <w:b/>
                <w:bCs/>
                <w:color w:val="000000"/>
              </w:rPr>
            </w:pPr>
            <w:r>
              <w:rPr>
                <w:rFonts w:ascii="Arial" w:hAnsi="Arial"/>
                <w:b/>
                <w:bCs/>
                <w:color w:val="000000"/>
              </w:rPr>
              <w:t>Semester I 2018</w:t>
            </w:r>
          </w:p>
        </w:tc>
        <w:tc>
          <w:tcPr>
            <w:tcW w:w="1204" w:type="dxa"/>
            <w:tcBorders>
              <w:top w:val="single" w:sz="4" w:space="0" w:color="auto"/>
              <w:left w:val="nil"/>
              <w:bottom w:val="single" w:sz="4" w:space="0" w:color="auto"/>
              <w:right w:val="single" w:sz="4" w:space="0" w:color="auto"/>
            </w:tcBorders>
            <w:shd w:val="clear" w:color="000000" w:fill="DEEAF6"/>
            <w:vAlign w:val="center"/>
            <w:hideMark/>
          </w:tcPr>
          <w:p w:rsidR="00D948FA" w:rsidRPr="00D948FA" w:rsidRDefault="00D948FA" w:rsidP="00D948FA">
            <w:pPr>
              <w:widowControl/>
              <w:autoSpaceDE/>
              <w:autoSpaceDN/>
              <w:adjustRightInd/>
              <w:jc w:val="center"/>
              <w:rPr>
                <w:rFonts w:ascii="Arial" w:hAnsi="Arial" w:cs="Arial"/>
                <w:b/>
                <w:bCs/>
                <w:color w:val="000000"/>
              </w:rPr>
            </w:pPr>
            <w:r>
              <w:rPr>
                <w:rFonts w:ascii="Arial" w:hAnsi="Arial"/>
                <w:b/>
                <w:bCs/>
                <w:color w:val="000000"/>
              </w:rPr>
              <w:t xml:space="preserve">Variation% </w:t>
            </w:r>
          </w:p>
        </w:tc>
        <w:tc>
          <w:tcPr>
            <w:tcW w:w="2777"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D948FA" w:rsidRPr="00D948FA" w:rsidRDefault="00D948FA" w:rsidP="00D948FA">
            <w:pPr>
              <w:widowControl/>
              <w:autoSpaceDE/>
              <w:autoSpaceDN/>
              <w:adjustRightInd/>
              <w:jc w:val="center"/>
              <w:rPr>
                <w:rFonts w:ascii="Arial" w:hAnsi="Arial" w:cs="Arial"/>
                <w:b/>
                <w:bCs/>
                <w:color w:val="000000"/>
              </w:rPr>
            </w:pPr>
            <w:r>
              <w:rPr>
                <w:rFonts w:ascii="Arial" w:hAnsi="Arial"/>
                <w:b/>
                <w:bCs/>
                <w:color w:val="000000"/>
              </w:rPr>
              <w:t>Indicators (thousand RON)</w:t>
            </w:r>
          </w:p>
        </w:tc>
        <w:tc>
          <w:tcPr>
            <w:tcW w:w="1246"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D948FA" w:rsidRPr="00D948FA" w:rsidRDefault="0027205E" w:rsidP="00D948FA">
            <w:pPr>
              <w:widowControl/>
              <w:autoSpaceDE/>
              <w:autoSpaceDN/>
              <w:adjustRightInd/>
              <w:jc w:val="center"/>
              <w:rPr>
                <w:rFonts w:ascii="Arial" w:hAnsi="Arial" w:cs="Arial"/>
                <w:b/>
                <w:bCs/>
                <w:color w:val="000000"/>
              </w:rPr>
            </w:pPr>
            <w:r>
              <w:rPr>
                <w:rFonts w:ascii="Arial" w:hAnsi="Arial"/>
                <w:b/>
                <w:bCs/>
                <w:color w:val="000000"/>
              </w:rPr>
              <w:t>Semester I 2018</w:t>
            </w:r>
          </w:p>
        </w:tc>
        <w:tc>
          <w:tcPr>
            <w:tcW w:w="1263"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27205E" w:rsidRDefault="0027205E" w:rsidP="0027205E">
            <w:pPr>
              <w:widowControl/>
              <w:autoSpaceDE/>
              <w:autoSpaceDN/>
              <w:adjustRightInd/>
              <w:jc w:val="center"/>
              <w:rPr>
                <w:rFonts w:ascii="Arial" w:hAnsi="Arial" w:cs="Arial"/>
                <w:b/>
                <w:bCs/>
                <w:color w:val="000000"/>
              </w:rPr>
            </w:pPr>
            <w:r>
              <w:rPr>
                <w:rFonts w:ascii="Arial" w:hAnsi="Arial"/>
                <w:b/>
                <w:bCs/>
                <w:color w:val="000000"/>
              </w:rPr>
              <w:t>Semester I</w:t>
            </w:r>
          </w:p>
          <w:p w:rsidR="00D948FA" w:rsidRPr="00D948FA" w:rsidRDefault="00D948FA" w:rsidP="0027205E">
            <w:pPr>
              <w:widowControl/>
              <w:autoSpaceDE/>
              <w:autoSpaceDN/>
              <w:adjustRightInd/>
              <w:jc w:val="center"/>
              <w:rPr>
                <w:rFonts w:ascii="Arial" w:hAnsi="Arial" w:cs="Arial"/>
                <w:b/>
                <w:bCs/>
                <w:color w:val="000000"/>
              </w:rPr>
            </w:pPr>
            <w:r>
              <w:rPr>
                <w:rFonts w:ascii="Arial" w:hAnsi="Arial"/>
                <w:b/>
                <w:bCs/>
                <w:color w:val="000000"/>
              </w:rPr>
              <w:t xml:space="preserve"> 2017</w:t>
            </w:r>
          </w:p>
        </w:tc>
        <w:tc>
          <w:tcPr>
            <w:tcW w:w="1167" w:type="dxa"/>
            <w:tcBorders>
              <w:top w:val="single" w:sz="4" w:space="0" w:color="auto"/>
              <w:left w:val="nil"/>
              <w:bottom w:val="single" w:sz="4" w:space="0" w:color="auto"/>
              <w:right w:val="single" w:sz="4" w:space="0" w:color="auto"/>
            </w:tcBorders>
            <w:shd w:val="clear" w:color="000000" w:fill="DEEAF6"/>
            <w:vAlign w:val="center"/>
            <w:hideMark/>
          </w:tcPr>
          <w:p w:rsidR="00D948FA" w:rsidRPr="00D948FA" w:rsidRDefault="00D948FA" w:rsidP="00D948FA">
            <w:pPr>
              <w:widowControl/>
              <w:autoSpaceDE/>
              <w:autoSpaceDN/>
              <w:adjustRightInd/>
              <w:jc w:val="center"/>
              <w:rPr>
                <w:rFonts w:ascii="Arial" w:hAnsi="Arial" w:cs="Arial"/>
                <w:b/>
                <w:bCs/>
                <w:color w:val="000000"/>
              </w:rPr>
            </w:pPr>
            <w:r>
              <w:rPr>
                <w:rFonts w:ascii="Arial" w:hAnsi="Arial"/>
                <w:b/>
                <w:bCs/>
                <w:color w:val="000000"/>
              </w:rPr>
              <w:t>Variation</w:t>
            </w:r>
          </w:p>
        </w:tc>
      </w:tr>
      <w:tr w:rsidR="00D948FA" w:rsidRPr="00D948FA" w:rsidTr="0027205E">
        <w:trPr>
          <w:trHeight w:val="512"/>
          <w:tblHeader/>
          <w:jc w:val="center"/>
        </w:trPr>
        <w:tc>
          <w:tcPr>
            <w:tcW w:w="989" w:type="dxa"/>
            <w:tcBorders>
              <w:top w:val="nil"/>
              <w:left w:val="single" w:sz="4" w:space="0" w:color="auto"/>
              <w:bottom w:val="single" w:sz="4" w:space="0" w:color="auto"/>
              <w:right w:val="single" w:sz="4" w:space="0" w:color="auto"/>
            </w:tcBorders>
            <w:shd w:val="clear" w:color="000000" w:fill="DEEAF6"/>
            <w:vAlign w:val="center"/>
            <w:hideMark/>
          </w:tcPr>
          <w:p w:rsidR="00D948FA" w:rsidRPr="00D948FA" w:rsidRDefault="00D948FA" w:rsidP="00D948FA">
            <w:pPr>
              <w:widowControl/>
              <w:autoSpaceDE/>
              <w:autoSpaceDN/>
              <w:adjustRightInd/>
              <w:jc w:val="center"/>
              <w:rPr>
                <w:rFonts w:ascii="Arial" w:hAnsi="Arial" w:cs="Arial"/>
                <w:b/>
                <w:bCs/>
                <w:color w:val="000000"/>
              </w:rPr>
            </w:pPr>
            <w:r>
              <w:rPr>
                <w:rFonts w:ascii="Arial" w:hAnsi="Arial"/>
                <w:b/>
                <w:bCs/>
                <w:color w:val="000000"/>
              </w:rPr>
              <w:t>Achieved</w:t>
            </w:r>
          </w:p>
        </w:tc>
        <w:tc>
          <w:tcPr>
            <w:tcW w:w="979" w:type="dxa"/>
            <w:tcBorders>
              <w:top w:val="nil"/>
              <w:left w:val="nil"/>
              <w:bottom w:val="single" w:sz="4" w:space="0" w:color="auto"/>
              <w:right w:val="single" w:sz="4" w:space="0" w:color="auto"/>
            </w:tcBorders>
            <w:shd w:val="clear" w:color="000000" w:fill="DEEAF6"/>
            <w:noWrap/>
            <w:vAlign w:val="center"/>
            <w:hideMark/>
          </w:tcPr>
          <w:p w:rsidR="00D948FA" w:rsidRPr="00D948FA" w:rsidRDefault="00D948FA" w:rsidP="00D948FA">
            <w:pPr>
              <w:widowControl/>
              <w:autoSpaceDE/>
              <w:autoSpaceDN/>
              <w:adjustRightInd/>
              <w:jc w:val="center"/>
              <w:rPr>
                <w:rFonts w:ascii="Arial" w:hAnsi="Arial" w:cs="Arial"/>
                <w:b/>
                <w:bCs/>
                <w:color w:val="000000"/>
              </w:rPr>
            </w:pPr>
            <w:r>
              <w:rPr>
                <w:rFonts w:ascii="Arial" w:hAnsi="Arial"/>
                <w:b/>
                <w:bCs/>
                <w:color w:val="000000"/>
              </w:rPr>
              <w:t>Budget</w:t>
            </w:r>
          </w:p>
        </w:tc>
        <w:tc>
          <w:tcPr>
            <w:tcW w:w="1204" w:type="dxa"/>
            <w:tcBorders>
              <w:top w:val="nil"/>
              <w:left w:val="nil"/>
              <w:bottom w:val="single" w:sz="4" w:space="0" w:color="auto"/>
              <w:right w:val="single" w:sz="4" w:space="0" w:color="auto"/>
            </w:tcBorders>
            <w:shd w:val="clear" w:color="000000" w:fill="DEEAF6"/>
            <w:vAlign w:val="center"/>
            <w:hideMark/>
          </w:tcPr>
          <w:p w:rsidR="00D948FA" w:rsidRPr="00D948FA" w:rsidRDefault="0027205E" w:rsidP="00D948FA">
            <w:pPr>
              <w:widowControl/>
              <w:autoSpaceDE/>
              <w:autoSpaceDN/>
              <w:adjustRightInd/>
              <w:jc w:val="center"/>
              <w:rPr>
                <w:rFonts w:ascii="Arial" w:hAnsi="Arial" w:cs="Arial"/>
                <w:b/>
                <w:bCs/>
                <w:color w:val="000000"/>
              </w:rPr>
            </w:pPr>
            <w:r>
              <w:rPr>
                <w:rFonts w:ascii="Arial" w:hAnsi="Arial"/>
                <w:b/>
                <w:bCs/>
                <w:color w:val="000000"/>
              </w:rPr>
              <w:t>Achieved/Budget</w:t>
            </w:r>
          </w:p>
        </w:tc>
        <w:tc>
          <w:tcPr>
            <w:tcW w:w="2777" w:type="dxa"/>
            <w:vMerge/>
            <w:tcBorders>
              <w:top w:val="single" w:sz="4" w:space="0" w:color="auto"/>
              <w:left w:val="single" w:sz="4" w:space="0" w:color="auto"/>
              <w:bottom w:val="single" w:sz="4" w:space="0" w:color="auto"/>
              <w:right w:val="single" w:sz="4" w:space="0" w:color="auto"/>
            </w:tcBorders>
            <w:vAlign w:val="center"/>
            <w:hideMark/>
          </w:tcPr>
          <w:p w:rsidR="00D948FA" w:rsidRPr="00D948FA" w:rsidRDefault="00D948FA" w:rsidP="00D948FA">
            <w:pPr>
              <w:widowControl/>
              <w:autoSpaceDE/>
              <w:autoSpaceDN/>
              <w:adjustRightInd/>
              <w:rPr>
                <w:rFonts w:ascii="Arial" w:hAnsi="Arial" w:cs="Arial"/>
                <w:b/>
                <w:bCs/>
                <w:color w:val="000000"/>
                <w:lang w:eastAsia="en-US"/>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948FA" w:rsidRPr="00D948FA" w:rsidRDefault="00D948FA" w:rsidP="00D948FA">
            <w:pPr>
              <w:widowControl/>
              <w:autoSpaceDE/>
              <w:autoSpaceDN/>
              <w:adjustRightInd/>
              <w:rPr>
                <w:rFonts w:ascii="Arial" w:hAnsi="Arial" w:cs="Arial"/>
                <w:b/>
                <w:bCs/>
                <w:color w:val="000000"/>
                <w:lang w:eastAsia="en-US"/>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D948FA" w:rsidRPr="00D948FA" w:rsidRDefault="00D948FA" w:rsidP="00D948FA">
            <w:pPr>
              <w:widowControl/>
              <w:autoSpaceDE/>
              <w:autoSpaceDN/>
              <w:adjustRightInd/>
              <w:rPr>
                <w:rFonts w:ascii="Arial" w:hAnsi="Arial" w:cs="Arial"/>
                <w:b/>
                <w:bCs/>
                <w:color w:val="000000"/>
                <w:lang w:eastAsia="en-US"/>
              </w:rPr>
            </w:pPr>
          </w:p>
        </w:tc>
        <w:tc>
          <w:tcPr>
            <w:tcW w:w="1167" w:type="dxa"/>
            <w:tcBorders>
              <w:top w:val="nil"/>
              <w:left w:val="nil"/>
              <w:bottom w:val="single" w:sz="4" w:space="0" w:color="auto"/>
              <w:right w:val="single" w:sz="4" w:space="0" w:color="auto"/>
            </w:tcBorders>
            <w:shd w:val="clear" w:color="000000" w:fill="DEEAF6"/>
            <w:vAlign w:val="center"/>
            <w:hideMark/>
          </w:tcPr>
          <w:p w:rsidR="00D948FA" w:rsidRPr="00D948FA" w:rsidRDefault="00D948FA" w:rsidP="00D948FA">
            <w:pPr>
              <w:widowControl/>
              <w:autoSpaceDE/>
              <w:autoSpaceDN/>
              <w:adjustRightInd/>
              <w:jc w:val="center"/>
              <w:rPr>
                <w:rFonts w:ascii="Arial" w:hAnsi="Arial" w:cs="Arial"/>
                <w:b/>
                <w:bCs/>
                <w:color w:val="000000"/>
              </w:rPr>
            </w:pPr>
            <w:r>
              <w:rPr>
                <w:rFonts w:ascii="Arial" w:hAnsi="Arial"/>
                <w:b/>
                <w:bCs/>
                <w:color w:val="000000"/>
              </w:rPr>
              <w:t xml:space="preserve"> %2018/2017</w:t>
            </w:r>
          </w:p>
        </w:tc>
      </w:tr>
      <w:tr w:rsidR="00AE23BD"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E23BD" w:rsidRPr="00AE23BD" w:rsidRDefault="00AE23BD" w:rsidP="00AE23BD">
            <w:pPr>
              <w:widowControl/>
              <w:autoSpaceDE/>
              <w:autoSpaceDN/>
              <w:adjustRightInd/>
              <w:jc w:val="right"/>
              <w:rPr>
                <w:rFonts w:ascii="Arial" w:hAnsi="Arial" w:cs="Arial"/>
                <w:b/>
                <w:bCs/>
                <w:color w:val="000000"/>
              </w:rPr>
            </w:pPr>
            <w:r>
              <w:rPr>
                <w:rFonts w:ascii="Arial" w:hAnsi="Arial"/>
                <w:b/>
                <w:bCs/>
                <w:color w:val="000000"/>
              </w:rPr>
              <w:t>3,269</w:t>
            </w:r>
          </w:p>
        </w:tc>
        <w:tc>
          <w:tcPr>
            <w:tcW w:w="979" w:type="dxa"/>
            <w:tcBorders>
              <w:top w:val="nil"/>
              <w:left w:val="nil"/>
              <w:bottom w:val="single" w:sz="4" w:space="0" w:color="auto"/>
              <w:right w:val="single" w:sz="4" w:space="0" w:color="auto"/>
            </w:tcBorders>
            <w:shd w:val="clear" w:color="auto" w:fill="auto"/>
            <w:noWrap/>
            <w:vAlign w:val="center"/>
            <w:hideMark/>
          </w:tcPr>
          <w:p w:rsidR="00AE23BD" w:rsidRPr="00AE23BD" w:rsidRDefault="00AE23BD" w:rsidP="00AE23BD">
            <w:pPr>
              <w:jc w:val="right"/>
              <w:rPr>
                <w:rFonts w:ascii="Arial" w:hAnsi="Arial" w:cs="Arial"/>
                <w:b/>
                <w:bCs/>
                <w:color w:val="000000"/>
              </w:rPr>
            </w:pPr>
            <w:r>
              <w:rPr>
                <w:rFonts w:ascii="Arial" w:hAnsi="Arial"/>
                <w:b/>
                <w:bCs/>
                <w:color w:val="000000"/>
              </w:rPr>
              <w:t>3,668</w:t>
            </w:r>
          </w:p>
        </w:tc>
        <w:tc>
          <w:tcPr>
            <w:tcW w:w="1204" w:type="dxa"/>
            <w:tcBorders>
              <w:top w:val="nil"/>
              <w:left w:val="nil"/>
              <w:bottom w:val="single" w:sz="4" w:space="0" w:color="auto"/>
              <w:right w:val="single" w:sz="4" w:space="0" w:color="auto"/>
            </w:tcBorders>
            <w:shd w:val="clear" w:color="auto" w:fill="auto"/>
            <w:noWrap/>
            <w:vAlign w:val="center"/>
            <w:hideMark/>
          </w:tcPr>
          <w:p w:rsidR="00AE23BD" w:rsidRPr="00AE23BD" w:rsidRDefault="00843942" w:rsidP="00AE23BD">
            <w:pPr>
              <w:jc w:val="right"/>
              <w:rPr>
                <w:rFonts w:ascii="Arial" w:hAnsi="Arial" w:cs="Arial"/>
                <w:b/>
                <w:bCs/>
                <w:color w:val="000000"/>
              </w:rPr>
            </w:pPr>
            <w:r>
              <w:rPr>
                <w:rFonts w:ascii="Arial" w:hAnsi="Arial"/>
                <w:b/>
                <w:bCs/>
                <w:color w:val="000000"/>
              </w:rPr>
              <w:t>▼10.86%</w:t>
            </w:r>
          </w:p>
        </w:tc>
        <w:tc>
          <w:tcPr>
            <w:tcW w:w="2777" w:type="dxa"/>
            <w:tcBorders>
              <w:top w:val="nil"/>
              <w:left w:val="nil"/>
              <w:bottom w:val="single" w:sz="4" w:space="0" w:color="auto"/>
              <w:right w:val="single" w:sz="4" w:space="0" w:color="auto"/>
            </w:tcBorders>
            <w:shd w:val="clear" w:color="auto" w:fill="auto"/>
            <w:vAlign w:val="center"/>
            <w:hideMark/>
          </w:tcPr>
          <w:p w:rsidR="0027205E" w:rsidRDefault="00AE23BD" w:rsidP="00AE23BD">
            <w:pPr>
              <w:widowControl/>
              <w:autoSpaceDE/>
              <w:autoSpaceDN/>
              <w:adjustRightInd/>
              <w:rPr>
                <w:rFonts w:ascii="Arial" w:hAnsi="Arial" w:cs="Arial"/>
                <w:b/>
                <w:bCs/>
                <w:color w:val="000000"/>
              </w:rPr>
            </w:pPr>
            <w:r>
              <w:rPr>
                <w:rFonts w:ascii="Arial" w:hAnsi="Arial"/>
                <w:b/>
                <w:bCs/>
                <w:color w:val="000000"/>
              </w:rPr>
              <w:t xml:space="preserve">Material expenses, </w:t>
            </w:r>
          </w:p>
          <w:p w:rsidR="00AE23BD" w:rsidRPr="00D948FA" w:rsidRDefault="00AE23BD" w:rsidP="00AE23BD">
            <w:pPr>
              <w:widowControl/>
              <w:autoSpaceDE/>
              <w:autoSpaceDN/>
              <w:adjustRightInd/>
              <w:rPr>
                <w:rFonts w:ascii="Arial" w:hAnsi="Arial" w:cs="Arial"/>
                <w:b/>
                <w:bCs/>
                <w:color w:val="000000"/>
              </w:rPr>
            </w:pPr>
            <w:r>
              <w:rPr>
                <w:rFonts w:ascii="Arial" w:hAnsi="Arial"/>
                <w:b/>
                <w:bCs/>
                <w:color w:val="000000"/>
              </w:rPr>
              <w:t>Out of which:</w:t>
            </w:r>
          </w:p>
        </w:tc>
        <w:tc>
          <w:tcPr>
            <w:tcW w:w="1246" w:type="dxa"/>
            <w:tcBorders>
              <w:top w:val="nil"/>
              <w:left w:val="nil"/>
              <w:bottom w:val="single" w:sz="4" w:space="0" w:color="auto"/>
              <w:right w:val="single" w:sz="4" w:space="0" w:color="auto"/>
            </w:tcBorders>
            <w:shd w:val="clear" w:color="auto" w:fill="auto"/>
            <w:noWrap/>
            <w:vAlign w:val="center"/>
            <w:hideMark/>
          </w:tcPr>
          <w:p w:rsidR="00AE23BD" w:rsidRPr="00AE23BD" w:rsidRDefault="00AE23BD" w:rsidP="00AE23BD">
            <w:pPr>
              <w:widowControl/>
              <w:autoSpaceDE/>
              <w:autoSpaceDN/>
              <w:adjustRightInd/>
              <w:jc w:val="right"/>
              <w:rPr>
                <w:rFonts w:ascii="Arial" w:hAnsi="Arial" w:cs="Arial"/>
                <w:b/>
                <w:bCs/>
                <w:color w:val="000000"/>
              </w:rPr>
            </w:pPr>
            <w:r>
              <w:rPr>
                <w:rFonts w:ascii="Arial" w:hAnsi="Arial"/>
                <w:b/>
                <w:bCs/>
                <w:color w:val="000000"/>
              </w:rPr>
              <w:t>3,269</w:t>
            </w:r>
          </w:p>
        </w:tc>
        <w:tc>
          <w:tcPr>
            <w:tcW w:w="1263" w:type="dxa"/>
            <w:tcBorders>
              <w:top w:val="nil"/>
              <w:left w:val="nil"/>
              <w:bottom w:val="single" w:sz="4" w:space="0" w:color="auto"/>
              <w:right w:val="single" w:sz="4" w:space="0" w:color="auto"/>
            </w:tcBorders>
            <w:shd w:val="clear" w:color="auto" w:fill="auto"/>
            <w:noWrap/>
            <w:vAlign w:val="center"/>
            <w:hideMark/>
          </w:tcPr>
          <w:p w:rsidR="00AE23BD" w:rsidRPr="00AE23BD" w:rsidRDefault="00AE23BD" w:rsidP="00AE23BD">
            <w:pPr>
              <w:jc w:val="right"/>
              <w:rPr>
                <w:rFonts w:ascii="Arial" w:hAnsi="Arial" w:cs="Arial"/>
                <w:b/>
                <w:bCs/>
                <w:color w:val="000000"/>
              </w:rPr>
            </w:pPr>
            <w:r>
              <w:rPr>
                <w:rFonts w:ascii="Arial" w:hAnsi="Arial"/>
                <w:b/>
                <w:bCs/>
                <w:color w:val="000000"/>
              </w:rPr>
              <w:t>3,230</w:t>
            </w:r>
          </w:p>
        </w:tc>
        <w:tc>
          <w:tcPr>
            <w:tcW w:w="1167" w:type="dxa"/>
            <w:tcBorders>
              <w:top w:val="nil"/>
              <w:left w:val="nil"/>
              <w:bottom w:val="single" w:sz="4" w:space="0" w:color="auto"/>
              <w:right w:val="single" w:sz="4" w:space="0" w:color="auto"/>
            </w:tcBorders>
            <w:shd w:val="clear" w:color="auto" w:fill="auto"/>
            <w:noWrap/>
            <w:vAlign w:val="center"/>
            <w:hideMark/>
          </w:tcPr>
          <w:p w:rsidR="00AE23BD" w:rsidRPr="00AE23BD" w:rsidRDefault="00554E9A" w:rsidP="00AE23BD">
            <w:pPr>
              <w:jc w:val="right"/>
              <w:rPr>
                <w:rFonts w:ascii="Arial" w:hAnsi="Arial" w:cs="Arial"/>
                <w:b/>
                <w:bCs/>
                <w:color w:val="000000"/>
              </w:rPr>
            </w:pPr>
            <w:r>
              <w:rPr>
                <w:rFonts w:ascii="Arial" w:hAnsi="Arial"/>
                <w:b/>
                <w:bCs/>
                <w:color w:val="000000"/>
              </w:rPr>
              <w:t>▲1.21%</w:t>
            </w:r>
          </w:p>
        </w:tc>
      </w:tr>
      <w:tr w:rsidR="00AE23BD"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E23BD" w:rsidRPr="00E34E4D" w:rsidRDefault="00AE23BD" w:rsidP="006C3EBC">
            <w:pPr>
              <w:jc w:val="right"/>
              <w:rPr>
                <w:rFonts w:ascii="Arial" w:hAnsi="Arial" w:cs="Arial"/>
                <w:color w:val="000000"/>
              </w:rPr>
            </w:pPr>
            <w:r>
              <w:rPr>
                <w:rFonts w:ascii="Arial" w:hAnsi="Arial"/>
                <w:color w:val="000000"/>
              </w:rPr>
              <w:t>1,824</w:t>
            </w:r>
          </w:p>
        </w:tc>
        <w:tc>
          <w:tcPr>
            <w:tcW w:w="979"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Pr>
                <w:rFonts w:ascii="Arial" w:hAnsi="Arial"/>
                <w:color w:val="000000"/>
              </w:rPr>
              <w:t>1,719</w:t>
            </w:r>
          </w:p>
        </w:tc>
        <w:tc>
          <w:tcPr>
            <w:tcW w:w="1204" w:type="dxa"/>
            <w:tcBorders>
              <w:top w:val="nil"/>
              <w:left w:val="nil"/>
              <w:bottom w:val="single" w:sz="4" w:space="0" w:color="auto"/>
              <w:right w:val="single" w:sz="4" w:space="0" w:color="auto"/>
            </w:tcBorders>
            <w:shd w:val="clear" w:color="auto" w:fill="auto"/>
            <w:noWrap/>
            <w:vAlign w:val="center"/>
            <w:hideMark/>
          </w:tcPr>
          <w:p w:rsidR="00AE23BD" w:rsidRPr="00E34E4D" w:rsidRDefault="00554E9A" w:rsidP="006C3EBC">
            <w:pPr>
              <w:jc w:val="right"/>
              <w:rPr>
                <w:rFonts w:ascii="Arial" w:hAnsi="Arial" w:cs="Arial"/>
                <w:bCs/>
                <w:color w:val="000000"/>
              </w:rPr>
            </w:pPr>
            <w:r>
              <w:rPr>
                <w:rFonts w:ascii="Arial" w:hAnsi="Arial"/>
                <w:bCs/>
                <w:color w:val="000000"/>
              </w:rPr>
              <w:t>▲6.11%</w:t>
            </w:r>
          </w:p>
        </w:tc>
        <w:tc>
          <w:tcPr>
            <w:tcW w:w="2777" w:type="dxa"/>
            <w:tcBorders>
              <w:top w:val="nil"/>
              <w:left w:val="nil"/>
              <w:bottom w:val="single" w:sz="4" w:space="0" w:color="auto"/>
              <w:right w:val="single" w:sz="4" w:space="0" w:color="auto"/>
            </w:tcBorders>
            <w:shd w:val="clear" w:color="auto" w:fill="auto"/>
            <w:vAlign w:val="center"/>
            <w:hideMark/>
          </w:tcPr>
          <w:p w:rsidR="00AE23BD" w:rsidRPr="00E34E4D" w:rsidRDefault="00AE23BD" w:rsidP="00AE23BD">
            <w:pPr>
              <w:widowControl/>
              <w:autoSpaceDE/>
              <w:autoSpaceDN/>
              <w:adjustRightInd/>
              <w:rPr>
                <w:rFonts w:ascii="Arial" w:hAnsi="Arial" w:cs="Arial"/>
                <w:iCs/>
                <w:color w:val="000000"/>
              </w:rPr>
            </w:pPr>
            <w:r>
              <w:rPr>
                <w:rFonts w:ascii="Arial" w:hAnsi="Arial"/>
                <w:iCs/>
                <w:color w:val="000000"/>
              </w:rPr>
              <w:t>-expenses with consumables</w:t>
            </w:r>
          </w:p>
        </w:tc>
        <w:tc>
          <w:tcPr>
            <w:tcW w:w="1246" w:type="dxa"/>
            <w:tcBorders>
              <w:top w:val="nil"/>
              <w:left w:val="nil"/>
              <w:bottom w:val="single" w:sz="4" w:space="0" w:color="auto"/>
              <w:right w:val="single" w:sz="4" w:space="0" w:color="auto"/>
            </w:tcBorders>
            <w:shd w:val="clear" w:color="auto" w:fill="auto"/>
            <w:noWrap/>
            <w:vAlign w:val="center"/>
            <w:hideMark/>
          </w:tcPr>
          <w:p w:rsidR="00AE23BD" w:rsidRPr="00E34E4D" w:rsidRDefault="006C3EBC" w:rsidP="00AE23BD">
            <w:pPr>
              <w:jc w:val="right"/>
              <w:rPr>
                <w:rFonts w:ascii="Arial" w:hAnsi="Arial" w:cs="Arial"/>
                <w:bCs/>
                <w:color w:val="000000"/>
              </w:rPr>
            </w:pPr>
            <w:r>
              <w:rPr>
                <w:rFonts w:ascii="Arial" w:hAnsi="Arial"/>
                <w:bCs/>
                <w:color w:val="000000"/>
              </w:rPr>
              <w:t>1,824</w:t>
            </w:r>
          </w:p>
        </w:tc>
        <w:tc>
          <w:tcPr>
            <w:tcW w:w="1263"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6C3EBC">
            <w:pPr>
              <w:jc w:val="right"/>
              <w:rPr>
                <w:rFonts w:ascii="Arial" w:hAnsi="Arial" w:cs="Arial"/>
                <w:bCs/>
                <w:color w:val="000000"/>
              </w:rPr>
            </w:pPr>
            <w:r>
              <w:rPr>
                <w:rFonts w:ascii="Arial" w:hAnsi="Arial"/>
                <w:bCs/>
                <w:color w:val="000000"/>
              </w:rPr>
              <w:t>1,709</w:t>
            </w:r>
          </w:p>
        </w:tc>
        <w:tc>
          <w:tcPr>
            <w:tcW w:w="1167" w:type="dxa"/>
            <w:tcBorders>
              <w:top w:val="nil"/>
              <w:left w:val="nil"/>
              <w:bottom w:val="single" w:sz="4" w:space="0" w:color="auto"/>
              <w:right w:val="single" w:sz="4" w:space="0" w:color="auto"/>
            </w:tcBorders>
            <w:shd w:val="clear" w:color="auto" w:fill="auto"/>
            <w:noWrap/>
            <w:vAlign w:val="center"/>
            <w:hideMark/>
          </w:tcPr>
          <w:p w:rsidR="00AE23BD" w:rsidRPr="00E34E4D" w:rsidRDefault="00554E9A" w:rsidP="006C3EBC">
            <w:pPr>
              <w:jc w:val="right"/>
              <w:rPr>
                <w:rFonts w:ascii="Arial" w:hAnsi="Arial" w:cs="Arial"/>
                <w:bCs/>
                <w:color w:val="000000"/>
              </w:rPr>
            </w:pPr>
            <w:r>
              <w:rPr>
                <w:rFonts w:ascii="Arial" w:hAnsi="Arial"/>
                <w:bCs/>
                <w:color w:val="000000"/>
              </w:rPr>
              <w:t>▲6.73%</w:t>
            </w:r>
          </w:p>
        </w:tc>
      </w:tr>
      <w:tr w:rsidR="00AE23BD"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Pr>
                <w:rFonts w:ascii="Arial" w:hAnsi="Arial"/>
                <w:color w:val="000000"/>
              </w:rPr>
              <w:t>930</w:t>
            </w:r>
          </w:p>
        </w:tc>
        <w:tc>
          <w:tcPr>
            <w:tcW w:w="979"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Pr>
                <w:rFonts w:ascii="Arial" w:hAnsi="Arial"/>
                <w:color w:val="000000"/>
              </w:rPr>
              <w:t>1,090</w:t>
            </w:r>
          </w:p>
        </w:tc>
        <w:tc>
          <w:tcPr>
            <w:tcW w:w="1204" w:type="dxa"/>
            <w:tcBorders>
              <w:top w:val="nil"/>
              <w:left w:val="nil"/>
              <w:bottom w:val="single" w:sz="4" w:space="0" w:color="auto"/>
              <w:right w:val="single" w:sz="4" w:space="0" w:color="auto"/>
            </w:tcBorders>
            <w:shd w:val="clear" w:color="auto" w:fill="auto"/>
            <w:noWrap/>
            <w:vAlign w:val="center"/>
            <w:hideMark/>
          </w:tcPr>
          <w:p w:rsidR="00AE23BD" w:rsidRPr="00E34E4D" w:rsidRDefault="00843942" w:rsidP="00AE23BD">
            <w:pPr>
              <w:jc w:val="right"/>
              <w:rPr>
                <w:rFonts w:ascii="Arial" w:hAnsi="Arial" w:cs="Arial"/>
                <w:bCs/>
                <w:color w:val="000000"/>
              </w:rPr>
            </w:pPr>
            <w:r>
              <w:rPr>
                <w:rFonts w:ascii="Arial" w:hAnsi="Arial"/>
                <w:bCs/>
                <w:color w:val="000000"/>
              </w:rPr>
              <w:t>▼14.70%</w:t>
            </w:r>
          </w:p>
        </w:tc>
        <w:tc>
          <w:tcPr>
            <w:tcW w:w="2777" w:type="dxa"/>
            <w:tcBorders>
              <w:top w:val="nil"/>
              <w:left w:val="nil"/>
              <w:bottom w:val="single" w:sz="4" w:space="0" w:color="auto"/>
              <w:right w:val="single" w:sz="4" w:space="0" w:color="auto"/>
            </w:tcBorders>
            <w:shd w:val="clear" w:color="auto" w:fill="auto"/>
            <w:vAlign w:val="center"/>
            <w:hideMark/>
          </w:tcPr>
          <w:p w:rsidR="00AE23BD" w:rsidRPr="00E34E4D" w:rsidRDefault="00AE23BD" w:rsidP="00AE23BD">
            <w:pPr>
              <w:widowControl/>
              <w:autoSpaceDE/>
              <w:autoSpaceDN/>
              <w:adjustRightInd/>
              <w:rPr>
                <w:rFonts w:ascii="Arial" w:hAnsi="Arial" w:cs="Arial"/>
                <w:iCs/>
                <w:color w:val="000000"/>
              </w:rPr>
            </w:pPr>
            <w:r>
              <w:rPr>
                <w:rFonts w:ascii="Arial" w:hAnsi="Arial"/>
                <w:iCs/>
                <w:color w:val="000000"/>
              </w:rPr>
              <w:t>- fuel expenses</w:t>
            </w:r>
          </w:p>
        </w:tc>
        <w:tc>
          <w:tcPr>
            <w:tcW w:w="1246"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bCs/>
                <w:color w:val="000000"/>
              </w:rPr>
            </w:pPr>
            <w:r>
              <w:rPr>
                <w:rFonts w:ascii="Arial" w:hAnsi="Arial"/>
                <w:bCs/>
                <w:color w:val="000000"/>
              </w:rPr>
              <w:t>930</w:t>
            </w:r>
          </w:p>
        </w:tc>
        <w:tc>
          <w:tcPr>
            <w:tcW w:w="1263"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bCs/>
                <w:color w:val="000000"/>
              </w:rPr>
            </w:pPr>
            <w:r>
              <w:rPr>
                <w:rFonts w:ascii="Arial" w:hAnsi="Arial"/>
                <w:bCs/>
                <w:color w:val="000000"/>
              </w:rPr>
              <w:t>823</w:t>
            </w:r>
          </w:p>
        </w:tc>
        <w:tc>
          <w:tcPr>
            <w:tcW w:w="1167" w:type="dxa"/>
            <w:tcBorders>
              <w:top w:val="nil"/>
              <w:left w:val="nil"/>
              <w:bottom w:val="single" w:sz="4" w:space="0" w:color="auto"/>
              <w:right w:val="single" w:sz="4" w:space="0" w:color="auto"/>
            </w:tcBorders>
            <w:shd w:val="clear" w:color="auto" w:fill="auto"/>
            <w:noWrap/>
            <w:vAlign w:val="center"/>
            <w:hideMark/>
          </w:tcPr>
          <w:p w:rsidR="00AE23BD" w:rsidRPr="00E34E4D" w:rsidRDefault="00554E9A" w:rsidP="00AE23BD">
            <w:pPr>
              <w:jc w:val="right"/>
              <w:rPr>
                <w:rFonts w:ascii="Arial" w:hAnsi="Arial" w:cs="Arial"/>
                <w:bCs/>
                <w:color w:val="000000"/>
              </w:rPr>
            </w:pPr>
            <w:r>
              <w:rPr>
                <w:rFonts w:ascii="Arial" w:hAnsi="Arial"/>
                <w:bCs/>
                <w:color w:val="000000"/>
              </w:rPr>
              <w:t>▲13.00%</w:t>
            </w:r>
          </w:p>
        </w:tc>
      </w:tr>
      <w:tr w:rsidR="00AD6201" w:rsidRPr="00D948FA" w:rsidTr="0027205E">
        <w:trPr>
          <w:trHeight w:val="512"/>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5,949</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6,057</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▼1.78%</w:t>
            </w:r>
          </w:p>
        </w:tc>
        <w:tc>
          <w:tcPr>
            <w:tcW w:w="2777" w:type="dxa"/>
            <w:tcBorders>
              <w:top w:val="nil"/>
              <w:left w:val="nil"/>
              <w:bottom w:val="single" w:sz="4" w:space="0" w:color="auto"/>
              <w:right w:val="single" w:sz="4" w:space="0" w:color="auto"/>
            </w:tcBorders>
            <w:shd w:val="clear" w:color="auto" w:fill="auto"/>
            <w:vAlign w:val="center"/>
            <w:hideMark/>
          </w:tcPr>
          <w:p w:rsidR="00AD6201" w:rsidRPr="00D948FA" w:rsidRDefault="00AD6201" w:rsidP="00AD6201">
            <w:pPr>
              <w:widowControl/>
              <w:autoSpaceDE/>
              <w:autoSpaceDN/>
              <w:adjustRightInd/>
              <w:rPr>
                <w:rFonts w:ascii="Arial" w:hAnsi="Arial" w:cs="Arial"/>
                <w:b/>
                <w:bCs/>
                <w:color w:val="000000"/>
              </w:rPr>
            </w:pPr>
            <w:r>
              <w:rPr>
                <w:rFonts w:ascii="Arial" w:hAnsi="Arial"/>
                <w:b/>
                <w:bCs/>
                <w:color w:val="000000"/>
              </w:rPr>
              <w:t>Other outside Expenses (with energy and water)</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5,949</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5,172</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▲15.02%</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AE23BD" w:rsidRDefault="00AD6201" w:rsidP="005050DD">
            <w:pPr>
              <w:jc w:val="right"/>
              <w:rPr>
                <w:rFonts w:ascii="Arial" w:hAnsi="Arial" w:cs="Arial"/>
                <w:b/>
                <w:bCs/>
                <w:color w:val="000000"/>
              </w:rPr>
            </w:pPr>
            <w:r>
              <w:rPr>
                <w:rFonts w:ascii="Arial" w:hAnsi="Arial"/>
                <w:b/>
                <w:bCs/>
                <w:color w:val="000000"/>
              </w:rPr>
              <w:t>65,959</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26431C" w:rsidRDefault="00AD6201" w:rsidP="00AD6201">
            <w:pPr>
              <w:widowControl/>
              <w:autoSpaceDE/>
              <w:autoSpaceDN/>
              <w:adjustRightInd/>
              <w:jc w:val="right"/>
              <w:rPr>
                <w:rFonts w:ascii="Arial" w:hAnsi="Arial" w:cs="Arial"/>
                <w:b/>
                <w:bCs/>
                <w:color w:val="000000"/>
              </w:rPr>
            </w:pPr>
            <w:r>
              <w:rPr>
                <w:rFonts w:ascii="Arial" w:hAnsi="Arial"/>
                <w:b/>
                <w:bCs/>
                <w:color w:val="000000"/>
              </w:rPr>
              <w:t>67,595</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26431C" w:rsidRDefault="00AD6201" w:rsidP="00AD6201">
            <w:pPr>
              <w:jc w:val="right"/>
              <w:rPr>
                <w:rFonts w:ascii="Arial" w:hAnsi="Arial" w:cs="Arial"/>
                <w:b/>
                <w:bCs/>
                <w:color w:val="000000"/>
              </w:rPr>
            </w:pPr>
            <w:r>
              <w:rPr>
                <w:rFonts w:ascii="Arial" w:hAnsi="Arial"/>
                <w:b/>
                <w:bCs/>
                <w:color w:val="000000"/>
              </w:rPr>
              <w:t>▼2.42%</w:t>
            </w:r>
          </w:p>
        </w:tc>
        <w:tc>
          <w:tcPr>
            <w:tcW w:w="2777" w:type="dxa"/>
            <w:tcBorders>
              <w:top w:val="nil"/>
              <w:left w:val="nil"/>
              <w:bottom w:val="single" w:sz="4" w:space="0" w:color="auto"/>
              <w:right w:val="single" w:sz="4" w:space="0" w:color="auto"/>
            </w:tcBorders>
            <w:shd w:val="clear" w:color="auto" w:fill="auto"/>
            <w:vAlign w:val="center"/>
            <w:hideMark/>
          </w:tcPr>
          <w:p w:rsidR="00AD6201" w:rsidRPr="00D948FA" w:rsidRDefault="00AD6201" w:rsidP="00AD6201">
            <w:pPr>
              <w:widowControl/>
              <w:autoSpaceDE/>
              <w:autoSpaceDN/>
              <w:adjustRightInd/>
              <w:rPr>
                <w:rFonts w:ascii="Arial" w:hAnsi="Arial" w:cs="Arial"/>
                <w:b/>
                <w:bCs/>
                <w:color w:val="000000"/>
              </w:rPr>
            </w:pPr>
            <w:r>
              <w:rPr>
                <w:rFonts w:ascii="Arial" w:hAnsi="Arial"/>
                <w:b/>
                <w:bCs/>
                <w:color w:val="000000"/>
              </w:rPr>
              <w:t>Personnel expenses</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5050DD">
            <w:pPr>
              <w:jc w:val="right"/>
              <w:rPr>
                <w:rFonts w:ascii="Arial" w:hAnsi="Arial" w:cs="Arial"/>
                <w:b/>
                <w:bCs/>
                <w:color w:val="000000"/>
              </w:rPr>
            </w:pPr>
            <w:r>
              <w:rPr>
                <w:rFonts w:ascii="Arial" w:hAnsi="Arial"/>
                <w:b/>
                <w:bCs/>
                <w:color w:val="000000"/>
              </w:rPr>
              <w:t>65,959</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57,854</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pPr>
              <w:jc w:val="right"/>
              <w:rPr>
                <w:rFonts w:ascii="Arial" w:hAnsi="Arial" w:cs="Arial"/>
                <w:b/>
                <w:bCs/>
                <w:color w:val="000000"/>
              </w:rPr>
            </w:pPr>
            <w:r>
              <w:rPr>
                <w:rFonts w:ascii="Arial" w:hAnsi="Arial"/>
                <w:b/>
                <w:bCs/>
                <w:color w:val="000000"/>
              </w:rPr>
              <w:t>▲14.01%</w:t>
            </w:r>
          </w:p>
        </w:tc>
      </w:tr>
      <w:tr w:rsidR="00AD6201" w:rsidRPr="00D948FA" w:rsidTr="0027205E">
        <w:trPr>
          <w:trHeight w:val="512"/>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22,242</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22,338</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▼0.43%</w:t>
            </w:r>
          </w:p>
        </w:tc>
        <w:tc>
          <w:tcPr>
            <w:tcW w:w="2777" w:type="dxa"/>
            <w:tcBorders>
              <w:top w:val="nil"/>
              <w:left w:val="nil"/>
              <w:bottom w:val="single" w:sz="4" w:space="0" w:color="auto"/>
              <w:right w:val="single" w:sz="4" w:space="0" w:color="auto"/>
            </w:tcBorders>
            <w:shd w:val="clear" w:color="auto" w:fill="auto"/>
            <w:vAlign w:val="center"/>
            <w:hideMark/>
          </w:tcPr>
          <w:p w:rsidR="00AD6201" w:rsidRPr="00D948FA" w:rsidRDefault="00AD6201" w:rsidP="00AD6201">
            <w:pPr>
              <w:widowControl/>
              <w:autoSpaceDE/>
              <w:autoSpaceDN/>
              <w:adjustRightInd/>
              <w:rPr>
                <w:rFonts w:ascii="Arial" w:hAnsi="Arial" w:cs="Arial"/>
                <w:b/>
                <w:bCs/>
                <w:color w:val="000000"/>
              </w:rPr>
            </w:pPr>
            <w:r>
              <w:rPr>
                <w:rFonts w:ascii="Arial" w:hAnsi="Arial"/>
                <w:b/>
                <w:bCs/>
                <w:color w:val="000000"/>
              </w:rPr>
              <w:t xml:space="preserve">Expenses with the amortization of tangible and intangible assets </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22,242</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22,280</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▼0.17%</w:t>
            </w:r>
          </w:p>
        </w:tc>
      </w:tr>
      <w:tr w:rsidR="00AD6201" w:rsidRPr="00D948FA" w:rsidTr="0027205E">
        <w:trPr>
          <w:trHeight w:val="512"/>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AE23BD" w:rsidRDefault="00AD6201" w:rsidP="005050DD">
            <w:pPr>
              <w:jc w:val="right"/>
              <w:rPr>
                <w:rFonts w:ascii="Arial" w:hAnsi="Arial" w:cs="Arial"/>
                <w:b/>
                <w:bCs/>
                <w:color w:val="000000"/>
              </w:rPr>
            </w:pPr>
            <w:r>
              <w:rPr>
                <w:rFonts w:ascii="Arial" w:hAnsi="Arial"/>
                <w:b/>
                <w:bCs/>
                <w:color w:val="000000"/>
              </w:rPr>
              <w:t>48,818</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50,755</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▼3.82%</w:t>
            </w:r>
          </w:p>
        </w:tc>
        <w:tc>
          <w:tcPr>
            <w:tcW w:w="2777" w:type="dxa"/>
            <w:tcBorders>
              <w:top w:val="nil"/>
              <w:left w:val="nil"/>
              <w:bottom w:val="single" w:sz="4" w:space="0" w:color="auto"/>
              <w:right w:val="single" w:sz="4" w:space="0" w:color="auto"/>
            </w:tcBorders>
            <w:shd w:val="clear" w:color="auto" w:fill="auto"/>
            <w:vAlign w:val="center"/>
            <w:hideMark/>
          </w:tcPr>
          <w:p w:rsidR="00AD6201" w:rsidRPr="00D948FA" w:rsidRDefault="00AD6201" w:rsidP="00AD6201">
            <w:pPr>
              <w:widowControl/>
              <w:autoSpaceDE/>
              <w:autoSpaceDN/>
              <w:adjustRightInd/>
              <w:rPr>
                <w:rFonts w:ascii="Arial" w:hAnsi="Arial" w:cs="Arial"/>
                <w:b/>
                <w:bCs/>
                <w:color w:val="000000"/>
              </w:rPr>
            </w:pPr>
            <w:r>
              <w:rPr>
                <w:rFonts w:ascii="Arial" w:hAnsi="Arial"/>
                <w:b/>
                <w:bCs/>
                <w:color w:val="000000"/>
              </w:rPr>
              <w:t>Expenses with outside services, out of which:</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5050DD">
            <w:pPr>
              <w:jc w:val="right"/>
              <w:rPr>
                <w:rFonts w:ascii="Arial" w:hAnsi="Arial" w:cs="Arial"/>
                <w:b/>
                <w:bCs/>
                <w:color w:val="000000"/>
              </w:rPr>
            </w:pPr>
            <w:r>
              <w:rPr>
                <w:rFonts w:ascii="Arial" w:hAnsi="Arial"/>
                <w:b/>
                <w:bCs/>
                <w:color w:val="000000"/>
              </w:rPr>
              <w:t>48,818</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49,074</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pPr>
              <w:jc w:val="right"/>
              <w:rPr>
                <w:rFonts w:ascii="Arial" w:hAnsi="Arial" w:cs="Arial"/>
                <w:b/>
                <w:bCs/>
                <w:color w:val="000000"/>
              </w:rPr>
            </w:pPr>
            <w:r>
              <w:rPr>
                <w:rFonts w:ascii="Arial" w:hAnsi="Arial"/>
                <w:b/>
                <w:bCs/>
                <w:color w:val="000000"/>
              </w:rPr>
              <w:t>▼0.52%</w:t>
            </w:r>
          </w:p>
        </w:tc>
      </w:tr>
      <w:tr w:rsidR="00AD6201" w:rsidRPr="00D948FA" w:rsidTr="00C1011A">
        <w:trPr>
          <w:trHeight w:val="478"/>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1,118</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2,512</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bCs/>
                <w:color w:val="000000"/>
              </w:rPr>
              <w:t>▼54.49%</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DA139A" w:rsidP="004546BD">
            <w:pPr>
              <w:widowControl/>
              <w:autoSpaceDE/>
              <w:autoSpaceDN/>
              <w:adjustRightInd/>
              <w:rPr>
                <w:rFonts w:ascii="Arial" w:hAnsi="Arial" w:cs="Arial"/>
                <w:iCs/>
                <w:color w:val="000000"/>
              </w:rPr>
            </w:pPr>
            <w:r>
              <w:rPr>
                <w:rFonts w:ascii="Arial" w:hAnsi="Arial"/>
                <w:iCs/>
                <w:color w:val="000000"/>
              </w:rPr>
              <w:t>--maintenance expenses</w:t>
            </w:r>
            <w:r w:rsidR="004546BD">
              <w:rPr>
                <w:rFonts w:ascii="Arial" w:hAnsi="Arial"/>
                <w:iCs/>
                <w:color w:val="000000"/>
              </w:rPr>
              <w:br/>
              <w:t>( maintenance</w:t>
            </w:r>
            <w:r>
              <w:rPr>
                <w:rFonts w:ascii="Arial" w:hAnsi="Arial"/>
                <w:iCs/>
                <w:color w:val="000000"/>
              </w:rPr>
              <w:t>, current and capital repairs )</w:t>
            </w:r>
            <w:r w:rsidR="004546BD">
              <w:rPr>
                <w:rFonts w:ascii="Arial" w:hAnsi="Arial"/>
                <w:iCs/>
                <w:color w:val="000000"/>
              </w:rPr>
              <w:br/>
              <w:t xml:space="preserve"> </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1,118</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color w:val="000000"/>
              </w:rPr>
              <w:t>700</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bCs/>
                <w:color w:val="000000"/>
              </w:rPr>
              <w:t>▲59.71%</w:t>
            </w:r>
          </w:p>
        </w:tc>
      </w:tr>
      <w:tr w:rsidR="00AD6201" w:rsidRPr="00D948FA" w:rsidTr="0027205E">
        <w:trPr>
          <w:trHeight w:val="512"/>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27,681</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26,201</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bCs/>
                <w:color w:val="000000"/>
              </w:rPr>
              <w:t>▲5.65%</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AD6201" w:rsidP="00AD6201">
            <w:pPr>
              <w:widowControl/>
              <w:autoSpaceDE/>
              <w:autoSpaceDN/>
              <w:adjustRightInd/>
              <w:rPr>
                <w:rFonts w:ascii="Arial" w:hAnsi="Arial" w:cs="Arial"/>
                <w:iCs/>
                <w:color w:val="000000"/>
              </w:rPr>
            </w:pPr>
            <w:r>
              <w:rPr>
                <w:rFonts w:ascii="Arial" w:hAnsi="Arial"/>
                <w:iCs/>
                <w:color w:val="000000"/>
              </w:rPr>
              <w:t>- expenses with the crude oil transport by rail</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27,681</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color w:val="000000"/>
              </w:rPr>
              <w:t>28,104</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bCs/>
                <w:color w:val="000000"/>
              </w:rPr>
              <w:t>▼1.51%</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353</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783</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bCs/>
                <w:color w:val="000000"/>
              </w:rPr>
              <w:t>▼54.92%</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AD6201" w:rsidP="00AD6201">
            <w:pPr>
              <w:widowControl/>
              <w:autoSpaceDE/>
              <w:autoSpaceDN/>
              <w:adjustRightInd/>
              <w:rPr>
                <w:rFonts w:ascii="Arial" w:hAnsi="Arial" w:cs="Arial"/>
                <w:iCs/>
                <w:color w:val="000000"/>
              </w:rPr>
            </w:pPr>
            <w:r>
              <w:rPr>
                <w:rFonts w:ascii="Arial" w:hAnsi="Arial"/>
                <w:iCs/>
                <w:color w:val="000000"/>
              </w:rPr>
              <w:t xml:space="preserve">- expenses with decontamination works  </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353</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color w:val="000000"/>
              </w:rPr>
              <w:t>221</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bCs/>
                <w:color w:val="000000"/>
              </w:rPr>
              <w:t>▲59.73%</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14,016</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13,844</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bCs/>
                <w:color w:val="000000"/>
              </w:rPr>
              <w:t>▲1.24%</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AD6201" w:rsidP="00AD6201">
            <w:pPr>
              <w:widowControl/>
              <w:autoSpaceDE/>
              <w:autoSpaceDN/>
              <w:adjustRightInd/>
              <w:rPr>
                <w:rFonts w:ascii="Arial" w:hAnsi="Arial" w:cs="Arial"/>
                <w:iCs/>
                <w:color w:val="000000"/>
              </w:rPr>
            </w:pPr>
            <w:r>
              <w:rPr>
                <w:rFonts w:ascii="Arial" w:hAnsi="Arial"/>
                <w:iCs/>
                <w:color w:val="000000"/>
              </w:rPr>
              <w:t>- oil royalty</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14,016</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color w:val="000000"/>
              </w:rPr>
              <w:t>14,147</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bCs/>
                <w:color w:val="000000"/>
              </w:rPr>
              <w:t>▼0.93%</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FD25A2" w:rsidP="00AD6201">
            <w:pPr>
              <w:jc w:val="right"/>
              <w:rPr>
                <w:rFonts w:ascii="Arial" w:hAnsi="Arial" w:cs="Arial"/>
                <w:color w:val="000000"/>
              </w:rPr>
            </w:pPr>
            <w:r>
              <w:rPr>
                <w:rFonts w:ascii="Arial" w:hAnsi="Arial"/>
                <w:color w:val="000000"/>
              </w:rPr>
              <w:t>5,650</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color w:val="000000"/>
              </w:rPr>
            </w:pPr>
            <w:r>
              <w:rPr>
                <w:rFonts w:ascii="Arial" w:hAnsi="Arial"/>
                <w:color w:val="000000"/>
              </w:rPr>
              <w:t>7,415</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bCs/>
                <w:color w:val="000000"/>
              </w:rPr>
              <w:t>▼23.82%</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AD6201" w:rsidP="00AD6201">
            <w:pPr>
              <w:widowControl/>
              <w:autoSpaceDE/>
              <w:autoSpaceDN/>
              <w:adjustRightInd/>
              <w:rPr>
                <w:rFonts w:ascii="Arial" w:hAnsi="Arial" w:cs="Arial"/>
                <w:iCs/>
                <w:color w:val="000000"/>
              </w:rPr>
            </w:pPr>
            <w:r>
              <w:rPr>
                <w:rFonts w:ascii="Arial" w:hAnsi="Arial"/>
                <w:iCs/>
                <w:color w:val="000000"/>
              </w:rPr>
              <w:t>-other services performed by third parties</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FD25A2" w:rsidP="00AD6201">
            <w:pPr>
              <w:jc w:val="right"/>
              <w:rPr>
                <w:rFonts w:ascii="Arial" w:hAnsi="Arial" w:cs="Arial"/>
                <w:color w:val="000000"/>
              </w:rPr>
            </w:pPr>
            <w:r>
              <w:rPr>
                <w:rFonts w:ascii="Arial" w:hAnsi="Arial"/>
                <w:color w:val="000000"/>
              </w:rPr>
              <w:t>5,650</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Cs/>
                <w:color w:val="000000"/>
              </w:rPr>
            </w:pPr>
            <w:r>
              <w:rPr>
                <w:rFonts w:ascii="Arial" w:hAnsi="Arial"/>
                <w:color w:val="000000"/>
              </w:rPr>
              <w:t>5,902</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pPr>
              <w:jc w:val="right"/>
              <w:rPr>
                <w:rFonts w:ascii="Arial" w:hAnsi="Arial" w:cs="Arial"/>
                <w:bCs/>
                <w:color w:val="000000"/>
              </w:rPr>
            </w:pPr>
            <w:r>
              <w:rPr>
                <w:rFonts w:ascii="Arial" w:hAnsi="Arial"/>
                <w:b/>
                <w:bCs/>
                <w:color w:val="000000"/>
              </w:rPr>
              <w:t>▼</w:t>
            </w:r>
            <w:r>
              <w:rPr>
                <w:rFonts w:ascii="Arial" w:hAnsi="Arial"/>
                <w:bCs/>
                <w:color w:val="000000"/>
              </w:rPr>
              <w:t>4.29%</w:t>
            </w:r>
          </w:p>
        </w:tc>
      </w:tr>
      <w:tr w:rsidR="00AD6201" w:rsidRPr="00D948FA" w:rsidTr="0027205E">
        <w:trPr>
          <w:trHeight w:val="512"/>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-97</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-260</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w:t>
            </w:r>
            <w:r>
              <w:rPr>
                <w:rFonts w:ascii="Arial" w:hAnsi="Arial"/>
                <w:b/>
                <w:bCs/>
              </w:rPr>
              <w:t>37.31%</w:t>
            </w:r>
          </w:p>
        </w:tc>
        <w:tc>
          <w:tcPr>
            <w:tcW w:w="2777" w:type="dxa"/>
            <w:tcBorders>
              <w:top w:val="nil"/>
              <w:left w:val="nil"/>
              <w:bottom w:val="single" w:sz="4" w:space="0" w:color="auto"/>
              <w:right w:val="single" w:sz="4" w:space="0" w:color="auto"/>
            </w:tcBorders>
            <w:shd w:val="clear" w:color="auto" w:fill="auto"/>
            <w:vAlign w:val="center"/>
            <w:hideMark/>
          </w:tcPr>
          <w:p w:rsidR="00AD6201" w:rsidRPr="00D948FA" w:rsidRDefault="00AD6201" w:rsidP="00AD6201">
            <w:pPr>
              <w:widowControl/>
              <w:autoSpaceDE/>
              <w:autoSpaceDN/>
              <w:adjustRightInd/>
              <w:rPr>
                <w:rFonts w:ascii="Arial" w:hAnsi="Arial" w:cs="Arial"/>
                <w:b/>
                <w:bCs/>
                <w:color w:val="000000"/>
              </w:rPr>
            </w:pPr>
            <w:r>
              <w:rPr>
                <w:rFonts w:ascii="Arial" w:hAnsi="Arial"/>
                <w:b/>
                <w:bCs/>
                <w:color w:val="000000"/>
              </w:rPr>
              <w:t xml:space="preserve">Value adjustments on the current assets </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-97</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-1,063</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AE23BD" w:rsidRDefault="00AD6201" w:rsidP="00AD6201">
            <w:pPr>
              <w:jc w:val="right"/>
              <w:rPr>
                <w:rFonts w:ascii="Arial" w:hAnsi="Arial" w:cs="Arial"/>
                <w:b/>
                <w:bCs/>
                <w:color w:val="000000"/>
              </w:rPr>
            </w:pPr>
            <w:r>
              <w:rPr>
                <w:rFonts w:ascii="Arial" w:hAnsi="Arial"/>
                <w:b/>
                <w:bCs/>
                <w:color w:val="000000"/>
              </w:rPr>
              <w:t>▲9.13%</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
                <w:bCs/>
                <w:color w:val="000000"/>
              </w:rPr>
            </w:pPr>
            <w:r>
              <w:rPr>
                <w:rFonts w:ascii="Arial" w:hAnsi="Arial"/>
                <w:b/>
                <w:bCs/>
                <w:color w:val="000000"/>
              </w:rPr>
              <w:t>3,881</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
                <w:bCs/>
                <w:color w:val="000000"/>
              </w:rPr>
            </w:pPr>
            <w:r>
              <w:rPr>
                <w:rFonts w:ascii="Arial" w:hAnsi="Arial"/>
                <w:b/>
                <w:bCs/>
                <w:color w:val="000000"/>
              </w:rPr>
              <w:t>1,439</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
                <w:bCs/>
                <w:color w:val="000000"/>
              </w:rPr>
            </w:pPr>
            <w:r>
              <w:rPr>
                <w:rFonts w:ascii="Arial" w:hAnsi="Arial"/>
                <w:b/>
                <w:bCs/>
                <w:color w:val="000000"/>
              </w:rPr>
              <w:t>▲169.70%</w:t>
            </w:r>
          </w:p>
        </w:tc>
        <w:tc>
          <w:tcPr>
            <w:tcW w:w="2777" w:type="dxa"/>
            <w:tcBorders>
              <w:top w:val="nil"/>
              <w:left w:val="nil"/>
              <w:bottom w:val="single" w:sz="4" w:space="0" w:color="auto"/>
              <w:right w:val="single" w:sz="4" w:space="0" w:color="auto"/>
            </w:tcBorders>
            <w:shd w:val="clear" w:color="auto" w:fill="auto"/>
            <w:vAlign w:val="center"/>
            <w:hideMark/>
          </w:tcPr>
          <w:p w:rsidR="00AD6201" w:rsidRPr="00E34E4D" w:rsidRDefault="00AD6201" w:rsidP="00AD6201">
            <w:pPr>
              <w:widowControl/>
              <w:autoSpaceDE/>
              <w:autoSpaceDN/>
              <w:adjustRightInd/>
              <w:rPr>
                <w:rFonts w:ascii="Arial" w:hAnsi="Arial" w:cs="Arial"/>
                <w:b/>
                <w:bCs/>
                <w:iCs/>
                <w:color w:val="000000"/>
              </w:rPr>
            </w:pPr>
            <w:r>
              <w:rPr>
                <w:rFonts w:ascii="Arial" w:hAnsi="Arial"/>
                <w:b/>
                <w:bCs/>
                <w:iCs/>
                <w:color w:val="000000"/>
              </w:rPr>
              <w:t>Provision adjustments</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
                <w:bCs/>
                <w:color w:val="000000"/>
              </w:rPr>
            </w:pPr>
            <w:r>
              <w:rPr>
                <w:rFonts w:ascii="Arial" w:hAnsi="Arial"/>
                <w:b/>
                <w:bCs/>
                <w:color w:val="000000"/>
              </w:rPr>
              <w:t>3,881</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E34E4D" w:rsidRDefault="00AD6201" w:rsidP="00AD6201">
            <w:pPr>
              <w:jc w:val="right"/>
              <w:rPr>
                <w:rFonts w:ascii="Arial" w:hAnsi="Arial" w:cs="Arial"/>
                <w:b/>
                <w:bCs/>
                <w:color w:val="000000"/>
              </w:rPr>
            </w:pPr>
            <w:r>
              <w:rPr>
                <w:rFonts w:ascii="Arial" w:hAnsi="Arial"/>
                <w:b/>
                <w:bCs/>
                <w:color w:val="000000"/>
              </w:rPr>
              <w:t>-2,192</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E34E4D" w:rsidRDefault="00E34E4D" w:rsidP="00AD6201">
            <w:pPr>
              <w:jc w:val="right"/>
              <w:rPr>
                <w:rFonts w:ascii="Arial" w:hAnsi="Arial" w:cs="Arial"/>
                <w:b/>
                <w:bCs/>
                <w:color w:val="000000"/>
              </w:rPr>
            </w:pPr>
            <w:r>
              <w:rPr>
                <w:rFonts w:ascii="Arial" w:hAnsi="Arial"/>
                <w:b/>
                <w:bCs/>
                <w:color w:val="000000"/>
              </w:rPr>
              <w:t>-</w:t>
            </w:r>
          </w:p>
        </w:tc>
      </w:tr>
      <w:tr w:rsidR="00AD6201"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D6201" w:rsidRPr="00D100EF" w:rsidRDefault="00AD6201" w:rsidP="00AD6201">
            <w:pPr>
              <w:jc w:val="right"/>
              <w:rPr>
                <w:rFonts w:ascii="Arial" w:hAnsi="Arial" w:cs="Arial"/>
                <w:b/>
                <w:bCs/>
                <w:color w:val="000000"/>
              </w:rPr>
            </w:pPr>
            <w:r>
              <w:rPr>
                <w:rFonts w:ascii="Arial" w:hAnsi="Arial"/>
                <w:b/>
                <w:bCs/>
                <w:color w:val="000000"/>
              </w:rPr>
              <w:t>26,701</w:t>
            </w:r>
          </w:p>
        </w:tc>
        <w:tc>
          <w:tcPr>
            <w:tcW w:w="979" w:type="dxa"/>
            <w:tcBorders>
              <w:top w:val="nil"/>
              <w:left w:val="nil"/>
              <w:bottom w:val="single" w:sz="4" w:space="0" w:color="auto"/>
              <w:right w:val="single" w:sz="4" w:space="0" w:color="auto"/>
            </w:tcBorders>
            <w:shd w:val="clear" w:color="auto" w:fill="auto"/>
            <w:noWrap/>
            <w:vAlign w:val="center"/>
            <w:hideMark/>
          </w:tcPr>
          <w:p w:rsidR="00AD6201" w:rsidRPr="00D100EF" w:rsidRDefault="00AD6201" w:rsidP="00AD6201">
            <w:pPr>
              <w:widowControl/>
              <w:autoSpaceDE/>
              <w:autoSpaceDN/>
              <w:adjustRightInd/>
              <w:jc w:val="right"/>
              <w:rPr>
                <w:rFonts w:ascii="Arial" w:hAnsi="Arial" w:cs="Arial"/>
                <w:b/>
                <w:bCs/>
                <w:color w:val="000000"/>
              </w:rPr>
            </w:pPr>
            <w:r>
              <w:rPr>
                <w:rFonts w:ascii="Arial" w:hAnsi="Arial"/>
                <w:b/>
                <w:bCs/>
                <w:color w:val="000000"/>
              </w:rPr>
              <w:t>21,447</w:t>
            </w:r>
          </w:p>
        </w:tc>
        <w:tc>
          <w:tcPr>
            <w:tcW w:w="1204" w:type="dxa"/>
            <w:tcBorders>
              <w:top w:val="nil"/>
              <w:left w:val="nil"/>
              <w:bottom w:val="single" w:sz="4" w:space="0" w:color="auto"/>
              <w:right w:val="single" w:sz="4" w:space="0" w:color="auto"/>
            </w:tcBorders>
            <w:shd w:val="clear" w:color="auto" w:fill="auto"/>
            <w:noWrap/>
            <w:vAlign w:val="center"/>
            <w:hideMark/>
          </w:tcPr>
          <w:p w:rsidR="00AD6201" w:rsidRPr="00D100EF" w:rsidRDefault="00AD6201" w:rsidP="00AD6201">
            <w:pPr>
              <w:jc w:val="right"/>
              <w:rPr>
                <w:rFonts w:ascii="Arial" w:hAnsi="Arial" w:cs="Arial"/>
                <w:b/>
                <w:bCs/>
                <w:color w:val="000000"/>
              </w:rPr>
            </w:pPr>
            <w:r>
              <w:rPr>
                <w:rFonts w:ascii="Arial" w:hAnsi="Arial"/>
                <w:b/>
                <w:bCs/>
                <w:color w:val="000000"/>
              </w:rPr>
              <w:t>▲24.50%</w:t>
            </w:r>
          </w:p>
        </w:tc>
        <w:tc>
          <w:tcPr>
            <w:tcW w:w="2777" w:type="dxa"/>
            <w:tcBorders>
              <w:top w:val="nil"/>
              <w:left w:val="nil"/>
              <w:bottom w:val="single" w:sz="4" w:space="0" w:color="auto"/>
              <w:right w:val="single" w:sz="4" w:space="0" w:color="auto"/>
            </w:tcBorders>
            <w:shd w:val="clear" w:color="auto" w:fill="auto"/>
            <w:vAlign w:val="center"/>
            <w:hideMark/>
          </w:tcPr>
          <w:p w:rsidR="00AD6201" w:rsidRPr="00D100EF" w:rsidRDefault="00AD6201" w:rsidP="00AD6201">
            <w:pPr>
              <w:widowControl/>
              <w:autoSpaceDE/>
              <w:autoSpaceDN/>
              <w:adjustRightInd/>
              <w:rPr>
                <w:rFonts w:ascii="Arial" w:hAnsi="Arial" w:cs="Arial"/>
                <w:b/>
                <w:bCs/>
                <w:iCs/>
                <w:color w:val="000000"/>
              </w:rPr>
            </w:pPr>
            <w:r>
              <w:rPr>
                <w:rFonts w:ascii="Arial" w:hAnsi="Arial"/>
                <w:b/>
                <w:bCs/>
                <w:iCs/>
                <w:color w:val="000000"/>
              </w:rPr>
              <w:t>Other operating expenses, out of which:</w:t>
            </w:r>
          </w:p>
        </w:tc>
        <w:tc>
          <w:tcPr>
            <w:tcW w:w="1246" w:type="dxa"/>
            <w:tcBorders>
              <w:top w:val="nil"/>
              <w:left w:val="nil"/>
              <w:bottom w:val="single" w:sz="4" w:space="0" w:color="auto"/>
              <w:right w:val="single" w:sz="4" w:space="0" w:color="auto"/>
            </w:tcBorders>
            <w:shd w:val="clear" w:color="auto" w:fill="auto"/>
            <w:noWrap/>
            <w:vAlign w:val="center"/>
            <w:hideMark/>
          </w:tcPr>
          <w:p w:rsidR="00AD6201" w:rsidRPr="00D100EF" w:rsidRDefault="00AD6201" w:rsidP="00AD6201">
            <w:pPr>
              <w:jc w:val="right"/>
              <w:rPr>
                <w:rFonts w:ascii="Arial" w:hAnsi="Arial" w:cs="Arial"/>
                <w:b/>
                <w:bCs/>
                <w:color w:val="000000"/>
              </w:rPr>
            </w:pPr>
            <w:r>
              <w:rPr>
                <w:rFonts w:ascii="Arial" w:hAnsi="Arial"/>
                <w:b/>
                <w:bCs/>
                <w:color w:val="000000"/>
              </w:rPr>
              <w:t>26,701</w:t>
            </w:r>
          </w:p>
        </w:tc>
        <w:tc>
          <w:tcPr>
            <w:tcW w:w="1263" w:type="dxa"/>
            <w:tcBorders>
              <w:top w:val="nil"/>
              <w:left w:val="nil"/>
              <w:bottom w:val="single" w:sz="4" w:space="0" w:color="auto"/>
              <w:right w:val="single" w:sz="4" w:space="0" w:color="auto"/>
            </w:tcBorders>
            <w:shd w:val="clear" w:color="auto" w:fill="auto"/>
            <w:noWrap/>
            <w:vAlign w:val="center"/>
            <w:hideMark/>
          </w:tcPr>
          <w:p w:rsidR="00AD6201" w:rsidRPr="00D100EF" w:rsidRDefault="00AD6201" w:rsidP="00AD6201">
            <w:pPr>
              <w:jc w:val="right"/>
              <w:rPr>
                <w:rFonts w:ascii="Arial" w:hAnsi="Arial" w:cs="Arial"/>
                <w:b/>
                <w:bCs/>
                <w:color w:val="000000"/>
              </w:rPr>
            </w:pPr>
            <w:r>
              <w:rPr>
                <w:rFonts w:ascii="Arial" w:hAnsi="Arial"/>
                <w:b/>
                <w:bCs/>
                <w:color w:val="000000"/>
              </w:rPr>
              <w:t>27,820</w:t>
            </w:r>
          </w:p>
        </w:tc>
        <w:tc>
          <w:tcPr>
            <w:tcW w:w="1167" w:type="dxa"/>
            <w:tcBorders>
              <w:top w:val="nil"/>
              <w:left w:val="nil"/>
              <w:bottom w:val="single" w:sz="4" w:space="0" w:color="auto"/>
              <w:right w:val="single" w:sz="4" w:space="0" w:color="auto"/>
            </w:tcBorders>
            <w:shd w:val="clear" w:color="auto" w:fill="auto"/>
            <w:noWrap/>
            <w:vAlign w:val="center"/>
            <w:hideMark/>
          </w:tcPr>
          <w:p w:rsidR="00AD6201" w:rsidRPr="00D100EF" w:rsidRDefault="00AD6201" w:rsidP="00AD6201">
            <w:pPr>
              <w:jc w:val="right"/>
              <w:rPr>
                <w:rFonts w:ascii="Arial" w:hAnsi="Arial" w:cs="Arial"/>
                <w:b/>
                <w:bCs/>
                <w:color w:val="000000"/>
              </w:rPr>
            </w:pPr>
            <w:r>
              <w:rPr>
                <w:rFonts w:ascii="Arial" w:hAnsi="Arial"/>
                <w:b/>
                <w:bCs/>
                <w:color w:val="000000"/>
              </w:rPr>
              <w:t>▼4.02%</w:t>
            </w:r>
          </w:p>
        </w:tc>
      </w:tr>
      <w:tr w:rsidR="00AE23BD"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Pr>
                <w:rFonts w:ascii="Arial" w:hAnsi="Arial"/>
                <w:color w:val="000000"/>
              </w:rPr>
              <w:t>25,326</w:t>
            </w:r>
          </w:p>
        </w:tc>
        <w:tc>
          <w:tcPr>
            <w:tcW w:w="979"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Pr>
                <w:rFonts w:ascii="Arial" w:hAnsi="Arial"/>
                <w:color w:val="000000"/>
              </w:rPr>
              <w:t>19,422</w:t>
            </w:r>
          </w:p>
        </w:tc>
        <w:tc>
          <w:tcPr>
            <w:tcW w:w="1204" w:type="dxa"/>
            <w:tcBorders>
              <w:top w:val="nil"/>
              <w:left w:val="nil"/>
              <w:bottom w:val="single" w:sz="4" w:space="0" w:color="auto"/>
              <w:right w:val="single" w:sz="4" w:space="0" w:color="auto"/>
            </w:tcBorders>
            <w:shd w:val="clear" w:color="auto" w:fill="auto"/>
            <w:noWrap/>
            <w:vAlign w:val="center"/>
            <w:hideMark/>
          </w:tcPr>
          <w:p w:rsidR="00AE23BD" w:rsidRPr="00E34E4D" w:rsidRDefault="00554E9A" w:rsidP="00AE23BD">
            <w:pPr>
              <w:jc w:val="right"/>
              <w:rPr>
                <w:rFonts w:ascii="Arial" w:hAnsi="Arial" w:cs="Arial"/>
                <w:color w:val="000000"/>
              </w:rPr>
            </w:pPr>
            <w:r>
              <w:rPr>
                <w:rFonts w:ascii="Arial" w:hAnsi="Arial"/>
                <w:b/>
                <w:bCs/>
                <w:color w:val="000000"/>
              </w:rPr>
              <w:t>▲</w:t>
            </w:r>
            <w:r>
              <w:rPr>
                <w:rFonts w:ascii="Arial" w:hAnsi="Arial"/>
                <w:color w:val="000000"/>
              </w:rPr>
              <w:t>30.40%</w:t>
            </w:r>
          </w:p>
        </w:tc>
        <w:tc>
          <w:tcPr>
            <w:tcW w:w="2777" w:type="dxa"/>
            <w:tcBorders>
              <w:top w:val="nil"/>
              <w:left w:val="nil"/>
              <w:bottom w:val="single" w:sz="4" w:space="0" w:color="auto"/>
              <w:right w:val="single" w:sz="4" w:space="0" w:color="auto"/>
            </w:tcBorders>
            <w:shd w:val="clear" w:color="auto" w:fill="auto"/>
            <w:vAlign w:val="center"/>
            <w:hideMark/>
          </w:tcPr>
          <w:p w:rsidR="00AE23BD" w:rsidRPr="00E34E4D" w:rsidRDefault="00AE23BD" w:rsidP="00AE23BD">
            <w:pPr>
              <w:widowControl/>
              <w:autoSpaceDE/>
              <w:autoSpaceDN/>
              <w:adjustRightInd/>
              <w:rPr>
                <w:rFonts w:ascii="Arial" w:hAnsi="Arial" w:cs="Arial"/>
                <w:iCs/>
                <w:color w:val="000000"/>
              </w:rPr>
            </w:pPr>
            <w:r>
              <w:rPr>
                <w:rFonts w:ascii="Arial" w:hAnsi="Arial"/>
                <w:iCs/>
                <w:color w:val="000000"/>
              </w:rPr>
              <w:t>- modernization quota expenses</w:t>
            </w:r>
          </w:p>
        </w:tc>
        <w:tc>
          <w:tcPr>
            <w:tcW w:w="1246"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color w:val="000000"/>
              </w:rPr>
            </w:pPr>
            <w:r>
              <w:rPr>
                <w:rFonts w:ascii="Arial" w:hAnsi="Arial"/>
                <w:color w:val="000000"/>
              </w:rPr>
              <w:t>25,326</w:t>
            </w:r>
          </w:p>
        </w:tc>
        <w:tc>
          <w:tcPr>
            <w:tcW w:w="1263" w:type="dxa"/>
            <w:tcBorders>
              <w:top w:val="nil"/>
              <w:left w:val="nil"/>
              <w:bottom w:val="single" w:sz="4" w:space="0" w:color="auto"/>
              <w:right w:val="single" w:sz="4" w:space="0" w:color="auto"/>
            </w:tcBorders>
            <w:shd w:val="clear" w:color="auto" w:fill="auto"/>
            <w:noWrap/>
            <w:vAlign w:val="center"/>
            <w:hideMark/>
          </w:tcPr>
          <w:p w:rsidR="00AE23BD" w:rsidRPr="00E34E4D" w:rsidRDefault="00AE23BD" w:rsidP="00AE23BD">
            <w:pPr>
              <w:jc w:val="right"/>
              <w:rPr>
                <w:rFonts w:ascii="Arial" w:hAnsi="Arial" w:cs="Arial"/>
                <w:bCs/>
                <w:color w:val="000000"/>
              </w:rPr>
            </w:pPr>
            <w:r>
              <w:rPr>
                <w:rFonts w:ascii="Arial" w:hAnsi="Arial"/>
                <w:bCs/>
                <w:color w:val="000000"/>
              </w:rPr>
              <w:t>25,963</w:t>
            </w:r>
          </w:p>
        </w:tc>
        <w:tc>
          <w:tcPr>
            <w:tcW w:w="1167" w:type="dxa"/>
            <w:tcBorders>
              <w:top w:val="nil"/>
              <w:left w:val="nil"/>
              <w:bottom w:val="single" w:sz="4" w:space="0" w:color="auto"/>
              <w:right w:val="single" w:sz="4" w:space="0" w:color="auto"/>
            </w:tcBorders>
            <w:shd w:val="clear" w:color="auto" w:fill="auto"/>
            <w:noWrap/>
            <w:vAlign w:val="center"/>
            <w:hideMark/>
          </w:tcPr>
          <w:p w:rsidR="00AE23BD" w:rsidRPr="00E34E4D" w:rsidRDefault="00843942" w:rsidP="00AE23BD">
            <w:pPr>
              <w:jc w:val="right"/>
              <w:rPr>
                <w:rFonts w:ascii="Arial" w:hAnsi="Arial" w:cs="Arial"/>
                <w:color w:val="000000"/>
              </w:rPr>
            </w:pPr>
            <w:r>
              <w:rPr>
                <w:rFonts w:ascii="Arial" w:hAnsi="Arial"/>
                <w:b/>
                <w:bCs/>
                <w:color w:val="000000"/>
              </w:rPr>
              <w:t>▼</w:t>
            </w:r>
            <w:r>
              <w:rPr>
                <w:rFonts w:ascii="Arial" w:hAnsi="Arial"/>
                <w:color w:val="000000"/>
              </w:rPr>
              <w:t>2.45%</w:t>
            </w:r>
          </w:p>
        </w:tc>
      </w:tr>
      <w:tr w:rsidR="00AE23BD" w:rsidRPr="00D948FA" w:rsidTr="0027205E">
        <w:trPr>
          <w:trHeight w:val="301"/>
          <w:jc w:val="center"/>
        </w:trPr>
        <w:tc>
          <w:tcPr>
            <w:tcW w:w="989" w:type="dxa"/>
            <w:tcBorders>
              <w:top w:val="nil"/>
              <w:left w:val="single" w:sz="4" w:space="0" w:color="auto"/>
              <w:bottom w:val="single" w:sz="4" w:space="0" w:color="auto"/>
              <w:right w:val="single" w:sz="4" w:space="0" w:color="auto"/>
            </w:tcBorders>
            <w:shd w:val="clear" w:color="000000" w:fill="D9E1F2"/>
            <w:noWrap/>
            <w:vAlign w:val="center"/>
            <w:hideMark/>
          </w:tcPr>
          <w:p w:rsidR="00AE23BD" w:rsidRPr="00AE23BD" w:rsidRDefault="00AE23BD" w:rsidP="00AE23BD">
            <w:pPr>
              <w:jc w:val="right"/>
              <w:rPr>
                <w:rFonts w:ascii="Arial" w:hAnsi="Arial" w:cs="Arial"/>
                <w:b/>
                <w:bCs/>
                <w:color w:val="000000"/>
              </w:rPr>
            </w:pPr>
            <w:r>
              <w:rPr>
                <w:rFonts w:ascii="Arial" w:hAnsi="Arial"/>
                <w:b/>
                <w:bCs/>
                <w:color w:val="000000"/>
              </w:rPr>
              <w:t>176,722</w:t>
            </w:r>
          </w:p>
        </w:tc>
        <w:tc>
          <w:tcPr>
            <w:tcW w:w="979" w:type="dxa"/>
            <w:tcBorders>
              <w:top w:val="nil"/>
              <w:left w:val="nil"/>
              <w:bottom w:val="single" w:sz="4" w:space="0" w:color="auto"/>
              <w:right w:val="single" w:sz="4" w:space="0" w:color="auto"/>
            </w:tcBorders>
            <w:shd w:val="clear" w:color="000000" w:fill="D9E1F2"/>
            <w:noWrap/>
            <w:vAlign w:val="center"/>
            <w:hideMark/>
          </w:tcPr>
          <w:p w:rsidR="00AE23BD" w:rsidRPr="00AE23BD" w:rsidRDefault="00AE23BD" w:rsidP="00AE23BD">
            <w:pPr>
              <w:jc w:val="right"/>
              <w:rPr>
                <w:rFonts w:ascii="Arial" w:hAnsi="Arial" w:cs="Arial"/>
                <w:b/>
                <w:bCs/>
                <w:color w:val="000000"/>
              </w:rPr>
            </w:pPr>
            <w:r>
              <w:rPr>
                <w:rFonts w:ascii="Arial" w:hAnsi="Arial"/>
                <w:b/>
                <w:bCs/>
                <w:color w:val="000000"/>
              </w:rPr>
              <w:t>173,039</w:t>
            </w:r>
          </w:p>
        </w:tc>
        <w:tc>
          <w:tcPr>
            <w:tcW w:w="1204" w:type="dxa"/>
            <w:tcBorders>
              <w:top w:val="nil"/>
              <w:left w:val="nil"/>
              <w:bottom w:val="single" w:sz="4" w:space="0" w:color="auto"/>
              <w:right w:val="single" w:sz="4" w:space="0" w:color="auto"/>
            </w:tcBorders>
            <w:shd w:val="clear" w:color="000000" w:fill="DDEBF7"/>
            <w:noWrap/>
            <w:vAlign w:val="center"/>
            <w:hideMark/>
          </w:tcPr>
          <w:p w:rsidR="00AE23BD" w:rsidRPr="00AE23BD" w:rsidRDefault="00554E9A" w:rsidP="00AE23BD">
            <w:pPr>
              <w:jc w:val="right"/>
              <w:rPr>
                <w:rFonts w:ascii="Arial" w:hAnsi="Arial" w:cs="Arial"/>
                <w:b/>
                <w:bCs/>
                <w:color w:val="000000"/>
              </w:rPr>
            </w:pPr>
            <w:r>
              <w:rPr>
                <w:rFonts w:ascii="Arial" w:hAnsi="Arial"/>
                <w:b/>
                <w:bCs/>
                <w:color w:val="000000"/>
              </w:rPr>
              <w:t>▲2.13%</w:t>
            </w:r>
          </w:p>
        </w:tc>
        <w:tc>
          <w:tcPr>
            <w:tcW w:w="2777" w:type="dxa"/>
            <w:tcBorders>
              <w:top w:val="nil"/>
              <w:left w:val="nil"/>
              <w:bottom w:val="single" w:sz="4" w:space="0" w:color="auto"/>
              <w:right w:val="single" w:sz="4" w:space="0" w:color="auto"/>
            </w:tcBorders>
            <w:shd w:val="clear" w:color="000000" w:fill="DEEAF6"/>
            <w:vAlign w:val="center"/>
            <w:hideMark/>
          </w:tcPr>
          <w:p w:rsidR="00AE23BD" w:rsidRPr="00D948FA" w:rsidRDefault="00AE23BD" w:rsidP="00AE23BD">
            <w:pPr>
              <w:widowControl/>
              <w:autoSpaceDE/>
              <w:autoSpaceDN/>
              <w:adjustRightInd/>
              <w:rPr>
                <w:rFonts w:ascii="Arial" w:hAnsi="Arial" w:cs="Arial"/>
                <w:b/>
                <w:bCs/>
                <w:color w:val="000000"/>
              </w:rPr>
            </w:pPr>
            <w:r>
              <w:rPr>
                <w:rFonts w:ascii="Arial" w:hAnsi="Arial"/>
                <w:b/>
                <w:bCs/>
                <w:color w:val="000000"/>
              </w:rPr>
              <w:t>Total operating expenses</w:t>
            </w:r>
          </w:p>
        </w:tc>
        <w:tc>
          <w:tcPr>
            <w:tcW w:w="1246" w:type="dxa"/>
            <w:tcBorders>
              <w:top w:val="nil"/>
              <w:left w:val="nil"/>
              <w:bottom w:val="single" w:sz="4" w:space="0" w:color="auto"/>
              <w:right w:val="single" w:sz="4" w:space="0" w:color="auto"/>
            </w:tcBorders>
            <w:shd w:val="clear" w:color="000000" w:fill="D9E1F2"/>
            <w:noWrap/>
            <w:vAlign w:val="center"/>
            <w:hideMark/>
          </w:tcPr>
          <w:p w:rsidR="00AE23BD" w:rsidRPr="00AE23BD" w:rsidRDefault="00AE23BD" w:rsidP="00AE23BD">
            <w:pPr>
              <w:jc w:val="right"/>
              <w:rPr>
                <w:rFonts w:ascii="Arial" w:hAnsi="Arial" w:cs="Arial"/>
                <w:b/>
                <w:bCs/>
                <w:color w:val="000000"/>
              </w:rPr>
            </w:pPr>
            <w:r>
              <w:rPr>
                <w:rFonts w:ascii="Arial" w:hAnsi="Arial"/>
                <w:b/>
                <w:bCs/>
                <w:color w:val="000000"/>
              </w:rPr>
              <w:t>176,722</w:t>
            </w:r>
          </w:p>
        </w:tc>
        <w:tc>
          <w:tcPr>
            <w:tcW w:w="1263" w:type="dxa"/>
            <w:tcBorders>
              <w:top w:val="nil"/>
              <w:left w:val="nil"/>
              <w:bottom w:val="single" w:sz="4" w:space="0" w:color="auto"/>
              <w:right w:val="single" w:sz="4" w:space="0" w:color="auto"/>
            </w:tcBorders>
            <w:shd w:val="clear" w:color="000000" w:fill="D9E1F2"/>
            <w:noWrap/>
            <w:vAlign w:val="center"/>
            <w:hideMark/>
          </w:tcPr>
          <w:p w:rsidR="00AE23BD" w:rsidRPr="00AE23BD" w:rsidRDefault="00AE23BD">
            <w:pPr>
              <w:jc w:val="right"/>
              <w:rPr>
                <w:rFonts w:ascii="Arial" w:hAnsi="Arial" w:cs="Arial"/>
                <w:b/>
                <w:bCs/>
                <w:color w:val="000000"/>
              </w:rPr>
            </w:pPr>
            <w:r>
              <w:rPr>
                <w:rFonts w:ascii="Arial" w:hAnsi="Arial"/>
                <w:b/>
                <w:bCs/>
                <w:color w:val="000000"/>
              </w:rPr>
              <w:t>162,175</w:t>
            </w:r>
          </w:p>
        </w:tc>
        <w:tc>
          <w:tcPr>
            <w:tcW w:w="1167" w:type="dxa"/>
            <w:tcBorders>
              <w:top w:val="nil"/>
              <w:left w:val="nil"/>
              <w:bottom w:val="single" w:sz="4" w:space="0" w:color="auto"/>
              <w:right w:val="single" w:sz="4" w:space="0" w:color="auto"/>
            </w:tcBorders>
            <w:shd w:val="clear" w:color="000000" w:fill="DEEAF6"/>
            <w:noWrap/>
            <w:vAlign w:val="center"/>
            <w:hideMark/>
          </w:tcPr>
          <w:p w:rsidR="00AE23BD" w:rsidRPr="00AE23BD" w:rsidRDefault="00554E9A" w:rsidP="00AE23BD">
            <w:pPr>
              <w:jc w:val="right"/>
              <w:rPr>
                <w:rFonts w:ascii="Arial" w:hAnsi="Arial" w:cs="Arial"/>
                <w:b/>
                <w:bCs/>
                <w:color w:val="000000"/>
              </w:rPr>
            </w:pPr>
            <w:r>
              <w:rPr>
                <w:rFonts w:ascii="Arial" w:hAnsi="Arial"/>
                <w:b/>
                <w:bCs/>
                <w:color w:val="000000"/>
              </w:rPr>
              <w:t>▲8.97%</w:t>
            </w:r>
          </w:p>
        </w:tc>
      </w:tr>
    </w:tbl>
    <w:p w:rsidR="00F43345" w:rsidRDefault="00F43345" w:rsidP="00BD7A1D">
      <w:pPr>
        <w:spacing w:line="276" w:lineRule="auto"/>
        <w:jc w:val="center"/>
        <w:rPr>
          <w:rFonts w:ascii="Arial" w:hAnsi="Arial" w:cs="Arial"/>
          <w:sz w:val="16"/>
          <w:szCs w:val="16"/>
        </w:rPr>
      </w:pPr>
    </w:p>
    <w:p w:rsidR="00BD7A1D" w:rsidRPr="00F43345" w:rsidRDefault="00BD7A1D" w:rsidP="00BD7A1D">
      <w:pPr>
        <w:spacing w:line="276" w:lineRule="auto"/>
        <w:jc w:val="center"/>
        <w:rPr>
          <w:rFonts w:ascii="Arial" w:hAnsi="Arial" w:cs="Arial"/>
          <w:sz w:val="16"/>
          <w:szCs w:val="16"/>
        </w:rPr>
      </w:pPr>
      <w:r>
        <w:rPr>
          <w:rFonts w:ascii="Arial" w:hAnsi="Arial"/>
          <w:sz w:val="16"/>
          <w:szCs w:val="16"/>
        </w:rPr>
        <w:lastRenderedPageBreak/>
        <w:t>Table 13 - Statement of the operating expenses</w:t>
      </w:r>
    </w:p>
    <w:p w:rsidR="00BD7A1D" w:rsidRPr="00BD7A1D" w:rsidRDefault="00BD7A1D" w:rsidP="00BD7A1D">
      <w:pPr>
        <w:spacing w:line="276" w:lineRule="auto"/>
        <w:jc w:val="center"/>
        <w:rPr>
          <w:rFonts w:ascii="Arial" w:hAnsi="Arial" w:cs="Arial"/>
          <w:i/>
          <w:sz w:val="18"/>
          <w:szCs w:val="18"/>
        </w:rPr>
      </w:pPr>
    </w:p>
    <w:p w:rsidR="00584ADC" w:rsidRDefault="00584ADC" w:rsidP="000360F8">
      <w:pPr>
        <w:spacing w:line="276" w:lineRule="auto"/>
        <w:jc w:val="both"/>
        <w:rPr>
          <w:rFonts w:ascii="Arial" w:hAnsi="Arial" w:cs="Arial"/>
          <w:sz w:val="22"/>
          <w:szCs w:val="22"/>
        </w:rPr>
      </w:pPr>
    </w:p>
    <w:p w:rsidR="00F43345" w:rsidRDefault="00D948FA" w:rsidP="000360F8">
      <w:pPr>
        <w:spacing w:line="276" w:lineRule="auto"/>
        <w:jc w:val="both"/>
        <w:rPr>
          <w:rFonts w:ascii="Arial" w:hAnsi="Arial" w:cs="Arial"/>
          <w:sz w:val="22"/>
          <w:szCs w:val="22"/>
        </w:rPr>
      </w:pPr>
      <w:r>
        <w:rPr>
          <w:rFonts w:ascii="Arial" w:hAnsi="Arial"/>
          <w:sz w:val="22"/>
          <w:szCs w:val="22"/>
        </w:rPr>
        <w:t xml:space="preserve">In 2018 H1, the operating expenses are in amount of 176,722 thousand RON, registering 8.97% increase as compared to the ones registered in 2017 H1, mainly due to the salary increases and the provision expenses (untaken annual leaves, employees share of profit, rights due to the employees upon retirement) </w:t>
      </w:r>
      <w:proofErr w:type="gramStart"/>
      <w:r>
        <w:rPr>
          <w:rFonts w:ascii="Arial" w:hAnsi="Arial"/>
          <w:sz w:val="22"/>
          <w:szCs w:val="22"/>
        </w:rPr>
        <w:t>registered  in</w:t>
      </w:r>
      <w:proofErr w:type="gramEnd"/>
      <w:r>
        <w:rPr>
          <w:rFonts w:ascii="Arial" w:hAnsi="Arial"/>
          <w:sz w:val="22"/>
          <w:szCs w:val="22"/>
        </w:rPr>
        <w:t xml:space="preserve"> 2018 H1.</w:t>
      </w:r>
    </w:p>
    <w:p w:rsidR="00F30E3A" w:rsidRDefault="00F30E3A" w:rsidP="000360F8">
      <w:pPr>
        <w:spacing w:line="276" w:lineRule="auto"/>
        <w:jc w:val="both"/>
        <w:rPr>
          <w:rFonts w:ascii="Arial" w:hAnsi="Arial" w:cs="Arial"/>
          <w:sz w:val="22"/>
          <w:szCs w:val="22"/>
        </w:rPr>
      </w:pPr>
    </w:p>
    <w:p w:rsidR="007624A2" w:rsidRDefault="007624A2" w:rsidP="000360F8">
      <w:pPr>
        <w:spacing w:line="276" w:lineRule="auto"/>
        <w:jc w:val="both"/>
        <w:rPr>
          <w:rFonts w:ascii="Arial" w:hAnsi="Arial" w:cs="Arial"/>
          <w:sz w:val="22"/>
          <w:szCs w:val="22"/>
        </w:rPr>
      </w:pPr>
      <w:r>
        <w:rPr>
          <w:rFonts w:ascii="Arial" w:hAnsi="Arial"/>
          <w:sz w:val="22"/>
          <w:szCs w:val="22"/>
        </w:rPr>
        <w:t>Have been registered economies with expenses as compared to the budget provisions, as follows:</w:t>
      </w:r>
    </w:p>
    <w:p w:rsidR="00D632D0" w:rsidRPr="00D632D0" w:rsidRDefault="00D632D0" w:rsidP="00585384">
      <w:pPr>
        <w:pStyle w:val="ListParagraph"/>
        <w:numPr>
          <w:ilvl w:val="0"/>
          <w:numId w:val="3"/>
        </w:numPr>
        <w:jc w:val="both"/>
        <w:rPr>
          <w:rFonts w:ascii="Arial" w:hAnsi="Arial" w:cs="Arial"/>
        </w:rPr>
      </w:pPr>
      <w:r>
        <w:rPr>
          <w:rFonts w:ascii="Arial" w:hAnsi="Arial"/>
        </w:rPr>
        <w:t>Expenses related to external services 1,937 thousand RON (3.82%);</w:t>
      </w:r>
    </w:p>
    <w:p w:rsidR="006E5E16" w:rsidRPr="00585384" w:rsidRDefault="006E5E16" w:rsidP="00585384">
      <w:pPr>
        <w:pStyle w:val="ListParagraph"/>
        <w:numPr>
          <w:ilvl w:val="0"/>
          <w:numId w:val="3"/>
        </w:numPr>
        <w:jc w:val="both"/>
        <w:rPr>
          <w:rFonts w:ascii="Arial" w:hAnsi="Arial" w:cs="Arial"/>
        </w:rPr>
      </w:pPr>
      <w:r>
        <w:rPr>
          <w:rFonts w:ascii="Arial" w:hAnsi="Arial"/>
        </w:rPr>
        <w:t>Personnel expenses 1,636 thousand RON (2.42%);</w:t>
      </w:r>
    </w:p>
    <w:p w:rsidR="006E5E16" w:rsidRDefault="006E5E16" w:rsidP="00585384">
      <w:pPr>
        <w:pStyle w:val="ListParagraph"/>
        <w:numPr>
          <w:ilvl w:val="0"/>
          <w:numId w:val="3"/>
        </w:numPr>
        <w:jc w:val="both"/>
        <w:rPr>
          <w:rFonts w:ascii="Arial" w:hAnsi="Arial" w:cs="Arial"/>
        </w:rPr>
      </w:pPr>
      <w:r>
        <w:rPr>
          <w:rFonts w:ascii="Arial" w:hAnsi="Arial"/>
        </w:rPr>
        <w:t>material expenses: 399 thousand RON (10.86%);</w:t>
      </w:r>
    </w:p>
    <w:p w:rsidR="00D632D0" w:rsidRDefault="00D632D0" w:rsidP="00585384">
      <w:pPr>
        <w:pStyle w:val="ListParagraph"/>
        <w:numPr>
          <w:ilvl w:val="0"/>
          <w:numId w:val="3"/>
        </w:numPr>
        <w:jc w:val="both"/>
        <w:rPr>
          <w:rFonts w:ascii="Arial" w:hAnsi="Arial" w:cs="Arial"/>
        </w:rPr>
      </w:pPr>
      <w:r>
        <w:rPr>
          <w:rFonts w:ascii="Arial" w:hAnsi="Arial"/>
        </w:rPr>
        <w:t>Expenses with energy and water 108 thousand RON (1.78%).</w:t>
      </w:r>
    </w:p>
    <w:p w:rsidR="004F64D2" w:rsidRPr="001D750A" w:rsidRDefault="004F64D2" w:rsidP="00FE1B45">
      <w:pPr>
        <w:spacing w:line="276" w:lineRule="auto"/>
        <w:jc w:val="both"/>
        <w:rPr>
          <w:rFonts w:ascii="Arial" w:hAnsi="Arial" w:cs="Arial"/>
          <w:sz w:val="22"/>
          <w:szCs w:val="22"/>
        </w:rPr>
      </w:pPr>
      <w:proofErr w:type="gramStart"/>
      <w:r>
        <w:rPr>
          <w:rFonts w:ascii="Arial" w:hAnsi="Arial"/>
          <w:sz w:val="22"/>
          <w:szCs w:val="22"/>
        </w:rPr>
        <w:t>The operating costs</w:t>
      </w:r>
      <w:r>
        <w:rPr>
          <w:rFonts w:ascii="Arial" w:hAnsi="Arial"/>
          <w:b/>
          <w:bCs/>
          <w:sz w:val="22"/>
          <w:szCs w:val="22"/>
        </w:rPr>
        <w:t xml:space="preserve"> </w:t>
      </w:r>
      <w:r>
        <w:rPr>
          <w:rFonts w:ascii="Arial" w:hAnsi="Arial"/>
          <w:sz w:val="22"/>
          <w:szCs w:val="22"/>
        </w:rPr>
        <w:t xml:space="preserve"> registered with the operation of the two transport subsystems (domestic and import) in 2018 H1 increased by 6.16% as compared to 2017 and are generated by the influence of certain factors, such as: price rise in electricity and gas, increase of the personnel expenses following the negotiation of a new collective labor agreement and the increase of the gross minimum wage.</w:t>
      </w:r>
      <w:proofErr w:type="gramEnd"/>
      <w:r>
        <w:rPr>
          <w:rFonts w:ascii="Arial" w:hAnsi="Arial"/>
          <w:sz w:val="22"/>
          <w:szCs w:val="22"/>
        </w:rPr>
        <w:t xml:space="preserve"> </w:t>
      </w:r>
    </w:p>
    <w:p w:rsidR="00A72106" w:rsidRPr="001F4E79" w:rsidRDefault="00A72106" w:rsidP="00A72106">
      <w:pPr>
        <w:jc w:val="right"/>
        <w:rPr>
          <w:rFonts w:ascii="Arial" w:hAnsi="Arial" w:cs="Arial"/>
          <w:noProof/>
        </w:rPr>
      </w:pPr>
    </w:p>
    <w:p w:rsidR="00A72106" w:rsidRDefault="00A72106" w:rsidP="00A72106">
      <w:pPr>
        <w:jc w:val="both"/>
        <w:rPr>
          <w:rFonts w:ascii="Arial" w:hAnsi="Arial" w:cs="Arial"/>
          <w:noProof/>
          <w:sz w:val="22"/>
          <w:szCs w:val="22"/>
        </w:rPr>
      </w:pPr>
      <w:r>
        <w:rPr>
          <w:rFonts w:ascii="Arial" w:hAnsi="Arial"/>
          <w:sz w:val="22"/>
          <w:szCs w:val="22"/>
        </w:rPr>
        <w:t xml:space="preserve">The profit related to the transport activity on the domestic sub-system lowered by 7,475 thousand RON, mainly due to the increase of the personnel expenses (6,402 thousand RON). </w:t>
      </w:r>
    </w:p>
    <w:p w:rsidR="00A72106" w:rsidRDefault="00A72106" w:rsidP="00A72106">
      <w:pPr>
        <w:jc w:val="both"/>
        <w:rPr>
          <w:rFonts w:ascii="Arial" w:hAnsi="Arial" w:cs="Arial"/>
          <w:noProof/>
          <w:sz w:val="22"/>
          <w:szCs w:val="22"/>
        </w:rPr>
      </w:pPr>
    </w:p>
    <w:p w:rsidR="00A72106" w:rsidRDefault="00A72106" w:rsidP="00A72106">
      <w:pPr>
        <w:jc w:val="both"/>
        <w:rPr>
          <w:rFonts w:ascii="Arial" w:hAnsi="Arial" w:cs="Arial"/>
          <w:noProof/>
          <w:sz w:val="22"/>
          <w:szCs w:val="22"/>
        </w:rPr>
      </w:pPr>
      <w:r>
        <w:rPr>
          <w:rFonts w:ascii="Arial" w:hAnsi="Arial"/>
          <w:sz w:val="22"/>
          <w:szCs w:val="22"/>
        </w:rPr>
        <w:t xml:space="preserve">From the transport on the import subsystem during January-June 2018, resulted a profit by </w:t>
      </w:r>
      <w:proofErr w:type="gramStart"/>
      <w:r>
        <w:rPr>
          <w:rFonts w:ascii="Arial" w:hAnsi="Arial"/>
          <w:sz w:val="22"/>
          <w:szCs w:val="22"/>
        </w:rPr>
        <w:t>3,788  thousand</w:t>
      </w:r>
      <w:proofErr w:type="gramEnd"/>
      <w:r>
        <w:rPr>
          <w:rFonts w:ascii="Arial" w:hAnsi="Arial"/>
          <w:sz w:val="22"/>
          <w:szCs w:val="22"/>
        </w:rPr>
        <w:t xml:space="preserve"> RON lower YoY, especially due to the decrease in transport revenues (1,913 thousand RON) and the increase of the personnel expenses (1,658 thousand RON).</w:t>
      </w:r>
    </w:p>
    <w:p w:rsidR="00D55F85" w:rsidRPr="00A72106" w:rsidRDefault="00D55F85" w:rsidP="00A72106">
      <w:pPr>
        <w:jc w:val="both"/>
        <w:rPr>
          <w:rFonts w:ascii="Arial" w:hAnsi="Arial" w:cs="Arial"/>
          <w:noProof/>
          <w:sz w:val="22"/>
          <w:szCs w:val="22"/>
        </w:rPr>
      </w:pPr>
    </w:p>
    <w:p w:rsidR="004E6FD5" w:rsidRDefault="004F64D2" w:rsidP="000360F8">
      <w:pPr>
        <w:spacing w:line="276" w:lineRule="auto"/>
        <w:jc w:val="both"/>
        <w:rPr>
          <w:rFonts w:ascii="Arial" w:hAnsi="Arial" w:cs="Arial"/>
          <w:color w:val="000000" w:themeColor="text1"/>
          <w:sz w:val="22"/>
          <w:szCs w:val="22"/>
        </w:rPr>
      </w:pPr>
      <w:r>
        <w:rPr>
          <w:rFonts w:ascii="Arial" w:hAnsi="Arial"/>
          <w:color w:val="000000" w:themeColor="text1"/>
          <w:sz w:val="22"/>
          <w:szCs w:val="22"/>
        </w:rPr>
        <w:t>The profitability of the transport subsystems is as follows:</w:t>
      </w:r>
    </w:p>
    <w:p w:rsidR="004779A2" w:rsidRDefault="004E5B77" w:rsidP="00501B00">
      <w:pPr>
        <w:spacing w:line="276" w:lineRule="auto"/>
        <w:jc w:val="center"/>
        <w:rPr>
          <w:rFonts w:ascii="Arial" w:hAnsi="Arial" w:cs="Arial"/>
          <w:color w:val="000000" w:themeColor="text1"/>
          <w:sz w:val="22"/>
          <w:szCs w:val="22"/>
        </w:rPr>
      </w:pPr>
      <w:r>
        <w:rPr>
          <w:noProof/>
          <w:lang w:eastAsia="en-US"/>
        </w:rPr>
        <w:drawing>
          <wp:inline distT="0" distB="0" distL="0" distR="0" wp14:anchorId="2B26428A" wp14:editId="06F1F341">
            <wp:extent cx="5935345" cy="394398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5345" cy="3943985"/>
                    </a:xfrm>
                    <a:prstGeom prst="rect">
                      <a:avLst/>
                    </a:prstGeom>
                  </pic:spPr>
                </pic:pic>
              </a:graphicData>
            </a:graphic>
          </wp:inline>
        </w:drawing>
      </w:r>
    </w:p>
    <w:p w:rsidR="008A64D6" w:rsidRDefault="008A64D6" w:rsidP="008A64D6">
      <w:pPr>
        <w:spacing w:line="276" w:lineRule="auto"/>
        <w:jc w:val="center"/>
        <w:rPr>
          <w:rFonts w:ascii="Arial" w:hAnsi="Arial" w:cs="Arial"/>
          <w:sz w:val="16"/>
          <w:szCs w:val="16"/>
        </w:rPr>
      </w:pPr>
      <w:r>
        <w:rPr>
          <w:rFonts w:ascii="Arial" w:hAnsi="Arial"/>
          <w:sz w:val="16"/>
          <w:szCs w:val="16"/>
        </w:rPr>
        <w:lastRenderedPageBreak/>
        <w:t>Chart 13 - Profitability of the transport subsystems</w:t>
      </w:r>
    </w:p>
    <w:p w:rsidR="00F43345" w:rsidRPr="00F43345" w:rsidRDefault="00F43345" w:rsidP="008A64D6">
      <w:pPr>
        <w:spacing w:line="276" w:lineRule="auto"/>
        <w:jc w:val="center"/>
        <w:rPr>
          <w:rFonts w:ascii="Arial" w:hAnsi="Arial" w:cs="Arial"/>
          <w:sz w:val="16"/>
          <w:szCs w:val="16"/>
        </w:rPr>
      </w:pPr>
    </w:p>
    <w:p w:rsidR="00584ADC" w:rsidRDefault="00584ADC" w:rsidP="007D26EA">
      <w:pPr>
        <w:widowControl/>
        <w:autoSpaceDE/>
        <w:autoSpaceDN/>
        <w:adjustRightInd/>
        <w:spacing w:line="276" w:lineRule="auto"/>
        <w:ind w:right="-29"/>
        <w:jc w:val="both"/>
        <w:rPr>
          <w:rFonts w:ascii="Arial" w:hAnsi="Arial" w:cs="Arial"/>
          <w:sz w:val="22"/>
          <w:szCs w:val="22"/>
          <w:lang w:eastAsia="en-US"/>
        </w:rPr>
      </w:pPr>
    </w:p>
    <w:p w:rsidR="001A4B8B" w:rsidRPr="007D26EA" w:rsidRDefault="001A4B8B" w:rsidP="007D26EA">
      <w:pPr>
        <w:widowControl/>
        <w:autoSpaceDE/>
        <w:autoSpaceDN/>
        <w:adjustRightInd/>
        <w:spacing w:line="276" w:lineRule="auto"/>
        <w:ind w:right="-29"/>
        <w:jc w:val="both"/>
        <w:rPr>
          <w:rFonts w:ascii="Arial" w:hAnsi="Arial" w:cs="Arial"/>
          <w:sz w:val="22"/>
          <w:szCs w:val="22"/>
        </w:rPr>
      </w:pPr>
      <w:r>
        <w:rPr>
          <w:rFonts w:ascii="Arial" w:hAnsi="Arial"/>
          <w:sz w:val="22"/>
          <w:szCs w:val="22"/>
        </w:rPr>
        <w:t>The operating profit (EBIT) decreased during January - June 2018 by 611 thousand RON as compared to the budget provisions and the net profit increased by 1,105 thousand RON.</w:t>
      </w:r>
    </w:p>
    <w:p w:rsidR="00F551C2" w:rsidRPr="007D26EA" w:rsidRDefault="00F551C2" w:rsidP="007D26EA">
      <w:pPr>
        <w:widowControl/>
        <w:autoSpaceDE/>
        <w:autoSpaceDN/>
        <w:adjustRightInd/>
        <w:spacing w:line="276" w:lineRule="auto"/>
        <w:ind w:right="-29"/>
        <w:jc w:val="both"/>
        <w:rPr>
          <w:rFonts w:ascii="Arial" w:hAnsi="Arial" w:cs="Arial"/>
          <w:sz w:val="22"/>
          <w:szCs w:val="22"/>
          <w:lang w:eastAsia="en-US"/>
        </w:rPr>
      </w:pPr>
    </w:p>
    <w:p w:rsidR="003A798C" w:rsidRPr="007D26EA" w:rsidRDefault="00F551C2" w:rsidP="007D26EA">
      <w:pPr>
        <w:widowControl/>
        <w:autoSpaceDE/>
        <w:autoSpaceDN/>
        <w:adjustRightInd/>
        <w:spacing w:line="276" w:lineRule="auto"/>
        <w:ind w:right="-29"/>
        <w:jc w:val="both"/>
        <w:rPr>
          <w:rFonts w:ascii="Arial" w:hAnsi="Arial" w:cs="Arial"/>
          <w:sz w:val="22"/>
          <w:szCs w:val="22"/>
        </w:rPr>
      </w:pPr>
      <w:r>
        <w:rPr>
          <w:rFonts w:ascii="Arial" w:hAnsi="Arial"/>
          <w:sz w:val="22"/>
          <w:szCs w:val="22"/>
        </w:rPr>
        <w:t>As compared to 2017 H1, the operating profit (EBIT</w:t>
      </w:r>
      <w:proofErr w:type="gramStart"/>
      <w:r>
        <w:rPr>
          <w:rFonts w:ascii="Arial" w:hAnsi="Arial"/>
          <w:sz w:val="22"/>
          <w:szCs w:val="22"/>
        </w:rPr>
        <w:t>)  registered</w:t>
      </w:r>
      <w:proofErr w:type="gramEnd"/>
      <w:r>
        <w:rPr>
          <w:rFonts w:ascii="Arial" w:hAnsi="Arial"/>
          <w:sz w:val="22"/>
          <w:szCs w:val="22"/>
        </w:rPr>
        <w:t xml:space="preserve"> a decrease by 42.48%  (from 40,428 thousand RON to 23,255 thousand RON in semester  I 2018).</w:t>
      </w:r>
    </w:p>
    <w:p w:rsidR="00F551C2" w:rsidRPr="007D26EA" w:rsidRDefault="00F551C2" w:rsidP="007D26EA">
      <w:pPr>
        <w:widowControl/>
        <w:autoSpaceDE/>
        <w:autoSpaceDN/>
        <w:adjustRightInd/>
        <w:spacing w:line="276" w:lineRule="auto"/>
        <w:ind w:right="-29"/>
        <w:jc w:val="both"/>
        <w:rPr>
          <w:rFonts w:ascii="Arial" w:hAnsi="Arial" w:cs="Arial"/>
          <w:sz w:val="22"/>
          <w:szCs w:val="22"/>
        </w:rPr>
      </w:pPr>
      <w:r>
        <w:rPr>
          <w:rFonts w:ascii="Arial" w:hAnsi="Arial"/>
          <w:sz w:val="22"/>
          <w:szCs w:val="22"/>
        </w:rPr>
        <w:t>The net profit registered a decrease by 39.54% as compare</w:t>
      </w:r>
      <w:r w:rsidR="004E5B77">
        <w:rPr>
          <w:rFonts w:ascii="Arial" w:hAnsi="Arial"/>
          <w:sz w:val="22"/>
          <w:szCs w:val="22"/>
        </w:rPr>
        <w:t>d</w:t>
      </w:r>
      <w:r>
        <w:rPr>
          <w:rFonts w:ascii="Arial" w:hAnsi="Arial"/>
          <w:sz w:val="22"/>
          <w:szCs w:val="22"/>
        </w:rPr>
        <w:t xml:space="preserve"> to 2017 </w:t>
      </w:r>
      <w:proofErr w:type="gramStart"/>
      <w:r>
        <w:rPr>
          <w:rFonts w:ascii="Arial" w:hAnsi="Arial"/>
          <w:sz w:val="22"/>
          <w:szCs w:val="22"/>
        </w:rPr>
        <w:t>H1(</w:t>
      </w:r>
      <w:proofErr w:type="gramEnd"/>
      <w:r>
        <w:rPr>
          <w:rFonts w:ascii="Arial" w:hAnsi="Arial"/>
          <w:sz w:val="22"/>
          <w:szCs w:val="22"/>
        </w:rPr>
        <w:t xml:space="preserve"> from 35,767 thousand RON to 21,626 thousand RON in semester I 2018). </w:t>
      </w:r>
    </w:p>
    <w:p w:rsidR="00F551C2" w:rsidRDefault="00F551C2" w:rsidP="001A4B8B">
      <w:pPr>
        <w:widowControl/>
        <w:autoSpaceDE/>
        <w:autoSpaceDN/>
        <w:adjustRightInd/>
        <w:spacing w:line="276" w:lineRule="auto"/>
        <w:ind w:right="-29"/>
        <w:jc w:val="both"/>
        <w:rPr>
          <w:rFonts w:ascii="Arial" w:hAnsi="Arial" w:cs="Arial"/>
          <w:sz w:val="22"/>
          <w:szCs w:val="22"/>
          <w:lang w:eastAsia="en-US"/>
        </w:rPr>
      </w:pPr>
    </w:p>
    <w:p w:rsidR="003410BB" w:rsidRPr="00F03458" w:rsidRDefault="004B5C9C" w:rsidP="00D87DA4">
      <w:pPr>
        <w:pStyle w:val="ListParagraph"/>
        <w:numPr>
          <w:ilvl w:val="2"/>
          <w:numId w:val="32"/>
        </w:numPr>
        <w:jc w:val="both"/>
        <w:rPr>
          <w:rFonts w:ascii="Arial" w:hAnsi="Arial" w:cs="Arial"/>
          <w:b/>
          <w:color w:val="1F4E79" w:themeColor="accent1" w:themeShade="80"/>
        </w:rPr>
      </w:pPr>
      <w:r>
        <w:rPr>
          <w:rFonts w:ascii="Arial" w:hAnsi="Arial"/>
          <w:b/>
          <w:color w:val="1F4E79" w:themeColor="accent1" w:themeShade="80"/>
          <w:sz w:val="24"/>
          <w:szCs w:val="24"/>
        </w:rPr>
        <w:t xml:space="preserve">Main Economic-financial Indicators </w:t>
      </w:r>
    </w:p>
    <w:tbl>
      <w:tblPr>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3494"/>
        <w:gridCol w:w="1347"/>
        <w:gridCol w:w="1222"/>
      </w:tblGrid>
      <w:tr w:rsidR="003410BB" w:rsidRPr="003410BB" w:rsidTr="004B16C6">
        <w:trPr>
          <w:trHeight w:val="491"/>
        </w:trPr>
        <w:tc>
          <w:tcPr>
            <w:tcW w:w="3164" w:type="dxa"/>
            <w:shd w:val="clear" w:color="auto" w:fill="DEEAF6" w:themeFill="accent1" w:themeFillTint="33"/>
            <w:vAlign w:val="center"/>
          </w:tcPr>
          <w:p w:rsidR="003410BB" w:rsidRPr="003410BB" w:rsidRDefault="003410BB" w:rsidP="003410BB">
            <w:pPr>
              <w:widowControl/>
              <w:autoSpaceDE/>
              <w:autoSpaceDN/>
              <w:adjustRightInd/>
              <w:spacing w:line="276" w:lineRule="auto"/>
              <w:jc w:val="center"/>
              <w:rPr>
                <w:rFonts w:ascii="Arial" w:hAnsi="Arial" w:cs="Arial"/>
                <w:b/>
                <w:bCs/>
                <w:sz w:val="22"/>
                <w:szCs w:val="22"/>
              </w:rPr>
            </w:pPr>
            <w:r>
              <w:rPr>
                <w:rFonts w:ascii="Arial" w:hAnsi="Arial"/>
                <w:b/>
                <w:bCs/>
                <w:sz w:val="22"/>
                <w:szCs w:val="22"/>
              </w:rPr>
              <w:t>Name of the indicators</w:t>
            </w:r>
          </w:p>
        </w:tc>
        <w:tc>
          <w:tcPr>
            <w:tcW w:w="3494" w:type="dxa"/>
            <w:shd w:val="clear" w:color="auto" w:fill="DEEAF6" w:themeFill="accent1" w:themeFillTint="33"/>
            <w:vAlign w:val="center"/>
          </w:tcPr>
          <w:p w:rsidR="003410BB" w:rsidRPr="003410BB" w:rsidRDefault="003410BB" w:rsidP="003410BB">
            <w:pPr>
              <w:widowControl/>
              <w:autoSpaceDE/>
              <w:autoSpaceDN/>
              <w:adjustRightInd/>
              <w:spacing w:line="276" w:lineRule="auto"/>
              <w:jc w:val="center"/>
              <w:rPr>
                <w:rFonts w:ascii="Arial" w:hAnsi="Arial" w:cs="Arial"/>
                <w:b/>
                <w:bCs/>
                <w:sz w:val="22"/>
                <w:szCs w:val="22"/>
              </w:rPr>
            </w:pPr>
            <w:r>
              <w:rPr>
                <w:rFonts w:ascii="Arial" w:hAnsi="Arial"/>
                <w:b/>
                <w:bCs/>
                <w:sz w:val="22"/>
                <w:szCs w:val="22"/>
              </w:rPr>
              <w:t>Calculation formula</w:t>
            </w:r>
          </w:p>
        </w:tc>
        <w:tc>
          <w:tcPr>
            <w:tcW w:w="1347" w:type="dxa"/>
            <w:shd w:val="clear" w:color="auto" w:fill="DEEAF6" w:themeFill="accent1" w:themeFillTint="33"/>
            <w:vAlign w:val="center"/>
          </w:tcPr>
          <w:p w:rsidR="003410BB" w:rsidRPr="003410BB" w:rsidRDefault="003410BB" w:rsidP="003410BB">
            <w:pPr>
              <w:widowControl/>
              <w:autoSpaceDE/>
              <w:autoSpaceDN/>
              <w:adjustRightInd/>
              <w:spacing w:line="276" w:lineRule="auto"/>
              <w:jc w:val="center"/>
              <w:rPr>
                <w:rFonts w:ascii="Arial" w:hAnsi="Arial" w:cs="Arial"/>
                <w:b/>
                <w:bCs/>
                <w:sz w:val="22"/>
                <w:szCs w:val="22"/>
              </w:rPr>
            </w:pPr>
            <w:r>
              <w:rPr>
                <w:rFonts w:ascii="Arial" w:hAnsi="Arial"/>
                <w:b/>
                <w:bCs/>
                <w:sz w:val="22"/>
                <w:szCs w:val="22"/>
              </w:rPr>
              <w:t>Achieved June 30</w:t>
            </w:r>
          </w:p>
          <w:p w:rsidR="003410BB" w:rsidRPr="003410BB" w:rsidRDefault="003410BB" w:rsidP="003410BB">
            <w:pPr>
              <w:widowControl/>
              <w:autoSpaceDE/>
              <w:autoSpaceDN/>
              <w:adjustRightInd/>
              <w:spacing w:line="276" w:lineRule="auto"/>
              <w:jc w:val="center"/>
              <w:rPr>
                <w:rFonts w:ascii="Arial" w:hAnsi="Arial" w:cs="Arial"/>
                <w:b/>
                <w:bCs/>
                <w:sz w:val="22"/>
                <w:szCs w:val="22"/>
              </w:rPr>
            </w:pPr>
            <w:r>
              <w:rPr>
                <w:rFonts w:ascii="Arial" w:hAnsi="Arial"/>
                <w:b/>
                <w:bCs/>
                <w:sz w:val="22"/>
                <w:szCs w:val="22"/>
              </w:rPr>
              <w:t>2018</w:t>
            </w:r>
          </w:p>
        </w:tc>
        <w:tc>
          <w:tcPr>
            <w:tcW w:w="1222" w:type="dxa"/>
            <w:shd w:val="clear" w:color="auto" w:fill="DEEAF6" w:themeFill="accent1" w:themeFillTint="33"/>
            <w:vAlign w:val="center"/>
          </w:tcPr>
          <w:p w:rsidR="003410BB" w:rsidRPr="003410BB" w:rsidRDefault="003410BB" w:rsidP="003410BB">
            <w:pPr>
              <w:widowControl/>
              <w:autoSpaceDE/>
              <w:autoSpaceDN/>
              <w:adjustRightInd/>
              <w:spacing w:line="276" w:lineRule="auto"/>
              <w:jc w:val="center"/>
              <w:rPr>
                <w:rFonts w:ascii="Arial" w:hAnsi="Arial" w:cs="Arial"/>
                <w:b/>
                <w:bCs/>
                <w:sz w:val="22"/>
                <w:szCs w:val="22"/>
              </w:rPr>
            </w:pPr>
            <w:r>
              <w:rPr>
                <w:rFonts w:ascii="Arial" w:hAnsi="Arial"/>
                <w:b/>
                <w:bCs/>
                <w:sz w:val="22"/>
                <w:szCs w:val="22"/>
              </w:rPr>
              <w:t>Achieved June 30</w:t>
            </w:r>
          </w:p>
          <w:p w:rsidR="003410BB" w:rsidRPr="003410BB" w:rsidRDefault="003410BB" w:rsidP="003410BB">
            <w:pPr>
              <w:widowControl/>
              <w:autoSpaceDE/>
              <w:autoSpaceDN/>
              <w:adjustRightInd/>
              <w:spacing w:line="276" w:lineRule="auto"/>
              <w:jc w:val="center"/>
              <w:rPr>
                <w:rFonts w:ascii="Arial" w:hAnsi="Arial" w:cs="Arial"/>
                <w:b/>
                <w:bCs/>
                <w:sz w:val="22"/>
                <w:szCs w:val="22"/>
              </w:rPr>
            </w:pPr>
            <w:r>
              <w:rPr>
                <w:rFonts w:ascii="Arial" w:hAnsi="Arial"/>
                <w:b/>
                <w:bCs/>
                <w:sz w:val="22"/>
                <w:szCs w:val="22"/>
              </w:rPr>
              <w:t xml:space="preserve"> 2017</w:t>
            </w:r>
          </w:p>
        </w:tc>
      </w:tr>
      <w:tr w:rsidR="009E16F9" w:rsidRPr="003410BB" w:rsidTr="004B16C6">
        <w:trPr>
          <w:trHeight w:val="477"/>
        </w:trPr>
        <w:tc>
          <w:tcPr>
            <w:tcW w:w="3164" w:type="dxa"/>
            <w:shd w:val="clear" w:color="auto" w:fill="auto"/>
            <w:vAlign w:val="center"/>
          </w:tcPr>
          <w:p w:rsidR="009E16F9" w:rsidRPr="003410BB" w:rsidRDefault="009E16F9" w:rsidP="009E16F9">
            <w:pPr>
              <w:widowControl/>
              <w:autoSpaceDE/>
              <w:autoSpaceDN/>
              <w:adjustRightInd/>
              <w:rPr>
                <w:rFonts w:ascii="Arial" w:hAnsi="Arial" w:cs="Arial"/>
                <w:bCs/>
                <w:sz w:val="22"/>
                <w:szCs w:val="22"/>
              </w:rPr>
            </w:pPr>
            <w:r>
              <w:rPr>
                <w:rFonts w:ascii="Arial" w:hAnsi="Arial"/>
                <w:bCs/>
                <w:sz w:val="22"/>
                <w:szCs w:val="22"/>
              </w:rPr>
              <w:t xml:space="preserve">Current liquidity indicator </w:t>
            </w:r>
          </w:p>
        </w:tc>
        <w:tc>
          <w:tcPr>
            <w:tcW w:w="3494" w:type="dxa"/>
            <w:shd w:val="clear" w:color="auto" w:fill="auto"/>
            <w:vAlign w:val="center"/>
          </w:tcPr>
          <w:p w:rsidR="009E16F9" w:rsidRPr="003410BB" w:rsidRDefault="009E16F9" w:rsidP="009E16F9">
            <w:pPr>
              <w:widowControl/>
              <w:autoSpaceDE/>
              <w:autoSpaceDN/>
              <w:adjustRightInd/>
              <w:rPr>
                <w:rFonts w:ascii="Arial" w:hAnsi="Arial" w:cs="Arial"/>
                <w:sz w:val="22"/>
                <w:szCs w:val="22"/>
              </w:rPr>
            </w:pPr>
            <w:r>
              <w:rPr>
                <w:rFonts w:ascii="Arial" w:hAnsi="Arial"/>
                <w:sz w:val="22"/>
                <w:szCs w:val="22"/>
              </w:rPr>
              <w:t>Current assets/Current Debts</w:t>
            </w:r>
          </w:p>
        </w:tc>
        <w:tc>
          <w:tcPr>
            <w:tcW w:w="1347" w:type="dxa"/>
            <w:shd w:val="clear" w:color="auto" w:fill="auto"/>
            <w:vAlign w:val="center"/>
          </w:tcPr>
          <w:p w:rsidR="009E16F9" w:rsidRDefault="009E16F9" w:rsidP="007D0985">
            <w:pPr>
              <w:widowControl/>
              <w:autoSpaceDE/>
              <w:autoSpaceDN/>
              <w:adjustRightInd/>
              <w:jc w:val="right"/>
              <w:rPr>
                <w:rFonts w:ascii="Arial" w:hAnsi="Arial" w:cs="Arial"/>
                <w:color w:val="000000"/>
                <w:sz w:val="22"/>
                <w:szCs w:val="22"/>
              </w:rPr>
            </w:pPr>
            <w:r>
              <w:rPr>
                <w:rFonts w:ascii="Arial" w:hAnsi="Arial"/>
                <w:color w:val="000000"/>
                <w:sz w:val="22"/>
                <w:szCs w:val="22"/>
              </w:rPr>
              <w:t>3.64</w:t>
            </w:r>
          </w:p>
        </w:tc>
        <w:tc>
          <w:tcPr>
            <w:tcW w:w="1222" w:type="dxa"/>
            <w:shd w:val="clear" w:color="auto" w:fill="auto"/>
            <w:vAlign w:val="center"/>
          </w:tcPr>
          <w:p w:rsidR="009E16F9" w:rsidRDefault="005B70C8" w:rsidP="009E16F9">
            <w:pPr>
              <w:jc w:val="right"/>
              <w:rPr>
                <w:rFonts w:ascii="Arial" w:hAnsi="Arial" w:cs="Arial"/>
                <w:color w:val="000000"/>
                <w:sz w:val="22"/>
                <w:szCs w:val="22"/>
              </w:rPr>
            </w:pPr>
            <w:r>
              <w:rPr>
                <w:rFonts w:ascii="Arial" w:hAnsi="Arial"/>
                <w:color w:val="000000"/>
                <w:sz w:val="22"/>
                <w:szCs w:val="22"/>
              </w:rPr>
              <w:t>4.44</w:t>
            </w:r>
          </w:p>
        </w:tc>
      </w:tr>
      <w:tr w:rsidR="00365745" w:rsidRPr="003410BB" w:rsidTr="004B16C6">
        <w:trPr>
          <w:trHeight w:val="709"/>
        </w:trPr>
        <w:tc>
          <w:tcPr>
            <w:tcW w:w="3164" w:type="dxa"/>
            <w:shd w:val="clear" w:color="auto" w:fill="auto"/>
            <w:vAlign w:val="center"/>
          </w:tcPr>
          <w:p w:rsidR="00365745" w:rsidRPr="003410BB" w:rsidDel="00365745" w:rsidRDefault="00365745" w:rsidP="00365745">
            <w:pPr>
              <w:widowControl/>
              <w:autoSpaceDE/>
              <w:autoSpaceDN/>
              <w:adjustRightInd/>
              <w:rPr>
                <w:rFonts w:ascii="Arial" w:hAnsi="Arial" w:cs="Arial"/>
                <w:bCs/>
                <w:sz w:val="22"/>
                <w:szCs w:val="22"/>
              </w:rPr>
            </w:pPr>
            <w:r>
              <w:rPr>
                <w:rFonts w:ascii="Arial" w:hAnsi="Arial"/>
                <w:bCs/>
                <w:sz w:val="22"/>
                <w:szCs w:val="22"/>
              </w:rPr>
              <w:t>The indicator of the level of debt</w:t>
            </w:r>
          </w:p>
        </w:tc>
        <w:tc>
          <w:tcPr>
            <w:tcW w:w="3494" w:type="dxa"/>
            <w:shd w:val="clear" w:color="auto" w:fill="auto"/>
            <w:vAlign w:val="center"/>
          </w:tcPr>
          <w:p w:rsidR="00365745" w:rsidRPr="003410BB" w:rsidRDefault="00365745" w:rsidP="009E16F9">
            <w:pPr>
              <w:widowControl/>
              <w:autoSpaceDE/>
              <w:autoSpaceDN/>
              <w:adjustRightInd/>
              <w:rPr>
                <w:rFonts w:ascii="Arial" w:hAnsi="Arial" w:cs="Arial"/>
                <w:sz w:val="22"/>
                <w:szCs w:val="22"/>
              </w:rPr>
            </w:pPr>
            <w:r>
              <w:rPr>
                <w:rFonts w:ascii="Arial" w:hAnsi="Arial"/>
                <w:sz w:val="22"/>
                <w:szCs w:val="22"/>
              </w:rPr>
              <w:t>(Borrowed capital/equity)x100</w:t>
            </w:r>
          </w:p>
        </w:tc>
        <w:tc>
          <w:tcPr>
            <w:tcW w:w="1347" w:type="dxa"/>
            <w:shd w:val="clear" w:color="auto" w:fill="auto"/>
            <w:vAlign w:val="center"/>
          </w:tcPr>
          <w:p w:rsidR="00365745" w:rsidRDefault="00365745" w:rsidP="009B297C">
            <w:pPr>
              <w:jc w:val="right"/>
              <w:rPr>
                <w:rFonts w:ascii="Arial" w:hAnsi="Arial" w:cs="Arial"/>
                <w:color w:val="000000"/>
                <w:sz w:val="22"/>
                <w:szCs w:val="22"/>
              </w:rPr>
            </w:pPr>
            <w:r>
              <w:rPr>
                <w:rFonts w:ascii="Arial" w:hAnsi="Arial"/>
                <w:color w:val="000000"/>
                <w:sz w:val="22"/>
                <w:szCs w:val="22"/>
              </w:rPr>
              <w:t>0</w:t>
            </w:r>
          </w:p>
        </w:tc>
        <w:tc>
          <w:tcPr>
            <w:tcW w:w="1222" w:type="dxa"/>
            <w:shd w:val="clear" w:color="auto" w:fill="auto"/>
            <w:vAlign w:val="center"/>
          </w:tcPr>
          <w:p w:rsidR="00365745" w:rsidRDefault="00365745" w:rsidP="009E16F9">
            <w:pPr>
              <w:jc w:val="right"/>
              <w:rPr>
                <w:rFonts w:ascii="Arial" w:hAnsi="Arial" w:cs="Arial"/>
                <w:color w:val="000000"/>
                <w:sz w:val="22"/>
                <w:szCs w:val="22"/>
              </w:rPr>
            </w:pPr>
            <w:r>
              <w:rPr>
                <w:rFonts w:ascii="Arial" w:hAnsi="Arial"/>
                <w:color w:val="000000"/>
                <w:sz w:val="22"/>
                <w:szCs w:val="22"/>
              </w:rPr>
              <w:t>0</w:t>
            </w:r>
          </w:p>
        </w:tc>
      </w:tr>
      <w:tr w:rsidR="009E16F9" w:rsidRPr="003410BB" w:rsidTr="004B16C6">
        <w:trPr>
          <w:trHeight w:val="709"/>
        </w:trPr>
        <w:tc>
          <w:tcPr>
            <w:tcW w:w="3164" w:type="dxa"/>
            <w:shd w:val="clear" w:color="auto" w:fill="auto"/>
            <w:vAlign w:val="center"/>
          </w:tcPr>
          <w:p w:rsidR="009E16F9" w:rsidRPr="003410BB" w:rsidRDefault="009E16F9" w:rsidP="009E16F9">
            <w:pPr>
              <w:widowControl/>
              <w:autoSpaceDE/>
              <w:autoSpaceDN/>
              <w:adjustRightInd/>
              <w:rPr>
                <w:rFonts w:ascii="Arial" w:hAnsi="Arial" w:cs="Arial"/>
                <w:bCs/>
                <w:sz w:val="22"/>
                <w:szCs w:val="22"/>
              </w:rPr>
            </w:pPr>
            <w:r>
              <w:rPr>
                <w:rFonts w:ascii="Arial" w:hAnsi="Arial"/>
                <w:bCs/>
                <w:sz w:val="22"/>
                <w:szCs w:val="22"/>
              </w:rPr>
              <w:t>Customer debit speed of rotation</w:t>
            </w:r>
          </w:p>
          <w:p w:rsidR="009E16F9" w:rsidRPr="003410BB" w:rsidRDefault="009E16F9" w:rsidP="009E16F9">
            <w:pPr>
              <w:widowControl/>
              <w:autoSpaceDE/>
              <w:autoSpaceDN/>
              <w:adjustRightInd/>
              <w:rPr>
                <w:rFonts w:ascii="Arial" w:hAnsi="Arial" w:cs="Arial"/>
                <w:bCs/>
                <w:sz w:val="22"/>
                <w:szCs w:val="22"/>
              </w:rPr>
            </w:pPr>
            <w:r>
              <w:rPr>
                <w:rFonts w:ascii="Arial" w:hAnsi="Arial"/>
                <w:bCs/>
                <w:sz w:val="22"/>
                <w:szCs w:val="22"/>
              </w:rPr>
              <w:t xml:space="preserve"> (days)</w:t>
            </w:r>
          </w:p>
        </w:tc>
        <w:tc>
          <w:tcPr>
            <w:tcW w:w="3494" w:type="dxa"/>
            <w:shd w:val="clear" w:color="auto" w:fill="auto"/>
            <w:vAlign w:val="center"/>
          </w:tcPr>
          <w:p w:rsidR="009E16F9" w:rsidRPr="003410BB" w:rsidRDefault="00365745" w:rsidP="009E16F9">
            <w:pPr>
              <w:widowControl/>
              <w:autoSpaceDE/>
              <w:autoSpaceDN/>
              <w:adjustRightInd/>
              <w:rPr>
                <w:rFonts w:ascii="Arial" w:hAnsi="Arial" w:cs="Arial"/>
                <w:sz w:val="22"/>
                <w:szCs w:val="22"/>
              </w:rPr>
            </w:pPr>
            <w:r>
              <w:rPr>
                <w:rFonts w:ascii="Arial" w:hAnsi="Arial"/>
                <w:sz w:val="22"/>
                <w:szCs w:val="22"/>
              </w:rPr>
              <w:t xml:space="preserve">Customers average balance/ Turnover (inclusive of VAT) x 180 days  </w:t>
            </w:r>
          </w:p>
        </w:tc>
        <w:tc>
          <w:tcPr>
            <w:tcW w:w="1347" w:type="dxa"/>
            <w:shd w:val="clear" w:color="auto" w:fill="auto"/>
            <w:vAlign w:val="center"/>
          </w:tcPr>
          <w:p w:rsidR="009E16F9" w:rsidRDefault="009E16F9" w:rsidP="009B297C">
            <w:pPr>
              <w:jc w:val="right"/>
              <w:rPr>
                <w:rFonts w:ascii="Arial" w:hAnsi="Arial" w:cs="Arial"/>
                <w:color w:val="000000"/>
                <w:sz w:val="22"/>
                <w:szCs w:val="22"/>
              </w:rPr>
            </w:pPr>
            <w:r>
              <w:rPr>
                <w:rFonts w:ascii="Arial" w:hAnsi="Arial"/>
                <w:color w:val="000000"/>
                <w:sz w:val="22"/>
                <w:szCs w:val="22"/>
              </w:rPr>
              <w:t>30</w:t>
            </w:r>
          </w:p>
        </w:tc>
        <w:tc>
          <w:tcPr>
            <w:tcW w:w="1222" w:type="dxa"/>
            <w:shd w:val="clear" w:color="auto" w:fill="auto"/>
            <w:vAlign w:val="center"/>
          </w:tcPr>
          <w:p w:rsidR="009E16F9" w:rsidRDefault="009E16F9" w:rsidP="009E16F9">
            <w:pPr>
              <w:jc w:val="right"/>
              <w:rPr>
                <w:rFonts w:ascii="Arial" w:hAnsi="Arial" w:cs="Arial"/>
                <w:color w:val="000000"/>
                <w:sz w:val="22"/>
                <w:szCs w:val="22"/>
              </w:rPr>
            </w:pPr>
            <w:r>
              <w:rPr>
                <w:rFonts w:ascii="Arial" w:hAnsi="Arial"/>
                <w:color w:val="000000"/>
                <w:sz w:val="22"/>
                <w:szCs w:val="22"/>
              </w:rPr>
              <w:t>29</w:t>
            </w:r>
          </w:p>
        </w:tc>
      </w:tr>
      <w:tr w:rsidR="007D0985" w:rsidRPr="003410BB" w:rsidTr="004B16C6">
        <w:trPr>
          <w:trHeight w:val="503"/>
        </w:trPr>
        <w:tc>
          <w:tcPr>
            <w:tcW w:w="3164" w:type="dxa"/>
            <w:shd w:val="clear" w:color="auto" w:fill="auto"/>
            <w:vAlign w:val="center"/>
          </w:tcPr>
          <w:p w:rsidR="007D0985" w:rsidRPr="003410BB" w:rsidRDefault="007D0985" w:rsidP="007D0985">
            <w:pPr>
              <w:widowControl/>
              <w:autoSpaceDE/>
              <w:autoSpaceDN/>
              <w:adjustRightInd/>
              <w:rPr>
                <w:rFonts w:ascii="Arial" w:hAnsi="Arial" w:cs="Arial"/>
                <w:bCs/>
                <w:sz w:val="22"/>
                <w:szCs w:val="22"/>
              </w:rPr>
            </w:pPr>
            <w:r>
              <w:rPr>
                <w:rFonts w:ascii="Arial" w:hAnsi="Arial"/>
                <w:bCs/>
                <w:sz w:val="22"/>
                <w:szCs w:val="22"/>
              </w:rPr>
              <w:t>Fixed assets speed of rotation (no. of times)</w:t>
            </w:r>
          </w:p>
        </w:tc>
        <w:tc>
          <w:tcPr>
            <w:tcW w:w="3494" w:type="dxa"/>
            <w:shd w:val="clear" w:color="auto" w:fill="auto"/>
            <w:vAlign w:val="center"/>
          </w:tcPr>
          <w:p w:rsidR="007D0985" w:rsidRPr="003410BB" w:rsidRDefault="007D0985" w:rsidP="00365745">
            <w:pPr>
              <w:widowControl/>
              <w:autoSpaceDE/>
              <w:autoSpaceDN/>
              <w:adjustRightInd/>
              <w:rPr>
                <w:rFonts w:ascii="Arial" w:hAnsi="Arial" w:cs="Arial"/>
                <w:sz w:val="22"/>
                <w:szCs w:val="22"/>
              </w:rPr>
            </w:pPr>
            <w:r>
              <w:rPr>
                <w:rFonts w:ascii="Arial" w:hAnsi="Arial"/>
                <w:sz w:val="22"/>
                <w:szCs w:val="22"/>
              </w:rPr>
              <w:t>Turnover/fixed assets</w:t>
            </w:r>
          </w:p>
        </w:tc>
        <w:tc>
          <w:tcPr>
            <w:tcW w:w="1347" w:type="dxa"/>
            <w:shd w:val="clear" w:color="auto" w:fill="auto"/>
            <w:vAlign w:val="center"/>
          </w:tcPr>
          <w:p w:rsidR="007D0985" w:rsidRDefault="007D0985" w:rsidP="007D0985">
            <w:pPr>
              <w:widowControl/>
              <w:autoSpaceDE/>
              <w:autoSpaceDN/>
              <w:adjustRightInd/>
              <w:jc w:val="right"/>
              <w:rPr>
                <w:rFonts w:ascii="Arial" w:hAnsi="Arial" w:cs="Arial"/>
                <w:color w:val="000000"/>
                <w:sz w:val="22"/>
                <w:szCs w:val="22"/>
              </w:rPr>
            </w:pPr>
            <w:r>
              <w:rPr>
                <w:rFonts w:ascii="Arial" w:hAnsi="Arial"/>
                <w:color w:val="000000"/>
                <w:sz w:val="22"/>
                <w:szCs w:val="22"/>
              </w:rPr>
              <w:t>0.44</w:t>
            </w:r>
          </w:p>
        </w:tc>
        <w:tc>
          <w:tcPr>
            <w:tcW w:w="1222" w:type="dxa"/>
            <w:shd w:val="clear" w:color="auto" w:fill="auto"/>
            <w:vAlign w:val="center"/>
          </w:tcPr>
          <w:p w:rsidR="007D0985" w:rsidRDefault="005B70C8" w:rsidP="007D0985">
            <w:pPr>
              <w:jc w:val="right"/>
              <w:rPr>
                <w:rFonts w:ascii="Arial" w:hAnsi="Arial" w:cs="Arial"/>
                <w:color w:val="000000"/>
                <w:sz w:val="22"/>
                <w:szCs w:val="22"/>
              </w:rPr>
            </w:pPr>
            <w:r>
              <w:rPr>
                <w:rFonts w:ascii="Arial" w:hAnsi="Arial"/>
                <w:color w:val="000000"/>
                <w:sz w:val="22"/>
                <w:szCs w:val="22"/>
              </w:rPr>
              <w:t>0.45</w:t>
            </w:r>
          </w:p>
        </w:tc>
      </w:tr>
    </w:tbl>
    <w:p w:rsidR="00BD7A1D" w:rsidRDefault="00BD7A1D" w:rsidP="00BD7A1D">
      <w:pPr>
        <w:widowControl/>
        <w:autoSpaceDE/>
        <w:autoSpaceDN/>
        <w:adjustRightInd/>
        <w:jc w:val="center"/>
        <w:rPr>
          <w:rFonts w:ascii="Arial" w:hAnsi="Arial" w:cs="Arial"/>
          <w:i/>
          <w:sz w:val="18"/>
          <w:szCs w:val="18"/>
          <w:lang w:eastAsia="en-US"/>
        </w:rPr>
      </w:pPr>
    </w:p>
    <w:p w:rsidR="003410BB" w:rsidRPr="001819A5" w:rsidRDefault="00BD7A1D" w:rsidP="00BD7A1D">
      <w:pPr>
        <w:widowControl/>
        <w:autoSpaceDE/>
        <w:autoSpaceDN/>
        <w:adjustRightInd/>
        <w:jc w:val="center"/>
        <w:rPr>
          <w:rFonts w:ascii="Arial" w:hAnsi="Arial" w:cs="Arial"/>
          <w:sz w:val="16"/>
          <w:szCs w:val="16"/>
        </w:rPr>
      </w:pPr>
      <w:r>
        <w:rPr>
          <w:rFonts w:ascii="Arial" w:hAnsi="Arial"/>
          <w:sz w:val="16"/>
          <w:szCs w:val="16"/>
        </w:rPr>
        <w:t>Table 14 - Main economic-financial indicators</w:t>
      </w:r>
    </w:p>
    <w:p w:rsidR="00BD7A1D" w:rsidRPr="003410BB" w:rsidRDefault="00BD7A1D" w:rsidP="003410BB">
      <w:pPr>
        <w:widowControl/>
        <w:autoSpaceDE/>
        <w:autoSpaceDN/>
        <w:adjustRightInd/>
        <w:rPr>
          <w:rFonts w:ascii="Arial" w:hAnsi="Arial" w:cs="Arial"/>
          <w:b/>
          <w:sz w:val="22"/>
          <w:szCs w:val="22"/>
          <w:lang w:eastAsia="en-US"/>
        </w:rPr>
      </w:pPr>
    </w:p>
    <w:p w:rsidR="003410BB" w:rsidRDefault="003410BB" w:rsidP="003410BB">
      <w:pPr>
        <w:widowControl/>
        <w:autoSpaceDE/>
        <w:autoSpaceDN/>
        <w:adjustRightInd/>
        <w:jc w:val="both"/>
        <w:rPr>
          <w:rFonts w:ascii="Arial" w:hAnsi="Arial" w:cs="Arial"/>
          <w:sz w:val="22"/>
          <w:szCs w:val="22"/>
        </w:rPr>
      </w:pPr>
      <w:r>
        <w:rPr>
          <w:rFonts w:ascii="Arial" w:hAnsi="Arial"/>
          <w:b/>
          <w:color w:val="1F4E79" w:themeColor="accent1" w:themeShade="80"/>
          <w:sz w:val="22"/>
          <w:szCs w:val="22"/>
        </w:rPr>
        <w:t>Current liquidity indicator</w:t>
      </w:r>
      <w:r>
        <w:rPr>
          <w:rFonts w:ascii="Arial" w:hAnsi="Arial"/>
          <w:color w:val="1F4E79" w:themeColor="accent1" w:themeShade="80"/>
          <w:sz w:val="22"/>
          <w:szCs w:val="22"/>
        </w:rPr>
        <w:t xml:space="preserve"> </w:t>
      </w:r>
      <w:r>
        <w:rPr>
          <w:rFonts w:ascii="Arial" w:hAnsi="Arial"/>
          <w:sz w:val="22"/>
          <w:szCs w:val="22"/>
        </w:rPr>
        <w:t xml:space="preserve">measures the company's ability to perform its short-term obligations.  The indicator reflects a good company's ability to cover the current liabilities on account of current assets. </w:t>
      </w:r>
    </w:p>
    <w:p w:rsidR="00365745" w:rsidRDefault="00365745" w:rsidP="003410BB">
      <w:pPr>
        <w:widowControl/>
        <w:autoSpaceDE/>
        <w:autoSpaceDN/>
        <w:adjustRightInd/>
        <w:jc w:val="both"/>
        <w:rPr>
          <w:rFonts w:ascii="Arial" w:hAnsi="Arial" w:cs="Arial"/>
          <w:sz w:val="22"/>
          <w:szCs w:val="22"/>
          <w:lang w:eastAsia="en-US"/>
        </w:rPr>
      </w:pPr>
    </w:p>
    <w:p w:rsidR="00365745" w:rsidRPr="003410BB" w:rsidRDefault="00365745" w:rsidP="003410BB">
      <w:pPr>
        <w:widowControl/>
        <w:autoSpaceDE/>
        <w:autoSpaceDN/>
        <w:adjustRightInd/>
        <w:jc w:val="both"/>
        <w:rPr>
          <w:rFonts w:ascii="Arial" w:hAnsi="Arial" w:cs="Arial"/>
          <w:sz w:val="22"/>
          <w:szCs w:val="22"/>
        </w:rPr>
      </w:pPr>
      <w:r>
        <w:rPr>
          <w:rFonts w:ascii="Arial" w:hAnsi="Arial"/>
          <w:b/>
          <w:color w:val="1F4E79" w:themeColor="accent1" w:themeShade="80"/>
          <w:sz w:val="22"/>
          <w:szCs w:val="22"/>
        </w:rPr>
        <w:t>The indicator of the level of debt</w:t>
      </w:r>
      <w:r>
        <w:rPr>
          <w:rFonts w:ascii="Arial" w:hAnsi="Arial"/>
          <w:color w:val="1F4E79" w:themeColor="accent1" w:themeShade="80"/>
          <w:sz w:val="22"/>
          <w:szCs w:val="22"/>
        </w:rPr>
        <w:t xml:space="preserve">: </w:t>
      </w:r>
      <w:r>
        <w:rPr>
          <w:rFonts w:ascii="Arial" w:hAnsi="Arial"/>
          <w:sz w:val="22"/>
          <w:szCs w:val="22"/>
        </w:rPr>
        <w:t>The company has not engaged loans and consequently there are no risks regarding a possible non-fulfillment of the obligations of this kind.</w:t>
      </w:r>
    </w:p>
    <w:p w:rsidR="003410BB" w:rsidRPr="0026154A" w:rsidRDefault="003410BB" w:rsidP="003410BB">
      <w:pPr>
        <w:widowControl/>
        <w:autoSpaceDE/>
        <w:autoSpaceDN/>
        <w:adjustRightInd/>
        <w:spacing w:line="276" w:lineRule="auto"/>
        <w:jc w:val="both"/>
        <w:rPr>
          <w:rFonts w:ascii="Arial" w:hAnsi="Arial" w:cs="Arial"/>
          <w:b/>
          <w:color w:val="1F4E79" w:themeColor="accent1" w:themeShade="80"/>
          <w:sz w:val="16"/>
          <w:szCs w:val="16"/>
          <w:lang w:eastAsia="en-US"/>
        </w:rPr>
      </w:pPr>
    </w:p>
    <w:p w:rsidR="003410BB" w:rsidRPr="003410BB" w:rsidRDefault="003410BB" w:rsidP="003410BB">
      <w:pPr>
        <w:widowControl/>
        <w:autoSpaceDE/>
        <w:autoSpaceDN/>
        <w:adjustRightInd/>
        <w:jc w:val="both"/>
        <w:rPr>
          <w:rFonts w:ascii="Arial" w:hAnsi="Arial" w:cs="Arial"/>
          <w:sz w:val="22"/>
          <w:szCs w:val="22"/>
        </w:rPr>
      </w:pPr>
      <w:r>
        <w:rPr>
          <w:rFonts w:ascii="Arial" w:hAnsi="Arial"/>
          <w:b/>
          <w:color w:val="1F4E79" w:themeColor="accent1" w:themeShade="80"/>
          <w:sz w:val="22"/>
          <w:szCs w:val="22"/>
        </w:rPr>
        <w:t>Customer debit speed of rotation</w:t>
      </w:r>
      <w:r>
        <w:rPr>
          <w:rFonts w:ascii="Arial" w:hAnsi="Arial"/>
          <w:color w:val="1F4E79" w:themeColor="accent1" w:themeShade="80"/>
          <w:sz w:val="22"/>
          <w:szCs w:val="22"/>
        </w:rPr>
        <w:t xml:space="preserve"> </w:t>
      </w:r>
      <w:r>
        <w:rPr>
          <w:rFonts w:ascii="Arial" w:hAnsi="Arial"/>
          <w:sz w:val="22"/>
          <w:szCs w:val="22"/>
        </w:rPr>
        <w:t>expresses the effectiveness of the company in collecting its receivables.  The indicator registers an ascending level, resulted in the collection of receivables at 30 days.</w:t>
      </w:r>
    </w:p>
    <w:p w:rsidR="003410BB" w:rsidRPr="0026154A" w:rsidRDefault="003410BB" w:rsidP="003410BB">
      <w:pPr>
        <w:widowControl/>
        <w:autoSpaceDE/>
        <w:autoSpaceDN/>
        <w:adjustRightInd/>
        <w:jc w:val="both"/>
        <w:rPr>
          <w:rFonts w:ascii="Arial" w:hAnsi="Arial" w:cs="Arial"/>
          <w:b/>
          <w:color w:val="1F4E79" w:themeColor="accent1" w:themeShade="80"/>
          <w:sz w:val="22"/>
          <w:szCs w:val="22"/>
          <w:lang w:eastAsia="en-US"/>
        </w:rPr>
      </w:pPr>
    </w:p>
    <w:p w:rsidR="00584ADC" w:rsidRPr="00404E73" w:rsidRDefault="003410BB" w:rsidP="00404E73">
      <w:pPr>
        <w:widowControl/>
        <w:autoSpaceDE/>
        <w:autoSpaceDN/>
        <w:adjustRightInd/>
        <w:jc w:val="both"/>
        <w:rPr>
          <w:rFonts w:ascii="Arial" w:hAnsi="Arial" w:cs="Arial"/>
          <w:sz w:val="22"/>
          <w:szCs w:val="22"/>
        </w:rPr>
      </w:pPr>
      <w:r>
        <w:rPr>
          <w:rFonts w:ascii="Arial" w:hAnsi="Arial"/>
          <w:b/>
          <w:color w:val="1F4E79" w:themeColor="accent1" w:themeShade="80"/>
          <w:sz w:val="22"/>
          <w:szCs w:val="22"/>
        </w:rPr>
        <w:t>Fixed assets speed of rotation:</w:t>
      </w:r>
      <w:r>
        <w:rPr>
          <w:rFonts w:ascii="Arial" w:hAnsi="Arial"/>
          <w:color w:val="1F4E79" w:themeColor="accent1" w:themeShade="80"/>
          <w:sz w:val="22"/>
          <w:szCs w:val="22"/>
        </w:rPr>
        <w:t xml:space="preserve"> </w:t>
      </w:r>
      <w:r>
        <w:rPr>
          <w:rFonts w:ascii="Arial" w:hAnsi="Arial"/>
          <w:sz w:val="22"/>
          <w:szCs w:val="22"/>
        </w:rPr>
        <w:t>evaluates the efficiency of the fixed assets activity by examining the turnover value generated by a certain amount of assets.  The level of this indicator is 0.44 rotations related to the year 2018 H1.</w:t>
      </w:r>
    </w:p>
    <w:p w:rsidR="00584ADC" w:rsidRDefault="00584ADC" w:rsidP="003410BB">
      <w:pPr>
        <w:tabs>
          <w:tab w:val="left" w:pos="450"/>
        </w:tabs>
        <w:rPr>
          <w:rFonts w:ascii="Arial" w:hAnsi="Arial" w:cs="Arial"/>
          <w:b/>
          <w:color w:val="5B9BD5" w:themeColor="accent1"/>
          <w:spacing w:val="3"/>
          <w:sz w:val="24"/>
          <w:szCs w:val="24"/>
        </w:rPr>
      </w:pPr>
    </w:p>
    <w:p w:rsidR="00A223AD" w:rsidRPr="005613AA" w:rsidRDefault="00A223AD" w:rsidP="003410BB">
      <w:pPr>
        <w:tabs>
          <w:tab w:val="left" w:pos="450"/>
        </w:tabs>
        <w:rPr>
          <w:rFonts w:ascii="Arial" w:hAnsi="Arial" w:cs="Arial"/>
          <w:b/>
          <w:color w:val="2E74B5" w:themeColor="accent1" w:themeShade="BF"/>
          <w:spacing w:val="3"/>
          <w:sz w:val="24"/>
          <w:szCs w:val="24"/>
        </w:rPr>
      </w:pPr>
      <w:r w:rsidRPr="005613AA">
        <w:rPr>
          <w:rFonts w:ascii="Arial" w:hAnsi="Arial"/>
          <w:b/>
          <w:color w:val="2E74B5" w:themeColor="accent1" w:themeShade="BF"/>
          <w:sz w:val="24"/>
          <w:szCs w:val="24"/>
        </w:rPr>
        <w:t>3.3.5</w:t>
      </w:r>
      <w:r w:rsidRPr="005613AA">
        <w:rPr>
          <w:rFonts w:ascii="Arial" w:hAnsi="Arial"/>
          <w:b/>
          <w:color w:val="2E74B5" w:themeColor="accent1" w:themeShade="BF"/>
          <w:sz w:val="24"/>
          <w:szCs w:val="24"/>
        </w:rPr>
        <w:tab/>
      </w:r>
      <w:r w:rsidR="004E5B77">
        <w:rPr>
          <w:rFonts w:ascii="Arial" w:hAnsi="Arial"/>
          <w:b/>
          <w:color w:val="2E74B5" w:themeColor="accent1" w:themeShade="BF"/>
          <w:sz w:val="24"/>
          <w:szCs w:val="24"/>
        </w:rPr>
        <w:t xml:space="preserve">The </w:t>
      </w:r>
      <w:proofErr w:type="gramStart"/>
      <w:r w:rsidRPr="005613AA">
        <w:rPr>
          <w:rFonts w:ascii="Arial" w:hAnsi="Arial"/>
          <w:b/>
          <w:color w:val="2E74B5" w:themeColor="accent1" w:themeShade="BF"/>
          <w:sz w:val="24"/>
          <w:szCs w:val="24"/>
        </w:rPr>
        <w:t>Cash-flow</w:t>
      </w:r>
      <w:proofErr w:type="gramEnd"/>
    </w:p>
    <w:p w:rsidR="00A223AD" w:rsidRDefault="00A223AD" w:rsidP="003410BB">
      <w:pPr>
        <w:tabs>
          <w:tab w:val="left" w:pos="450"/>
        </w:tabs>
        <w:rPr>
          <w:rFonts w:ascii="Arial" w:hAnsi="Arial" w:cs="Arial"/>
          <w:b/>
          <w:spacing w:val="3"/>
          <w:sz w:val="22"/>
          <w:szCs w:val="22"/>
        </w:rPr>
      </w:pPr>
    </w:p>
    <w:p w:rsidR="003410BB" w:rsidRDefault="00A223AD" w:rsidP="003410BB">
      <w:pPr>
        <w:tabs>
          <w:tab w:val="left" w:pos="450"/>
        </w:tabs>
        <w:rPr>
          <w:rFonts w:ascii="Arial" w:hAnsi="Arial" w:cs="Arial"/>
          <w:spacing w:val="3"/>
          <w:sz w:val="22"/>
          <w:szCs w:val="22"/>
        </w:rPr>
      </w:pPr>
      <w:r>
        <w:rPr>
          <w:rFonts w:ascii="Arial" w:hAnsi="Arial"/>
          <w:sz w:val="22"/>
          <w:szCs w:val="22"/>
        </w:rPr>
        <w:t>Cash-flow Statement for the six months period ended June 30, 2018 is as follows:</w:t>
      </w:r>
    </w:p>
    <w:p w:rsidR="00584ADC" w:rsidRPr="001054BD" w:rsidRDefault="00584ADC" w:rsidP="003410BB">
      <w:pPr>
        <w:tabs>
          <w:tab w:val="left" w:pos="450"/>
        </w:tabs>
        <w:rPr>
          <w:rFonts w:ascii="Arial" w:hAnsi="Arial" w:cs="Arial"/>
          <w:spacing w:val="3"/>
          <w:sz w:val="22"/>
          <w:szCs w:val="22"/>
        </w:rPr>
      </w:pPr>
    </w:p>
    <w:tbl>
      <w:tblPr>
        <w:tblW w:w="9428" w:type="dxa"/>
        <w:jc w:val="center"/>
        <w:tblLook w:val="04A0" w:firstRow="1" w:lastRow="0" w:firstColumn="1" w:lastColumn="0" w:noHBand="0" w:noVBand="1"/>
      </w:tblPr>
      <w:tblGrid>
        <w:gridCol w:w="504"/>
        <w:gridCol w:w="5076"/>
        <w:gridCol w:w="2171"/>
        <w:gridCol w:w="1677"/>
      </w:tblGrid>
      <w:tr w:rsidR="003410BB" w:rsidRPr="00A223AD" w:rsidTr="00404E73">
        <w:trPr>
          <w:trHeight w:val="269"/>
          <w:jc w:val="center"/>
        </w:trPr>
        <w:tc>
          <w:tcPr>
            <w:tcW w:w="5580" w:type="dxa"/>
            <w:gridSpan w:val="2"/>
            <w:tcBorders>
              <w:top w:val="nil"/>
              <w:left w:val="nil"/>
              <w:bottom w:val="nil"/>
              <w:right w:val="nil"/>
            </w:tcBorders>
            <w:shd w:val="clear" w:color="auto" w:fill="auto"/>
            <w:noWrap/>
            <w:vAlign w:val="bottom"/>
            <w:hideMark/>
          </w:tcPr>
          <w:p w:rsidR="003410BB" w:rsidRPr="008C57DB" w:rsidRDefault="003410BB" w:rsidP="003410BB">
            <w:pPr>
              <w:rPr>
                <w:rFonts w:ascii="Arial" w:hAnsi="Arial" w:cs="Arial"/>
                <w:b/>
                <w:bCs/>
                <w:sz w:val="18"/>
                <w:szCs w:val="18"/>
              </w:rPr>
            </w:pPr>
            <w:r>
              <w:rPr>
                <w:rFonts w:ascii="Arial" w:hAnsi="Arial"/>
                <w:b/>
                <w:bCs/>
                <w:sz w:val="18"/>
                <w:szCs w:val="18"/>
              </w:rPr>
              <w:t>(DIRECT METHOD)</w:t>
            </w:r>
          </w:p>
        </w:tc>
        <w:tc>
          <w:tcPr>
            <w:tcW w:w="2171" w:type="dxa"/>
            <w:tcBorders>
              <w:top w:val="nil"/>
              <w:left w:val="nil"/>
              <w:bottom w:val="nil"/>
              <w:right w:val="nil"/>
            </w:tcBorders>
            <w:shd w:val="clear" w:color="auto" w:fill="auto"/>
            <w:noWrap/>
            <w:vAlign w:val="bottom"/>
            <w:hideMark/>
          </w:tcPr>
          <w:p w:rsidR="003410BB" w:rsidRPr="00A223AD" w:rsidRDefault="003410BB" w:rsidP="003410BB">
            <w:pPr>
              <w:rPr>
                <w:rFonts w:ascii="Arial" w:hAnsi="Arial" w:cs="Arial"/>
              </w:rPr>
            </w:pPr>
          </w:p>
        </w:tc>
        <w:tc>
          <w:tcPr>
            <w:tcW w:w="1677" w:type="dxa"/>
            <w:tcBorders>
              <w:top w:val="nil"/>
              <w:left w:val="nil"/>
              <w:bottom w:val="nil"/>
              <w:right w:val="nil"/>
            </w:tcBorders>
            <w:shd w:val="clear" w:color="auto" w:fill="auto"/>
            <w:noWrap/>
            <w:vAlign w:val="bottom"/>
            <w:hideMark/>
          </w:tcPr>
          <w:p w:rsidR="003410BB" w:rsidRPr="00A223AD" w:rsidRDefault="003410BB" w:rsidP="003410BB">
            <w:pPr>
              <w:rPr>
                <w:rFonts w:ascii="Arial" w:hAnsi="Arial" w:cs="Arial"/>
                <w:b/>
                <w:bCs/>
              </w:rPr>
            </w:pPr>
          </w:p>
        </w:tc>
      </w:tr>
      <w:tr w:rsidR="003410BB" w:rsidRPr="00A223AD" w:rsidTr="00404E73">
        <w:trPr>
          <w:trHeight w:val="539"/>
          <w:jc w:val="center"/>
        </w:trPr>
        <w:tc>
          <w:tcPr>
            <w:tcW w:w="50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3410BB" w:rsidRPr="00A223AD" w:rsidRDefault="003410BB" w:rsidP="00A223AD">
            <w:pPr>
              <w:jc w:val="center"/>
              <w:rPr>
                <w:rFonts w:ascii="Arial" w:hAnsi="Arial" w:cs="Arial"/>
                <w:b/>
                <w:bCs/>
              </w:rPr>
            </w:pPr>
          </w:p>
        </w:tc>
        <w:tc>
          <w:tcPr>
            <w:tcW w:w="507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3410BB" w:rsidRPr="00A223AD" w:rsidRDefault="00E73692" w:rsidP="00A223AD">
            <w:pPr>
              <w:jc w:val="center"/>
              <w:rPr>
                <w:rFonts w:ascii="Arial" w:hAnsi="Arial" w:cs="Arial"/>
                <w:b/>
                <w:bCs/>
              </w:rPr>
            </w:pPr>
            <w:r>
              <w:rPr>
                <w:rFonts w:ascii="Arial" w:hAnsi="Arial"/>
                <w:b/>
                <w:bCs/>
              </w:rPr>
              <w:t>Name of the element (thousand</w:t>
            </w:r>
            <w:r w:rsidR="003410BB">
              <w:rPr>
                <w:rFonts w:ascii="Arial" w:hAnsi="Arial"/>
                <w:b/>
                <w:bCs/>
              </w:rPr>
              <w:t xml:space="preserve"> RON)</w:t>
            </w:r>
          </w:p>
        </w:tc>
        <w:tc>
          <w:tcPr>
            <w:tcW w:w="2171"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3410BB" w:rsidRPr="00A223AD" w:rsidRDefault="00404E73" w:rsidP="00404E73">
            <w:pPr>
              <w:jc w:val="center"/>
              <w:rPr>
                <w:rFonts w:ascii="Arial" w:hAnsi="Arial" w:cs="Arial"/>
                <w:b/>
                <w:bCs/>
              </w:rPr>
            </w:pPr>
            <w:r>
              <w:rPr>
                <w:rFonts w:ascii="Arial" w:hAnsi="Arial"/>
                <w:b/>
                <w:bCs/>
              </w:rPr>
              <w:t>January- June</w:t>
            </w:r>
          </w:p>
          <w:p w:rsidR="003410BB" w:rsidRPr="00A223AD" w:rsidRDefault="003410BB" w:rsidP="00A223AD">
            <w:pPr>
              <w:jc w:val="center"/>
              <w:rPr>
                <w:rFonts w:ascii="Arial" w:hAnsi="Arial" w:cs="Arial"/>
                <w:b/>
                <w:bCs/>
              </w:rPr>
            </w:pPr>
            <w:r>
              <w:rPr>
                <w:rFonts w:ascii="Arial" w:hAnsi="Arial"/>
                <w:b/>
                <w:bCs/>
              </w:rPr>
              <w:t>2018</w:t>
            </w:r>
          </w:p>
        </w:tc>
        <w:tc>
          <w:tcPr>
            <w:tcW w:w="1677"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3410BB" w:rsidRPr="00A223AD" w:rsidRDefault="003410BB" w:rsidP="00A223AD">
            <w:pPr>
              <w:jc w:val="center"/>
              <w:rPr>
                <w:rFonts w:ascii="Arial" w:hAnsi="Arial" w:cs="Arial"/>
                <w:b/>
                <w:bCs/>
              </w:rPr>
            </w:pPr>
            <w:r>
              <w:rPr>
                <w:rFonts w:ascii="Arial" w:hAnsi="Arial"/>
                <w:b/>
                <w:bCs/>
              </w:rPr>
              <w:t>January- June</w:t>
            </w:r>
          </w:p>
          <w:p w:rsidR="003410BB" w:rsidRPr="00A223AD" w:rsidRDefault="003410BB" w:rsidP="00A223AD">
            <w:pPr>
              <w:jc w:val="center"/>
              <w:rPr>
                <w:rFonts w:ascii="Arial" w:hAnsi="Arial" w:cs="Arial"/>
                <w:b/>
                <w:bCs/>
              </w:rPr>
            </w:pPr>
            <w:r>
              <w:rPr>
                <w:rFonts w:ascii="Arial" w:hAnsi="Arial"/>
                <w:b/>
                <w:bCs/>
              </w:rPr>
              <w:t>2017</w:t>
            </w:r>
          </w:p>
        </w:tc>
      </w:tr>
      <w:tr w:rsidR="001054BD" w:rsidRPr="001054BD" w:rsidTr="00404E73">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054BD" w:rsidRPr="005D7AC7" w:rsidRDefault="001054BD" w:rsidP="001054BD">
            <w:pPr>
              <w:rPr>
                <w:rFonts w:ascii="Arial" w:hAnsi="Arial" w:cs="Arial"/>
                <w:bCs/>
                <w:iCs/>
              </w:rPr>
            </w:pPr>
            <w:r>
              <w:rPr>
                <w:rFonts w:ascii="Arial" w:hAnsi="Arial"/>
                <w:bCs/>
                <w:iCs/>
              </w:rPr>
              <w:t>A</w:t>
            </w:r>
          </w:p>
        </w:tc>
        <w:tc>
          <w:tcPr>
            <w:tcW w:w="5076" w:type="dxa"/>
            <w:tcBorders>
              <w:top w:val="nil"/>
              <w:left w:val="nil"/>
              <w:bottom w:val="single" w:sz="4" w:space="0" w:color="auto"/>
              <w:right w:val="single" w:sz="4" w:space="0" w:color="auto"/>
            </w:tcBorders>
            <w:shd w:val="clear" w:color="auto" w:fill="auto"/>
            <w:noWrap/>
            <w:vAlign w:val="center"/>
            <w:hideMark/>
          </w:tcPr>
          <w:p w:rsidR="001054BD" w:rsidRPr="005D7AC7" w:rsidRDefault="001054BD" w:rsidP="001054BD">
            <w:pPr>
              <w:rPr>
                <w:rFonts w:ascii="Arial" w:hAnsi="Arial" w:cs="Arial"/>
                <w:bCs/>
                <w:iCs/>
              </w:rPr>
            </w:pPr>
            <w:r>
              <w:rPr>
                <w:rFonts w:ascii="Arial" w:hAnsi="Arial"/>
                <w:bCs/>
                <w:iCs/>
              </w:rPr>
              <w:t>Net cash from operating activities</w:t>
            </w:r>
          </w:p>
        </w:tc>
        <w:tc>
          <w:tcPr>
            <w:tcW w:w="2171" w:type="dxa"/>
            <w:tcBorders>
              <w:top w:val="nil"/>
              <w:left w:val="nil"/>
              <w:bottom w:val="single" w:sz="4" w:space="0" w:color="auto"/>
              <w:right w:val="single" w:sz="4" w:space="0" w:color="auto"/>
            </w:tcBorders>
            <w:shd w:val="clear" w:color="auto" w:fill="auto"/>
            <w:noWrap/>
            <w:vAlign w:val="center"/>
          </w:tcPr>
          <w:p w:rsidR="001054BD" w:rsidRPr="005D7AC7" w:rsidRDefault="00926BE7" w:rsidP="001054BD">
            <w:pPr>
              <w:widowControl/>
              <w:autoSpaceDE/>
              <w:autoSpaceDN/>
              <w:adjustRightInd/>
              <w:jc w:val="right"/>
              <w:rPr>
                <w:rFonts w:ascii="Arial" w:hAnsi="Arial" w:cs="Arial"/>
                <w:iCs/>
              </w:rPr>
            </w:pPr>
            <w:r>
              <w:rPr>
                <w:rFonts w:ascii="Arial" w:hAnsi="Arial"/>
                <w:iCs/>
              </w:rPr>
              <w:t>32,889</w:t>
            </w:r>
          </w:p>
        </w:tc>
        <w:tc>
          <w:tcPr>
            <w:tcW w:w="1677" w:type="dxa"/>
            <w:tcBorders>
              <w:top w:val="nil"/>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iCs/>
              </w:rPr>
            </w:pPr>
            <w:r>
              <w:rPr>
                <w:rFonts w:ascii="Arial" w:hAnsi="Arial"/>
                <w:iCs/>
              </w:rPr>
              <w:t>41,429</w:t>
            </w:r>
          </w:p>
        </w:tc>
      </w:tr>
      <w:tr w:rsidR="001054BD" w:rsidRPr="001054BD" w:rsidTr="00404E73">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054BD" w:rsidRPr="005D7AC7" w:rsidRDefault="001054BD" w:rsidP="001054BD">
            <w:pPr>
              <w:rPr>
                <w:rFonts w:ascii="Arial" w:hAnsi="Arial" w:cs="Arial"/>
                <w:bCs/>
                <w:iCs/>
              </w:rPr>
            </w:pPr>
            <w:r>
              <w:rPr>
                <w:rFonts w:ascii="Arial" w:hAnsi="Arial"/>
                <w:bCs/>
                <w:iCs/>
              </w:rPr>
              <w:t>B</w:t>
            </w:r>
          </w:p>
        </w:tc>
        <w:tc>
          <w:tcPr>
            <w:tcW w:w="5076" w:type="dxa"/>
            <w:tcBorders>
              <w:top w:val="nil"/>
              <w:left w:val="nil"/>
              <w:bottom w:val="single" w:sz="4" w:space="0" w:color="auto"/>
              <w:right w:val="single" w:sz="4" w:space="0" w:color="auto"/>
            </w:tcBorders>
            <w:shd w:val="clear" w:color="auto" w:fill="auto"/>
            <w:noWrap/>
            <w:vAlign w:val="center"/>
            <w:hideMark/>
          </w:tcPr>
          <w:p w:rsidR="001054BD" w:rsidRPr="005D7AC7" w:rsidRDefault="001054BD" w:rsidP="001054BD">
            <w:pPr>
              <w:rPr>
                <w:rFonts w:ascii="Arial" w:hAnsi="Arial" w:cs="Arial"/>
                <w:bCs/>
                <w:iCs/>
              </w:rPr>
            </w:pPr>
            <w:r>
              <w:rPr>
                <w:rFonts w:ascii="Arial" w:hAnsi="Arial"/>
                <w:bCs/>
                <w:iCs/>
              </w:rPr>
              <w:t>Net cash from investment activities</w:t>
            </w:r>
          </w:p>
        </w:tc>
        <w:tc>
          <w:tcPr>
            <w:tcW w:w="2171" w:type="dxa"/>
            <w:tcBorders>
              <w:top w:val="nil"/>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iCs/>
              </w:rPr>
            </w:pPr>
            <w:r>
              <w:rPr>
                <w:rFonts w:ascii="Arial" w:hAnsi="Arial"/>
                <w:iCs/>
              </w:rPr>
              <w:t>-15,169</w:t>
            </w:r>
          </w:p>
        </w:tc>
        <w:tc>
          <w:tcPr>
            <w:tcW w:w="1677" w:type="dxa"/>
            <w:tcBorders>
              <w:top w:val="nil"/>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iCs/>
              </w:rPr>
            </w:pPr>
            <w:r>
              <w:rPr>
                <w:rFonts w:ascii="Arial" w:hAnsi="Arial"/>
                <w:iCs/>
              </w:rPr>
              <w:t>152,859</w:t>
            </w:r>
          </w:p>
        </w:tc>
      </w:tr>
      <w:tr w:rsidR="001054BD" w:rsidRPr="001054BD" w:rsidTr="00F52B39">
        <w:trPr>
          <w:trHeight w:val="269"/>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1054BD" w:rsidRPr="005D7AC7" w:rsidRDefault="001054BD" w:rsidP="001054BD">
            <w:pPr>
              <w:rPr>
                <w:rFonts w:ascii="Arial" w:hAnsi="Arial" w:cs="Arial"/>
                <w:bCs/>
                <w:iCs/>
              </w:rPr>
            </w:pPr>
            <w:r>
              <w:rPr>
                <w:rFonts w:ascii="Arial" w:hAnsi="Arial"/>
                <w:bCs/>
                <w:iCs/>
              </w:rPr>
              <w:t>C</w:t>
            </w:r>
          </w:p>
        </w:tc>
        <w:tc>
          <w:tcPr>
            <w:tcW w:w="5076" w:type="dxa"/>
            <w:tcBorders>
              <w:top w:val="nil"/>
              <w:left w:val="nil"/>
              <w:bottom w:val="single" w:sz="4" w:space="0" w:color="auto"/>
              <w:right w:val="single" w:sz="4" w:space="0" w:color="auto"/>
            </w:tcBorders>
            <w:shd w:val="clear" w:color="auto" w:fill="auto"/>
            <w:noWrap/>
            <w:vAlign w:val="center"/>
            <w:hideMark/>
          </w:tcPr>
          <w:p w:rsidR="001054BD" w:rsidRPr="005D7AC7" w:rsidRDefault="001054BD" w:rsidP="001054BD">
            <w:pPr>
              <w:rPr>
                <w:rFonts w:ascii="Arial" w:hAnsi="Arial" w:cs="Arial"/>
                <w:bCs/>
                <w:iCs/>
              </w:rPr>
            </w:pPr>
            <w:r>
              <w:rPr>
                <w:rFonts w:ascii="Arial" w:hAnsi="Arial"/>
                <w:bCs/>
                <w:iCs/>
              </w:rPr>
              <w:t>Net cash from financing activities</w:t>
            </w:r>
          </w:p>
        </w:tc>
        <w:tc>
          <w:tcPr>
            <w:tcW w:w="2171" w:type="dxa"/>
            <w:tcBorders>
              <w:top w:val="nil"/>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iCs/>
              </w:rPr>
            </w:pPr>
            <w:r>
              <w:rPr>
                <w:rFonts w:ascii="Arial" w:hAnsi="Arial"/>
                <w:iCs/>
              </w:rPr>
              <w:t>-61,115</w:t>
            </w:r>
          </w:p>
        </w:tc>
        <w:tc>
          <w:tcPr>
            <w:tcW w:w="1677" w:type="dxa"/>
            <w:tcBorders>
              <w:top w:val="nil"/>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iCs/>
              </w:rPr>
            </w:pPr>
            <w:r>
              <w:rPr>
                <w:rFonts w:ascii="Arial" w:hAnsi="Arial"/>
                <w:iCs/>
              </w:rPr>
              <w:t>2,567</w:t>
            </w:r>
          </w:p>
        </w:tc>
      </w:tr>
      <w:tr w:rsidR="001054BD" w:rsidRPr="001054BD" w:rsidTr="00F52B39">
        <w:trPr>
          <w:trHeight w:val="269"/>
          <w:jc w:val="center"/>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54BD" w:rsidRPr="001054BD" w:rsidRDefault="001054BD" w:rsidP="001054BD">
            <w:pPr>
              <w:rPr>
                <w:rFonts w:ascii="Arial" w:hAnsi="Arial" w:cs="Arial"/>
                <w:b/>
                <w:bCs/>
                <w:i/>
                <w:iCs/>
              </w:rPr>
            </w:pPr>
            <w:r>
              <w:rPr>
                <w:rFonts w:ascii="Arial" w:hAnsi="Arial"/>
                <w:b/>
                <w:bCs/>
                <w:i/>
                <w:iCs/>
              </w:rPr>
              <w:lastRenderedPageBreak/>
              <w:t> </w:t>
            </w:r>
          </w:p>
        </w:tc>
        <w:tc>
          <w:tcPr>
            <w:tcW w:w="5076" w:type="dxa"/>
            <w:tcBorders>
              <w:top w:val="single" w:sz="4" w:space="0" w:color="auto"/>
              <w:left w:val="nil"/>
              <w:bottom w:val="single" w:sz="4" w:space="0" w:color="auto"/>
              <w:right w:val="single" w:sz="4" w:space="0" w:color="auto"/>
            </w:tcBorders>
            <w:shd w:val="clear" w:color="auto" w:fill="auto"/>
            <w:noWrap/>
            <w:vAlign w:val="center"/>
            <w:hideMark/>
          </w:tcPr>
          <w:p w:rsidR="001054BD" w:rsidRPr="005D7AC7" w:rsidRDefault="001054BD" w:rsidP="00465BD4">
            <w:pPr>
              <w:rPr>
                <w:rFonts w:ascii="Arial" w:hAnsi="Arial" w:cs="Arial"/>
                <w:b/>
                <w:bCs/>
                <w:iCs/>
              </w:rPr>
            </w:pPr>
            <w:r>
              <w:rPr>
                <w:rFonts w:ascii="Arial" w:hAnsi="Arial"/>
                <w:b/>
                <w:bCs/>
                <w:iCs/>
              </w:rPr>
              <w:t>Net increase of the cash and cash equivalents=A+B+C</w:t>
            </w:r>
          </w:p>
        </w:tc>
        <w:tc>
          <w:tcPr>
            <w:tcW w:w="2171" w:type="dxa"/>
            <w:tcBorders>
              <w:top w:val="single" w:sz="4" w:space="0" w:color="auto"/>
              <w:left w:val="nil"/>
              <w:bottom w:val="single" w:sz="4" w:space="0" w:color="auto"/>
              <w:right w:val="single" w:sz="4" w:space="0" w:color="auto"/>
            </w:tcBorders>
            <w:shd w:val="clear" w:color="auto" w:fill="auto"/>
            <w:noWrap/>
            <w:vAlign w:val="center"/>
          </w:tcPr>
          <w:p w:rsidR="001054BD" w:rsidRPr="005D7AC7" w:rsidRDefault="00926BE7" w:rsidP="001054BD">
            <w:pPr>
              <w:jc w:val="right"/>
              <w:rPr>
                <w:rFonts w:ascii="Arial" w:hAnsi="Arial" w:cs="Arial"/>
                <w:b/>
                <w:iCs/>
              </w:rPr>
            </w:pPr>
            <w:r>
              <w:rPr>
                <w:rFonts w:ascii="Arial" w:hAnsi="Arial"/>
                <w:b/>
                <w:iCs/>
              </w:rPr>
              <w:t>-43,395</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1054BD" w:rsidRPr="005D7AC7" w:rsidRDefault="001054BD" w:rsidP="001054BD">
            <w:pPr>
              <w:jc w:val="right"/>
              <w:rPr>
                <w:rFonts w:ascii="Arial" w:hAnsi="Arial" w:cs="Arial"/>
                <w:b/>
                <w:iCs/>
              </w:rPr>
            </w:pPr>
            <w:r>
              <w:rPr>
                <w:rFonts w:ascii="Arial" w:hAnsi="Arial"/>
                <w:b/>
                <w:iCs/>
              </w:rPr>
              <w:t>196,855</w:t>
            </w:r>
          </w:p>
        </w:tc>
      </w:tr>
      <w:tr w:rsidR="00404E73" w:rsidRPr="001054BD" w:rsidTr="004E5B77">
        <w:trPr>
          <w:trHeight w:val="100"/>
          <w:jc w:val="center"/>
        </w:trPr>
        <w:tc>
          <w:tcPr>
            <w:tcW w:w="504" w:type="dxa"/>
            <w:tcBorders>
              <w:top w:val="single" w:sz="4" w:space="0" w:color="auto"/>
              <w:bottom w:val="single" w:sz="4" w:space="0" w:color="auto"/>
            </w:tcBorders>
            <w:shd w:val="clear" w:color="auto" w:fill="auto"/>
            <w:noWrap/>
            <w:vAlign w:val="bottom"/>
          </w:tcPr>
          <w:p w:rsidR="00404E73" w:rsidRPr="001054BD" w:rsidRDefault="00404E73" w:rsidP="001054BD">
            <w:pPr>
              <w:rPr>
                <w:rFonts w:ascii="Arial" w:hAnsi="Arial" w:cs="Arial"/>
                <w:b/>
                <w:bCs/>
                <w:i/>
                <w:iCs/>
              </w:rPr>
            </w:pPr>
          </w:p>
        </w:tc>
        <w:tc>
          <w:tcPr>
            <w:tcW w:w="5076" w:type="dxa"/>
            <w:tcBorders>
              <w:top w:val="single" w:sz="4" w:space="0" w:color="auto"/>
              <w:bottom w:val="single" w:sz="4" w:space="0" w:color="auto"/>
            </w:tcBorders>
            <w:shd w:val="clear" w:color="auto" w:fill="auto"/>
            <w:noWrap/>
            <w:vAlign w:val="center"/>
          </w:tcPr>
          <w:p w:rsidR="00404E73" w:rsidRPr="001054BD" w:rsidRDefault="00404E73" w:rsidP="00465BD4">
            <w:pPr>
              <w:rPr>
                <w:rFonts w:ascii="Arial" w:hAnsi="Arial" w:cs="Arial"/>
                <w:bCs/>
                <w:i/>
                <w:iCs/>
              </w:rPr>
            </w:pPr>
          </w:p>
        </w:tc>
        <w:tc>
          <w:tcPr>
            <w:tcW w:w="2171" w:type="dxa"/>
            <w:tcBorders>
              <w:top w:val="single" w:sz="4" w:space="0" w:color="auto"/>
              <w:bottom w:val="single" w:sz="4" w:space="0" w:color="auto"/>
            </w:tcBorders>
            <w:shd w:val="clear" w:color="auto" w:fill="auto"/>
            <w:noWrap/>
            <w:vAlign w:val="center"/>
          </w:tcPr>
          <w:p w:rsidR="00404E73" w:rsidRPr="001054BD" w:rsidRDefault="00404E73" w:rsidP="001054BD">
            <w:pPr>
              <w:jc w:val="right"/>
              <w:rPr>
                <w:rFonts w:ascii="Arial" w:hAnsi="Arial" w:cs="Arial"/>
                <w:i/>
                <w:iCs/>
              </w:rPr>
            </w:pPr>
          </w:p>
        </w:tc>
        <w:tc>
          <w:tcPr>
            <w:tcW w:w="1677" w:type="dxa"/>
            <w:tcBorders>
              <w:top w:val="single" w:sz="4" w:space="0" w:color="auto"/>
              <w:bottom w:val="single" w:sz="4" w:space="0" w:color="auto"/>
            </w:tcBorders>
            <w:shd w:val="clear" w:color="auto" w:fill="auto"/>
            <w:noWrap/>
            <w:vAlign w:val="center"/>
          </w:tcPr>
          <w:p w:rsidR="00404E73" w:rsidRPr="001054BD" w:rsidRDefault="00404E73" w:rsidP="001054BD">
            <w:pPr>
              <w:jc w:val="right"/>
              <w:rPr>
                <w:rFonts w:ascii="Arial" w:hAnsi="Arial" w:cs="Arial"/>
                <w:i/>
                <w:iCs/>
              </w:rPr>
            </w:pPr>
          </w:p>
        </w:tc>
      </w:tr>
      <w:tr w:rsidR="00404E73" w:rsidRPr="001054BD" w:rsidTr="00404E73">
        <w:trPr>
          <w:trHeight w:val="269"/>
          <w:jc w:val="center"/>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E73" w:rsidRPr="005D7AC7" w:rsidRDefault="00404E73" w:rsidP="00404E73">
            <w:pPr>
              <w:rPr>
                <w:rFonts w:ascii="Arial" w:hAnsi="Arial" w:cs="Arial"/>
                <w:bCs/>
                <w:iCs/>
              </w:rPr>
            </w:pPr>
            <w:r>
              <w:rPr>
                <w:rFonts w:ascii="Arial" w:hAnsi="Arial"/>
                <w:bCs/>
                <w:iCs/>
              </w:rPr>
              <w:t>D1</w:t>
            </w:r>
          </w:p>
        </w:tc>
        <w:tc>
          <w:tcPr>
            <w:tcW w:w="5076" w:type="dxa"/>
            <w:tcBorders>
              <w:top w:val="single" w:sz="4" w:space="0" w:color="auto"/>
              <w:left w:val="nil"/>
              <w:bottom w:val="single" w:sz="4" w:space="0" w:color="auto"/>
              <w:right w:val="single" w:sz="4" w:space="0" w:color="auto"/>
            </w:tcBorders>
            <w:shd w:val="clear" w:color="auto" w:fill="auto"/>
            <w:noWrap/>
            <w:vAlign w:val="center"/>
            <w:hideMark/>
          </w:tcPr>
          <w:p w:rsidR="00404E73" w:rsidRPr="005D7AC7" w:rsidRDefault="00404E73" w:rsidP="00404E73">
            <w:pPr>
              <w:rPr>
                <w:rFonts w:ascii="Arial" w:hAnsi="Arial" w:cs="Arial"/>
                <w:bCs/>
                <w:iCs/>
              </w:rPr>
            </w:pPr>
            <w:r>
              <w:rPr>
                <w:rFonts w:ascii="Arial" w:hAnsi="Arial"/>
                <w:bCs/>
                <w:iCs/>
              </w:rPr>
              <w:t>Cash and cash equivalents at the beginning of the period</w:t>
            </w:r>
          </w:p>
        </w:tc>
        <w:tc>
          <w:tcPr>
            <w:tcW w:w="2171" w:type="dxa"/>
            <w:tcBorders>
              <w:top w:val="single" w:sz="4" w:space="0" w:color="auto"/>
              <w:left w:val="nil"/>
              <w:bottom w:val="single" w:sz="4" w:space="0" w:color="auto"/>
              <w:right w:val="single" w:sz="4" w:space="0" w:color="auto"/>
            </w:tcBorders>
            <w:shd w:val="clear" w:color="auto" w:fill="auto"/>
            <w:noWrap/>
            <w:vAlign w:val="center"/>
          </w:tcPr>
          <w:p w:rsidR="00404E73" w:rsidRPr="005D7AC7" w:rsidRDefault="00404E73" w:rsidP="00404E73">
            <w:pPr>
              <w:jc w:val="right"/>
              <w:rPr>
                <w:rFonts w:ascii="Arial" w:hAnsi="Arial" w:cs="Arial"/>
                <w:iCs/>
              </w:rPr>
            </w:pPr>
            <w:r>
              <w:rPr>
                <w:rFonts w:ascii="Arial" w:hAnsi="Arial"/>
                <w:iCs/>
              </w:rPr>
              <w:t>209,846</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404E73" w:rsidRPr="005D7AC7" w:rsidRDefault="00404E73" w:rsidP="00404E73">
            <w:pPr>
              <w:jc w:val="right"/>
              <w:rPr>
                <w:rFonts w:ascii="Arial" w:hAnsi="Arial" w:cs="Arial"/>
                <w:iCs/>
              </w:rPr>
            </w:pPr>
            <w:r>
              <w:rPr>
                <w:rFonts w:ascii="Arial" w:hAnsi="Arial"/>
                <w:iCs/>
              </w:rPr>
              <w:t>244,598</w:t>
            </w:r>
          </w:p>
        </w:tc>
      </w:tr>
      <w:tr w:rsidR="00404E73" w:rsidRPr="001054BD" w:rsidTr="00404E73">
        <w:trPr>
          <w:trHeight w:val="269"/>
          <w:jc w:val="center"/>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E73" w:rsidRPr="005D7AC7" w:rsidRDefault="00404E73" w:rsidP="00404E73">
            <w:pPr>
              <w:rPr>
                <w:rFonts w:ascii="Arial" w:hAnsi="Arial" w:cs="Arial"/>
                <w:bCs/>
                <w:iCs/>
              </w:rPr>
            </w:pPr>
            <w:r>
              <w:rPr>
                <w:rFonts w:ascii="Arial" w:hAnsi="Arial"/>
                <w:bCs/>
                <w:iCs/>
              </w:rPr>
              <w:t>D2</w:t>
            </w:r>
          </w:p>
        </w:tc>
        <w:tc>
          <w:tcPr>
            <w:tcW w:w="5076" w:type="dxa"/>
            <w:tcBorders>
              <w:top w:val="single" w:sz="4" w:space="0" w:color="auto"/>
              <w:left w:val="nil"/>
              <w:bottom w:val="single" w:sz="4" w:space="0" w:color="auto"/>
              <w:right w:val="single" w:sz="4" w:space="0" w:color="auto"/>
            </w:tcBorders>
            <w:shd w:val="clear" w:color="auto" w:fill="auto"/>
            <w:noWrap/>
            <w:vAlign w:val="center"/>
            <w:hideMark/>
          </w:tcPr>
          <w:p w:rsidR="00404E73" w:rsidRPr="005D7AC7" w:rsidRDefault="00404E73" w:rsidP="00404E73">
            <w:pPr>
              <w:rPr>
                <w:rFonts w:ascii="Arial" w:hAnsi="Arial" w:cs="Arial"/>
                <w:bCs/>
                <w:iCs/>
              </w:rPr>
            </w:pPr>
            <w:r>
              <w:rPr>
                <w:rFonts w:ascii="Arial" w:hAnsi="Arial"/>
                <w:bCs/>
                <w:iCs/>
              </w:rPr>
              <w:t>Cash and cash equivalents at the end of the period</w:t>
            </w:r>
          </w:p>
        </w:tc>
        <w:tc>
          <w:tcPr>
            <w:tcW w:w="2171" w:type="dxa"/>
            <w:tcBorders>
              <w:top w:val="single" w:sz="4" w:space="0" w:color="auto"/>
              <w:left w:val="nil"/>
              <w:bottom w:val="single" w:sz="4" w:space="0" w:color="auto"/>
              <w:right w:val="single" w:sz="4" w:space="0" w:color="auto"/>
            </w:tcBorders>
            <w:shd w:val="clear" w:color="auto" w:fill="auto"/>
            <w:noWrap/>
            <w:vAlign w:val="center"/>
          </w:tcPr>
          <w:p w:rsidR="00404E73" w:rsidRPr="005D7AC7" w:rsidRDefault="004376BC" w:rsidP="00404E73">
            <w:pPr>
              <w:jc w:val="right"/>
              <w:rPr>
                <w:rFonts w:ascii="Arial" w:hAnsi="Arial" w:cs="Arial"/>
                <w:iCs/>
              </w:rPr>
            </w:pPr>
            <w:r>
              <w:rPr>
                <w:rFonts w:ascii="Arial" w:hAnsi="Arial"/>
                <w:iCs/>
              </w:rPr>
              <w:t>166,451</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404E73" w:rsidRPr="005D7AC7" w:rsidRDefault="00404E73" w:rsidP="00404E73">
            <w:pPr>
              <w:jc w:val="right"/>
              <w:rPr>
                <w:rFonts w:ascii="Arial" w:hAnsi="Arial" w:cs="Arial"/>
                <w:iCs/>
              </w:rPr>
            </w:pPr>
            <w:r>
              <w:rPr>
                <w:rFonts w:ascii="Arial" w:hAnsi="Arial"/>
                <w:iCs/>
              </w:rPr>
              <w:t>441,453</w:t>
            </w:r>
          </w:p>
        </w:tc>
      </w:tr>
      <w:tr w:rsidR="00404E73" w:rsidRPr="001054BD" w:rsidTr="00404E73">
        <w:trPr>
          <w:trHeight w:val="269"/>
          <w:jc w:val="center"/>
        </w:trPr>
        <w:tc>
          <w:tcPr>
            <w:tcW w:w="504" w:type="dxa"/>
            <w:tcBorders>
              <w:top w:val="single" w:sz="4" w:space="0" w:color="auto"/>
              <w:left w:val="nil"/>
              <w:bottom w:val="nil"/>
              <w:right w:val="nil"/>
            </w:tcBorders>
            <w:shd w:val="clear" w:color="auto" w:fill="auto"/>
            <w:noWrap/>
            <w:vAlign w:val="bottom"/>
            <w:hideMark/>
          </w:tcPr>
          <w:p w:rsidR="00404E73" w:rsidRPr="001054BD" w:rsidRDefault="00404E73" w:rsidP="00404E73">
            <w:pPr>
              <w:rPr>
                <w:rFonts w:ascii="Arial" w:hAnsi="Arial" w:cs="Arial"/>
                <w:b/>
                <w:bCs/>
                <w:i/>
                <w:iCs/>
              </w:rPr>
            </w:pPr>
          </w:p>
        </w:tc>
        <w:tc>
          <w:tcPr>
            <w:tcW w:w="5076" w:type="dxa"/>
            <w:tcBorders>
              <w:top w:val="single" w:sz="4" w:space="0" w:color="auto"/>
              <w:left w:val="nil"/>
              <w:bottom w:val="nil"/>
              <w:right w:val="nil"/>
            </w:tcBorders>
            <w:shd w:val="clear" w:color="auto" w:fill="auto"/>
            <w:noWrap/>
            <w:vAlign w:val="center"/>
            <w:hideMark/>
          </w:tcPr>
          <w:p w:rsidR="00404E73" w:rsidRPr="005D7AC7" w:rsidRDefault="00404E73" w:rsidP="00404E73">
            <w:pPr>
              <w:rPr>
                <w:rFonts w:ascii="Arial" w:hAnsi="Arial" w:cs="Arial"/>
                <w:iCs/>
              </w:rPr>
            </w:pPr>
            <w:r>
              <w:rPr>
                <w:rFonts w:ascii="Arial" w:hAnsi="Arial"/>
                <w:iCs/>
              </w:rPr>
              <w:t>To which is being added:</w:t>
            </w:r>
          </w:p>
        </w:tc>
        <w:tc>
          <w:tcPr>
            <w:tcW w:w="2171" w:type="dxa"/>
            <w:tcBorders>
              <w:top w:val="single" w:sz="4" w:space="0" w:color="auto"/>
              <w:left w:val="nil"/>
              <w:bottom w:val="nil"/>
              <w:right w:val="nil"/>
            </w:tcBorders>
            <w:shd w:val="clear" w:color="auto" w:fill="auto"/>
            <w:noWrap/>
            <w:vAlign w:val="center"/>
          </w:tcPr>
          <w:p w:rsidR="00404E73" w:rsidRPr="005D7AC7" w:rsidRDefault="00404E73" w:rsidP="00404E73">
            <w:pPr>
              <w:jc w:val="right"/>
              <w:rPr>
                <w:rFonts w:ascii="Arial" w:hAnsi="Arial" w:cs="Arial"/>
              </w:rPr>
            </w:pPr>
          </w:p>
        </w:tc>
        <w:tc>
          <w:tcPr>
            <w:tcW w:w="1677" w:type="dxa"/>
            <w:tcBorders>
              <w:top w:val="single" w:sz="4" w:space="0" w:color="auto"/>
              <w:left w:val="nil"/>
              <w:bottom w:val="nil"/>
              <w:right w:val="nil"/>
            </w:tcBorders>
            <w:shd w:val="clear" w:color="auto" w:fill="auto"/>
            <w:noWrap/>
            <w:vAlign w:val="center"/>
          </w:tcPr>
          <w:p w:rsidR="00404E73" w:rsidRPr="005D7AC7" w:rsidRDefault="00404E73" w:rsidP="00404E73">
            <w:pPr>
              <w:jc w:val="right"/>
              <w:rPr>
                <w:rFonts w:ascii="Arial" w:hAnsi="Arial" w:cs="Arial"/>
              </w:rPr>
            </w:pPr>
          </w:p>
        </w:tc>
      </w:tr>
      <w:tr w:rsidR="00404E73" w:rsidRPr="001054BD" w:rsidTr="00404E73">
        <w:trPr>
          <w:trHeight w:val="269"/>
          <w:jc w:val="center"/>
        </w:trPr>
        <w:tc>
          <w:tcPr>
            <w:tcW w:w="504" w:type="dxa"/>
            <w:tcBorders>
              <w:top w:val="nil"/>
              <w:left w:val="nil"/>
              <w:bottom w:val="nil"/>
              <w:right w:val="nil"/>
            </w:tcBorders>
            <w:shd w:val="clear" w:color="auto" w:fill="auto"/>
            <w:noWrap/>
            <w:vAlign w:val="bottom"/>
            <w:hideMark/>
          </w:tcPr>
          <w:p w:rsidR="00404E73" w:rsidRPr="001054BD" w:rsidRDefault="00404E73" w:rsidP="00404E73">
            <w:pPr>
              <w:rPr>
                <w:rFonts w:ascii="Arial" w:hAnsi="Arial" w:cs="Arial"/>
              </w:rPr>
            </w:pPr>
          </w:p>
        </w:tc>
        <w:tc>
          <w:tcPr>
            <w:tcW w:w="5076" w:type="dxa"/>
            <w:tcBorders>
              <w:top w:val="nil"/>
              <w:left w:val="nil"/>
              <w:bottom w:val="single" w:sz="4" w:space="0" w:color="auto"/>
              <w:right w:val="nil"/>
            </w:tcBorders>
            <w:shd w:val="clear" w:color="auto" w:fill="auto"/>
            <w:noWrap/>
            <w:vAlign w:val="center"/>
            <w:hideMark/>
          </w:tcPr>
          <w:p w:rsidR="00404E73" w:rsidRPr="001054BD" w:rsidRDefault="00404E73" w:rsidP="00404E73">
            <w:pPr>
              <w:rPr>
                <w:rFonts w:ascii="Arial" w:hAnsi="Arial" w:cs="Arial"/>
                <w:i/>
                <w:iCs/>
              </w:rPr>
            </w:pPr>
            <w:r>
              <w:rPr>
                <w:rFonts w:ascii="Arial" w:hAnsi="Arial"/>
                <w:i/>
                <w:iCs/>
              </w:rPr>
              <w:t>Government securities as government bonds and treasury bills</w:t>
            </w:r>
          </w:p>
        </w:tc>
        <w:tc>
          <w:tcPr>
            <w:tcW w:w="2171" w:type="dxa"/>
            <w:tcBorders>
              <w:top w:val="nil"/>
              <w:left w:val="nil"/>
              <w:bottom w:val="single" w:sz="4" w:space="0" w:color="auto"/>
              <w:right w:val="nil"/>
            </w:tcBorders>
            <w:shd w:val="clear" w:color="auto" w:fill="auto"/>
            <w:noWrap/>
            <w:vAlign w:val="center"/>
          </w:tcPr>
          <w:p w:rsidR="00404E73" w:rsidRPr="001054BD" w:rsidRDefault="004376BC" w:rsidP="00404E73">
            <w:pPr>
              <w:jc w:val="right"/>
              <w:rPr>
                <w:rFonts w:ascii="Arial" w:hAnsi="Arial" w:cs="Arial"/>
                <w:i/>
                <w:iCs/>
              </w:rPr>
            </w:pPr>
            <w:r>
              <w:rPr>
                <w:rFonts w:ascii="Arial" w:hAnsi="Arial"/>
                <w:i/>
                <w:iCs/>
              </w:rPr>
              <w:t>70,310</w:t>
            </w:r>
          </w:p>
        </w:tc>
        <w:tc>
          <w:tcPr>
            <w:tcW w:w="1677" w:type="dxa"/>
            <w:tcBorders>
              <w:top w:val="nil"/>
              <w:left w:val="nil"/>
              <w:bottom w:val="single" w:sz="4" w:space="0" w:color="auto"/>
              <w:right w:val="nil"/>
            </w:tcBorders>
            <w:shd w:val="clear" w:color="auto" w:fill="auto"/>
            <w:noWrap/>
            <w:vAlign w:val="center"/>
          </w:tcPr>
          <w:p w:rsidR="00404E73" w:rsidRPr="001054BD" w:rsidRDefault="00404E73" w:rsidP="00404E73">
            <w:pPr>
              <w:jc w:val="right"/>
              <w:rPr>
                <w:rFonts w:ascii="Arial" w:hAnsi="Arial" w:cs="Arial"/>
                <w:i/>
                <w:iCs/>
              </w:rPr>
            </w:pPr>
            <w:r>
              <w:rPr>
                <w:rFonts w:ascii="Arial" w:hAnsi="Arial"/>
                <w:i/>
                <w:iCs/>
              </w:rPr>
              <w:t>18,929</w:t>
            </w:r>
          </w:p>
        </w:tc>
      </w:tr>
      <w:tr w:rsidR="00404E73" w:rsidRPr="001054BD" w:rsidTr="00404E73">
        <w:trPr>
          <w:trHeight w:val="195"/>
          <w:jc w:val="center"/>
        </w:trPr>
        <w:tc>
          <w:tcPr>
            <w:tcW w:w="504" w:type="dxa"/>
            <w:tcBorders>
              <w:top w:val="nil"/>
              <w:left w:val="nil"/>
              <w:bottom w:val="nil"/>
              <w:right w:val="nil"/>
            </w:tcBorders>
            <w:shd w:val="clear" w:color="auto" w:fill="auto"/>
            <w:noWrap/>
            <w:vAlign w:val="bottom"/>
            <w:hideMark/>
          </w:tcPr>
          <w:p w:rsidR="00404E73" w:rsidRPr="001054BD" w:rsidRDefault="00404E73" w:rsidP="00404E73">
            <w:pPr>
              <w:rPr>
                <w:rFonts w:ascii="Arial" w:hAnsi="Arial" w:cs="Arial"/>
                <w:i/>
                <w:iCs/>
              </w:rPr>
            </w:pPr>
          </w:p>
        </w:tc>
        <w:tc>
          <w:tcPr>
            <w:tcW w:w="5076" w:type="dxa"/>
            <w:tcBorders>
              <w:top w:val="nil"/>
              <w:left w:val="nil"/>
              <w:bottom w:val="double" w:sz="4" w:space="0" w:color="auto"/>
              <w:right w:val="nil"/>
            </w:tcBorders>
            <w:shd w:val="clear" w:color="auto" w:fill="auto"/>
            <w:noWrap/>
            <w:vAlign w:val="center"/>
            <w:hideMark/>
          </w:tcPr>
          <w:p w:rsidR="00404E73" w:rsidRPr="005D7AC7" w:rsidRDefault="00404E73" w:rsidP="00404E73">
            <w:pPr>
              <w:rPr>
                <w:rFonts w:ascii="Arial" w:hAnsi="Arial" w:cs="Arial"/>
                <w:b/>
                <w:bCs/>
                <w:iCs/>
              </w:rPr>
            </w:pPr>
            <w:r>
              <w:rPr>
                <w:rFonts w:ascii="Arial" w:hAnsi="Arial"/>
                <w:b/>
                <w:bCs/>
                <w:iCs/>
              </w:rPr>
              <w:t>Total availabilities at the end of the period</w:t>
            </w:r>
          </w:p>
        </w:tc>
        <w:tc>
          <w:tcPr>
            <w:tcW w:w="2171" w:type="dxa"/>
            <w:tcBorders>
              <w:top w:val="nil"/>
              <w:left w:val="nil"/>
              <w:bottom w:val="double" w:sz="4" w:space="0" w:color="auto"/>
              <w:right w:val="nil"/>
            </w:tcBorders>
            <w:shd w:val="clear" w:color="auto" w:fill="auto"/>
            <w:noWrap/>
            <w:vAlign w:val="center"/>
          </w:tcPr>
          <w:p w:rsidR="00404E73" w:rsidRPr="005D7AC7" w:rsidRDefault="004376BC" w:rsidP="00404E73">
            <w:pPr>
              <w:jc w:val="right"/>
              <w:rPr>
                <w:rFonts w:ascii="Arial" w:hAnsi="Arial" w:cs="Arial"/>
                <w:b/>
                <w:bCs/>
                <w:iCs/>
              </w:rPr>
            </w:pPr>
            <w:r>
              <w:rPr>
                <w:rFonts w:ascii="Arial" w:hAnsi="Arial"/>
                <w:b/>
                <w:bCs/>
                <w:iCs/>
              </w:rPr>
              <w:t>236,761</w:t>
            </w:r>
          </w:p>
        </w:tc>
        <w:tc>
          <w:tcPr>
            <w:tcW w:w="1677" w:type="dxa"/>
            <w:tcBorders>
              <w:top w:val="nil"/>
              <w:left w:val="nil"/>
              <w:bottom w:val="double" w:sz="4" w:space="0" w:color="auto"/>
              <w:right w:val="nil"/>
            </w:tcBorders>
            <w:shd w:val="clear" w:color="auto" w:fill="auto"/>
            <w:noWrap/>
            <w:vAlign w:val="center"/>
          </w:tcPr>
          <w:p w:rsidR="00404E73" w:rsidRPr="005D7AC7" w:rsidRDefault="00404E73" w:rsidP="00404E73">
            <w:pPr>
              <w:jc w:val="right"/>
              <w:rPr>
                <w:rFonts w:ascii="Arial" w:hAnsi="Arial" w:cs="Arial"/>
                <w:b/>
                <w:bCs/>
                <w:iCs/>
              </w:rPr>
            </w:pPr>
            <w:r>
              <w:rPr>
                <w:rFonts w:ascii="Arial" w:hAnsi="Arial"/>
                <w:b/>
                <w:bCs/>
                <w:iCs/>
              </w:rPr>
              <w:t>460,382</w:t>
            </w:r>
          </w:p>
        </w:tc>
      </w:tr>
    </w:tbl>
    <w:p w:rsidR="00BF605F" w:rsidRDefault="00BF605F" w:rsidP="008C57DB">
      <w:pPr>
        <w:tabs>
          <w:tab w:val="left" w:pos="450"/>
        </w:tabs>
        <w:jc w:val="center"/>
        <w:rPr>
          <w:rFonts w:ascii="Arial" w:hAnsi="Arial" w:cs="Arial"/>
          <w:sz w:val="16"/>
          <w:szCs w:val="16"/>
        </w:rPr>
      </w:pPr>
    </w:p>
    <w:p w:rsidR="00A223AD" w:rsidRPr="001819A5" w:rsidRDefault="00A223AD" w:rsidP="008C57DB">
      <w:pPr>
        <w:tabs>
          <w:tab w:val="left" w:pos="450"/>
        </w:tabs>
        <w:jc w:val="center"/>
        <w:rPr>
          <w:rFonts w:ascii="Arial" w:hAnsi="Arial" w:cs="Arial"/>
          <w:spacing w:val="3"/>
          <w:sz w:val="16"/>
          <w:szCs w:val="16"/>
        </w:rPr>
      </w:pPr>
      <w:r>
        <w:rPr>
          <w:rFonts w:ascii="Arial" w:hAnsi="Arial"/>
          <w:sz w:val="16"/>
          <w:szCs w:val="16"/>
        </w:rPr>
        <w:t xml:space="preserve">Table 15 - Synthesis of the </w:t>
      </w:r>
      <w:proofErr w:type="gramStart"/>
      <w:r>
        <w:rPr>
          <w:rFonts w:ascii="Arial" w:hAnsi="Arial"/>
          <w:sz w:val="16"/>
          <w:szCs w:val="16"/>
        </w:rPr>
        <w:t>cash-flows</w:t>
      </w:r>
      <w:proofErr w:type="gramEnd"/>
      <w:r w:rsidR="004E5B77">
        <w:rPr>
          <w:rFonts w:ascii="Arial" w:hAnsi="Arial"/>
          <w:sz w:val="16"/>
          <w:szCs w:val="16"/>
        </w:rPr>
        <w:t xml:space="preserve"> for the six</w:t>
      </w:r>
      <w:r>
        <w:rPr>
          <w:rFonts w:ascii="Arial" w:hAnsi="Arial"/>
          <w:sz w:val="16"/>
          <w:szCs w:val="16"/>
        </w:rPr>
        <w:t xml:space="preserve"> months period ended June 30, 2018 vs 2017</w:t>
      </w:r>
    </w:p>
    <w:p w:rsidR="007D26EA" w:rsidRPr="001054BD" w:rsidRDefault="007D26EA" w:rsidP="008C57DB">
      <w:pPr>
        <w:tabs>
          <w:tab w:val="left" w:pos="450"/>
        </w:tabs>
        <w:jc w:val="center"/>
        <w:rPr>
          <w:rFonts w:ascii="Arial" w:hAnsi="Arial" w:cs="Arial"/>
          <w:bCs/>
          <w:i/>
          <w:sz w:val="22"/>
          <w:szCs w:val="22"/>
        </w:rPr>
      </w:pPr>
    </w:p>
    <w:p w:rsidR="007D26EA" w:rsidRPr="00014EF8" w:rsidRDefault="007D26EA" w:rsidP="007D26EA">
      <w:pPr>
        <w:tabs>
          <w:tab w:val="left" w:pos="450"/>
        </w:tabs>
        <w:spacing w:line="276" w:lineRule="auto"/>
        <w:jc w:val="both"/>
        <w:rPr>
          <w:rFonts w:ascii="Arial" w:hAnsi="Arial" w:cs="Arial"/>
          <w:spacing w:val="3"/>
          <w:sz w:val="22"/>
          <w:szCs w:val="22"/>
        </w:rPr>
      </w:pPr>
      <w:r>
        <w:rPr>
          <w:rFonts w:ascii="Arial" w:hAnsi="Arial"/>
          <w:sz w:val="22"/>
          <w:szCs w:val="22"/>
        </w:rPr>
        <w:t>The variation per total cash-flow knows a downwarding trend from 441</w:t>
      </w:r>
      <w:r w:rsidR="00495946">
        <w:rPr>
          <w:rFonts w:ascii="Arial" w:hAnsi="Arial"/>
          <w:sz w:val="22"/>
          <w:szCs w:val="22"/>
        </w:rPr>
        <w:t xml:space="preserve"> mRON to 166</w:t>
      </w:r>
      <w:r>
        <w:rPr>
          <w:rFonts w:ascii="Arial" w:hAnsi="Arial"/>
          <w:sz w:val="22"/>
          <w:szCs w:val="22"/>
        </w:rPr>
        <w:t xml:space="preserve"> </w:t>
      </w:r>
      <w:r w:rsidR="00495946">
        <w:rPr>
          <w:rFonts w:ascii="Arial" w:hAnsi="Arial"/>
          <w:sz w:val="22"/>
          <w:szCs w:val="22"/>
        </w:rPr>
        <w:t>m</w:t>
      </w:r>
      <w:r>
        <w:rPr>
          <w:rFonts w:ascii="Arial" w:hAnsi="Arial"/>
          <w:sz w:val="22"/>
          <w:szCs w:val="22"/>
        </w:rPr>
        <w:t>RON. This decrease in cash was determined by the payments of dividends in 2017 H2 (228 million RON), distributed out of 2016 profit and from other equity elements (retained earnings and own financing sources), as well as by the payment, during the reporting period, of the net dividends distributed out of the net profit of 2017 financial year (67 million RON).</w:t>
      </w:r>
    </w:p>
    <w:p w:rsidR="007D26EA" w:rsidRPr="00014EF8" w:rsidRDefault="007D26EA" w:rsidP="007D26EA">
      <w:pPr>
        <w:tabs>
          <w:tab w:val="left" w:pos="450"/>
        </w:tabs>
        <w:spacing w:line="276" w:lineRule="auto"/>
        <w:jc w:val="both"/>
        <w:rPr>
          <w:rFonts w:ascii="Arial" w:hAnsi="Arial" w:cs="Arial"/>
          <w:spacing w:val="3"/>
          <w:sz w:val="22"/>
          <w:szCs w:val="22"/>
        </w:rPr>
      </w:pPr>
    </w:p>
    <w:p w:rsidR="007D26EA" w:rsidRPr="00014EF8" w:rsidRDefault="007D26EA" w:rsidP="007D26EA">
      <w:pPr>
        <w:tabs>
          <w:tab w:val="left" w:pos="450"/>
        </w:tabs>
        <w:spacing w:line="276" w:lineRule="auto"/>
        <w:jc w:val="both"/>
        <w:rPr>
          <w:rFonts w:ascii="Arial" w:hAnsi="Arial" w:cs="Arial"/>
          <w:spacing w:val="3"/>
          <w:sz w:val="22"/>
          <w:szCs w:val="22"/>
        </w:rPr>
      </w:pPr>
      <w:r>
        <w:rPr>
          <w:rFonts w:ascii="Arial" w:hAnsi="Arial"/>
          <w:sz w:val="22"/>
          <w:szCs w:val="22"/>
        </w:rPr>
        <w:t>The effects of the three activity areas (operation, investments and financing) over the cash in 2018 H1 is as follows:</w:t>
      </w:r>
    </w:p>
    <w:p w:rsidR="007D26EA" w:rsidRDefault="007D26EA" w:rsidP="00D87DA4">
      <w:pPr>
        <w:pStyle w:val="ListParagraph"/>
        <w:numPr>
          <w:ilvl w:val="0"/>
          <w:numId w:val="33"/>
        </w:numPr>
        <w:tabs>
          <w:tab w:val="left" w:pos="450"/>
        </w:tabs>
        <w:jc w:val="both"/>
        <w:rPr>
          <w:rFonts w:ascii="Arial" w:hAnsi="Arial" w:cs="Arial"/>
          <w:spacing w:val="3"/>
        </w:rPr>
      </w:pPr>
      <w:r>
        <w:rPr>
          <w:rFonts w:ascii="Arial" w:hAnsi="Arial"/>
        </w:rPr>
        <w:t xml:space="preserve"> the operating activity triggered a cash-flow in amount of 3</w:t>
      </w:r>
      <w:r w:rsidR="007A3B8B">
        <w:rPr>
          <w:rFonts w:ascii="Arial" w:hAnsi="Arial"/>
        </w:rPr>
        <w:t>3 m</w:t>
      </w:r>
      <w:r>
        <w:rPr>
          <w:rFonts w:ascii="Arial" w:hAnsi="Arial"/>
        </w:rPr>
        <w:t>RON;</w:t>
      </w:r>
    </w:p>
    <w:p w:rsidR="00927A3A" w:rsidRPr="00927A3A" w:rsidRDefault="00927A3A" w:rsidP="00D87DA4">
      <w:pPr>
        <w:pStyle w:val="ListParagraph"/>
        <w:numPr>
          <w:ilvl w:val="0"/>
          <w:numId w:val="33"/>
        </w:numPr>
        <w:tabs>
          <w:tab w:val="left" w:pos="450"/>
        </w:tabs>
        <w:jc w:val="both"/>
        <w:rPr>
          <w:rFonts w:ascii="Arial" w:hAnsi="Arial" w:cs="Arial"/>
          <w:spacing w:val="3"/>
        </w:rPr>
      </w:pPr>
      <w:r>
        <w:rPr>
          <w:rFonts w:ascii="Arial" w:hAnsi="Arial"/>
        </w:rPr>
        <w:t>the investment activity ended with a negative cash-flow, the payments for the procurement of the fixed assets</w:t>
      </w:r>
      <w:r w:rsidR="007A3B8B">
        <w:rPr>
          <w:rFonts w:ascii="Arial" w:hAnsi="Arial"/>
        </w:rPr>
        <w:t xml:space="preserve"> being higher by 15</w:t>
      </w:r>
      <w:r>
        <w:rPr>
          <w:rFonts w:ascii="Arial" w:hAnsi="Arial"/>
        </w:rPr>
        <w:t xml:space="preserve"> </w:t>
      </w:r>
      <w:r w:rsidR="007A3B8B">
        <w:rPr>
          <w:rFonts w:ascii="Arial" w:hAnsi="Arial"/>
        </w:rPr>
        <w:t>m</w:t>
      </w:r>
      <w:r>
        <w:rPr>
          <w:rFonts w:ascii="Arial" w:hAnsi="Arial"/>
        </w:rPr>
        <w:t>RON than the input of cash from the modernization quota;</w:t>
      </w:r>
    </w:p>
    <w:p w:rsidR="007D26EA" w:rsidRPr="00927A3A" w:rsidRDefault="00927A3A" w:rsidP="00D87DA4">
      <w:pPr>
        <w:pStyle w:val="ListParagraph"/>
        <w:numPr>
          <w:ilvl w:val="0"/>
          <w:numId w:val="33"/>
        </w:numPr>
        <w:tabs>
          <w:tab w:val="left" w:pos="450"/>
        </w:tabs>
        <w:jc w:val="both"/>
        <w:rPr>
          <w:rFonts w:ascii="Arial" w:hAnsi="Arial" w:cs="Arial"/>
          <w:spacing w:val="3"/>
        </w:rPr>
      </w:pPr>
      <w:r>
        <w:rPr>
          <w:rFonts w:ascii="Arial" w:hAnsi="Arial"/>
        </w:rPr>
        <w:t xml:space="preserve">The financing activity lowered the total cash flow by 61 </w:t>
      </w:r>
      <w:r w:rsidR="00FF0B14">
        <w:rPr>
          <w:rFonts w:ascii="Arial" w:hAnsi="Arial"/>
        </w:rPr>
        <w:t>m</w:t>
      </w:r>
      <w:r>
        <w:rPr>
          <w:rFonts w:ascii="Arial" w:hAnsi="Arial"/>
        </w:rPr>
        <w:t>RON due to the cash outputs for the payment of dividends in amount of 67</w:t>
      </w:r>
      <w:r w:rsidR="00FF0B14">
        <w:rPr>
          <w:rFonts w:ascii="Arial" w:hAnsi="Arial"/>
        </w:rPr>
        <w:t xml:space="preserve"> m</w:t>
      </w:r>
      <w:r>
        <w:rPr>
          <w:rFonts w:ascii="Arial" w:hAnsi="Arial"/>
        </w:rPr>
        <w:t>RON.</w:t>
      </w:r>
    </w:p>
    <w:p w:rsidR="007D26EA" w:rsidRPr="00014EF8" w:rsidRDefault="007D26EA" w:rsidP="007D26EA">
      <w:pPr>
        <w:tabs>
          <w:tab w:val="left" w:pos="450"/>
        </w:tabs>
        <w:spacing w:line="276" w:lineRule="auto"/>
        <w:jc w:val="both"/>
        <w:rPr>
          <w:rFonts w:ascii="Arial" w:hAnsi="Arial" w:cs="Arial"/>
          <w:spacing w:val="3"/>
          <w:sz w:val="22"/>
          <w:szCs w:val="22"/>
        </w:rPr>
      </w:pPr>
      <w:r>
        <w:rPr>
          <w:rFonts w:ascii="Arial" w:hAnsi="Arial"/>
          <w:sz w:val="22"/>
          <w:szCs w:val="22"/>
        </w:rPr>
        <w:t xml:space="preserve">As compared to the same period last year, the net cash flow generated by the operating activity in 2018 H1 recorded a decrease </w:t>
      </w:r>
      <w:proofErr w:type="gramStart"/>
      <w:r>
        <w:rPr>
          <w:rFonts w:ascii="Arial" w:hAnsi="Arial"/>
          <w:sz w:val="22"/>
          <w:szCs w:val="22"/>
        </w:rPr>
        <w:t>by  8</w:t>
      </w:r>
      <w:proofErr w:type="gramEnd"/>
      <w:r w:rsidR="00751B4F">
        <w:rPr>
          <w:rFonts w:ascii="Arial" w:hAnsi="Arial"/>
          <w:sz w:val="22"/>
          <w:szCs w:val="22"/>
        </w:rPr>
        <w:t xml:space="preserve"> m</w:t>
      </w:r>
      <w:r>
        <w:rPr>
          <w:rFonts w:ascii="Arial" w:hAnsi="Arial"/>
          <w:sz w:val="22"/>
          <w:szCs w:val="22"/>
        </w:rPr>
        <w:t xml:space="preserve">RON. This decrease was determined by the higher payments to the employees, due to the increase in salaries. </w:t>
      </w:r>
    </w:p>
    <w:p w:rsidR="007D26EA" w:rsidRPr="00014EF8" w:rsidRDefault="007D26EA" w:rsidP="007D26EA">
      <w:pPr>
        <w:tabs>
          <w:tab w:val="left" w:pos="450"/>
        </w:tabs>
        <w:spacing w:line="276" w:lineRule="auto"/>
        <w:jc w:val="both"/>
        <w:rPr>
          <w:rFonts w:ascii="Arial" w:hAnsi="Arial" w:cs="Arial"/>
          <w:spacing w:val="3"/>
          <w:sz w:val="22"/>
          <w:szCs w:val="22"/>
        </w:rPr>
      </w:pPr>
      <w:r>
        <w:rPr>
          <w:rFonts w:ascii="Arial" w:hAnsi="Arial"/>
          <w:sz w:val="22"/>
          <w:szCs w:val="22"/>
        </w:rPr>
        <w:t xml:space="preserve">In the cash flow </w:t>
      </w:r>
      <w:r w:rsidR="00522FDB">
        <w:rPr>
          <w:rFonts w:ascii="Arial" w:hAnsi="Arial"/>
          <w:sz w:val="22"/>
          <w:szCs w:val="22"/>
        </w:rPr>
        <w:t>table,</w:t>
      </w:r>
      <w:r>
        <w:rPr>
          <w:rFonts w:ascii="Arial" w:hAnsi="Arial"/>
          <w:sz w:val="22"/>
          <w:szCs w:val="22"/>
        </w:rPr>
        <w:t xml:space="preserve"> it can be noticed a decrease in 2018 H1 </w:t>
      </w:r>
      <w:r w:rsidR="00522FDB">
        <w:rPr>
          <w:rFonts w:ascii="Arial" w:hAnsi="Arial"/>
          <w:sz w:val="22"/>
          <w:szCs w:val="22"/>
        </w:rPr>
        <w:t xml:space="preserve">of </w:t>
      </w:r>
      <w:r>
        <w:rPr>
          <w:rFonts w:ascii="Arial" w:hAnsi="Arial"/>
          <w:sz w:val="22"/>
          <w:szCs w:val="22"/>
        </w:rPr>
        <w:t xml:space="preserve"> the proceeds from the services supplied, as compared to the same period of 2017, this decrease being determined by higher collections in 2017, coming from the invoices  issued with 24% VAT, existing in balance at 31.12.2016.</w:t>
      </w:r>
    </w:p>
    <w:p w:rsidR="007D26EA" w:rsidRPr="00014EF8" w:rsidRDefault="007D26EA" w:rsidP="007D26EA">
      <w:pPr>
        <w:tabs>
          <w:tab w:val="left" w:pos="450"/>
        </w:tabs>
        <w:spacing w:line="276" w:lineRule="auto"/>
        <w:jc w:val="both"/>
        <w:rPr>
          <w:rFonts w:ascii="Arial" w:hAnsi="Arial" w:cs="Arial"/>
          <w:spacing w:val="3"/>
          <w:sz w:val="22"/>
          <w:szCs w:val="22"/>
        </w:rPr>
      </w:pPr>
    </w:p>
    <w:p w:rsidR="007D26EA" w:rsidRPr="00AD3361" w:rsidRDefault="007D26EA" w:rsidP="007D26EA">
      <w:pPr>
        <w:tabs>
          <w:tab w:val="left" w:pos="450"/>
        </w:tabs>
        <w:spacing w:line="276" w:lineRule="auto"/>
        <w:jc w:val="both"/>
        <w:rPr>
          <w:rFonts w:ascii="Arial" w:hAnsi="Arial" w:cs="Arial"/>
          <w:spacing w:val="3"/>
          <w:sz w:val="22"/>
          <w:szCs w:val="22"/>
        </w:rPr>
      </w:pPr>
      <w:r>
        <w:rPr>
          <w:rFonts w:ascii="Arial" w:hAnsi="Arial"/>
          <w:sz w:val="22"/>
          <w:szCs w:val="22"/>
        </w:rPr>
        <w:t>The net cash from investment activities generated a decrease within the first 6 months of 2018, due to the investment in government securities after having performed the dividend payments out of profit and other equity elements (retained earnings and other reserves -own financing sources) which led to a significant diminution in cash.</w:t>
      </w:r>
    </w:p>
    <w:p w:rsidR="00584ADC" w:rsidRDefault="00584ADC" w:rsidP="007D26EA">
      <w:pPr>
        <w:tabs>
          <w:tab w:val="left" w:pos="450"/>
        </w:tabs>
        <w:spacing w:line="276" w:lineRule="auto"/>
        <w:jc w:val="both"/>
        <w:rPr>
          <w:rFonts w:ascii="Arial" w:hAnsi="Arial" w:cs="Arial"/>
          <w:spacing w:val="3"/>
          <w:sz w:val="22"/>
          <w:szCs w:val="22"/>
        </w:rPr>
      </w:pPr>
    </w:p>
    <w:p w:rsidR="007D26EA" w:rsidRPr="00014EF8" w:rsidRDefault="007D26EA" w:rsidP="007D26EA">
      <w:pPr>
        <w:tabs>
          <w:tab w:val="left" w:pos="450"/>
        </w:tabs>
        <w:spacing w:line="276" w:lineRule="auto"/>
        <w:jc w:val="both"/>
        <w:rPr>
          <w:rFonts w:ascii="Arial" w:hAnsi="Arial" w:cs="Arial"/>
          <w:spacing w:val="3"/>
          <w:sz w:val="22"/>
          <w:szCs w:val="22"/>
        </w:rPr>
      </w:pPr>
      <w:r>
        <w:rPr>
          <w:rFonts w:ascii="Arial" w:hAnsi="Arial"/>
          <w:sz w:val="22"/>
          <w:szCs w:val="22"/>
        </w:rPr>
        <w:t>The net cash from financing activities also records a decrease during the reporting period following the approval by the General Meeting of Shareholders, of the payment of dividends within the month of June 2018, as compared to 2017 when the distribution was decided for the month of July.</w:t>
      </w:r>
    </w:p>
    <w:p w:rsidR="007D26EA" w:rsidRPr="00640F6E" w:rsidRDefault="007D26EA" w:rsidP="00A223AD">
      <w:pPr>
        <w:spacing w:line="276" w:lineRule="auto"/>
        <w:jc w:val="both"/>
        <w:rPr>
          <w:rFonts w:ascii="Arial" w:hAnsi="Arial" w:cs="Arial"/>
          <w:bCs/>
          <w:color w:val="FF0000"/>
          <w:sz w:val="22"/>
          <w:szCs w:val="22"/>
        </w:rPr>
      </w:pPr>
    </w:p>
    <w:p w:rsidR="00A223AD" w:rsidRDefault="00A223AD" w:rsidP="00A223AD">
      <w:pPr>
        <w:spacing w:line="276" w:lineRule="auto"/>
        <w:jc w:val="both"/>
        <w:rPr>
          <w:rFonts w:ascii="Arial" w:hAnsi="Arial" w:cs="Arial"/>
          <w:bCs/>
          <w:sz w:val="22"/>
          <w:szCs w:val="22"/>
        </w:rPr>
      </w:pPr>
      <w:r>
        <w:rPr>
          <w:rFonts w:ascii="Arial" w:hAnsi="Arial"/>
          <w:bCs/>
          <w:sz w:val="22"/>
          <w:szCs w:val="22"/>
        </w:rPr>
        <w:t xml:space="preserve">The detailed cash-flow statement for the six months period ended June 30, 2018 </w:t>
      </w:r>
      <w:proofErr w:type="gramStart"/>
      <w:r>
        <w:rPr>
          <w:rFonts w:ascii="Arial" w:hAnsi="Arial"/>
          <w:bCs/>
          <w:sz w:val="22"/>
          <w:szCs w:val="22"/>
        </w:rPr>
        <w:t>is presented</w:t>
      </w:r>
      <w:proofErr w:type="gramEnd"/>
      <w:r>
        <w:rPr>
          <w:rFonts w:ascii="Arial" w:hAnsi="Arial"/>
          <w:bCs/>
          <w:sz w:val="22"/>
          <w:szCs w:val="22"/>
        </w:rPr>
        <w:t xml:space="preserve"> in detail in annex no. 3.</w:t>
      </w:r>
    </w:p>
    <w:p w:rsidR="003B6AFB" w:rsidRDefault="003B6AFB" w:rsidP="00A223AD">
      <w:pPr>
        <w:spacing w:line="276" w:lineRule="auto"/>
        <w:jc w:val="both"/>
        <w:rPr>
          <w:rFonts w:ascii="Arial" w:hAnsi="Arial" w:cs="Arial"/>
          <w:bCs/>
          <w:sz w:val="22"/>
          <w:szCs w:val="22"/>
        </w:rPr>
      </w:pPr>
    </w:p>
    <w:p w:rsidR="00D64FB0" w:rsidRPr="00E46854" w:rsidRDefault="00D12A96" w:rsidP="00D64FB0">
      <w:pPr>
        <w:spacing w:line="276" w:lineRule="auto"/>
        <w:jc w:val="both"/>
        <w:rPr>
          <w:rFonts w:ascii="Arial" w:hAnsi="Arial" w:cs="Arial"/>
          <w:b/>
          <w:color w:val="1F4E79" w:themeColor="accent1" w:themeShade="80"/>
          <w:sz w:val="22"/>
          <w:szCs w:val="22"/>
          <w:u w:val="single"/>
        </w:rPr>
      </w:pPr>
      <w:r>
        <w:rPr>
          <w:rFonts w:ascii="Arial" w:hAnsi="Arial"/>
          <w:b/>
          <w:bCs/>
          <w:color w:val="1F4E79" w:themeColor="accent1" w:themeShade="80"/>
          <w:sz w:val="22"/>
          <w:szCs w:val="22"/>
        </w:rPr>
        <w:t>3.3.6 Related Parties Transactions</w:t>
      </w:r>
    </w:p>
    <w:p w:rsidR="00D64FB0" w:rsidRPr="0074145B" w:rsidRDefault="00D64FB0" w:rsidP="00D64FB0">
      <w:pPr>
        <w:tabs>
          <w:tab w:val="left" w:pos="450"/>
        </w:tabs>
        <w:contextualSpacing/>
        <w:jc w:val="both"/>
        <w:rPr>
          <w:rFonts w:ascii="Arial" w:hAnsi="Arial" w:cs="Arial"/>
          <w:strike/>
          <w:color w:val="FF0000"/>
          <w:sz w:val="22"/>
          <w:szCs w:val="22"/>
        </w:rPr>
      </w:pPr>
    </w:p>
    <w:p w:rsidR="00D64FB0" w:rsidRDefault="00D64FB0" w:rsidP="00D64FB0">
      <w:pPr>
        <w:jc w:val="both"/>
        <w:rPr>
          <w:rFonts w:ascii="Arial" w:hAnsi="Arial" w:cs="Arial"/>
          <w:sz w:val="22"/>
          <w:szCs w:val="22"/>
        </w:rPr>
      </w:pPr>
      <w:proofErr w:type="gramStart"/>
      <w:r>
        <w:rPr>
          <w:rFonts w:ascii="Arial" w:hAnsi="Arial"/>
          <w:sz w:val="22"/>
          <w:szCs w:val="22"/>
        </w:rPr>
        <w:t>In  2018</w:t>
      </w:r>
      <w:proofErr w:type="gramEnd"/>
      <w:r>
        <w:rPr>
          <w:rFonts w:ascii="Arial" w:hAnsi="Arial"/>
          <w:sz w:val="22"/>
          <w:szCs w:val="22"/>
        </w:rPr>
        <w:t xml:space="preserve"> H1, the Company performed the following significant transactions with related parties:</w:t>
      </w:r>
    </w:p>
    <w:p w:rsidR="00D64FB0" w:rsidRPr="00B64FBC" w:rsidRDefault="00D64FB0" w:rsidP="00D64FB0">
      <w:pPr>
        <w:jc w:val="both"/>
        <w:rPr>
          <w:rFonts w:ascii="Arial" w:hAnsi="Arial" w:cs="Arial"/>
          <w:sz w:val="22"/>
          <w:szCs w:val="22"/>
        </w:rPr>
      </w:pPr>
    </w:p>
    <w:p w:rsidR="00D64FB0" w:rsidRPr="00B64FBC" w:rsidRDefault="00D64FB0" w:rsidP="00D64FB0">
      <w:pPr>
        <w:jc w:val="both"/>
        <w:rPr>
          <w:rFonts w:ascii="Arial" w:hAnsi="Arial" w:cs="Arial"/>
          <w:sz w:val="22"/>
          <w:szCs w:val="22"/>
        </w:rPr>
      </w:pPr>
      <w:r>
        <w:rPr>
          <w:rFonts w:ascii="Arial" w:hAnsi="Arial"/>
          <w:b/>
          <w:sz w:val="22"/>
          <w:szCs w:val="22"/>
        </w:rPr>
        <w:t>Procurement from related parties</w:t>
      </w:r>
    </w:p>
    <w:p w:rsidR="00D64FB0" w:rsidRPr="00B64FBC" w:rsidRDefault="00D64FB0" w:rsidP="00D64FB0">
      <w:pPr>
        <w:jc w:val="both"/>
        <w:rPr>
          <w:rFonts w:ascii="Arial" w:hAnsi="Arial" w:cs="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Thousand RON</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710"/>
        <w:gridCol w:w="1474"/>
        <w:gridCol w:w="1586"/>
        <w:gridCol w:w="1843"/>
      </w:tblGrid>
      <w:tr w:rsidR="00D64FB0" w:rsidRPr="00B64FBC" w:rsidTr="00C75A15">
        <w:trPr>
          <w:trHeight w:val="377"/>
        </w:trPr>
        <w:tc>
          <w:tcPr>
            <w:tcW w:w="2700" w:type="dxa"/>
            <w:tcBorders>
              <w:top w:val="single" w:sz="4" w:space="0" w:color="auto"/>
              <w:left w:val="nil"/>
              <w:bottom w:val="single" w:sz="4" w:space="0" w:color="auto"/>
              <w:right w:val="nil"/>
            </w:tcBorders>
            <w:vAlign w:val="center"/>
          </w:tcPr>
          <w:p w:rsidR="00D64FB0" w:rsidRPr="00B64FBC" w:rsidRDefault="00D64FB0" w:rsidP="001D229E">
            <w:pPr>
              <w:ind w:right="-192"/>
              <w:rPr>
                <w:rFonts w:ascii="Arial" w:hAnsi="Arial" w:cs="Arial"/>
                <w:w w:val="105"/>
              </w:rPr>
            </w:pPr>
            <w:r>
              <w:rPr>
                <w:rFonts w:ascii="Arial" w:hAnsi="Arial"/>
                <w:b/>
              </w:rPr>
              <w:t>Partner</w:t>
            </w:r>
          </w:p>
        </w:tc>
        <w:tc>
          <w:tcPr>
            <w:tcW w:w="1710" w:type="dxa"/>
            <w:tcBorders>
              <w:top w:val="single" w:sz="4" w:space="0" w:color="auto"/>
              <w:left w:val="nil"/>
              <w:bottom w:val="single" w:sz="4" w:space="0" w:color="auto"/>
              <w:right w:val="nil"/>
            </w:tcBorders>
            <w:vAlign w:val="center"/>
          </w:tcPr>
          <w:p w:rsidR="00D64FB0" w:rsidRPr="00B64FBC" w:rsidRDefault="00D64FB0" w:rsidP="001D229E">
            <w:pPr>
              <w:jc w:val="center"/>
              <w:rPr>
                <w:rFonts w:ascii="Arial" w:hAnsi="Arial" w:cs="Arial"/>
                <w:b/>
                <w:w w:val="105"/>
              </w:rPr>
            </w:pPr>
            <w:r>
              <w:rPr>
                <w:rFonts w:ascii="Arial" w:hAnsi="Arial"/>
                <w:b/>
              </w:rPr>
              <w:t xml:space="preserve">Unsettled amounts at </w:t>
            </w:r>
          </w:p>
          <w:p w:rsidR="00D64FB0" w:rsidRPr="00B64FBC" w:rsidRDefault="00D64FB0" w:rsidP="001D229E">
            <w:pPr>
              <w:ind w:left="-216" w:right="-181"/>
              <w:jc w:val="center"/>
              <w:rPr>
                <w:rFonts w:ascii="Arial" w:hAnsi="Arial" w:cs="Arial"/>
                <w:b/>
                <w:w w:val="105"/>
              </w:rPr>
            </w:pPr>
            <w:r>
              <w:rPr>
                <w:rFonts w:ascii="Arial" w:hAnsi="Arial"/>
                <w:b/>
              </w:rPr>
              <w:t xml:space="preserve">December 31, </w:t>
            </w:r>
          </w:p>
          <w:p w:rsidR="00D64FB0" w:rsidRPr="00B64FBC" w:rsidRDefault="00D64FB0" w:rsidP="001D229E">
            <w:pPr>
              <w:ind w:left="-216" w:right="-181"/>
              <w:jc w:val="center"/>
              <w:rPr>
                <w:rFonts w:ascii="Arial" w:hAnsi="Arial" w:cs="Arial"/>
                <w:b/>
                <w:w w:val="105"/>
              </w:rPr>
            </w:pPr>
            <w:r>
              <w:rPr>
                <w:rFonts w:ascii="Arial" w:hAnsi="Arial"/>
                <w:b/>
              </w:rPr>
              <w:t>2017</w:t>
            </w:r>
          </w:p>
        </w:tc>
        <w:tc>
          <w:tcPr>
            <w:tcW w:w="1474" w:type="dxa"/>
            <w:tcBorders>
              <w:top w:val="single" w:sz="4" w:space="0" w:color="auto"/>
              <w:left w:val="nil"/>
              <w:bottom w:val="single" w:sz="4" w:space="0" w:color="auto"/>
              <w:right w:val="nil"/>
            </w:tcBorders>
            <w:vAlign w:val="center"/>
          </w:tcPr>
          <w:p w:rsidR="00D64FB0" w:rsidRPr="00B64FBC" w:rsidRDefault="00D64FB0" w:rsidP="001D229E">
            <w:pPr>
              <w:ind w:left="-122" w:right="-162"/>
              <w:jc w:val="center"/>
              <w:rPr>
                <w:rFonts w:ascii="Arial" w:hAnsi="Arial" w:cs="Arial"/>
                <w:b/>
                <w:w w:val="105"/>
              </w:rPr>
            </w:pPr>
            <w:r>
              <w:rPr>
                <w:rFonts w:ascii="Arial" w:hAnsi="Arial"/>
                <w:b/>
              </w:rPr>
              <w:t>Procurement</w:t>
            </w:r>
          </w:p>
          <w:p w:rsidR="00D64FB0" w:rsidRPr="00B64FBC" w:rsidRDefault="00D64FB0" w:rsidP="001D229E">
            <w:pPr>
              <w:jc w:val="center"/>
              <w:rPr>
                <w:rFonts w:ascii="Arial" w:hAnsi="Arial" w:cs="Arial"/>
                <w:w w:val="105"/>
              </w:rPr>
            </w:pPr>
            <w:r>
              <w:rPr>
                <w:rFonts w:ascii="Arial" w:hAnsi="Arial"/>
                <w:b/>
              </w:rPr>
              <w:t>during January - June 2018</w:t>
            </w:r>
          </w:p>
        </w:tc>
        <w:tc>
          <w:tcPr>
            <w:tcW w:w="1586" w:type="dxa"/>
            <w:tcBorders>
              <w:top w:val="single" w:sz="4" w:space="0" w:color="auto"/>
              <w:left w:val="nil"/>
              <w:bottom w:val="single" w:sz="4" w:space="0" w:color="auto"/>
              <w:right w:val="nil"/>
            </w:tcBorders>
            <w:vAlign w:val="center"/>
          </w:tcPr>
          <w:p w:rsidR="00D64FB0" w:rsidRPr="00B64FBC" w:rsidRDefault="00D64FB0" w:rsidP="001D229E">
            <w:pPr>
              <w:jc w:val="center"/>
              <w:rPr>
                <w:rFonts w:ascii="Arial" w:hAnsi="Arial" w:cs="Arial"/>
                <w:b/>
                <w:w w:val="105"/>
              </w:rPr>
            </w:pPr>
            <w:r>
              <w:rPr>
                <w:rFonts w:ascii="Arial" w:hAnsi="Arial"/>
                <w:b/>
              </w:rPr>
              <w:t xml:space="preserve">Settlements </w:t>
            </w:r>
          </w:p>
          <w:p w:rsidR="00D64FB0" w:rsidRPr="00B64FBC" w:rsidRDefault="00D64FB0" w:rsidP="001D229E">
            <w:pPr>
              <w:jc w:val="center"/>
              <w:rPr>
                <w:rFonts w:ascii="Arial" w:hAnsi="Arial" w:cs="Arial"/>
                <w:b/>
                <w:w w:val="105"/>
              </w:rPr>
            </w:pPr>
            <w:r>
              <w:rPr>
                <w:rFonts w:ascii="Arial" w:hAnsi="Arial"/>
                <w:b/>
              </w:rPr>
              <w:t xml:space="preserve">in </w:t>
            </w:r>
          </w:p>
          <w:p w:rsidR="00D64FB0" w:rsidRPr="00B64FBC" w:rsidRDefault="00D64FB0" w:rsidP="001D229E">
            <w:pPr>
              <w:ind w:right="-10"/>
              <w:jc w:val="center"/>
              <w:rPr>
                <w:rFonts w:ascii="Arial" w:hAnsi="Arial" w:cs="Arial"/>
                <w:w w:val="105"/>
              </w:rPr>
            </w:pPr>
            <w:r>
              <w:rPr>
                <w:rFonts w:ascii="Arial" w:hAnsi="Arial"/>
                <w:b/>
              </w:rPr>
              <w:t>period January - June 2018</w:t>
            </w:r>
          </w:p>
        </w:tc>
        <w:tc>
          <w:tcPr>
            <w:tcW w:w="1843" w:type="dxa"/>
            <w:tcBorders>
              <w:top w:val="single" w:sz="4" w:space="0" w:color="auto"/>
              <w:left w:val="nil"/>
              <w:bottom w:val="single" w:sz="4" w:space="0" w:color="auto"/>
              <w:right w:val="nil"/>
            </w:tcBorders>
            <w:vAlign w:val="center"/>
          </w:tcPr>
          <w:p w:rsidR="00D64FB0" w:rsidRPr="00B64FBC" w:rsidRDefault="00D64FB0" w:rsidP="001D229E">
            <w:pPr>
              <w:jc w:val="center"/>
              <w:rPr>
                <w:rFonts w:ascii="Arial" w:hAnsi="Arial" w:cs="Arial"/>
                <w:b/>
                <w:w w:val="105"/>
              </w:rPr>
            </w:pPr>
            <w:r>
              <w:rPr>
                <w:rFonts w:ascii="Arial" w:hAnsi="Arial"/>
                <w:b/>
              </w:rPr>
              <w:t>Unsettled amounts at</w:t>
            </w:r>
          </w:p>
          <w:p w:rsidR="00D64FB0" w:rsidRPr="00B64FBC" w:rsidRDefault="00D64FB0" w:rsidP="001D229E">
            <w:pPr>
              <w:jc w:val="center"/>
              <w:rPr>
                <w:rFonts w:ascii="Arial" w:hAnsi="Arial" w:cs="Arial"/>
                <w:b/>
                <w:w w:val="105"/>
              </w:rPr>
            </w:pPr>
            <w:r>
              <w:rPr>
                <w:rFonts w:ascii="Arial" w:hAnsi="Arial"/>
                <w:b/>
              </w:rPr>
              <w:t>June 30</w:t>
            </w:r>
          </w:p>
          <w:p w:rsidR="00D64FB0" w:rsidRPr="00B64FBC" w:rsidRDefault="00D64FB0" w:rsidP="001D229E">
            <w:pPr>
              <w:jc w:val="center"/>
              <w:rPr>
                <w:rFonts w:ascii="Arial" w:hAnsi="Arial" w:cs="Arial"/>
                <w:w w:val="105"/>
              </w:rPr>
            </w:pPr>
            <w:r>
              <w:rPr>
                <w:rFonts w:ascii="Arial" w:hAnsi="Arial"/>
                <w:b/>
              </w:rPr>
              <w:t xml:space="preserve"> 2018</w:t>
            </w:r>
          </w:p>
        </w:tc>
      </w:tr>
      <w:tr w:rsidR="00D64FB0" w:rsidRPr="00B64FBC" w:rsidTr="00C75A15">
        <w:trPr>
          <w:trHeight w:val="310"/>
        </w:trPr>
        <w:tc>
          <w:tcPr>
            <w:tcW w:w="2700" w:type="dxa"/>
            <w:tcBorders>
              <w:top w:val="single" w:sz="4" w:space="0" w:color="auto"/>
              <w:left w:val="nil"/>
              <w:bottom w:val="double" w:sz="4" w:space="0" w:color="auto"/>
              <w:right w:val="nil"/>
            </w:tcBorders>
            <w:vAlign w:val="center"/>
            <w:hideMark/>
          </w:tcPr>
          <w:p w:rsidR="00D64FB0" w:rsidRPr="00B64FBC" w:rsidRDefault="00D64FB0" w:rsidP="001D229E">
            <w:pPr>
              <w:rPr>
                <w:rFonts w:ascii="Arial" w:hAnsi="Arial" w:cs="Arial"/>
                <w:w w:val="105"/>
              </w:rPr>
            </w:pPr>
            <w:r>
              <w:rPr>
                <w:rFonts w:ascii="Arial" w:hAnsi="Arial"/>
              </w:rPr>
              <w:t>SNTFM CFR Marfă S.A.</w:t>
            </w:r>
          </w:p>
        </w:tc>
        <w:tc>
          <w:tcPr>
            <w:tcW w:w="1710" w:type="dxa"/>
            <w:tcBorders>
              <w:top w:val="single" w:sz="4" w:space="0" w:color="auto"/>
              <w:left w:val="nil"/>
              <w:bottom w:val="double" w:sz="4" w:space="0" w:color="auto"/>
              <w:right w:val="nil"/>
            </w:tcBorders>
            <w:vAlign w:val="center"/>
            <w:hideMark/>
          </w:tcPr>
          <w:p w:rsidR="00D64FB0" w:rsidRPr="00B64FBC" w:rsidRDefault="00D64FB0" w:rsidP="00C75A15">
            <w:pPr>
              <w:ind w:right="76"/>
              <w:jc w:val="center"/>
              <w:rPr>
                <w:rFonts w:ascii="Arial" w:hAnsi="Arial" w:cs="Arial"/>
                <w:w w:val="105"/>
              </w:rPr>
            </w:pPr>
            <w:r>
              <w:rPr>
                <w:rFonts w:ascii="Arial" w:hAnsi="Arial"/>
              </w:rPr>
              <w:t>6,080</w:t>
            </w:r>
          </w:p>
        </w:tc>
        <w:tc>
          <w:tcPr>
            <w:tcW w:w="1474" w:type="dxa"/>
            <w:tcBorders>
              <w:top w:val="single" w:sz="4" w:space="0" w:color="auto"/>
              <w:left w:val="nil"/>
              <w:bottom w:val="double" w:sz="4" w:space="0" w:color="auto"/>
              <w:right w:val="nil"/>
            </w:tcBorders>
            <w:vAlign w:val="center"/>
            <w:hideMark/>
          </w:tcPr>
          <w:p w:rsidR="00D64FB0" w:rsidRPr="00B64FBC" w:rsidRDefault="00D64FB0" w:rsidP="00C75A15">
            <w:pPr>
              <w:jc w:val="center"/>
              <w:rPr>
                <w:rFonts w:ascii="Arial" w:hAnsi="Arial" w:cs="Arial"/>
                <w:w w:val="105"/>
              </w:rPr>
            </w:pPr>
            <w:r>
              <w:rPr>
                <w:rFonts w:ascii="Arial" w:hAnsi="Arial"/>
              </w:rPr>
              <w:t>33,131</w:t>
            </w:r>
          </w:p>
        </w:tc>
        <w:tc>
          <w:tcPr>
            <w:tcW w:w="1586" w:type="dxa"/>
            <w:tcBorders>
              <w:top w:val="single" w:sz="4" w:space="0" w:color="auto"/>
              <w:left w:val="nil"/>
              <w:bottom w:val="double" w:sz="4" w:space="0" w:color="auto"/>
              <w:right w:val="nil"/>
            </w:tcBorders>
            <w:vAlign w:val="center"/>
            <w:hideMark/>
          </w:tcPr>
          <w:p w:rsidR="00D64FB0" w:rsidRPr="00B64FBC" w:rsidRDefault="00D64FB0" w:rsidP="00C75A15">
            <w:pPr>
              <w:jc w:val="center"/>
              <w:rPr>
                <w:rFonts w:ascii="Arial" w:hAnsi="Arial" w:cs="Arial"/>
                <w:w w:val="105"/>
              </w:rPr>
            </w:pPr>
            <w:r>
              <w:rPr>
                <w:rFonts w:ascii="Arial" w:hAnsi="Arial"/>
              </w:rPr>
              <w:t>33,541</w:t>
            </w:r>
          </w:p>
        </w:tc>
        <w:tc>
          <w:tcPr>
            <w:tcW w:w="1843" w:type="dxa"/>
            <w:tcBorders>
              <w:top w:val="single" w:sz="4" w:space="0" w:color="auto"/>
              <w:left w:val="nil"/>
              <w:bottom w:val="double" w:sz="4" w:space="0" w:color="auto"/>
              <w:right w:val="nil"/>
            </w:tcBorders>
            <w:vAlign w:val="center"/>
            <w:hideMark/>
          </w:tcPr>
          <w:p w:rsidR="00D64FB0" w:rsidRPr="00B64FBC" w:rsidRDefault="00D64FB0" w:rsidP="00C75A15">
            <w:pPr>
              <w:jc w:val="center"/>
              <w:rPr>
                <w:rFonts w:ascii="Arial" w:hAnsi="Arial" w:cs="Arial"/>
                <w:w w:val="105"/>
              </w:rPr>
            </w:pPr>
            <w:r>
              <w:rPr>
                <w:rFonts w:ascii="Arial" w:hAnsi="Arial"/>
              </w:rPr>
              <w:t>5,670</w:t>
            </w:r>
          </w:p>
        </w:tc>
      </w:tr>
    </w:tbl>
    <w:p w:rsidR="001819A5" w:rsidRDefault="001819A5" w:rsidP="001819A5">
      <w:pPr>
        <w:spacing w:line="276" w:lineRule="auto"/>
        <w:jc w:val="center"/>
        <w:rPr>
          <w:rFonts w:ascii="Arial" w:hAnsi="Arial" w:cs="Arial"/>
          <w:bCs/>
          <w:sz w:val="16"/>
          <w:szCs w:val="16"/>
        </w:rPr>
      </w:pPr>
    </w:p>
    <w:p w:rsidR="00177522" w:rsidRDefault="008F5405" w:rsidP="00C3524E">
      <w:pPr>
        <w:spacing w:line="276" w:lineRule="auto"/>
        <w:jc w:val="center"/>
        <w:rPr>
          <w:rFonts w:ascii="Arial" w:hAnsi="Arial" w:cs="Arial"/>
          <w:bCs/>
          <w:sz w:val="16"/>
          <w:szCs w:val="16"/>
        </w:rPr>
      </w:pPr>
      <w:r>
        <w:rPr>
          <w:rFonts w:ascii="Arial" w:hAnsi="Arial"/>
          <w:bCs/>
          <w:sz w:val="16"/>
          <w:szCs w:val="16"/>
        </w:rPr>
        <w:t>Table 16 - Procurement from related parties</w:t>
      </w:r>
    </w:p>
    <w:p w:rsidR="00C3524E" w:rsidRPr="00C3524E" w:rsidRDefault="00C3524E" w:rsidP="00C3524E">
      <w:pPr>
        <w:spacing w:line="276" w:lineRule="auto"/>
        <w:jc w:val="center"/>
        <w:rPr>
          <w:rFonts w:ascii="Arial" w:hAnsi="Arial" w:cs="Arial"/>
          <w:bCs/>
          <w:sz w:val="16"/>
          <w:szCs w:val="16"/>
        </w:rPr>
      </w:pPr>
    </w:p>
    <w:p w:rsidR="00083180" w:rsidRPr="00E46854" w:rsidRDefault="001819A5" w:rsidP="00D87DA4">
      <w:pPr>
        <w:pStyle w:val="ListParagraph"/>
        <w:numPr>
          <w:ilvl w:val="1"/>
          <w:numId w:val="34"/>
        </w:numPr>
        <w:ind w:left="450" w:hanging="450"/>
        <w:jc w:val="both"/>
        <w:rPr>
          <w:rFonts w:ascii="Arial" w:hAnsi="Arial" w:cs="Arial"/>
          <w:b/>
          <w:color w:val="1F4E79" w:themeColor="accent1" w:themeShade="80"/>
          <w:sz w:val="24"/>
          <w:szCs w:val="24"/>
        </w:rPr>
      </w:pPr>
      <w:r>
        <w:rPr>
          <w:rFonts w:ascii="Arial" w:hAnsi="Arial"/>
          <w:b/>
          <w:color w:val="1F4E79" w:themeColor="accent1" w:themeShade="80"/>
          <w:sz w:val="24"/>
          <w:szCs w:val="24"/>
        </w:rPr>
        <w:t xml:space="preserve">Other aspects </w:t>
      </w:r>
    </w:p>
    <w:p w:rsidR="009966CC" w:rsidRPr="00E46854" w:rsidRDefault="009966CC" w:rsidP="00D87DA4">
      <w:pPr>
        <w:pStyle w:val="BodyText"/>
        <w:numPr>
          <w:ilvl w:val="2"/>
          <w:numId w:val="34"/>
        </w:numPr>
        <w:ind w:left="630" w:hanging="630"/>
        <w:rPr>
          <w:rFonts w:cs="Arial"/>
          <w:b/>
          <w:color w:val="1F4E79" w:themeColor="accent1" w:themeShade="80"/>
          <w:szCs w:val="24"/>
        </w:rPr>
      </w:pPr>
      <w:r>
        <w:rPr>
          <w:b/>
          <w:color w:val="1F4E79" w:themeColor="accent1" w:themeShade="80"/>
          <w:szCs w:val="24"/>
        </w:rPr>
        <w:t>State of the lands not included in the share capital</w:t>
      </w:r>
    </w:p>
    <w:p w:rsidR="009966CC" w:rsidRDefault="009966CC" w:rsidP="009966CC">
      <w:pPr>
        <w:pStyle w:val="BodyText"/>
        <w:rPr>
          <w:rFonts w:cs="Arial"/>
          <w:sz w:val="22"/>
          <w:szCs w:val="22"/>
        </w:rPr>
      </w:pPr>
    </w:p>
    <w:p w:rsidR="007D26EA" w:rsidRPr="001F3D8A" w:rsidRDefault="007D26EA" w:rsidP="007D26EA">
      <w:pPr>
        <w:pStyle w:val="BodyText"/>
        <w:spacing w:line="276" w:lineRule="auto"/>
        <w:rPr>
          <w:rFonts w:cs="Arial"/>
          <w:sz w:val="22"/>
          <w:szCs w:val="22"/>
        </w:rPr>
      </w:pPr>
      <w:r>
        <w:rPr>
          <w:sz w:val="22"/>
        </w:rPr>
        <w:t>At 30.06.2018</w:t>
      </w:r>
      <w:proofErr w:type="gramStart"/>
      <w:r>
        <w:rPr>
          <w:sz w:val="22"/>
        </w:rPr>
        <w:t>,CONPET</w:t>
      </w:r>
      <w:proofErr w:type="gramEnd"/>
      <w:r>
        <w:rPr>
          <w:sz w:val="22"/>
        </w:rPr>
        <w:t xml:space="preserve"> has recorded in the company pa</w:t>
      </w:r>
      <w:r w:rsidR="0034763B">
        <w:rPr>
          <w:sz w:val="22"/>
        </w:rPr>
        <w:t>trimony lands in surface of 733,648.</w:t>
      </w:r>
      <w:r>
        <w:rPr>
          <w:sz w:val="22"/>
        </w:rPr>
        <w:t>93 sq.m. with a fair value amounting to 22,584,099 RON</w:t>
      </w:r>
      <w:r>
        <w:rPr>
          <w:sz w:val="22"/>
          <w:szCs w:val="22"/>
        </w:rPr>
        <w:t>, held based on the Ownership</w:t>
      </w:r>
      <w:r>
        <w:rPr>
          <w:sz w:val="22"/>
        </w:rPr>
        <w:t xml:space="preserve"> Certificates</w:t>
      </w:r>
      <w:r w:rsidR="00751B4F">
        <w:rPr>
          <w:sz w:val="22"/>
        </w:rPr>
        <w:t xml:space="preserve"> (</w:t>
      </w:r>
      <w:r>
        <w:rPr>
          <w:sz w:val="22"/>
          <w:szCs w:val="22"/>
        </w:rPr>
        <w:t>709,949.07 sq.m.) and sale-purchase contracts (23,699.86 sq.m.).</w:t>
      </w:r>
      <w:r>
        <w:rPr>
          <w:sz w:val="22"/>
        </w:rPr>
        <w:t>:</w:t>
      </w:r>
    </w:p>
    <w:p w:rsidR="007D26EA" w:rsidRPr="001F3D8A" w:rsidRDefault="007D26EA" w:rsidP="007D26EA">
      <w:pPr>
        <w:pStyle w:val="BodyText"/>
        <w:spacing w:line="276" w:lineRule="auto"/>
        <w:rPr>
          <w:rFonts w:cs="Arial"/>
          <w:sz w:val="22"/>
          <w:szCs w:val="22"/>
        </w:rPr>
      </w:pPr>
      <w:r>
        <w:rPr>
          <w:sz w:val="22"/>
          <w:szCs w:val="22"/>
        </w:rPr>
        <w:t xml:space="preserve">At the date of June 30, 2018, the Company’s share capital was not augmented by the value of the lands held pursuant to the 47 ownership certificates, in surface of 554,537.62 sq.m.. The Land Ownership Certificates for the lands not included in the share capital, have been obtained during 2001-2005, and the appraised value at the date of obtaining the certificates, set in compliance with GD 834/1991, is of 26,255,918 RON. These lands have been obtained in the company patrimony on the expense of other equity reserves. </w:t>
      </w:r>
    </w:p>
    <w:p w:rsidR="007D26EA" w:rsidRPr="001F3D8A" w:rsidRDefault="007D26EA" w:rsidP="007D26EA">
      <w:pPr>
        <w:pStyle w:val="BodyText"/>
        <w:rPr>
          <w:rFonts w:cs="Arial"/>
          <w:sz w:val="22"/>
          <w:szCs w:val="22"/>
        </w:rPr>
      </w:pPr>
      <w:r>
        <w:rPr>
          <w:sz w:val="22"/>
          <w:szCs w:val="22"/>
        </w:rPr>
        <w:t>At the date of 30.06.2018, the fair value of these lands is in amount of 12,348,115 RON.</w:t>
      </w:r>
    </w:p>
    <w:p w:rsidR="007D26EA" w:rsidRPr="001F3D8A" w:rsidRDefault="007D26EA" w:rsidP="007D26EA">
      <w:pPr>
        <w:pStyle w:val="BodyText"/>
        <w:rPr>
          <w:rFonts w:cs="Arial"/>
          <w:sz w:val="22"/>
          <w:szCs w:val="22"/>
        </w:rPr>
      </w:pPr>
    </w:p>
    <w:p w:rsidR="00002699" w:rsidRPr="00B0065A" w:rsidRDefault="00002699" w:rsidP="00D87DA4">
      <w:pPr>
        <w:pStyle w:val="ListParagraph"/>
        <w:numPr>
          <w:ilvl w:val="2"/>
          <w:numId w:val="34"/>
        </w:numPr>
        <w:ind w:left="630" w:right="1" w:hanging="630"/>
        <w:jc w:val="both"/>
        <w:rPr>
          <w:rFonts w:ascii="Arial" w:hAnsi="Arial" w:cs="Arial"/>
          <w:b/>
          <w:color w:val="1F4E79" w:themeColor="accent1" w:themeShade="80"/>
          <w:sz w:val="24"/>
          <w:szCs w:val="24"/>
        </w:rPr>
      </w:pPr>
      <w:r>
        <w:rPr>
          <w:rFonts w:ascii="Arial" w:hAnsi="Arial"/>
          <w:b/>
          <w:color w:val="1F4E79" w:themeColor="accent1" w:themeShade="80"/>
          <w:sz w:val="24"/>
          <w:szCs w:val="24"/>
        </w:rPr>
        <w:t xml:space="preserve">Litigations </w:t>
      </w:r>
    </w:p>
    <w:p w:rsidR="00002699" w:rsidRDefault="00002699" w:rsidP="00002699">
      <w:pPr>
        <w:widowControl/>
        <w:autoSpaceDE/>
        <w:autoSpaceDN/>
        <w:adjustRightInd/>
        <w:spacing w:line="276" w:lineRule="auto"/>
        <w:jc w:val="both"/>
        <w:rPr>
          <w:rFonts w:ascii="Arial" w:eastAsia="Calibri" w:hAnsi="Arial" w:cs="Arial"/>
          <w:b/>
          <w:sz w:val="22"/>
          <w:szCs w:val="22"/>
        </w:rPr>
      </w:pPr>
      <w:r>
        <w:rPr>
          <w:rFonts w:ascii="Arial" w:hAnsi="Arial"/>
          <w:sz w:val="22"/>
          <w:szCs w:val="22"/>
        </w:rPr>
        <w:t>The most important disputes in which the company is involved are shown below</w:t>
      </w:r>
      <w:r>
        <w:rPr>
          <w:rFonts w:ascii="Arial" w:hAnsi="Arial"/>
          <w:b/>
          <w:sz w:val="22"/>
          <w:szCs w:val="22"/>
        </w:rPr>
        <w:t>:</w:t>
      </w:r>
    </w:p>
    <w:p w:rsidR="00002699" w:rsidRDefault="00002699" w:rsidP="00002699">
      <w:pPr>
        <w:widowControl/>
        <w:autoSpaceDE/>
        <w:autoSpaceDN/>
        <w:adjustRightInd/>
        <w:spacing w:line="276" w:lineRule="auto"/>
        <w:jc w:val="both"/>
        <w:rPr>
          <w:rFonts w:ascii="Arial" w:eastAsia="Calibri" w:hAnsi="Arial" w:cs="Arial"/>
          <w:b/>
          <w:sz w:val="22"/>
          <w:szCs w:val="22"/>
          <w:lang w:eastAsia="en-US"/>
        </w:rPr>
      </w:pPr>
    </w:p>
    <w:p w:rsidR="00002699" w:rsidRPr="00D66B33" w:rsidRDefault="00002699" w:rsidP="00002699">
      <w:pPr>
        <w:widowControl/>
        <w:autoSpaceDE/>
        <w:adjustRightInd/>
        <w:spacing w:line="276" w:lineRule="auto"/>
        <w:rPr>
          <w:rFonts w:ascii="Arial" w:hAnsi="Arial" w:cs="Arial"/>
          <w:b/>
          <w:bCs/>
          <w:sz w:val="22"/>
          <w:szCs w:val="22"/>
        </w:rPr>
      </w:pPr>
      <w:r>
        <w:rPr>
          <w:rFonts w:ascii="Arial" w:hAnsi="Arial"/>
          <w:b/>
          <w:bCs/>
          <w:i/>
          <w:sz w:val="22"/>
          <w:szCs w:val="22"/>
        </w:rPr>
        <w:t>a) The disputes concerning the ownership of the tangible assets of the company</w:t>
      </w:r>
    </w:p>
    <w:p w:rsidR="00002699" w:rsidRPr="00D66B33" w:rsidRDefault="00002699" w:rsidP="00002699">
      <w:pPr>
        <w:widowControl/>
        <w:autoSpaceDE/>
        <w:autoSpaceDN/>
        <w:adjustRightInd/>
        <w:spacing w:line="276" w:lineRule="auto"/>
        <w:jc w:val="both"/>
        <w:rPr>
          <w:rFonts w:ascii="Arial" w:eastAsia="Calibri" w:hAnsi="Arial" w:cs="Arial"/>
          <w:sz w:val="22"/>
          <w:szCs w:val="22"/>
          <w:lang w:eastAsia="en-US"/>
        </w:rPr>
      </w:pPr>
    </w:p>
    <w:p w:rsidR="00002699" w:rsidRPr="00D66B33" w:rsidRDefault="00002699" w:rsidP="00002699">
      <w:pPr>
        <w:spacing w:after="160" w:line="276" w:lineRule="auto"/>
        <w:jc w:val="both"/>
        <w:rPr>
          <w:rFonts w:ascii="Arial" w:eastAsia="Calibri" w:hAnsi="Arial" w:cs="Arial"/>
          <w:sz w:val="22"/>
          <w:szCs w:val="22"/>
        </w:rPr>
      </w:pPr>
      <w:r>
        <w:rPr>
          <w:rFonts w:ascii="Arial" w:hAnsi="Arial"/>
          <w:sz w:val="22"/>
          <w:szCs w:val="22"/>
        </w:rPr>
        <w:t>CONPET S.A. is involved in a single process for claiming a right of ownership of Real Estate property in question:</w:t>
      </w:r>
    </w:p>
    <w:p w:rsidR="00002699" w:rsidRPr="00D66B33" w:rsidRDefault="00002699" w:rsidP="00002699">
      <w:pPr>
        <w:spacing w:line="276" w:lineRule="auto"/>
        <w:jc w:val="both"/>
        <w:rPr>
          <w:rFonts w:ascii="Arial" w:eastAsia="Calibri" w:hAnsi="Arial" w:cs="Arial"/>
          <w:bCs/>
          <w:sz w:val="22"/>
          <w:szCs w:val="22"/>
        </w:rPr>
      </w:pPr>
      <w:r>
        <w:rPr>
          <w:rFonts w:ascii="Arial" w:hAnsi="Arial"/>
          <w:sz w:val="22"/>
          <w:szCs w:val="22"/>
        </w:rPr>
        <w:t>File no. 2378/105/2009 -  Prahova Court - in course of the settlement.</w:t>
      </w:r>
    </w:p>
    <w:p w:rsidR="00002699" w:rsidRPr="00D66B33" w:rsidRDefault="00002699" w:rsidP="00002699">
      <w:pPr>
        <w:spacing w:line="276" w:lineRule="auto"/>
        <w:jc w:val="both"/>
        <w:rPr>
          <w:rFonts w:ascii="Arial" w:eastAsia="Calibri" w:hAnsi="Arial" w:cs="Arial"/>
          <w:bCs/>
          <w:sz w:val="22"/>
          <w:szCs w:val="22"/>
        </w:rPr>
      </w:pPr>
      <w:r>
        <w:rPr>
          <w:rFonts w:ascii="Arial" w:hAnsi="Arial"/>
          <w:bCs/>
          <w:sz w:val="22"/>
          <w:szCs w:val="22"/>
        </w:rPr>
        <w:t xml:space="preserve">Stage of trial: </w:t>
      </w:r>
      <w:proofErr w:type="gramStart"/>
      <w:r>
        <w:rPr>
          <w:rFonts w:ascii="Arial" w:hAnsi="Arial"/>
          <w:bCs/>
          <w:sz w:val="22"/>
          <w:szCs w:val="22"/>
        </w:rPr>
        <w:t>Appeal  Appeal</w:t>
      </w:r>
      <w:proofErr w:type="gramEnd"/>
      <w:r>
        <w:rPr>
          <w:rFonts w:ascii="Arial" w:hAnsi="Arial"/>
          <w:bCs/>
          <w:sz w:val="22"/>
          <w:szCs w:val="22"/>
        </w:rPr>
        <w:t xml:space="preserve"> </w:t>
      </w:r>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sz w:val="22"/>
          <w:szCs w:val="22"/>
        </w:rPr>
        <w:t xml:space="preserve">Through the conclusion no. 5872/18.12.2017, Prahova County Court dismissed the action of the plaintiff Cojocaru Irinel concerning the claim on the area of 2500 m2 of land property of CONPET S.A., as unfounded.  The sentence was appealed by Cojocaru Irinel.  </w:t>
      </w:r>
    </w:p>
    <w:p w:rsidR="00002699" w:rsidRPr="00D66B33" w:rsidRDefault="00002699" w:rsidP="00002699">
      <w:pPr>
        <w:spacing w:after="160" w:line="276" w:lineRule="auto"/>
        <w:ind w:left="720"/>
        <w:contextualSpacing/>
        <w:jc w:val="both"/>
        <w:rPr>
          <w:rFonts w:ascii="Arial" w:eastAsia="Calibri" w:hAnsi="Arial" w:cs="Arial"/>
          <w:b/>
          <w:bCs/>
          <w:sz w:val="22"/>
          <w:szCs w:val="22"/>
          <w:lang w:val="it-IT" w:eastAsia="en-US"/>
        </w:rPr>
      </w:pPr>
    </w:p>
    <w:p w:rsidR="00002699" w:rsidRPr="00D66B33" w:rsidRDefault="00002699" w:rsidP="00002699">
      <w:pPr>
        <w:widowControl/>
        <w:autoSpaceDE/>
        <w:autoSpaceDN/>
        <w:adjustRightInd/>
        <w:spacing w:line="276" w:lineRule="auto"/>
        <w:jc w:val="both"/>
        <w:rPr>
          <w:rFonts w:ascii="Arial" w:eastAsia="Calibri" w:hAnsi="Arial" w:cs="Arial"/>
          <w:b/>
          <w:i/>
          <w:sz w:val="22"/>
          <w:szCs w:val="22"/>
        </w:rPr>
      </w:pPr>
      <w:r>
        <w:rPr>
          <w:rFonts w:ascii="Arial" w:hAnsi="Arial"/>
          <w:b/>
          <w:i/>
          <w:sz w:val="22"/>
          <w:szCs w:val="22"/>
        </w:rPr>
        <w:t xml:space="preserve">b) Litigation in connection with the claims of the owners of the lands crossed by the National Crude Oil Transport System  </w:t>
      </w:r>
    </w:p>
    <w:p w:rsidR="00002699" w:rsidRPr="00666FD5" w:rsidRDefault="00002699" w:rsidP="00002699">
      <w:pPr>
        <w:spacing w:line="276" w:lineRule="auto"/>
        <w:jc w:val="both"/>
        <w:rPr>
          <w:rFonts w:ascii="Arial" w:eastAsia="Calibri" w:hAnsi="Arial" w:cs="Arial"/>
          <w:b/>
          <w:sz w:val="22"/>
          <w:szCs w:val="22"/>
        </w:rPr>
      </w:pPr>
      <w:r>
        <w:rPr>
          <w:rFonts w:ascii="Arial" w:hAnsi="Arial"/>
          <w:sz w:val="22"/>
          <w:szCs w:val="22"/>
        </w:rPr>
        <w:t>On 30.06.2018, CONPET S.A. had a number of 16 active trial files in the various stages of trial, having as object the claims of the owners of the land related to the lack of use of the owned lands crossed by the highway components of the National Crude Oil Transport System.  We hereby outline a number of 8 causes which we find important under the aspect of the the amount of claims of the plaintiffs and representative by the legal content of the trial files (the rest of the causes repeating, in broad terms</w:t>
      </w:r>
      <w:proofErr w:type="gramStart"/>
      <w:r>
        <w:rPr>
          <w:rFonts w:ascii="Arial" w:hAnsi="Arial"/>
          <w:sz w:val="22"/>
          <w:szCs w:val="22"/>
        </w:rPr>
        <w:t xml:space="preserve">, </w:t>
      </w:r>
      <w:r>
        <w:rPr>
          <w:sz w:val="24"/>
          <w:szCs w:val="24"/>
        </w:rPr>
        <w:t xml:space="preserve"> </w:t>
      </w:r>
      <w:r>
        <w:rPr>
          <w:rFonts w:ascii="Arial" w:hAnsi="Arial"/>
          <w:sz w:val="22"/>
          <w:szCs w:val="22"/>
        </w:rPr>
        <w:t>some</w:t>
      </w:r>
      <w:proofErr w:type="gramEnd"/>
      <w:r>
        <w:rPr>
          <w:rFonts w:ascii="Arial" w:hAnsi="Arial"/>
          <w:sz w:val="22"/>
          <w:szCs w:val="22"/>
        </w:rPr>
        <w:t xml:space="preserve"> of the types of action listed below):</w:t>
      </w:r>
    </w:p>
    <w:p w:rsidR="00002699" w:rsidRPr="00D66B33" w:rsidRDefault="00002699" w:rsidP="00002699">
      <w:pPr>
        <w:widowControl/>
        <w:autoSpaceDE/>
        <w:autoSpaceDN/>
        <w:adjustRightInd/>
        <w:spacing w:line="276" w:lineRule="auto"/>
        <w:jc w:val="both"/>
        <w:rPr>
          <w:rFonts w:ascii="Arial" w:eastAsia="Calibri" w:hAnsi="Arial" w:cs="Arial"/>
          <w:b/>
          <w:i/>
          <w:sz w:val="22"/>
          <w:szCs w:val="22"/>
          <w:lang w:val="it-IT" w:eastAsia="en-US"/>
        </w:rPr>
      </w:pPr>
    </w:p>
    <w:p w:rsidR="00002699" w:rsidRPr="007D26EA" w:rsidRDefault="00002699" w:rsidP="00D87DA4">
      <w:pPr>
        <w:pStyle w:val="ListParagraph"/>
        <w:numPr>
          <w:ilvl w:val="0"/>
          <w:numId w:val="27"/>
        </w:numPr>
        <w:spacing w:after="160"/>
        <w:jc w:val="both"/>
        <w:rPr>
          <w:rFonts w:ascii="Arial" w:hAnsi="Arial" w:cs="Arial"/>
        </w:rPr>
      </w:pPr>
      <w:r>
        <w:rPr>
          <w:rFonts w:ascii="Arial" w:hAnsi="Arial"/>
          <w:b/>
          <w:i/>
        </w:rPr>
        <w:lastRenderedPageBreak/>
        <w:t xml:space="preserve">The file no. 3451/108/2016* </w:t>
      </w:r>
      <w:r>
        <w:rPr>
          <w:rFonts w:ascii="Arial" w:hAnsi="Arial"/>
          <w:b/>
        </w:rPr>
        <w:t>The High Court of Cassation and Justice -</w:t>
      </w:r>
      <w:r>
        <w:rPr>
          <w:rFonts w:ascii="Arial" w:hAnsi="Arial"/>
        </w:rPr>
        <w:t xml:space="preserve"> in the course of settlement</w:t>
      </w:r>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b/>
          <w:sz w:val="22"/>
          <w:szCs w:val="22"/>
        </w:rPr>
        <w:t>Stage of trial</w:t>
      </w:r>
      <w:r>
        <w:rPr>
          <w:rFonts w:ascii="Arial" w:hAnsi="Arial"/>
          <w:sz w:val="22"/>
          <w:szCs w:val="22"/>
        </w:rPr>
        <w:t>: the Appeal of CONPET S.A. at the High Court of Cassation and Justice.</w:t>
      </w:r>
    </w:p>
    <w:p w:rsidR="00002699" w:rsidRPr="00D66B33" w:rsidRDefault="00002699" w:rsidP="00002699">
      <w:pPr>
        <w:widowControl/>
        <w:autoSpaceDE/>
        <w:autoSpaceDN/>
        <w:adjustRightInd/>
        <w:spacing w:after="160" w:line="276" w:lineRule="auto"/>
        <w:jc w:val="both"/>
        <w:rPr>
          <w:rFonts w:ascii="Arial" w:eastAsia="Calibri" w:hAnsi="Arial" w:cs="Arial"/>
          <w:sz w:val="22"/>
          <w:szCs w:val="22"/>
        </w:rPr>
      </w:pPr>
      <w:r>
        <w:rPr>
          <w:rFonts w:ascii="Arial" w:hAnsi="Arial"/>
          <w:sz w:val="22"/>
          <w:szCs w:val="22"/>
        </w:rPr>
        <w:t xml:space="preserve">By Order </w:t>
      </w:r>
      <w:proofErr w:type="gramStart"/>
      <w:r>
        <w:rPr>
          <w:rFonts w:ascii="Arial" w:hAnsi="Arial"/>
          <w:sz w:val="22"/>
          <w:szCs w:val="22"/>
        </w:rPr>
        <w:t>No</w:t>
      </w:r>
      <w:proofErr w:type="gramEnd"/>
      <w:r>
        <w:rPr>
          <w:rFonts w:ascii="Arial" w:hAnsi="Arial"/>
          <w:sz w:val="22"/>
          <w:szCs w:val="22"/>
        </w:rPr>
        <w:t xml:space="preserve"> 761/23.11.2017 the Court of Appeal in Timisoara city admits the call of the plaintiff U.A.T.  Pecica, Arad county</w:t>
      </w:r>
      <w:proofErr w:type="gramStart"/>
      <w:r>
        <w:rPr>
          <w:rFonts w:ascii="Arial" w:hAnsi="Arial"/>
          <w:sz w:val="22"/>
          <w:szCs w:val="22"/>
        </w:rPr>
        <w:t>,  cancels</w:t>
      </w:r>
      <w:proofErr w:type="gramEnd"/>
      <w:r>
        <w:rPr>
          <w:rFonts w:ascii="Arial" w:hAnsi="Arial"/>
          <w:sz w:val="22"/>
          <w:szCs w:val="22"/>
        </w:rPr>
        <w:t xml:space="preserve"> the appealed sentence and submits the case for retrial at the court in Arad county.  Decision No 761/23.11.2017 was appealed by CONPET S.A. at the High Court of Cassation and Justice.</w:t>
      </w:r>
    </w:p>
    <w:p w:rsidR="00002699"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b/>
          <w:sz w:val="22"/>
          <w:szCs w:val="22"/>
        </w:rPr>
        <w:t>Clarifications:</w:t>
      </w:r>
      <w:r>
        <w:rPr>
          <w:rFonts w:ascii="Arial" w:hAnsi="Arial"/>
          <w:sz w:val="22"/>
          <w:szCs w:val="22"/>
        </w:rPr>
        <w:t xml:space="preserve">: U.A.T. of the city Pecica filed for a trial by requesting the obligation of the defendant CONPET S.A. to deviate the crude oil which passes through a number of 22 infield parcels of land, intended for the construction of houses to pay the sum of 65,000 Euros representing the consideration of the houses located in the plot numbers of 141.7760/5/174, to be entered in the C.F. No.306869, as this can no longer be recovered, the payment of an annual rent, for the duration of the existence of the pipe, as a result of encumbrance of the areas shown over the legal right of easement exercised by CONPET S.A. and the obligation of the defendant CONPET S.A. to the granting of compensation for the period 31.10.2014-31.05.2016 as a result of limiting the attributes of ownership of the 22 infield  parcels of land and a fall in the value of the terrain on the real estate market because of the restrictions imposed by  the A.N.R.M. Order 196/2006 regarding  the construction.  At the same time has requested the obligation of the defendant CONPET S.A. as every 3 years to adapt the amount of damages to the real estate market value, from that moment, of similar lands </w:t>
      </w:r>
      <w:proofErr w:type="gramStart"/>
      <w:r>
        <w:rPr>
          <w:rFonts w:ascii="Arial" w:hAnsi="Arial"/>
          <w:sz w:val="22"/>
          <w:szCs w:val="22"/>
        </w:rPr>
        <w:t>and  to</w:t>
      </w:r>
      <w:proofErr w:type="gramEnd"/>
      <w:r>
        <w:rPr>
          <w:rFonts w:ascii="Arial" w:hAnsi="Arial"/>
          <w:sz w:val="22"/>
          <w:szCs w:val="22"/>
        </w:rPr>
        <w:t xml:space="preserve"> the provisions of the future orders of A.N.R.M.</w:t>
      </w:r>
    </w:p>
    <w:p w:rsidR="00002699" w:rsidRPr="00B52D72" w:rsidRDefault="00002699" w:rsidP="00002699">
      <w:pPr>
        <w:widowControl/>
        <w:autoSpaceDE/>
        <w:autoSpaceDN/>
        <w:adjustRightInd/>
        <w:jc w:val="both"/>
        <w:rPr>
          <w:rFonts w:ascii="Arial" w:eastAsia="Calibri" w:hAnsi="Arial" w:cs="Arial"/>
          <w:sz w:val="22"/>
          <w:szCs w:val="22"/>
        </w:rPr>
      </w:pPr>
      <w:r>
        <w:rPr>
          <w:rFonts w:ascii="Arial" w:hAnsi="Arial"/>
          <w:sz w:val="22"/>
          <w:szCs w:val="22"/>
        </w:rPr>
        <w:t xml:space="preserve">By the report on </w:t>
      </w:r>
      <w:proofErr w:type="gramStart"/>
      <w:r>
        <w:rPr>
          <w:rFonts w:ascii="Arial" w:hAnsi="Arial"/>
          <w:sz w:val="22"/>
          <w:szCs w:val="22"/>
        </w:rPr>
        <w:t>07.06.2018</w:t>
      </w:r>
      <w:proofErr w:type="gramEnd"/>
      <w:r>
        <w:rPr>
          <w:rFonts w:ascii="Arial" w:hAnsi="Arial"/>
          <w:sz w:val="22"/>
          <w:szCs w:val="22"/>
        </w:rPr>
        <w:t xml:space="preserve"> The High Court of Cassation and Justice found the ineligibility of Conpet’s appeal, it being promoted against a final decision, which is inconsistent with the hypothesis governed by Article 483(1) Civil Procedure Code. </w:t>
      </w:r>
      <w:r>
        <w:rPr>
          <w:rFonts w:ascii="Arial" w:hAnsi="Arial"/>
          <w:sz w:val="22"/>
          <w:szCs w:val="22"/>
        </w:rPr>
        <w:cr/>
        <w:t xml:space="preserve"> The parties may submit, in writing, to a point of view on the report after the communication.</w:t>
      </w:r>
      <w:r>
        <w:rPr>
          <w:rFonts w:ascii="Arial" w:hAnsi="Arial"/>
          <w:sz w:val="22"/>
          <w:szCs w:val="22"/>
        </w:rPr>
        <w:cr/>
      </w:r>
      <w:r>
        <w:rPr>
          <w:rFonts w:ascii="Arial" w:hAnsi="Arial"/>
          <w:b/>
          <w:sz w:val="22"/>
          <w:szCs w:val="22"/>
        </w:rPr>
        <w:t>Trial date:</w:t>
      </w:r>
      <w:r>
        <w:rPr>
          <w:rFonts w:ascii="Arial" w:hAnsi="Arial"/>
          <w:sz w:val="22"/>
          <w:szCs w:val="22"/>
        </w:rPr>
        <w:t xml:space="preserve"> Checking of court  </w:t>
      </w:r>
    </w:p>
    <w:p w:rsidR="00002699" w:rsidRPr="0034763B" w:rsidRDefault="00002699" w:rsidP="00002699">
      <w:pPr>
        <w:widowControl/>
        <w:autoSpaceDE/>
        <w:autoSpaceDN/>
        <w:adjustRightInd/>
        <w:spacing w:line="276" w:lineRule="auto"/>
        <w:jc w:val="both"/>
        <w:rPr>
          <w:rFonts w:ascii="Arial" w:eastAsia="Calibri" w:hAnsi="Arial" w:cs="Arial"/>
          <w:b/>
          <w:sz w:val="22"/>
          <w:szCs w:val="22"/>
          <w:lang w:eastAsia="en-US"/>
        </w:rPr>
      </w:pPr>
    </w:p>
    <w:p w:rsidR="00002699" w:rsidRPr="0034763B" w:rsidRDefault="00002699" w:rsidP="00D87DA4">
      <w:pPr>
        <w:pStyle w:val="ListParagraph"/>
        <w:numPr>
          <w:ilvl w:val="0"/>
          <w:numId w:val="27"/>
        </w:numPr>
        <w:spacing w:after="160"/>
        <w:jc w:val="both"/>
        <w:rPr>
          <w:rFonts w:ascii="Arial" w:hAnsi="Arial" w:cs="Arial"/>
          <w:b/>
        </w:rPr>
      </w:pPr>
      <w:r w:rsidRPr="0034763B">
        <w:rPr>
          <w:rFonts w:ascii="Arial" w:hAnsi="Arial"/>
          <w:b/>
        </w:rPr>
        <w:t>The file no. 1372/212/2017 -  Constanta Court -</w:t>
      </w:r>
      <w:r w:rsidRPr="0034763B">
        <w:rPr>
          <w:rFonts w:ascii="Arial" w:hAnsi="Arial"/>
        </w:rPr>
        <w:t xml:space="preserve"> in the course of settlement</w:t>
      </w:r>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b/>
          <w:sz w:val="22"/>
          <w:szCs w:val="22"/>
        </w:rPr>
        <w:t>Stage of trial:</w:t>
      </w:r>
      <w:r>
        <w:rPr>
          <w:rFonts w:ascii="Arial" w:hAnsi="Arial"/>
          <w:sz w:val="22"/>
          <w:szCs w:val="22"/>
        </w:rPr>
        <w:t xml:space="preserve"> Merits</w:t>
      </w:r>
    </w:p>
    <w:p w:rsidR="00002699" w:rsidRDefault="00002699" w:rsidP="0034763B">
      <w:pPr>
        <w:widowControl/>
        <w:autoSpaceDE/>
        <w:autoSpaceDN/>
        <w:adjustRightInd/>
        <w:spacing w:after="160" w:line="276" w:lineRule="auto"/>
        <w:jc w:val="both"/>
        <w:rPr>
          <w:rFonts w:ascii="Arial" w:eastAsia="Calibri" w:hAnsi="Arial" w:cs="Arial"/>
          <w:sz w:val="22"/>
          <w:szCs w:val="22"/>
        </w:rPr>
      </w:pPr>
      <w:r>
        <w:rPr>
          <w:rFonts w:ascii="Arial" w:hAnsi="Arial"/>
          <w:sz w:val="22"/>
          <w:szCs w:val="22"/>
        </w:rPr>
        <w:t xml:space="preserve">Cruceanu Alin Florinel filed a trial asking the court to </w:t>
      </w:r>
      <w:proofErr w:type="gramStart"/>
      <w:r>
        <w:rPr>
          <w:rFonts w:ascii="Arial" w:hAnsi="Arial"/>
          <w:sz w:val="22"/>
          <w:szCs w:val="22"/>
        </w:rPr>
        <w:t>oblidge  Conpet</w:t>
      </w:r>
      <w:proofErr w:type="gramEnd"/>
      <w:r>
        <w:rPr>
          <w:rFonts w:ascii="Arial" w:hAnsi="Arial"/>
          <w:sz w:val="22"/>
          <w:szCs w:val="22"/>
        </w:rPr>
        <w:t xml:space="preserve"> S.A.  </w:t>
      </w:r>
      <w:proofErr w:type="gramStart"/>
      <w:r>
        <w:rPr>
          <w:rFonts w:ascii="Arial" w:hAnsi="Arial"/>
          <w:sz w:val="22"/>
          <w:szCs w:val="22"/>
        </w:rPr>
        <w:t>to pay compensation equal to the value of the market for building land in the area of 460 sqm located at no. 29, Luceafarului street, Lazu comune,  Constanta county and for an area of 460 mp building land located at no. 31 Luceafarului Street, Lazu comune,  Constanta county, the price is estimated at the sum of 30,000 euros, the equivalent of RON 134.700; the obligation for Conpet to pay the sum for lack of use of land in the form of an annual rent over the last three years; the obligation for Conpet to pay the costs incurred as a result of the settlement of this application.</w:t>
      </w:r>
      <w:proofErr w:type="gramEnd"/>
      <w:r>
        <w:rPr>
          <w:rFonts w:ascii="Arial" w:hAnsi="Arial"/>
          <w:sz w:val="22"/>
          <w:szCs w:val="22"/>
        </w:rPr>
        <w:cr/>
        <w:t xml:space="preserve">Subsequently, the plaintiff had stated the action with regard to the second head of the request requesting the Court the obligation for Conpet to pay of the amount representing the lack of use of the two building lands for the period between 10.12.2015 and the date of the final sentence by which the first end of the request </w:t>
      </w:r>
      <w:proofErr w:type="gramStart"/>
      <w:r>
        <w:rPr>
          <w:rFonts w:ascii="Arial" w:hAnsi="Arial"/>
          <w:sz w:val="22"/>
          <w:szCs w:val="22"/>
        </w:rPr>
        <w:t>was admitted</w:t>
      </w:r>
      <w:proofErr w:type="gramEnd"/>
      <w:r>
        <w:rPr>
          <w:rFonts w:ascii="Arial" w:hAnsi="Arial"/>
          <w:sz w:val="22"/>
          <w:szCs w:val="22"/>
        </w:rPr>
        <w:t>.</w:t>
      </w:r>
      <w:r>
        <w:rPr>
          <w:rFonts w:ascii="Arial" w:hAnsi="Arial"/>
          <w:sz w:val="22"/>
          <w:szCs w:val="22"/>
        </w:rPr>
        <w:cr/>
      </w:r>
      <w:proofErr w:type="gramStart"/>
      <w:r>
        <w:rPr>
          <w:rFonts w:ascii="Arial" w:hAnsi="Arial"/>
          <w:sz w:val="22"/>
          <w:szCs w:val="22"/>
        </w:rPr>
        <w:t>Conpet has made a counterclaim in which it requested the obligation to allow the counterclaimer Conpet S.A. the exercise of the right of legal easement established by the provisions of Article 7 et seq. of the Law no. 238/2004 on the two plots of land owned by the complainant Cruceanu Alin Florinel, situated in the v</w:t>
      </w:r>
      <w:r w:rsidR="0034763B">
        <w:rPr>
          <w:rFonts w:ascii="Arial" w:hAnsi="Arial"/>
          <w:sz w:val="22"/>
          <w:szCs w:val="22"/>
        </w:rPr>
        <w:t xml:space="preserve">illage Agigea, Lazu village, </w:t>
      </w:r>
      <w:r>
        <w:rPr>
          <w:rFonts w:ascii="Arial" w:hAnsi="Arial"/>
          <w:sz w:val="22"/>
          <w:szCs w:val="22"/>
        </w:rPr>
        <w:t>no. 29- 31, Luceafarului str.,  county Constanta.</w:t>
      </w:r>
      <w:proofErr w:type="gramEnd"/>
      <w:r>
        <w:rPr>
          <w:rFonts w:ascii="Arial" w:hAnsi="Arial"/>
          <w:sz w:val="22"/>
          <w:szCs w:val="22"/>
        </w:rPr>
        <w:t xml:space="preserve">  </w:t>
      </w:r>
      <w:proofErr w:type="gramStart"/>
      <w:r>
        <w:rPr>
          <w:rFonts w:ascii="Arial" w:hAnsi="Arial"/>
          <w:sz w:val="22"/>
          <w:szCs w:val="22"/>
        </w:rPr>
        <w:t xml:space="preserve">The exercise of the right of legal easement is to be carried out in a passage of 2.4 meters wide located along the pipe buses to transport crude oil Ø 20 ˝ Baraganu Constant-standing for purposes of access to the pipe in order to verify the day-to-day management of the </w:t>
      </w:r>
      <w:r>
        <w:rPr>
          <w:rFonts w:ascii="Arial" w:hAnsi="Arial"/>
          <w:sz w:val="22"/>
          <w:szCs w:val="22"/>
        </w:rPr>
        <w:lastRenderedPageBreak/>
        <w:t>status of the pipe and the execution of any repair work and settlement of the annual rent provided for by law due by us, to the plaintiff in exchange for the exercise of the right to legal easement.</w:t>
      </w:r>
      <w:proofErr w:type="gramEnd"/>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b/>
          <w:sz w:val="22"/>
          <w:szCs w:val="22"/>
        </w:rPr>
        <w:t>Trial date:</w:t>
      </w:r>
      <w:r>
        <w:rPr>
          <w:rFonts w:ascii="Arial" w:hAnsi="Arial"/>
          <w:sz w:val="22"/>
          <w:szCs w:val="22"/>
        </w:rPr>
        <w:t xml:space="preserve"> 11.10.2018</w:t>
      </w:r>
    </w:p>
    <w:p w:rsidR="00002699" w:rsidRPr="00D66B33" w:rsidRDefault="00002699" w:rsidP="00002699">
      <w:pPr>
        <w:widowControl/>
        <w:autoSpaceDE/>
        <w:autoSpaceDN/>
        <w:adjustRightInd/>
        <w:spacing w:line="276" w:lineRule="auto"/>
        <w:jc w:val="both"/>
        <w:rPr>
          <w:rFonts w:ascii="Arial" w:eastAsia="Calibri" w:hAnsi="Arial" w:cs="Arial"/>
          <w:sz w:val="22"/>
          <w:szCs w:val="22"/>
          <w:lang w:val="it-IT" w:eastAsia="en-US"/>
        </w:rPr>
      </w:pPr>
    </w:p>
    <w:p w:rsidR="00002699" w:rsidRPr="00C8051D" w:rsidRDefault="00002699" w:rsidP="00D87DA4">
      <w:pPr>
        <w:pStyle w:val="ListParagraph"/>
        <w:numPr>
          <w:ilvl w:val="0"/>
          <w:numId w:val="27"/>
        </w:numPr>
        <w:spacing w:after="160"/>
        <w:jc w:val="both"/>
        <w:rPr>
          <w:rFonts w:ascii="Arial" w:hAnsi="Arial" w:cs="Arial"/>
          <w:i/>
        </w:rPr>
      </w:pPr>
      <w:r>
        <w:rPr>
          <w:rFonts w:ascii="Arial" w:hAnsi="Arial"/>
          <w:b/>
          <w:i/>
        </w:rPr>
        <w:t>The file no. 18344/212/2017 -  Constanta Court</w:t>
      </w:r>
      <w:r>
        <w:rPr>
          <w:rFonts w:ascii="Arial" w:hAnsi="Arial"/>
          <w:i/>
        </w:rPr>
        <w:t xml:space="preserve"> - in the course of settlement</w:t>
      </w:r>
    </w:p>
    <w:p w:rsidR="00002699" w:rsidRPr="00D66B33" w:rsidRDefault="00002699" w:rsidP="00002699">
      <w:pPr>
        <w:widowControl/>
        <w:autoSpaceDE/>
        <w:autoSpaceDN/>
        <w:adjustRightInd/>
        <w:spacing w:line="276" w:lineRule="auto"/>
        <w:jc w:val="both"/>
        <w:rPr>
          <w:rFonts w:ascii="Arial" w:eastAsia="Calibri" w:hAnsi="Arial" w:cs="Arial"/>
          <w:i/>
          <w:sz w:val="22"/>
          <w:szCs w:val="22"/>
        </w:rPr>
      </w:pPr>
      <w:r>
        <w:rPr>
          <w:rFonts w:ascii="Arial" w:hAnsi="Arial"/>
          <w:b/>
          <w:sz w:val="22"/>
          <w:szCs w:val="22"/>
        </w:rPr>
        <w:t>Stage of trial</w:t>
      </w:r>
      <w:r>
        <w:rPr>
          <w:rFonts w:ascii="Arial" w:hAnsi="Arial"/>
          <w:sz w:val="22"/>
          <w:szCs w:val="22"/>
        </w:rPr>
        <w:t>:</w:t>
      </w:r>
      <w:r>
        <w:rPr>
          <w:rFonts w:ascii="Arial" w:hAnsi="Arial"/>
          <w:i/>
          <w:sz w:val="22"/>
          <w:szCs w:val="22"/>
        </w:rPr>
        <w:t xml:space="preserve"> Merits</w:t>
      </w:r>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sz w:val="22"/>
          <w:szCs w:val="22"/>
        </w:rPr>
        <w:t>Dumitru Mitu and Mitu Rodica filed for a trial by applying the obligation of Conpet to payment of compensation for the two plots of land, situated in the village Lazu, Agigea commune, Constanta county affected by the routing of some pipes carrying petroleum products, as well as the obligation of the defendant to pay an annual rent for lack of use of the land affected by the exercise of the right of legal easement, starting with the date of 20.06.2014 and compensation in the form of an annual payment for the assignment of the partly use of the land on which the pipe is located, with the obligation to pay the trial costs.</w:t>
      </w:r>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sz w:val="22"/>
          <w:szCs w:val="22"/>
        </w:rPr>
        <w:t>Conpet has made a counterclaim which has requested the court to order the plaintiffs to allow Conpet S.A. to exercise the right of legal easement established by the provisions of Article 7 et seq. of the Law no. 238/2004 on the two plots of land owned by the plaintiffs.</w:t>
      </w:r>
      <w:r>
        <w:rPr>
          <w:rFonts w:ascii="Arial" w:hAnsi="Arial"/>
          <w:sz w:val="22"/>
          <w:szCs w:val="22"/>
        </w:rPr>
        <w:cr/>
      </w:r>
      <w:r>
        <w:rPr>
          <w:rFonts w:ascii="Arial" w:hAnsi="Arial"/>
          <w:sz w:val="22"/>
          <w:szCs w:val="22"/>
        </w:rPr>
        <w:br/>
        <w:t xml:space="preserve"> </w:t>
      </w:r>
      <w:proofErr w:type="gramStart"/>
      <w:r>
        <w:rPr>
          <w:rFonts w:ascii="Arial" w:hAnsi="Arial"/>
          <w:sz w:val="22"/>
          <w:szCs w:val="22"/>
        </w:rPr>
        <w:t>The exercise of the right of legal easement is to be carried out in a passage of 2.4 meters wide located along the pipe buses to transport crude oil F2 Ø 20 ˝ Baraganu Constanta- standing for purposes of access to the pipe in order to verify the day-to-day management of the status of the pipe and the execution of any repair work and determine the amount of the annual rent provided for by law that is due by Conpet  to the plaintiffs in exchange for the exercise of the right to legal easement.</w:t>
      </w:r>
      <w:proofErr w:type="gramEnd"/>
      <w:r>
        <w:rPr>
          <w:rFonts w:ascii="Arial" w:hAnsi="Arial"/>
          <w:sz w:val="22"/>
          <w:szCs w:val="22"/>
        </w:rPr>
        <w:t xml:space="preserve"> </w:t>
      </w:r>
      <w:proofErr w:type="gramStart"/>
      <w:r>
        <w:rPr>
          <w:rFonts w:ascii="Arial" w:hAnsi="Arial"/>
          <w:sz w:val="22"/>
          <w:szCs w:val="22"/>
        </w:rPr>
        <w:t>Also, Conpet has made a request for a guarantee call of the Public Finance Ministry and the National Agency for Mineral Resources (A.N.R.M.) in order to ensure that, in case  Conpet S.A. Ploiesti falls in claims relating to the claims of the complainants made in the application of the Summoning sue,to compensate us for the sums which we shall be obliged to pay to the complainants.</w:t>
      </w:r>
      <w:proofErr w:type="gramEnd"/>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b/>
          <w:sz w:val="22"/>
          <w:szCs w:val="22"/>
        </w:rPr>
        <w:t>Trial date:</w:t>
      </w:r>
      <w:r>
        <w:rPr>
          <w:rFonts w:ascii="Arial" w:hAnsi="Arial"/>
          <w:sz w:val="22"/>
          <w:szCs w:val="22"/>
        </w:rPr>
        <w:t xml:space="preserve"> 05.09.2018   </w:t>
      </w:r>
    </w:p>
    <w:p w:rsidR="00002699" w:rsidRPr="00D66B33" w:rsidRDefault="00002699" w:rsidP="00002699">
      <w:pPr>
        <w:widowControl/>
        <w:autoSpaceDE/>
        <w:autoSpaceDN/>
        <w:adjustRightInd/>
        <w:spacing w:line="276" w:lineRule="auto"/>
        <w:jc w:val="both"/>
        <w:rPr>
          <w:rFonts w:ascii="Arial" w:eastAsia="Calibri" w:hAnsi="Arial" w:cs="Arial"/>
          <w:sz w:val="22"/>
          <w:szCs w:val="22"/>
          <w:lang w:eastAsia="en-US"/>
        </w:rPr>
      </w:pPr>
    </w:p>
    <w:p w:rsidR="00002699" w:rsidRPr="00C8051D" w:rsidRDefault="00002699" w:rsidP="00D87DA4">
      <w:pPr>
        <w:pStyle w:val="ListParagraph"/>
        <w:numPr>
          <w:ilvl w:val="0"/>
          <w:numId w:val="27"/>
        </w:numPr>
        <w:jc w:val="both"/>
        <w:rPr>
          <w:rFonts w:ascii="Arial" w:hAnsi="Arial" w:cs="Arial"/>
        </w:rPr>
      </w:pPr>
      <w:r>
        <w:rPr>
          <w:rFonts w:ascii="Arial" w:hAnsi="Arial"/>
          <w:b/>
          <w:i/>
        </w:rPr>
        <w:t>The file no. 14960/280/2015</w:t>
      </w:r>
      <w:r>
        <w:rPr>
          <w:rFonts w:ascii="Arial" w:hAnsi="Arial"/>
          <w:b/>
        </w:rPr>
        <w:t xml:space="preserve"> -   Pitești Court </w:t>
      </w:r>
      <w:r>
        <w:rPr>
          <w:rFonts w:ascii="Arial" w:hAnsi="Arial"/>
        </w:rPr>
        <w:t>- in the course of settlement</w:t>
      </w:r>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b/>
          <w:sz w:val="22"/>
          <w:szCs w:val="22"/>
        </w:rPr>
        <w:t>Stage of trial</w:t>
      </w:r>
      <w:r>
        <w:rPr>
          <w:rFonts w:ascii="Arial" w:hAnsi="Arial"/>
          <w:sz w:val="22"/>
          <w:szCs w:val="22"/>
        </w:rPr>
        <w:t>: Merits</w:t>
      </w:r>
    </w:p>
    <w:p w:rsidR="00002699" w:rsidRDefault="00002699" w:rsidP="00002699">
      <w:pPr>
        <w:widowControl/>
        <w:autoSpaceDE/>
        <w:autoSpaceDN/>
        <w:adjustRightInd/>
        <w:spacing w:line="276" w:lineRule="auto"/>
        <w:jc w:val="both"/>
        <w:rPr>
          <w:rFonts w:ascii="Arial" w:eastAsia="Calibri" w:hAnsi="Arial" w:cs="Arial"/>
          <w:bCs/>
          <w:sz w:val="22"/>
          <w:szCs w:val="22"/>
          <w:bdr w:val="none" w:sz="0" w:space="0" w:color="auto" w:frame="1"/>
        </w:rPr>
      </w:pPr>
      <w:proofErr w:type="gramStart"/>
      <w:r>
        <w:rPr>
          <w:rFonts w:ascii="Arial" w:hAnsi="Arial"/>
          <w:sz w:val="22"/>
          <w:szCs w:val="22"/>
        </w:rPr>
        <w:t xml:space="preserve">Cirstea Stelian and Cirstea Gherghina appealed the sentence of the court and request an order for Conpet SA to pay for lack of use as of the date of acquisition of the ownership of the land -more precisely as of 6 October 2014, the lack of use which provisionally rise to the sum of RON 1000 </w:t>
      </w:r>
      <w:r w:rsidR="00FB6CB6">
        <w:rPr>
          <w:rFonts w:ascii="Arial" w:hAnsi="Arial"/>
          <w:sz w:val="22"/>
          <w:szCs w:val="22"/>
        </w:rPr>
        <w:t>–</w:t>
      </w:r>
      <w:r>
        <w:rPr>
          <w:rFonts w:ascii="Arial" w:hAnsi="Arial"/>
          <w:sz w:val="22"/>
          <w:szCs w:val="22"/>
        </w:rPr>
        <w:t xml:space="preserve"> </w:t>
      </w:r>
      <w:r w:rsidR="00FB6CB6">
        <w:rPr>
          <w:rFonts w:ascii="Arial" w:hAnsi="Arial"/>
          <w:sz w:val="22"/>
          <w:szCs w:val="22"/>
        </w:rPr>
        <w:t>is to augment by the value of the percentage of the summons after producing the rules of evidence</w:t>
      </w:r>
      <w:r w:rsidR="00FB6CB6">
        <w:rPr>
          <w:rFonts w:ascii="Arial" w:hAnsi="Arial"/>
          <w:b/>
          <w:bCs/>
          <w:sz w:val="22"/>
          <w:szCs w:val="22"/>
        </w:rPr>
        <w:t xml:space="preserve"> </w:t>
      </w:r>
      <w:r w:rsidR="00FB6CB6" w:rsidRPr="00FB6CB6">
        <w:rPr>
          <w:rFonts w:ascii="Arial" w:hAnsi="Arial"/>
          <w:bCs/>
          <w:sz w:val="22"/>
          <w:szCs w:val="22"/>
        </w:rPr>
        <w:t xml:space="preserve">and </w:t>
      </w:r>
      <w:r>
        <w:rPr>
          <w:rFonts w:ascii="Arial" w:hAnsi="Arial"/>
          <w:sz w:val="22"/>
          <w:szCs w:val="22"/>
        </w:rPr>
        <w:t xml:space="preserve">to oblidge CONPET to lift the pipes and installations, which are on the land owned by the plaintiffs, and in as </w:t>
      </w:r>
      <w:r w:rsidR="00FB6CB6">
        <w:rPr>
          <w:rFonts w:ascii="Arial" w:hAnsi="Arial"/>
          <w:sz w:val="22"/>
          <w:szCs w:val="22"/>
        </w:rPr>
        <w:t xml:space="preserve">far as this is not possible, </w:t>
      </w:r>
      <w:r>
        <w:rPr>
          <w:rFonts w:ascii="Arial" w:hAnsi="Arial"/>
          <w:sz w:val="22"/>
          <w:szCs w:val="22"/>
        </w:rPr>
        <w:t>the obligation of Conpet at a monthly payment of an amount equivalent to the consideration of rentals for land affected by the pipes and installations on him - at the level of the rents charged on the free market.</w:t>
      </w:r>
      <w:proofErr w:type="gramEnd"/>
      <w:r>
        <w:rPr>
          <w:rFonts w:ascii="Arial" w:hAnsi="Arial"/>
          <w:sz w:val="22"/>
          <w:szCs w:val="22"/>
        </w:rPr>
        <w:cr/>
      </w:r>
      <w:r>
        <w:rPr>
          <w:rFonts w:ascii="Arial" w:hAnsi="Arial"/>
          <w:b/>
          <w:sz w:val="22"/>
          <w:szCs w:val="22"/>
        </w:rPr>
        <w:t>Trial date:</w:t>
      </w:r>
      <w:r>
        <w:rPr>
          <w:rFonts w:ascii="Arial" w:hAnsi="Arial"/>
          <w:sz w:val="22"/>
          <w:szCs w:val="22"/>
        </w:rPr>
        <w:t xml:space="preserve"> 11.09.2018</w:t>
      </w:r>
    </w:p>
    <w:p w:rsidR="00002699" w:rsidRPr="00D66B33" w:rsidRDefault="00002699" w:rsidP="00002699">
      <w:pPr>
        <w:widowControl/>
        <w:autoSpaceDE/>
        <w:autoSpaceDN/>
        <w:adjustRightInd/>
        <w:spacing w:line="276" w:lineRule="auto"/>
        <w:jc w:val="both"/>
        <w:rPr>
          <w:rFonts w:ascii="Arial" w:eastAsia="Calibri" w:hAnsi="Arial" w:cs="Arial"/>
          <w:bCs/>
          <w:sz w:val="22"/>
          <w:szCs w:val="22"/>
          <w:bdr w:val="none" w:sz="0" w:space="0" w:color="auto" w:frame="1"/>
          <w:lang w:eastAsia="en-US"/>
        </w:rPr>
      </w:pPr>
    </w:p>
    <w:p w:rsidR="00002699" w:rsidRPr="00C8051D" w:rsidRDefault="00002699" w:rsidP="00D87DA4">
      <w:pPr>
        <w:pStyle w:val="ListParagraph"/>
        <w:numPr>
          <w:ilvl w:val="0"/>
          <w:numId w:val="27"/>
        </w:numPr>
        <w:jc w:val="both"/>
        <w:rPr>
          <w:rFonts w:ascii="Arial" w:hAnsi="Arial" w:cs="Arial"/>
        </w:rPr>
      </w:pPr>
      <w:r>
        <w:rPr>
          <w:rFonts w:ascii="Arial" w:hAnsi="Arial"/>
          <w:b/>
          <w:i/>
        </w:rPr>
        <w:t xml:space="preserve">The file no. </w:t>
      </w:r>
      <w:r>
        <w:rPr>
          <w:rFonts w:ascii="Arial" w:hAnsi="Arial"/>
          <w:b/>
          <w:bCs/>
          <w:i/>
          <w:bdr w:val="none" w:sz="0" w:space="0" w:color="auto" w:frame="1"/>
        </w:rPr>
        <w:t xml:space="preserve">220/262/2017 </w:t>
      </w:r>
      <w:r>
        <w:rPr>
          <w:rFonts w:ascii="Arial" w:hAnsi="Arial"/>
          <w:bCs/>
          <w:bdr w:val="none" w:sz="0" w:space="0" w:color="auto" w:frame="1"/>
        </w:rPr>
        <w:t>-   Moreni Court</w:t>
      </w:r>
      <w:r>
        <w:rPr>
          <w:rFonts w:ascii="Arial" w:hAnsi="Arial"/>
        </w:rPr>
        <w:t xml:space="preserve"> - in the course of settlement</w:t>
      </w:r>
    </w:p>
    <w:p w:rsidR="00002699" w:rsidRPr="00D66B33" w:rsidRDefault="00002699" w:rsidP="00002699">
      <w:pPr>
        <w:widowControl/>
        <w:autoSpaceDE/>
        <w:autoSpaceDN/>
        <w:adjustRightInd/>
        <w:spacing w:line="276" w:lineRule="auto"/>
        <w:jc w:val="both"/>
        <w:rPr>
          <w:rFonts w:ascii="Arial" w:eastAsia="Calibri" w:hAnsi="Arial" w:cs="Arial"/>
          <w:bCs/>
          <w:sz w:val="22"/>
          <w:szCs w:val="22"/>
          <w:bdr w:val="none" w:sz="0" w:space="0" w:color="auto" w:frame="1"/>
        </w:rPr>
      </w:pPr>
      <w:r>
        <w:rPr>
          <w:rFonts w:ascii="Arial" w:hAnsi="Arial"/>
          <w:b/>
          <w:sz w:val="22"/>
          <w:szCs w:val="22"/>
        </w:rPr>
        <w:t>Stage of trial</w:t>
      </w:r>
      <w:r>
        <w:rPr>
          <w:rFonts w:ascii="Arial" w:hAnsi="Arial"/>
          <w:sz w:val="22"/>
          <w:szCs w:val="22"/>
        </w:rPr>
        <w:t>: Merits</w:t>
      </w:r>
    </w:p>
    <w:p w:rsidR="00002699" w:rsidRPr="00D66B33" w:rsidRDefault="00002699" w:rsidP="00002699">
      <w:pPr>
        <w:widowControl/>
        <w:autoSpaceDE/>
        <w:autoSpaceDN/>
        <w:adjustRightInd/>
        <w:spacing w:line="276" w:lineRule="auto"/>
        <w:jc w:val="both"/>
        <w:rPr>
          <w:rFonts w:ascii="Arial" w:eastAsia="Calibri" w:hAnsi="Arial" w:cs="Arial"/>
          <w:bCs/>
          <w:sz w:val="22"/>
          <w:szCs w:val="22"/>
          <w:bdr w:val="none" w:sz="0" w:space="0" w:color="auto" w:frame="1"/>
        </w:rPr>
      </w:pPr>
      <w:proofErr w:type="gramStart"/>
      <w:r>
        <w:rPr>
          <w:rFonts w:ascii="Arial" w:hAnsi="Arial"/>
          <w:bCs/>
          <w:sz w:val="22"/>
          <w:szCs w:val="22"/>
          <w:bdr w:val="none" w:sz="0" w:space="0" w:color="auto" w:frame="1"/>
        </w:rPr>
        <w:t>Chivu Ion has filed for a tria</w:t>
      </w:r>
      <w:r w:rsidR="00FB6CB6">
        <w:rPr>
          <w:rFonts w:ascii="Arial" w:hAnsi="Arial"/>
          <w:bCs/>
          <w:sz w:val="22"/>
          <w:szCs w:val="22"/>
          <w:bdr w:val="none" w:sz="0" w:space="0" w:color="auto" w:frame="1"/>
        </w:rPr>
        <w:t xml:space="preserve">l requesting the court to have </w:t>
      </w:r>
      <w:r>
        <w:rPr>
          <w:rFonts w:ascii="Arial" w:hAnsi="Arial"/>
          <w:bCs/>
          <w:sz w:val="22"/>
          <w:szCs w:val="22"/>
          <w:bdr w:val="none" w:sz="0" w:space="0" w:color="auto" w:frame="1"/>
        </w:rPr>
        <w:t>the order for Conpet to disrupt the oil pipe crossing the land in hi</w:t>
      </w:r>
      <w:r w:rsidR="00FB6CB6">
        <w:rPr>
          <w:rFonts w:ascii="Arial" w:hAnsi="Arial"/>
          <w:bCs/>
          <w:sz w:val="22"/>
          <w:szCs w:val="22"/>
          <w:bdr w:val="none" w:sz="0" w:space="0" w:color="auto" w:frame="1"/>
        </w:rPr>
        <w:t xml:space="preserve">s property, with the area of </w:t>
      </w:r>
      <w:r>
        <w:rPr>
          <w:rFonts w:ascii="Arial" w:hAnsi="Arial"/>
          <w:bCs/>
          <w:sz w:val="22"/>
          <w:szCs w:val="22"/>
          <w:bdr w:val="none" w:sz="0" w:space="0" w:color="auto" w:frame="1"/>
        </w:rPr>
        <w:t xml:space="preserve">1.753 sqm in Ocnita, located in the T14, P114, the establishment of acces site with the obligation of Conpet to the payment of annual rent </w:t>
      </w:r>
      <w:r>
        <w:rPr>
          <w:rFonts w:ascii="Arial" w:hAnsi="Arial"/>
          <w:bCs/>
          <w:sz w:val="22"/>
          <w:szCs w:val="22"/>
          <w:bdr w:val="none" w:sz="0" w:space="0" w:color="auto" w:frame="1"/>
        </w:rPr>
        <w:lastRenderedPageBreak/>
        <w:t>concerned for both the path of access and  the pipe that produces injury of the terrain and compensation for the land affected by the pipe.</w:t>
      </w:r>
      <w:proofErr w:type="gramEnd"/>
      <w:r>
        <w:rPr>
          <w:rFonts w:ascii="Arial" w:hAnsi="Arial"/>
          <w:bCs/>
          <w:sz w:val="22"/>
          <w:szCs w:val="22"/>
          <w:bdr w:val="none" w:sz="0" w:space="0" w:color="auto" w:frame="1"/>
        </w:rPr>
        <w:t xml:space="preserve">  </w:t>
      </w:r>
    </w:p>
    <w:p w:rsidR="00002699" w:rsidRDefault="00002699" w:rsidP="00002699">
      <w:pPr>
        <w:widowControl/>
        <w:autoSpaceDE/>
        <w:autoSpaceDN/>
        <w:adjustRightInd/>
        <w:spacing w:after="160" w:line="276" w:lineRule="auto"/>
        <w:jc w:val="both"/>
        <w:rPr>
          <w:rFonts w:ascii="Arial" w:eastAsia="Calibri" w:hAnsi="Arial" w:cs="Arial"/>
          <w:bCs/>
          <w:sz w:val="22"/>
          <w:szCs w:val="22"/>
          <w:bdr w:val="none" w:sz="0" w:space="0" w:color="auto" w:frame="1"/>
        </w:rPr>
      </w:pPr>
      <w:r>
        <w:rPr>
          <w:rFonts w:ascii="Arial" w:hAnsi="Arial"/>
          <w:b/>
          <w:bCs/>
          <w:sz w:val="22"/>
          <w:szCs w:val="22"/>
          <w:bdr w:val="none" w:sz="0" w:space="0" w:color="auto" w:frame="1"/>
        </w:rPr>
        <w:t>Trial date:</w:t>
      </w:r>
      <w:r>
        <w:rPr>
          <w:rFonts w:ascii="Arial" w:hAnsi="Arial"/>
          <w:bCs/>
          <w:sz w:val="22"/>
          <w:szCs w:val="22"/>
          <w:bdr w:val="none" w:sz="0" w:space="0" w:color="auto" w:frame="1"/>
        </w:rPr>
        <w:t xml:space="preserve"> 21.08.2018</w:t>
      </w:r>
    </w:p>
    <w:p w:rsidR="00002699" w:rsidRPr="00C8051D" w:rsidRDefault="00002699" w:rsidP="00D87DA4">
      <w:pPr>
        <w:pStyle w:val="ListParagraph"/>
        <w:numPr>
          <w:ilvl w:val="0"/>
          <w:numId w:val="27"/>
        </w:numPr>
        <w:jc w:val="both"/>
        <w:rPr>
          <w:rFonts w:ascii="Arial" w:hAnsi="Arial" w:cs="Arial"/>
        </w:rPr>
      </w:pPr>
      <w:r>
        <w:rPr>
          <w:rFonts w:ascii="Arial" w:hAnsi="Arial"/>
          <w:b/>
          <w:i/>
        </w:rPr>
        <w:t>The file no. 21382/281/2015</w:t>
      </w:r>
      <w:r>
        <w:rPr>
          <w:rFonts w:ascii="Arial" w:hAnsi="Arial"/>
          <w:b/>
        </w:rPr>
        <w:t xml:space="preserve"> -   Ploiesti Court </w:t>
      </w:r>
      <w:r>
        <w:rPr>
          <w:rFonts w:ascii="Arial" w:hAnsi="Arial"/>
        </w:rPr>
        <w:t>- in the course of settlement</w:t>
      </w:r>
    </w:p>
    <w:p w:rsidR="00002699" w:rsidRPr="00D66B33" w:rsidRDefault="00002699" w:rsidP="00002699">
      <w:pPr>
        <w:widowControl/>
        <w:autoSpaceDE/>
        <w:autoSpaceDN/>
        <w:adjustRightInd/>
        <w:spacing w:line="276" w:lineRule="auto"/>
        <w:jc w:val="both"/>
        <w:rPr>
          <w:rFonts w:ascii="Arial" w:eastAsia="Calibri" w:hAnsi="Arial" w:cs="Arial"/>
          <w:bCs/>
          <w:sz w:val="22"/>
          <w:szCs w:val="22"/>
          <w:bdr w:val="none" w:sz="0" w:space="0" w:color="auto" w:frame="1"/>
        </w:rPr>
      </w:pPr>
      <w:r>
        <w:rPr>
          <w:rFonts w:ascii="Arial" w:hAnsi="Arial"/>
          <w:b/>
          <w:sz w:val="22"/>
          <w:szCs w:val="22"/>
        </w:rPr>
        <w:t>Stage of trial</w:t>
      </w:r>
      <w:r>
        <w:rPr>
          <w:rFonts w:ascii="Arial" w:hAnsi="Arial"/>
          <w:sz w:val="22"/>
          <w:szCs w:val="22"/>
        </w:rPr>
        <w:t>: Merits</w:t>
      </w:r>
    </w:p>
    <w:p w:rsidR="00002699" w:rsidRPr="00D66B33" w:rsidRDefault="00002699" w:rsidP="00002699">
      <w:pPr>
        <w:widowControl/>
        <w:autoSpaceDE/>
        <w:autoSpaceDN/>
        <w:adjustRightInd/>
        <w:spacing w:line="276" w:lineRule="auto"/>
        <w:jc w:val="both"/>
        <w:rPr>
          <w:rFonts w:ascii="Arial" w:eastAsia="Calibri" w:hAnsi="Arial" w:cs="Arial"/>
          <w:b/>
          <w:sz w:val="22"/>
          <w:szCs w:val="22"/>
        </w:rPr>
      </w:pPr>
      <w:r>
        <w:rPr>
          <w:rFonts w:ascii="Arial" w:hAnsi="Arial"/>
          <w:sz w:val="22"/>
          <w:szCs w:val="22"/>
        </w:rPr>
        <w:t xml:space="preserve">By the conclusion on 02.05.2017, Ploiesti </w:t>
      </w:r>
      <w:proofErr w:type="gramStart"/>
      <w:r>
        <w:rPr>
          <w:rFonts w:ascii="Arial" w:hAnsi="Arial"/>
          <w:sz w:val="22"/>
          <w:szCs w:val="22"/>
        </w:rPr>
        <w:t>Court  suspended</w:t>
      </w:r>
      <w:proofErr w:type="gramEnd"/>
      <w:r>
        <w:rPr>
          <w:rFonts w:ascii="Arial" w:hAnsi="Arial"/>
          <w:sz w:val="22"/>
          <w:szCs w:val="22"/>
        </w:rPr>
        <w:t xml:space="preserve">  the sentence of the case pursuant to Article 242(1) Civil Procedure Code.  (Non-fulfilment by the plaintiff of the obligations ordered by the instance). In December 2017, the file was resubmitted to court. Iordache Margareta formulated sue petition requesting to compel the defendant CONPET to pay the counter-value of the lack of use of the real estate owned by the plaintiff, land located in Blejoi Commune, Ploieștori village, for the last six years prior to filing the action.</w:t>
      </w:r>
    </w:p>
    <w:p w:rsidR="00002699" w:rsidRDefault="00002699" w:rsidP="00002699">
      <w:pPr>
        <w:widowControl/>
        <w:autoSpaceDE/>
        <w:autoSpaceDN/>
        <w:adjustRightInd/>
        <w:spacing w:after="160" w:line="276" w:lineRule="auto"/>
        <w:jc w:val="both"/>
        <w:rPr>
          <w:rFonts w:ascii="Arial" w:eastAsia="Calibri" w:hAnsi="Arial" w:cs="Arial"/>
          <w:sz w:val="22"/>
          <w:szCs w:val="22"/>
        </w:rPr>
      </w:pPr>
      <w:r>
        <w:rPr>
          <w:rFonts w:ascii="Arial" w:hAnsi="Arial"/>
          <w:b/>
          <w:sz w:val="22"/>
          <w:szCs w:val="22"/>
        </w:rPr>
        <w:t>Trial date:</w:t>
      </w:r>
      <w:r>
        <w:rPr>
          <w:rFonts w:ascii="Arial" w:hAnsi="Arial"/>
          <w:sz w:val="22"/>
          <w:szCs w:val="22"/>
        </w:rPr>
        <w:t xml:space="preserve"> 02.10.2018</w:t>
      </w:r>
    </w:p>
    <w:p w:rsidR="00002699" w:rsidRPr="00C8051D" w:rsidRDefault="00002699" w:rsidP="00D87DA4">
      <w:pPr>
        <w:pStyle w:val="ListParagraph"/>
        <w:numPr>
          <w:ilvl w:val="0"/>
          <w:numId w:val="27"/>
        </w:numPr>
        <w:spacing w:after="160"/>
        <w:jc w:val="both"/>
        <w:rPr>
          <w:rFonts w:ascii="Arial" w:hAnsi="Arial" w:cs="Arial"/>
        </w:rPr>
      </w:pPr>
      <w:r>
        <w:rPr>
          <w:rFonts w:ascii="Arial" w:hAnsi="Arial"/>
          <w:b/>
          <w:i/>
        </w:rPr>
        <w:t>The file no. 8425/281/2015</w:t>
      </w:r>
      <w:r>
        <w:rPr>
          <w:rFonts w:ascii="Arial" w:hAnsi="Arial"/>
          <w:b/>
        </w:rPr>
        <w:t xml:space="preserve"> -   Ploiesti Court </w:t>
      </w:r>
      <w:r>
        <w:rPr>
          <w:rFonts w:ascii="Arial" w:hAnsi="Arial"/>
        </w:rPr>
        <w:t xml:space="preserve">- in the course of settlement </w:t>
      </w:r>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b/>
          <w:sz w:val="22"/>
          <w:szCs w:val="22"/>
        </w:rPr>
        <w:t>Stage of trial</w:t>
      </w:r>
      <w:r>
        <w:rPr>
          <w:rFonts w:ascii="Arial" w:hAnsi="Arial"/>
          <w:sz w:val="22"/>
          <w:szCs w:val="22"/>
        </w:rPr>
        <w:t>: Merits</w:t>
      </w:r>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sz w:val="22"/>
          <w:szCs w:val="22"/>
        </w:rPr>
        <w:t>Panaitescu Mircea filed the court summons requesting the obligation of Conpet to pay the amount of 5.000 lei as lack of use and annual rent of 12.000 RON CONPET filed the counterclaim by which it requested the institution of the right of legal easement and determination of annual rent.</w:t>
      </w:r>
    </w:p>
    <w:p w:rsidR="00002699" w:rsidRPr="004B5499"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sz w:val="22"/>
          <w:szCs w:val="22"/>
        </w:rPr>
        <w:t>By sentence no.5772/</w:t>
      </w:r>
      <w:proofErr w:type="gramStart"/>
      <w:r>
        <w:rPr>
          <w:rFonts w:ascii="Arial" w:hAnsi="Arial"/>
          <w:sz w:val="22"/>
          <w:szCs w:val="22"/>
        </w:rPr>
        <w:t>29.06.2018  Ploiesti</w:t>
      </w:r>
      <w:proofErr w:type="gramEnd"/>
      <w:r>
        <w:rPr>
          <w:rFonts w:ascii="Arial" w:hAnsi="Arial"/>
          <w:sz w:val="22"/>
          <w:szCs w:val="22"/>
        </w:rPr>
        <w:t xml:space="preserve"> Court admits in part the court summons. Admission to the part of the counterclaim. Ordered the defendant to pay an annual rent of an amount equal to RON 58,89 (79,66 kg STAS wheat) for the exercising by the defendant of the right to legal easement, for an area of land of 461 sqm corresponding to the swath width of 2.5 m, from the date of the introduction of the action.  It forces the defendant to pay the court costs in the amount of RON 20 representing the judicial stamp fee corresponding to the end of the application range, RON 600 representing agriculture expertise fee and RON 600 reduced attorney fee.  With legal costs on a separate path for the defendant.  The sentence can be appealed after communication. </w:t>
      </w:r>
    </w:p>
    <w:p w:rsidR="00002699"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b/>
          <w:sz w:val="22"/>
          <w:szCs w:val="22"/>
        </w:rPr>
        <w:t xml:space="preserve">Trial date: </w:t>
      </w:r>
      <w:r>
        <w:rPr>
          <w:rFonts w:ascii="Arial" w:hAnsi="Arial"/>
          <w:sz w:val="22"/>
          <w:szCs w:val="22"/>
        </w:rPr>
        <w:t>--</w:t>
      </w:r>
    </w:p>
    <w:p w:rsidR="00002699" w:rsidRPr="004B5499" w:rsidRDefault="00002699" w:rsidP="00002699">
      <w:pPr>
        <w:widowControl/>
        <w:autoSpaceDE/>
        <w:autoSpaceDN/>
        <w:adjustRightInd/>
        <w:spacing w:line="276" w:lineRule="auto"/>
        <w:jc w:val="both"/>
        <w:rPr>
          <w:rFonts w:ascii="Arial" w:eastAsia="Calibri" w:hAnsi="Arial" w:cs="Arial"/>
          <w:sz w:val="22"/>
          <w:szCs w:val="22"/>
          <w:lang w:eastAsia="en-US"/>
        </w:rPr>
      </w:pPr>
    </w:p>
    <w:p w:rsidR="00002699" w:rsidRPr="00C8051D" w:rsidRDefault="00002699" w:rsidP="00D87DA4">
      <w:pPr>
        <w:pStyle w:val="ListParagraph"/>
        <w:numPr>
          <w:ilvl w:val="0"/>
          <w:numId w:val="27"/>
        </w:numPr>
        <w:jc w:val="both"/>
        <w:rPr>
          <w:rFonts w:ascii="Arial" w:hAnsi="Arial" w:cs="Arial"/>
        </w:rPr>
      </w:pPr>
      <w:r>
        <w:rPr>
          <w:rFonts w:ascii="Arial" w:hAnsi="Arial"/>
          <w:b/>
          <w:i/>
        </w:rPr>
        <w:t>The file no. 5413/204/2017</w:t>
      </w:r>
      <w:r>
        <w:rPr>
          <w:rFonts w:ascii="Arial" w:hAnsi="Arial"/>
          <w:b/>
        </w:rPr>
        <w:t xml:space="preserve"> -  Prahova Tribunal</w:t>
      </w:r>
      <w:r>
        <w:rPr>
          <w:rFonts w:ascii="Arial" w:hAnsi="Arial"/>
        </w:rPr>
        <w:t xml:space="preserve"> - in the course of settlement</w:t>
      </w:r>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r>
        <w:rPr>
          <w:rFonts w:ascii="Arial" w:hAnsi="Arial"/>
          <w:b/>
          <w:sz w:val="22"/>
          <w:szCs w:val="22"/>
        </w:rPr>
        <w:t>Stage of trial</w:t>
      </w:r>
      <w:r>
        <w:rPr>
          <w:rFonts w:ascii="Arial" w:hAnsi="Arial"/>
          <w:sz w:val="22"/>
          <w:szCs w:val="22"/>
        </w:rPr>
        <w:t>: merits</w:t>
      </w:r>
    </w:p>
    <w:p w:rsidR="00002699" w:rsidRPr="00D66B33" w:rsidRDefault="00002699" w:rsidP="00002699">
      <w:pPr>
        <w:widowControl/>
        <w:autoSpaceDE/>
        <w:autoSpaceDN/>
        <w:adjustRightInd/>
        <w:spacing w:line="276" w:lineRule="auto"/>
        <w:jc w:val="both"/>
        <w:rPr>
          <w:rFonts w:ascii="Arial" w:eastAsia="Calibri" w:hAnsi="Arial" w:cs="Arial"/>
          <w:sz w:val="22"/>
          <w:szCs w:val="22"/>
        </w:rPr>
      </w:pPr>
      <w:proofErr w:type="gramStart"/>
      <w:r>
        <w:rPr>
          <w:rFonts w:ascii="Arial" w:hAnsi="Arial"/>
          <w:sz w:val="22"/>
          <w:szCs w:val="22"/>
        </w:rPr>
        <w:t>Dobrogeanu Dumitru and Dobrogeanu Paun Ioan filed a trial requesting the Court that by the decision to be pronounced, orders defendant to the payment of an annual rent for areas of land occupied by the two pipes of transport petroleum products (crude oil), starting with the date of 01.07.2014 and in the future, for the entire duration of the existence of the pipes, orders the defendant to the payment of the losses suffered by the fa</w:t>
      </w:r>
      <w:r w:rsidR="00FB6CB6">
        <w:rPr>
          <w:rFonts w:ascii="Arial" w:hAnsi="Arial"/>
          <w:sz w:val="22"/>
          <w:szCs w:val="22"/>
        </w:rPr>
        <w:t xml:space="preserve">ilure of economic objectives </w:t>
      </w:r>
      <w:r>
        <w:rPr>
          <w:rFonts w:ascii="Arial" w:hAnsi="Arial"/>
          <w:sz w:val="22"/>
          <w:szCs w:val="22"/>
        </w:rPr>
        <w:t>on the remaining area between the two pipes after their restriction and the area along the DN1 (E60) and the payment of the court fees.</w:t>
      </w:r>
      <w:proofErr w:type="gramEnd"/>
      <w:r>
        <w:rPr>
          <w:rFonts w:ascii="Arial" w:hAnsi="Arial"/>
          <w:sz w:val="22"/>
          <w:szCs w:val="22"/>
        </w:rPr>
        <w:cr/>
        <w:t xml:space="preserve"> The first head of claim has been estimated by the complainants to the sum of 48,000 euros/year (RON 220.000), and the second head of claim reaches the amount of RON 25,000/year.</w:t>
      </w:r>
    </w:p>
    <w:p w:rsidR="00002699" w:rsidRDefault="00002699" w:rsidP="00002699">
      <w:pPr>
        <w:widowControl/>
        <w:autoSpaceDE/>
        <w:autoSpaceDN/>
        <w:adjustRightInd/>
        <w:spacing w:after="160" w:line="276" w:lineRule="auto"/>
        <w:jc w:val="both"/>
        <w:rPr>
          <w:rFonts w:ascii="Arial" w:eastAsia="Calibri" w:hAnsi="Arial" w:cs="Arial"/>
          <w:sz w:val="22"/>
          <w:szCs w:val="22"/>
        </w:rPr>
      </w:pPr>
      <w:r>
        <w:rPr>
          <w:rFonts w:ascii="Arial" w:hAnsi="Arial"/>
          <w:b/>
          <w:sz w:val="22"/>
          <w:szCs w:val="22"/>
        </w:rPr>
        <w:t>Trial date:</w:t>
      </w:r>
      <w:r>
        <w:rPr>
          <w:rFonts w:ascii="Arial" w:hAnsi="Arial"/>
          <w:sz w:val="22"/>
          <w:szCs w:val="22"/>
        </w:rPr>
        <w:t xml:space="preserve"> 28.08.2018</w:t>
      </w:r>
    </w:p>
    <w:p w:rsidR="00002699" w:rsidRPr="00D66B33" w:rsidRDefault="00FB6CB6" w:rsidP="00002699">
      <w:pPr>
        <w:widowControl/>
        <w:autoSpaceDE/>
        <w:autoSpaceDN/>
        <w:adjustRightInd/>
        <w:spacing w:line="276" w:lineRule="auto"/>
        <w:jc w:val="both"/>
        <w:rPr>
          <w:rFonts w:ascii="Arial" w:eastAsia="Calibri" w:hAnsi="Arial" w:cs="Arial"/>
          <w:b/>
          <w:i/>
          <w:sz w:val="22"/>
          <w:szCs w:val="22"/>
        </w:rPr>
      </w:pPr>
      <w:r>
        <w:rPr>
          <w:rFonts w:ascii="Arial" w:hAnsi="Arial"/>
          <w:b/>
          <w:i/>
          <w:sz w:val="22"/>
          <w:szCs w:val="22"/>
        </w:rPr>
        <w:t xml:space="preserve">c) </w:t>
      </w:r>
      <w:proofErr w:type="gramStart"/>
      <w:r>
        <w:rPr>
          <w:rFonts w:ascii="Arial" w:hAnsi="Arial"/>
          <w:b/>
          <w:i/>
          <w:sz w:val="22"/>
          <w:szCs w:val="22"/>
        </w:rPr>
        <w:t>litigations</w:t>
      </w:r>
      <w:proofErr w:type="gramEnd"/>
      <w:r>
        <w:rPr>
          <w:rFonts w:ascii="Arial" w:hAnsi="Arial"/>
          <w:b/>
          <w:i/>
          <w:sz w:val="22"/>
          <w:szCs w:val="22"/>
        </w:rPr>
        <w:t xml:space="preserve"> brought</w:t>
      </w:r>
      <w:r w:rsidR="00002699">
        <w:rPr>
          <w:rFonts w:ascii="Arial" w:hAnsi="Arial"/>
          <w:b/>
          <w:i/>
          <w:sz w:val="22"/>
          <w:szCs w:val="22"/>
        </w:rPr>
        <w:t xml:space="preserve"> before the administrative court</w:t>
      </w:r>
    </w:p>
    <w:p w:rsidR="00002699" w:rsidRPr="00D66B33" w:rsidRDefault="00002699" w:rsidP="00002699">
      <w:pPr>
        <w:widowControl/>
        <w:autoSpaceDE/>
        <w:autoSpaceDN/>
        <w:adjustRightInd/>
        <w:spacing w:line="276" w:lineRule="auto"/>
        <w:jc w:val="both"/>
        <w:rPr>
          <w:rFonts w:ascii="Arial" w:eastAsia="Calibri" w:hAnsi="Arial" w:cs="Arial"/>
          <w:b/>
          <w:bCs/>
          <w:i/>
          <w:sz w:val="22"/>
          <w:szCs w:val="22"/>
          <w:lang w:val="pt-BR" w:eastAsia="en-US"/>
        </w:rPr>
      </w:pPr>
    </w:p>
    <w:p w:rsidR="00002699" w:rsidRDefault="00002699" w:rsidP="00002699">
      <w:pPr>
        <w:widowControl/>
        <w:autoSpaceDE/>
        <w:autoSpaceDN/>
        <w:adjustRightInd/>
        <w:spacing w:line="276" w:lineRule="auto"/>
        <w:jc w:val="both"/>
        <w:rPr>
          <w:rFonts w:ascii="Arial" w:eastAsia="Calibri" w:hAnsi="Arial" w:cs="Arial"/>
          <w:bCs/>
          <w:sz w:val="22"/>
          <w:szCs w:val="22"/>
        </w:rPr>
      </w:pPr>
      <w:r>
        <w:rPr>
          <w:rFonts w:ascii="Arial" w:hAnsi="Arial"/>
          <w:bCs/>
          <w:sz w:val="22"/>
          <w:szCs w:val="22"/>
        </w:rPr>
        <w:t xml:space="preserve">CONPET S.A. </w:t>
      </w:r>
      <w:r w:rsidR="00FB6CB6">
        <w:rPr>
          <w:rFonts w:ascii="Arial" w:hAnsi="Arial"/>
          <w:bCs/>
          <w:sz w:val="22"/>
          <w:szCs w:val="22"/>
        </w:rPr>
        <w:t>h</w:t>
      </w:r>
      <w:r>
        <w:rPr>
          <w:rFonts w:ascii="Arial" w:hAnsi="Arial"/>
          <w:bCs/>
          <w:sz w:val="22"/>
          <w:szCs w:val="22"/>
        </w:rPr>
        <w:t xml:space="preserve">as </w:t>
      </w:r>
      <w:proofErr w:type="gramStart"/>
      <w:r>
        <w:rPr>
          <w:rFonts w:ascii="Arial" w:hAnsi="Arial"/>
          <w:bCs/>
          <w:sz w:val="22"/>
          <w:szCs w:val="22"/>
        </w:rPr>
        <w:t>2</w:t>
      </w:r>
      <w:proofErr w:type="gramEnd"/>
      <w:r>
        <w:rPr>
          <w:rFonts w:ascii="Arial" w:hAnsi="Arial"/>
          <w:bCs/>
          <w:sz w:val="22"/>
          <w:szCs w:val="22"/>
        </w:rPr>
        <w:t xml:space="preserve"> litigations pending before courts, respectively:</w:t>
      </w:r>
    </w:p>
    <w:p w:rsidR="00002699" w:rsidRDefault="00002699" w:rsidP="00002699">
      <w:pPr>
        <w:widowControl/>
        <w:autoSpaceDE/>
        <w:autoSpaceDN/>
        <w:adjustRightInd/>
        <w:spacing w:line="276" w:lineRule="auto"/>
        <w:jc w:val="both"/>
        <w:rPr>
          <w:rFonts w:ascii="Arial" w:eastAsia="Calibri" w:hAnsi="Arial" w:cs="Arial"/>
          <w:sz w:val="22"/>
          <w:szCs w:val="22"/>
          <w:lang w:val="it-IT" w:eastAsia="en-US"/>
        </w:rPr>
      </w:pPr>
    </w:p>
    <w:p w:rsidR="00002699" w:rsidRPr="00C8051D" w:rsidRDefault="00002699" w:rsidP="00D87DA4">
      <w:pPr>
        <w:pStyle w:val="ListParagraph"/>
        <w:numPr>
          <w:ilvl w:val="0"/>
          <w:numId w:val="27"/>
        </w:numPr>
        <w:spacing w:after="160"/>
        <w:jc w:val="both"/>
        <w:rPr>
          <w:rFonts w:ascii="Arial" w:hAnsi="Arial" w:cs="Arial"/>
          <w:bCs/>
        </w:rPr>
      </w:pPr>
      <w:r w:rsidRPr="00FB6CB6">
        <w:rPr>
          <w:rFonts w:ascii="Arial" w:hAnsi="Arial"/>
          <w:b/>
          <w:bCs/>
        </w:rPr>
        <w:t>The file no. 6575/105/2017 -  Prahova Court</w:t>
      </w:r>
      <w:r>
        <w:rPr>
          <w:rFonts w:ascii="Arial" w:hAnsi="Arial"/>
          <w:bCs/>
        </w:rPr>
        <w:t xml:space="preserve"> - in the course of settlement</w:t>
      </w:r>
    </w:p>
    <w:p w:rsidR="00002699" w:rsidRPr="00C15326" w:rsidRDefault="00002699" w:rsidP="00002699">
      <w:pPr>
        <w:widowControl/>
        <w:autoSpaceDE/>
        <w:autoSpaceDN/>
        <w:adjustRightInd/>
        <w:spacing w:after="160" w:line="276" w:lineRule="auto"/>
        <w:jc w:val="both"/>
        <w:rPr>
          <w:rFonts w:ascii="Arial" w:eastAsia="Calibri" w:hAnsi="Arial" w:cs="Arial"/>
          <w:bCs/>
          <w:sz w:val="22"/>
          <w:szCs w:val="22"/>
        </w:rPr>
      </w:pPr>
      <w:r>
        <w:rPr>
          <w:rFonts w:ascii="Arial" w:hAnsi="Arial"/>
          <w:b/>
          <w:bCs/>
          <w:sz w:val="22"/>
          <w:szCs w:val="22"/>
        </w:rPr>
        <w:lastRenderedPageBreak/>
        <w:t>Stage of trial</w:t>
      </w:r>
      <w:r>
        <w:rPr>
          <w:rFonts w:ascii="Arial" w:hAnsi="Arial"/>
          <w:bCs/>
          <w:sz w:val="22"/>
          <w:szCs w:val="22"/>
        </w:rPr>
        <w:t xml:space="preserve">: The Appeal of CONPET S.A. at Ploiesti Court of Appeal against the Decision No 442/23.02.2018 intermediate pronounced by the court in Prahova County    </w:t>
      </w:r>
    </w:p>
    <w:p w:rsidR="00002699" w:rsidRPr="00D66B33" w:rsidRDefault="00002699" w:rsidP="00002699">
      <w:pPr>
        <w:widowControl/>
        <w:spacing w:line="276" w:lineRule="auto"/>
        <w:ind w:right="-9"/>
        <w:contextualSpacing/>
        <w:jc w:val="both"/>
        <w:rPr>
          <w:rFonts w:ascii="Arial" w:eastAsia="Calibri" w:hAnsi="Arial" w:cs="Arial"/>
          <w:bCs/>
          <w:sz w:val="22"/>
          <w:szCs w:val="22"/>
        </w:rPr>
      </w:pPr>
      <w:r>
        <w:rPr>
          <w:rFonts w:ascii="Arial" w:hAnsi="Arial"/>
          <w:sz w:val="22"/>
          <w:szCs w:val="22"/>
        </w:rPr>
        <w:t>By intermediate decision No 442/23.02.2018, Prahova Court rejected the request of CONPET S.A. to suspend the measures of the Court of Auditors established by Decision No 14/21.06.2017 to send the amount of RON 927.154,06 representing income to the state budget of exploiting the tubular material resulting from the decommissioning of parts of the tangible assets owned by the state public domain, together with interest and penalties relating thereto, up-to-date at the time of payment and sending to the state budget, the discounted value, of the amounts identified in view of the enlargement of the checks on the net amounts resulting from the exploit of materials related to tangible assets belonging to the state public domain, dismantled and decommissioned.  CONPET S.A. appealed the intermediate Decision No 442/23.02.2018 at the Court of Appeal in Ploiesti.</w:t>
      </w:r>
    </w:p>
    <w:p w:rsidR="00002699" w:rsidRDefault="00002699" w:rsidP="00002699">
      <w:pPr>
        <w:widowControl/>
        <w:spacing w:line="276" w:lineRule="auto"/>
        <w:ind w:right="-9"/>
        <w:contextualSpacing/>
        <w:jc w:val="both"/>
        <w:rPr>
          <w:rFonts w:ascii="Arial" w:eastAsia="Calibri" w:hAnsi="Arial" w:cs="Arial"/>
          <w:bCs/>
          <w:sz w:val="22"/>
          <w:szCs w:val="22"/>
          <w:lang w:val="pt-BR" w:eastAsia="en-US"/>
        </w:rPr>
      </w:pPr>
    </w:p>
    <w:p w:rsidR="00002699" w:rsidRDefault="00002699" w:rsidP="00002699">
      <w:pPr>
        <w:spacing w:line="276" w:lineRule="auto"/>
        <w:jc w:val="both"/>
        <w:rPr>
          <w:rFonts w:ascii="Arial" w:hAnsi="Arial" w:cs="Arial"/>
          <w:sz w:val="22"/>
          <w:szCs w:val="22"/>
        </w:rPr>
      </w:pPr>
      <w:r>
        <w:rPr>
          <w:rFonts w:ascii="Arial" w:hAnsi="Arial" w:cs="Arial"/>
          <w:sz w:val="22"/>
          <w:szCs w:val="22"/>
        </w:rPr>
        <w:t>By the sue petition, Conpet appealed against the conclusion no. 78/09.08.2017 issued by the Court of Auditors of Romania requesting that the sentence of the Court orders:</w:t>
      </w:r>
    </w:p>
    <w:p w:rsidR="00002699" w:rsidRDefault="00002699" w:rsidP="00002699">
      <w:pPr>
        <w:autoSpaceDE/>
        <w:spacing w:line="276" w:lineRule="auto"/>
        <w:jc w:val="both"/>
        <w:rPr>
          <w:rFonts w:ascii="Arial" w:hAnsi="Arial" w:cs="Arial"/>
          <w:sz w:val="22"/>
          <w:szCs w:val="22"/>
          <w:lang w:val="pt-BR" w:eastAsia="en-US"/>
        </w:rPr>
      </w:pPr>
    </w:p>
    <w:p w:rsidR="00002699" w:rsidRDefault="00002699" w:rsidP="00D87DA4">
      <w:pPr>
        <w:pStyle w:val="ListParagraph"/>
        <w:numPr>
          <w:ilvl w:val="0"/>
          <w:numId w:val="43"/>
        </w:numPr>
        <w:spacing w:after="160"/>
        <w:jc w:val="both"/>
        <w:rPr>
          <w:rFonts w:ascii="Arial" w:hAnsi="Arial" w:cs="Arial"/>
          <w:b/>
          <w:bCs/>
        </w:rPr>
      </w:pPr>
      <w:r>
        <w:rPr>
          <w:rFonts w:ascii="Arial" w:hAnsi="Arial" w:cs="Arial"/>
          <w:b/>
          <w:bCs/>
        </w:rPr>
        <w:t xml:space="preserve">Cancellation of a part of the conclusion no. 78/09.08.2017 issued by the Court of Auditors of Romania, respectively: </w:t>
      </w:r>
      <w:r>
        <w:rPr>
          <w:rFonts w:ascii="Arial" w:hAnsi="Arial" w:cs="Arial"/>
        </w:rPr>
        <w:t>Recital 2 relating to point II of the Opposition No 27718/10.07.2017 (with regard to the measures no I.2 and I.3 of Decision No 24/21.06.2017, to remove the irregularity listed in paragraphs 2 and 3 of the same decision), the findings of point A and B.</w:t>
      </w:r>
    </w:p>
    <w:p w:rsidR="00002699" w:rsidRDefault="00002699" w:rsidP="00D87DA4">
      <w:pPr>
        <w:pStyle w:val="ListParagraph"/>
        <w:numPr>
          <w:ilvl w:val="0"/>
          <w:numId w:val="43"/>
        </w:numPr>
        <w:jc w:val="both"/>
        <w:rPr>
          <w:rFonts w:ascii="Arial" w:hAnsi="Arial" w:cs="Arial"/>
          <w:b/>
          <w:bCs/>
          <w:sz w:val="20"/>
          <w:szCs w:val="20"/>
        </w:rPr>
      </w:pPr>
      <w:r>
        <w:rPr>
          <w:rFonts w:ascii="Arial" w:hAnsi="Arial" w:cs="Arial"/>
          <w:b/>
          <w:bCs/>
        </w:rPr>
        <w:t>Cancellation of a part of the conclusion no. 14/21.06.2017 issued by the Court of Auditors of Romania, respectively:</w:t>
      </w:r>
    </w:p>
    <w:p w:rsidR="00002699" w:rsidRDefault="00002699" w:rsidP="00D87DA4">
      <w:pPr>
        <w:pStyle w:val="ListParagraph"/>
        <w:numPr>
          <w:ilvl w:val="0"/>
          <w:numId w:val="44"/>
        </w:numPr>
        <w:spacing w:after="160"/>
        <w:jc w:val="both"/>
        <w:rPr>
          <w:rFonts w:ascii="Arial" w:hAnsi="Arial" w:cs="Arial"/>
          <w:b/>
          <w:bCs/>
        </w:rPr>
      </w:pPr>
      <w:r>
        <w:rPr>
          <w:rFonts w:ascii="Arial" w:hAnsi="Arial" w:cs="Arial"/>
        </w:rPr>
        <w:t>The findings given in point 2 of the decommissioning and recovery of certain sections of the pipe belonging to the national transport system - part of the public domain of national interest, without prior adopting of government decision of passing it from the state public domain to the field of private sector, with a view on drawing up documentation for decommissioning and disposal</w:t>
      </w:r>
    </w:p>
    <w:p w:rsidR="00002699" w:rsidRDefault="00002699" w:rsidP="00D87DA4">
      <w:pPr>
        <w:pStyle w:val="ListParagraph"/>
        <w:numPr>
          <w:ilvl w:val="0"/>
          <w:numId w:val="44"/>
        </w:numPr>
        <w:spacing w:after="160"/>
        <w:jc w:val="both"/>
        <w:rPr>
          <w:rFonts w:ascii="Arial" w:hAnsi="Arial" w:cs="Arial"/>
          <w:i/>
          <w:iCs/>
        </w:rPr>
      </w:pPr>
      <w:r>
        <w:rPr>
          <w:rFonts w:ascii="Arial" w:hAnsi="Arial" w:cs="Arial"/>
        </w:rPr>
        <w:t>The findings given in point No. 3 with regard to the fact that in the year 2016 a buried recoverable pipe was recovered by auction in accordance with the procedure for exploiting approved by the Regulation concerning the conditions of participation in the auctioning procedure and the</w:t>
      </w:r>
      <w:proofErr w:type="gramStart"/>
      <w:r>
        <w:rPr>
          <w:rFonts w:ascii="Arial" w:hAnsi="Arial" w:cs="Arial"/>
        </w:rPr>
        <w:t>  conducting</w:t>
      </w:r>
      <w:proofErr w:type="gramEnd"/>
      <w:r>
        <w:rPr>
          <w:rFonts w:ascii="Arial" w:hAnsi="Arial" w:cs="Arial"/>
        </w:rPr>
        <w:t xml:space="preserve"> of the auction for exploiting the overground and underground  metallic tubular material. </w:t>
      </w:r>
      <w:r>
        <w:rPr>
          <w:rFonts w:ascii="Arial" w:hAnsi="Arial" w:cs="Arial"/>
          <w:i/>
          <w:iCs/>
        </w:rPr>
        <w:t> The exploiting was done before the adoption of a decision by the government to approve the transition from the state public domain in the field of private sector in view on exploit, according to the law;</w:t>
      </w:r>
    </w:p>
    <w:p w:rsidR="00002699" w:rsidRDefault="00002699" w:rsidP="00D87DA4">
      <w:pPr>
        <w:pStyle w:val="ListParagraph"/>
        <w:numPr>
          <w:ilvl w:val="0"/>
          <w:numId w:val="44"/>
        </w:numPr>
        <w:spacing w:after="160"/>
        <w:jc w:val="both"/>
        <w:rPr>
          <w:rFonts w:ascii="Arial" w:hAnsi="Arial" w:cs="Arial"/>
          <w:i/>
          <w:iCs/>
        </w:rPr>
      </w:pPr>
      <w:r>
        <w:rPr>
          <w:rFonts w:ascii="Arial" w:hAnsi="Arial" w:cs="Arial"/>
        </w:rPr>
        <w:t xml:space="preserve">•           Measure no. 2 concerning the carrying out of the inventory for the identification of notorious bottlenecks in the national transport system which have been abandoned or dismantled as a result of investments made at the national transport system within the framework of the programs of rehabilitation and modernization and development carried out and the transmission of the results NAMR for initiating the government decision for the approval of the transition from the state public domain in the private field of the state with a view to their removal from service. </w:t>
      </w:r>
      <w:r>
        <w:rPr>
          <w:rFonts w:ascii="Arial" w:hAnsi="Arial" w:cs="Arial"/>
          <w:i/>
          <w:iCs/>
        </w:rPr>
        <w:t xml:space="preserve"> The regulation, by internal procedure of the decommissioning,  </w:t>
      </w:r>
    </w:p>
    <w:p w:rsidR="00002699" w:rsidRDefault="00002699" w:rsidP="00002699">
      <w:pPr>
        <w:pStyle w:val="ListParagraph"/>
        <w:spacing w:after="160"/>
        <w:ind w:left="1440"/>
        <w:jc w:val="both"/>
        <w:rPr>
          <w:rFonts w:ascii="Arial" w:hAnsi="Arial" w:cs="Arial"/>
          <w:i/>
          <w:iCs/>
        </w:rPr>
      </w:pPr>
      <w:r>
        <w:rPr>
          <w:rFonts w:ascii="Arial" w:hAnsi="Arial" w:cs="Arial"/>
          <w:i/>
          <w:iCs/>
        </w:rPr>
        <w:t>disposal and recovery of the parties in the National Transport System of dismantled following the work of rehabilitation, modernization and development carried out by the sole concessionaire;</w:t>
      </w:r>
    </w:p>
    <w:p w:rsidR="00002699" w:rsidRDefault="00002699" w:rsidP="00D87DA4">
      <w:pPr>
        <w:pStyle w:val="ListParagraph"/>
        <w:numPr>
          <w:ilvl w:val="0"/>
          <w:numId w:val="44"/>
        </w:numPr>
        <w:spacing w:after="160"/>
        <w:jc w:val="both"/>
        <w:rPr>
          <w:rFonts w:ascii="Arial" w:hAnsi="Arial" w:cs="Arial"/>
        </w:rPr>
      </w:pPr>
      <w:r>
        <w:rPr>
          <w:rFonts w:ascii="Arial" w:hAnsi="Arial" w:cs="Arial"/>
        </w:rPr>
        <w:lastRenderedPageBreak/>
        <w:t>Measure no 3 on passing the sum of RON 927,154.06 representing income to the state budget by exploiting the tubular material resulted from the decommissioning of parts of the tangible assets belonging to the state public domain, together with interest and penalties relating thereto, up-to-date at the date of payment.</w:t>
      </w:r>
      <w:r>
        <w:rPr>
          <w:rFonts w:ascii="Arial" w:hAnsi="Arial" w:cs="Arial"/>
          <w:i/>
          <w:iCs/>
        </w:rPr>
        <w:t>  Extension of the check-ups in order to identify all net amounts resulting from exploiting tangible assets belonging to the state public domain dismantled, and turning them to the state budget, for the updated value.</w:t>
      </w:r>
    </w:p>
    <w:p w:rsidR="00002699" w:rsidRDefault="00002699" w:rsidP="00D87DA4">
      <w:pPr>
        <w:pStyle w:val="ListParagraph"/>
        <w:numPr>
          <w:ilvl w:val="0"/>
          <w:numId w:val="45"/>
        </w:numPr>
        <w:jc w:val="both"/>
        <w:rPr>
          <w:rFonts w:ascii="Arial" w:hAnsi="Arial" w:cs="Arial"/>
        </w:rPr>
      </w:pPr>
      <w:r>
        <w:rPr>
          <w:rFonts w:ascii="Arial" w:hAnsi="Arial" w:cs="Arial"/>
        </w:rPr>
        <w:t>Canceling the measures laid down by Decision No 14/21.06.2017, issued by the Chamber of Auditors of Prahova county, points no. I.2 and I.3, 2 and 3 respectively, until the final settlement of the case.</w:t>
      </w:r>
    </w:p>
    <w:p w:rsidR="00002699" w:rsidRDefault="00002699" w:rsidP="00002699">
      <w:pPr>
        <w:autoSpaceDE/>
        <w:spacing w:line="276" w:lineRule="auto"/>
        <w:jc w:val="both"/>
        <w:rPr>
          <w:rFonts w:ascii="Arial" w:hAnsi="Arial" w:cs="Arial"/>
          <w:sz w:val="22"/>
          <w:szCs w:val="22"/>
        </w:rPr>
      </w:pPr>
      <w:r>
        <w:rPr>
          <w:rFonts w:ascii="Arial" w:hAnsi="Arial" w:cs="Arial"/>
          <w:sz w:val="22"/>
          <w:szCs w:val="22"/>
        </w:rPr>
        <w:t>By the conclusion of</w:t>
      </w:r>
      <w:proofErr w:type="gramStart"/>
      <w:r>
        <w:rPr>
          <w:rFonts w:ascii="Arial" w:hAnsi="Arial" w:cs="Arial"/>
          <w:sz w:val="22"/>
          <w:szCs w:val="22"/>
        </w:rPr>
        <w:t>  23.02.2018</w:t>
      </w:r>
      <w:proofErr w:type="gramEnd"/>
      <w:r>
        <w:rPr>
          <w:rFonts w:ascii="Arial" w:hAnsi="Arial" w:cs="Arial"/>
          <w:sz w:val="22"/>
          <w:szCs w:val="22"/>
        </w:rPr>
        <w:t xml:space="preserve">, Prahova Court rejected the request to suspend the execution of the administrative act as unfounded.  The sentence was appealed by Conpet. </w:t>
      </w:r>
    </w:p>
    <w:p w:rsidR="00002699" w:rsidRDefault="00002699" w:rsidP="00002699">
      <w:pPr>
        <w:autoSpaceDE/>
        <w:spacing w:line="276" w:lineRule="auto"/>
        <w:jc w:val="both"/>
        <w:rPr>
          <w:rFonts w:ascii="Arial" w:hAnsi="Arial" w:cs="Arial"/>
          <w:sz w:val="22"/>
          <w:szCs w:val="22"/>
        </w:rPr>
      </w:pPr>
      <w:r>
        <w:rPr>
          <w:rFonts w:ascii="Arial" w:hAnsi="Arial" w:cs="Arial"/>
          <w:sz w:val="22"/>
          <w:szCs w:val="22"/>
        </w:rPr>
        <w:t>The trial date for rejudging the merits: 27.09.2018</w:t>
      </w:r>
    </w:p>
    <w:p w:rsidR="00002699" w:rsidRDefault="00002699" w:rsidP="00002699">
      <w:pPr>
        <w:autoSpaceDE/>
        <w:jc w:val="both"/>
        <w:rPr>
          <w:rFonts w:ascii="Arial" w:hAnsi="Arial" w:cs="Arial"/>
          <w:sz w:val="22"/>
          <w:szCs w:val="22"/>
          <w:lang w:val="pt-BR" w:eastAsia="en-US"/>
        </w:rPr>
      </w:pPr>
    </w:p>
    <w:p w:rsidR="00002699" w:rsidRDefault="00002699" w:rsidP="00002699">
      <w:pPr>
        <w:autoSpaceDE/>
        <w:jc w:val="both"/>
        <w:rPr>
          <w:rFonts w:ascii="Arial" w:hAnsi="Arial" w:cs="Arial"/>
          <w:sz w:val="22"/>
          <w:szCs w:val="22"/>
        </w:rPr>
      </w:pPr>
      <w:r>
        <w:rPr>
          <w:rFonts w:ascii="Arial" w:hAnsi="Arial" w:cs="Arial"/>
          <w:sz w:val="22"/>
          <w:szCs w:val="22"/>
        </w:rPr>
        <w:t>The deadline for the sentence of the appeal against the conclusion of 23.02.2018</w:t>
      </w:r>
      <w:proofErr w:type="gramStart"/>
      <w:r>
        <w:rPr>
          <w:rFonts w:ascii="Arial" w:hAnsi="Arial" w:cs="Arial"/>
          <w:sz w:val="22"/>
          <w:szCs w:val="22"/>
        </w:rPr>
        <w:t>  by</w:t>
      </w:r>
      <w:proofErr w:type="gramEnd"/>
      <w:r>
        <w:rPr>
          <w:rFonts w:ascii="Arial" w:hAnsi="Arial" w:cs="Arial"/>
          <w:sz w:val="22"/>
          <w:szCs w:val="22"/>
        </w:rPr>
        <w:t xml:space="preserve"> which the court in Prahova county rejected the request to suspend the enforcement of the administrative act:  06.09.2018 </w:t>
      </w:r>
    </w:p>
    <w:p w:rsidR="00002699" w:rsidRPr="00D66B33" w:rsidRDefault="00002699" w:rsidP="00002699">
      <w:pPr>
        <w:widowControl/>
        <w:autoSpaceDE/>
        <w:autoSpaceDN/>
        <w:adjustRightInd/>
        <w:spacing w:line="276" w:lineRule="auto"/>
        <w:ind w:right="-9"/>
        <w:jc w:val="both"/>
        <w:rPr>
          <w:rFonts w:ascii="Arial" w:eastAsia="Calibri" w:hAnsi="Arial" w:cs="Arial"/>
          <w:b/>
          <w:bCs/>
          <w:sz w:val="22"/>
          <w:szCs w:val="22"/>
          <w:lang w:val="it-IT" w:eastAsia="en-US"/>
        </w:rPr>
      </w:pPr>
    </w:p>
    <w:p w:rsidR="00002699" w:rsidRPr="00C8051D" w:rsidRDefault="00002699" w:rsidP="00D87DA4">
      <w:pPr>
        <w:pStyle w:val="ListParagraph"/>
        <w:numPr>
          <w:ilvl w:val="0"/>
          <w:numId w:val="27"/>
        </w:numPr>
        <w:jc w:val="both"/>
        <w:rPr>
          <w:rFonts w:ascii="Arial" w:hAnsi="Arial" w:cs="Arial"/>
          <w:bCs/>
        </w:rPr>
      </w:pPr>
      <w:r>
        <w:rPr>
          <w:rFonts w:ascii="Arial" w:hAnsi="Arial"/>
          <w:b/>
          <w:bCs/>
          <w:i/>
        </w:rPr>
        <w:t xml:space="preserve">The file no. 689/42/2017 </w:t>
      </w:r>
      <w:r>
        <w:rPr>
          <w:rFonts w:ascii="Arial" w:hAnsi="Arial"/>
          <w:b/>
          <w:bCs/>
        </w:rPr>
        <w:t>- Court of Appeal Ploiesti</w:t>
      </w:r>
      <w:r>
        <w:rPr>
          <w:rFonts w:ascii="Arial" w:hAnsi="Arial"/>
          <w:bCs/>
        </w:rPr>
        <w:t xml:space="preserve"> - in the course of settlement</w:t>
      </w:r>
    </w:p>
    <w:p w:rsidR="00002699" w:rsidRPr="00C15326" w:rsidRDefault="00002699" w:rsidP="00002699">
      <w:pPr>
        <w:widowControl/>
        <w:autoSpaceDE/>
        <w:autoSpaceDN/>
        <w:adjustRightInd/>
        <w:spacing w:line="276" w:lineRule="auto"/>
        <w:jc w:val="both"/>
        <w:rPr>
          <w:rFonts w:ascii="Arial" w:eastAsia="Calibri" w:hAnsi="Arial" w:cs="Arial"/>
          <w:bCs/>
          <w:sz w:val="22"/>
          <w:szCs w:val="22"/>
        </w:rPr>
      </w:pPr>
      <w:r>
        <w:rPr>
          <w:rFonts w:ascii="Arial" w:hAnsi="Arial"/>
          <w:b/>
          <w:bCs/>
          <w:sz w:val="22"/>
          <w:szCs w:val="22"/>
        </w:rPr>
        <w:t>Stage of trial</w:t>
      </w:r>
      <w:r>
        <w:rPr>
          <w:rFonts w:ascii="Arial" w:hAnsi="Arial"/>
          <w:bCs/>
          <w:sz w:val="22"/>
          <w:szCs w:val="22"/>
        </w:rPr>
        <w:t>: Merits</w:t>
      </w:r>
    </w:p>
    <w:p w:rsidR="00002699" w:rsidRPr="00D66B33" w:rsidRDefault="00002699" w:rsidP="00002699">
      <w:pPr>
        <w:widowControl/>
        <w:autoSpaceDE/>
        <w:autoSpaceDN/>
        <w:adjustRightInd/>
        <w:spacing w:line="276" w:lineRule="auto"/>
        <w:ind w:right="-576"/>
        <w:jc w:val="both"/>
        <w:rPr>
          <w:rFonts w:ascii="Arial" w:hAnsi="Arial" w:cs="Arial"/>
          <w:bCs/>
          <w:sz w:val="22"/>
          <w:szCs w:val="22"/>
        </w:rPr>
      </w:pPr>
      <w:r>
        <w:rPr>
          <w:rFonts w:ascii="Arial" w:hAnsi="Arial"/>
          <w:bCs/>
          <w:sz w:val="22"/>
          <w:szCs w:val="22"/>
        </w:rPr>
        <w:t>CONPET S.A. has made a complaint against fiscal administrative documents issued by the National Agency for Fiscal Administration - the general direction of the Settlement of Disputes - Regional General Directorate of Public Finances in Galati - the administration of public finances in Buzau County by which tax obligations were settled in the total amount of RON 5.505.101, which shall consist of:  RON 3,088,868 profit tax; RON 1,528,159 delay interest/increase; RON 432,274 delay penalties; RON 283,613 VAT; RON 130,782 delay interest/increase and RON 41,405 delay penalties (interest rate increases  according to the delay time and the penalties have been calculated up to the date of 31.12.2015), respectively :</w:t>
      </w:r>
    </w:p>
    <w:p w:rsidR="00002699" w:rsidRPr="00C8051D" w:rsidRDefault="00002699" w:rsidP="00D87DA4">
      <w:pPr>
        <w:pStyle w:val="ListParagraph"/>
        <w:numPr>
          <w:ilvl w:val="0"/>
          <w:numId w:val="27"/>
        </w:numPr>
        <w:ind w:right="-576"/>
        <w:jc w:val="both"/>
        <w:rPr>
          <w:rFonts w:ascii="Arial" w:hAnsi="Arial" w:cs="Arial"/>
        </w:rPr>
      </w:pPr>
      <w:r>
        <w:rPr>
          <w:rFonts w:ascii="Arial" w:hAnsi="Arial"/>
        </w:rPr>
        <w:t xml:space="preserve">By Decision No 114/06.04.2017 issued by the National Agency for Fiscal Administration - the general direction of the settlement of disputes, with headquarters at no. 17, Apolodor street, 5th District, postcode 050741, Bucharest, represented by Mirela Calugareanu, and Alin Ghiurca;  </w:t>
      </w:r>
    </w:p>
    <w:p w:rsidR="00002699" w:rsidRDefault="00002699" w:rsidP="00D87DA4">
      <w:pPr>
        <w:pStyle w:val="ListParagraph"/>
        <w:numPr>
          <w:ilvl w:val="0"/>
          <w:numId w:val="27"/>
        </w:numPr>
        <w:ind w:right="-576"/>
        <w:jc w:val="both"/>
        <w:rPr>
          <w:rFonts w:ascii="Arial" w:hAnsi="Arial" w:cs="Arial"/>
        </w:rPr>
      </w:pPr>
      <w:r>
        <w:rPr>
          <w:rFonts w:ascii="Arial" w:hAnsi="Arial"/>
        </w:rPr>
        <w:t>By the decision of Imposition no F-BZ 436/31.10.2016, regarding the payment of additional tax obligations settled by the tax inspection to legal persons, issued by the Regional General Directorate of Public Finances in Galati County - the administration of public finances in Buzau, both of them being part of the National Agency for Fiscal Administration;</w:t>
      </w:r>
    </w:p>
    <w:p w:rsidR="00FB6CB6" w:rsidRPr="00FB6CB6" w:rsidRDefault="00002699" w:rsidP="00D87DA4">
      <w:pPr>
        <w:pStyle w:val="ListParagraph"/>
        <w:numPr>
          <w:ilvl w:val="0"/>
          <w:numId w:val="27"/>
        </w:numPr>
        <w:ind w:right="288"/>
        <w:jc w:val="both"/>
        <w:rPr>
          <w:rFonts w:ascii="Arial" w:hAnsi="Arial" w:cs="Arial"/>
          <w:bCs/>
        </w:rPr>
      </w:pPr>
      <w:r w:rsidRPr="00FB6CB6">
        <w:rPr>
          <w:rFonts w:ascii="Arial" w:hAnsi="Arial"/>
        </w:rPr>
        <w:t xml:space="preserve">The Fiscal Inspection report </w:t>
      </w:r>
      <w:proofErr w:type="gramStart"/>
      <w:r w:rsidRPr="00FB6CB6">
        <w:rPr>
          <w:rFonts w:ascii="Arial" w:hAnsi="Arial"/>
        </w:rPr>
        <w:t>No</w:t>
      </w:r>
      <w:proofErr w:type="gramEnd"/>
      <w:r w:rsidRPr="00FB6CB6">
        <w:rPr>
          <w:rFonts w:ascii="Arial" w:hAnsi="Arial"/>
        </w:rPr>
        <w:t>. F-BZ 584/ 31.10.2016, concluded by inspectors of the National Agency for Fiscal Administration - Regional General Directorate of Public Finances in Galati - the administration of public finances in Buzau C</w:t>
      </w:r>
      <w:r w:rsidR="00FB6CB6">
        <w:rPr>
          <w:rFonts w:ascii="Arial" w:hAnsi="Arial"/>
        </w:rPr>
        <w:t>ounty - Tax Inspection Service,</w:t>
      </w:r>
    </w:p>
    <w:p w:rsidR="00002699" w:rsidRPr="00FB6CB6" w:rsidRDefault="00002699" w:rsidP="00D87DA4">
      <w:pPr>
        <w:pStyle w:val="ListParagraph"/>
        <w:numPr>
          <w:ilvl w:val="0"/>
          <w:numId w:val="27"/>
        </w:numPr>
        <w:ind w:right="288"/>
        <w:jc w:val="both"/>
        <w:rPr>
          <w:rFonts w:ascii="Arial" w:hAnsi="Arial" w:cs="Arial"/>
          <w:bCs/>
        </w:rPr>
      </w:pPr>
      <w:r w:rsidRPr="00FB6CB6">
        <w:rPr>
          <w:rFonts w:ascii="Arial" w:hAnsi="Arial"/>
        </w:rPr>
        <w:t xml:space="preserve">The decision of imposition No. F-BZ 436/31.10.2016. </w:t>
      </w:r>
      <w:r w:rsidRPr="00FB6CB6">
        <w:rPr>
          <w:rFonts w:ascii="Arial" w:hAnsi="Arial"/>
          <w:bCs/>
        </w:rPr>
        <w:t xml:space="preserve"> </w:t>
      </w:r>
    </w:p>
    <w:p w:rsidR="00002699" w:rsidRDefault="00002699" w:rsidP="00002699">
      <w:pPr>
        <w:widowControl/>
        <w:autoSpaceDE/>
        <w:autoSpaceDN/>
        <w:adjustRightInd/>
        <w:spacing w:line="276" w:lineRule="auto"/>
        <w:jc w:val="both"/>
        <w:rPr>
          <w:rFonts w:ascii="Arial" w:eastAsia="Calibri" w:hAnsi="Arial" w:cs="Arial"/>
          <w:bCs/>
          <w:sz w:val="22"/>
          <w:szCs w:val="22"/>
        </w:rPr>
      </w:pPr>
      <w:r>
        <w:rPr>
          <w:rFonts w:ascii="Arial" w:hAnsi="Arial"/>
          <w:b/>
          <w:bCs/>
          <w:sz w:val="22"/>
          <w:szCs w:val="22"/>
        </w:rPr>
        <w:t>Trial date:</w:t>
      </w:r>
      <w:r>
        <w:rPr>
          <w:rFonts w:ascii="Arial" w:hAnsi="Arial"/>
          <w:bCs/>
          <w:sz w:val="22"/>
          <w:szCs w:val="22"/>
        </w:rPr>
        <w:t xml:space="preserve"> 25.09.2018.</w:t>
      </w:r>
    </w:p>
    <w:p w:rsidR="00B108EF" w:rsidRDefault="00B108EF" w:rsidP="00D5561F">
      <w:pPr>
        <w:widowControl/>
        <w:autoSpaceDE/>
        <w:autoSpaceDN/>
        <w:adjustRightInd/>
        <w:spacing w:line="276" w:lineRule="auto"/>
        <w:jc w:val="both"/>
        <w:rPr>
          <w:rFonts w:ascii="Arial" w:eastAsia="Calibri" w:hAnsi="Arial" w:cs="Arial"/>
          <w:bCs/>
          <w:sz w:val="22"/>
          <w:szCs w:val="22"/>
          <w:lang w:val="pt-BR" w:eastAsia="en-US"/>
        </w:rPr>
      </w:pPr>
    </w:p>
    <w:p w:rsidR="001F696C" w:rsidRDefault="001F696C" w:rsidP="00D5561F">
      <w:pPr>
        <w:widowControl/>
        <w:autoSpaceDE/>
        <w:autoSpaceDN/>
        <w:adjustRightInd/>
        <w:spacing w:line="276" w:lineRule="auto"/>
        <w:jc w:val="both"/>
        <w:rPr>
          <w:rFonts w:ascii="Arial" w:eastAsia="Calibri" w:hAnsi="Arial" w:cs="Arial"/>
          <w:bCs/>
          <w:sz w:val="22"/>
          <w:szCs w:val="22"/>
          <w:lang w:val="pt-BR" w:eastAsia="en-US"/>
        </w:rPr>
      </w:pPr>
    </w:p>
    <w:p w:rsidR="00FB6CB6" w:rsidRDefault="00FB6CB6" w:rsidP="00D5561F">
      <w:pPr>
        <w:widowControl/>
        <w:autoSpaceDE/>
        <w:autoSpaceDN/>
        <w:adjustRightInd/>
        <w:spacing w:line="276" w:lineRule="auto"/>
        <w:jc w:val="both"/>
        <w:rPr>
          <w:rFonts w:ascii="Arial" w:eastAsia="Calibri" w:hAnsi="Arial" w:cs="Arial"/>
          <w:bCs/>
          <w:sz w:val="22"/>
          <w:szCs w:val="22"/>
          <w:lang w:val="pt-BR" w:eastAsia="en-US"/>
        </w:rPr>
      </w:pPr>
    </w:p>
    <w:p w:rsidR="00FB6CB6" w:rsidRDefault="00FB6CB6" w:rsidP="00D5561F">
      <w:pPr>
        <w:widowControl/>
        <w:autoSpaceDE/>
        <w:autoSpaceDN/>
        <w:adjustRightInd/>
        <w:spacing w:line="276" w:lineRule="auto"/>
        <w:jc w:val="both"/>
        <w:rPr>
          <w:rFonts w:ascii="Arial" w:eastAsia="Calibri" w:hAnsi="Arial" w:cs="Arial"/>
          <w:bCs/>
          <w:sz w:val="22"/>
          <w:szCs w:val="22"/>
          <w:lang w:val="pt-BR" w:eastAsia="en-US"/>
        </w:rPr>
      </w:pPr>
    </w:p>
    <w:p w:rsidR="00FB6CB6" w:rsidRDefault="00FB6CB6" w:rsidP="00D5561F">
      <w:pPr>
        <w:widowControl/>
        <w:autoSpaceDE/>
        <w:autoSpaceDN/>
        <w:adjustRightInd/>
        <w:spacing w:line="276" w:lineRule="auto"/>
        <w:jc w:val="both"/>
        <w:rPr>
          <w:rFonts w:ascii="Arial" w:eastAsia="Calibri" w:hAnsi="Arial" w:cs="Arial"/>
          <w:bCs/>
          <w:sz w:val="22"/>
          <w:szCs w:val="22"/>
          <w:lang w:val="pt-BR" w:eastAsia="en-US"/>
        </w:rPr>
      </w:pPr>
    </w:p>
    <w:p w:rsidR="00FB6CB6" w:rsidRDefault="00FB6CB6" w:rsidP="00D5561F">
      <w:pPr>
        <w:widowControl/>
        <w:autoSpaceDE/>
        <w:autoSpaceDN/>
        <w:adjustRightInd/>
        <w:spacing w:line="276" w:lineRule="auto"/>
        <w:jc w:val="both"/>
        <w:rPr>
          <w:rFonts w:ascii="Arial" w:eastAsia="Calibri" w:hAnsi="Arial" w:cs="Arial"/>
          <w:bCs/>
          <w:sz w:val="22"/>
          <w:szCs w:val="22"/>
          <w:lang w:val="pt-BR" w:eastAsia="en-US"/>
        </w:rPr>
      </w:pPr>
    </w:p>
    <w:p w:rsidR="008F7E9A" w:rsidRPr="00E46854" w:rsidRDefault="008F7E9A" w:rsidP="008F7E9A">
      <w:pPr>
        <w:widowControl/>
        <w:autoSpaceDE/>
        <w:autoSpaceDN/>
        <w:adjustRightInd/>
        <w:spacing w:line="276" w:lineRule="auto"/>
        <w:jc w:val="both"/>
        <w:rPr>
          <w:rFonts w:ascii="Arial" w:hAnsi="Arial" w:cs="Arial"/>
          <w:b/>
          <w:color w:val="1F4E79" w:themeColor="accent1" w:themeShade="80"/>
          <w:sz w:val="24"/>
          <w:szCs w:val="24"/>
        </w:rPr>
      </w:pPr>
      <w:r>
        <w:rPr>
          <w:rFonts w:ascii="Arial" w:hAnsi="Arial"/>
          <w:b/>
          <w:color w:val="1F4E79" w:themeColor="accent1" w:themeShade="80"/>
          <w:sz w:val="24"/>
          <w:szCs w:val="24"/>
        </w:rPr>
        <w:lastRenderedPageBreak/>
        <w:t>3.5 Analysis of the corporate activity</w:t>
      </w:r>
    </w:p>
    <w:p w:rsidR="00B108EF" w:rsidRPr="00E46854" w:rsidRDefault="008F7E9A" w:rsidP="008F7E9A">
      <w:pPr>
        <w:shd w:val="clear" w:color="auto" w:fill="FFFFFF"/>
        <w:spacing w:before="115"/>
        <w:rPr>
          <w:rFonts w:ascii="Arial" w:hAnsi="Arial" w:cs="Arial"/>
          <w:b/>
          <w:bCs/>
          <w:color w:val="1F4E79" w:themeColor="accent1" w:themeShade="80"/>
          <w:sz w:val="24"/>
          <w:szCs w:val="24"/>
        </w:rPr>
      </w:pPr>
      <w:r>
        <w:rPr>
          <w:rFonts w:ascii="Arial" w:hAnsi="Arial"/>
          <w:b/>
          <w:bCs/>
          <w:color w:val="1F4E79" w:themeColor="accent1" w:themeShade="80"/>
          <w:sz w:val="24"/>
          <w:szCs w:val="24"/>
        </w:rPr>
        <w:t xml:space="preserve">3.5.1 Capital market </w:t>
      </w:r>
      <w:r w:rsidR="00FB6CB6">
        <w:rPr>
          <w:rFonts w:ascii="Arial" w:hAnsi="Arial"/>
          <w:b/>
          <w:bCs/>
          <w:color w:val="1F4E79" w:themeColor="accent1" w:themeShade="80"/>
          <w:sz w:val="24"/>
          <w:szCs w:val="24"/>
        </w:rPr>
        <w:t>activity</w:t>
      </w:r>
      <w:r>
        <w:rPr>
          <w:rFonts w:ascii="Arial" w:hAnsi="Arial"/>
          <w:b/>
          <w:bCs/>
          <w:color w:val="1F4E79" w:themeColor="accent1" w:themeShade="80"/>
          <w:sz w:val="24"/>
          <w:szCs w:val="24"/>
        </w:rPr>
        <w:t xml:space="preserve"> </w:t>
      </w:r>
    </w:p>
    <w:p w:rsidR="00B108EF" w:rsidRDefault="00B108EF" w:rsidP="00DF06F0">
      <w:pPr>
        <w:spacing w:line="276" w:lineRule="auto"/>
        <w:jc w:val="both"/>
        <w:rPr>
          <w:rFonts w:ascii="Arial" w:eastAsia="Calibri" w:hAnsi="Arial" w:cs="Arial"/>
          <w:sz w:val="22"/>
          <w:szCs w:val="22"/>
          <w:lang w:val="fr-FR"/>
        </w:rPr>
      </w:pPr>
    </w:p>
    <w:p w:rsidR="00DF06F0" w:rsidRPr="006A2E17" w:rsidRDefault="00DF06F0" w:rsidP="00DF06F0">
      <w:pPr>
        <w:spacing w:line="276" w:lineRule="auto"/>
        <w:jc w:val="both"/>
        <w:rPr>
          <w:rFonts w:ascii="Arial" w:eastAsia="Calibri" w:hAnsi="Arial" w:cs="Arial"/>
          <w:sz w:val="22"/>
          <w:szCs w:val="22"/>
          <w:lang w:val="fr-FR"/>
        </w:rPr>
      </w:pPr>
      <w:r>
        <w:rPr>
          <w:rFonts w:ascii="Arial" w:hAnsi="Arial"/>
          <w:sz w:val="22"/>
          <w:szCs w:val="22"/>
        </w:rPr>
        <w:t xml:space="preserve">The shares issued by CONPET SA </w:t>
      </w:r>
      <w:proofErr w:type="gramStart"/>
      <w:r>
        <w:rPr>
          <w:rFonts w:ascii="Arial" w:hAnsi="Arial"/>
          <w:sz w:val="22"/>
          <w:szCs w:val="22"/>
        </w:rPr>
        <w:t>are traded</w:t>
      </w:r>
      <w:proofErr w:type="gramEnd"/>
      <w:r>
        <w:rPr>
          <w:rFonts w:ascii="Arial" w:hAnsi="Arial"/>
          <w:sz w:val="22"/>
          <w:szCs w:val="22"/>
        </w:rPr>
        <w:t xml:space="preserve"> on the regulated market managed by Bucharest Stock Exchange, on the Main segment, in the Equity Securities sector – Premium category, under the “COTE” symbol.</w:t>
      </w:r>
      <w:r>
        <w:rPr>
          <w:rFonts w:ascii="Arial" w:hAnsi="Arial"/>
          <w:sz w:val="22"/>
          <w:szCs w:val="22"/>
        </w:rPr>
        <w:cr/>
      </w:r>
    </w:p>
    <w:p w:rsidR="00DF06F0" w:rsidRPr="006A2E17" w:rsidRDefault="00DF06F0" w:rsidP="00DF06F0">
      <w:pPr>
        <w:spacing w:line="276" w:lineRule="auto"/>
        <w:jc w:val="both"/>
        <w:rPr>
          <w:rFonts w:ascii="Arial" w:eastAsia="Calibri" w:hAnsi="Arial" w:cs="Arial"/>
          <w:sz w:val="22"/>
          <w:szCs w:val="22"/>
        </w:rPr>
      </w:pPr>
      <w:r>
        <w:rPr>
          <w:rFonts w:ascii="Arial" w:hAnsi="Arial"/>
          <w:sz w:val="22"/>
          <w:szCs w:val="22"/>
        </w:rPr>
        <w:t>At the end of 2018</w:t>
      </w:r>
      <w:r w:rsidR="00FB6CB6">
        <w:rPr>
          <w:rFonts w:ascii="Arial" w:hAnsi="Arial"/>
          <w:sz w:val="22"/>
          <w:szCs w:val="22"/>
        </w:rPr>
        <w:t xml:space="preserve"> </w:t>
      </w:r>
      <w:r>
        <w:rPr>
          <w:rFonts w:ascii="Arial" w:hAnsi="Arial"/>
          <w:sz w:val="22"/>
          <w:szCs w:val="22"/>
        </w:rPr>
        <w:t xml:space="preserve">H1, the trading price of CONPET shares recorded a </w:t>
      </w:r>
      <w:r w:rsidR="00FB6CB6">
        <w:rPr>
          <w:rFonts w:ascii="Arial" w:hAnsi="Arial"/>
          <w:sz w:val="22"/>
          <w:szCs w:val="22"/>
        </w:rPr>
        <w:t>de</w:t>
      </w:r>
      <w:r>
        <w:rPr>
          <w:rFonts w:ascii="Arial" w:hAnsi="Arial"/>
          <w:sz w:val="22"/>
          <w:szCs w:val="22"/>
        </w:rPr>
        <w:t xml:space="preserve">crease by 9.55% compared to the </w:t>
      </w:r>
      <w:r w:rsidR="00B93043">
        <w:rPr>
          <w:rFonts w:ascii="Arial" w:hAnsi="Arial"/>
          <w:sz w:val="22"/>
          <w:szCs w:val="22"/>
        </w:rPr>
        <w:t xml:space="preserve">closing </w:t>
      </w:r>
      <w:r>
        <w:rPr>
          <w:rFonts w:ascii="Arial" w:hAnsi="Arial"/>
          <w:sz w:val="22"/>
          <w:szCs w:val="22"/>
        </w:rPr>
        <w:t>price of the first trading day of the same year.</w:t>
      </w:r>
    </w:p>
    <w:p w:rsidR="00DF06F0" w:rsidRPr="006A2E17" w:rsidRDefault="00DF06F0" w:rsidP="00DF06F0">
      <w:pPr>
        <w:spacing w:line="276" w:lineRule="auto"/>
        <w:jc w:val="both"/>
        <w:rPr>
          <w:rFonts w:ascii="Arial" w:eastAsia="Calibri" w:hAnsi="Arial" w:cs="Arial"/>
          <w:sz w:val="22"/>
          <w:szCs w:val="22"/>
          <w:lang w:val="fr-FR"/>
        </w:rPr>
      </w:pPr>
    </w:p>
    <w:p w:rsidR="00DF06F0" w:rsidRPr="006A2E17" w:rsidRDefault="00DF06F0" w:rsidP="00DF06F0">
      <w:pPr>
        <w:spacing w:line="276" w:lineRule="auto"/>
        <w:jc w:val="both"/>
        <w:rPr>
          <w:rFonts w:ascii="Arial" w:hAnsi="Arial" w:cs="Arial"/>
          <w:sz w:val="22"/>
          <w:szCs w:val="22"/>
        </w:rPr>
      </w:pPr>
      <w:r>
        <w:rPr>
          <w:rFonts w:ascii="Arial" w:hAnsi="Arial"/>
          <w:sz w:val="22"/>
          <w:szCs w:val="22"/>
        </w:rPr>
        <w:t>In summary, the transactions recorded with CONPET shares on Bucharest Stock Exchange in 2018 H1 are as follows:</w:t>
      </w:r>
    </w:p>
    <w:p w:rsidR="00DF06F0" w:rsidRPr="0036241D" w:rsidRDefault="00DF06F0" w:rsidP="00D87DA4">
      <w:pPr>
        <w:widowControl/>
        <w:numPr>
          <w:ilvl w:val="0"/>
          <w:numId w:val="7"/>
        </w:numPr>
        <w:autoSpaceDE/>
        <w:adjustRightInd/>
        <w:spacing w:line="276" w:lineRule="auto"/>
        <w:jc w:val="both"/>
        <w:rPr>
          <w:rFonts w:ascii="Arial" w:hAnsi="Arial" w:cs="Arial"/>
          <w:sz w:val="22"/>
          <w:szCs w:val="22"/>
        </w:rPr>
      </w:pPr>
      <w:r>
        <w:rPr>
          <w:rFonts w:ascii="Arial" w:hAnsi="Arial"/>
          <w:sz w:val="22"/>
          <w:szCs w:val="22"/>
        </w:rPr>
        <w:t xml:space="preserve"> Have been performed 7,558 trades, by approx. 31% less YoY (10,907 trades), nevertheless, </w:t>
      </w:r>
      <w:r>
        <w:rPr>
          <w:rFonts w:ascii="Arial" w:hAnsi="Arial"/>
          <w:color w:val="000000"/>
          <w:sz w:val="22"/>
          <w:szCs w:val="22"/>
        </w:rPr>
        <w:t xml:space="preserve">the total value of the traded shares amounted to 1,445,574 shares, </w:t>
      </w:r>
      <w:r>
        <w:rPr>
          <w:rFonts w:ascii="Arial" w:hAnsi="Arial"/>
          <w:sz w:val="22"/>
          <w:szCs w:val="22"/>
        </w:rPr>
        <w:t>twice as compared to 2017 H1 (676,717 shares);</w:t>
      </w:r>
    </w:p>
    <w:p w:rsidR="004A5D9D" w:rsidRPr="00B108EF" w:rsidRDefault="00DF06F0" w:rsidP="00D87DA4">
      <w:pPr>
        <w:widowControl/>
        <w:numPr>
          <w:ilvl w:val="0"/>
          <w:numId w:val="7"/>
        </w:numPr>
        <w:autoSpaceDE/>
        <w:adjustRightInd/>
        <w:spacing w:line="276" w:lineRule="auto"/>
        <w:jc w:val="both"/>
        <w:rPr>
          <w:rFonts w:ascii="Arial" w:hAnsi="Arial" w:cs="Arial"/>
          <w:sz w:val="22"/>
          <w:szCs w:val="22"/>
        </w:rPr>
      </w:pPr>
      <w:r>
        <w:rPr>
          <w:rFonts w:ascii="Arial" w:hAnsi="Arial"/>
          <w:color w:val="000000"/>
          <w:sz w:val="22"/>
          <w:szCs w:val="22"/>
        </w:rPr>
        <w:t>The total value of trades amounted to 147,893,292 RON, two times higher</w:t>
      </w:r>
      <w:r>
        <w:rPr>
          <w:rFonts w:ascii="Arial" w:hAnsi="Arial"/>
          <w:color w:val="FF0000"/>
          <w:sz w:val="22"/>
          <w:szCs w:val="22"/>
        </w:rPr>
        <w:t xml:space="preserve"> </w:t>
      </w:r>
      <w:r>
        <w:rPr>
          <w:rFonts w:ascii="Arial" w:hAnsi="Arial"/>
          <w:sz w:val="22"/>
          <w:szCs w:val="22"/>
        </w:rPr>
        <w:t>than the value recorded in 2017 H1 (77,312,733 RON);</w:t>
      </w:r>
    </w:p>
    <w:p w:rsidR="00DF06F0" w:rsidRPr="006A2E17" w:rsidRDefault="00DF06F0" w:rsidP="00D87DA4">
      <w:pPr>
        <w:widowControl/>
        <w:numPr>
          <w:ilvl w:val="0"/>
          <w:numId w:val="7"/>
        </w:numPr>
        <w:autoSpaceDE/>
        <w:adjustRightInd/>
        <w:spacing w:line="276" w:lineRule="auto"/>
        <w:jc w:val="both"/>
        <w:rPr>
          <w:rFonts w:ascii="Arial" w:hAnsi="Arial" w:cs="Arial"/>
          <w:sz w:val="22"/>
          <w:szCs w:val="22"/>
        </w:rPr>
      </w:pPr>
      <w:r>
        <w:rPr>
          <w:rFonts w:ascii="Arial" w:hAnsi="Arial"/>
          <w:sz w:val="22"/>
          <w:szCs w:val="22"/>
        </w:rPr>
        <w:t xml:space="preserve">The average trading price was of 102.31 RON/share, lower by 11.94 Ron/share versus the average price of the shares registered during the same period of 2017 (114.25 RON/share);   </w:t>
      </w:r>
    </w:p>
    <w:p w:rsidR="00DF06F0" w:rsidRPr="006A2E17" w:rsidRDefault="00DF06F0" w:rsidP="00D87DA4">
      <w:pPr>
        <w:widowControl/>
        <w:numPr>
          <w:ilvl w:val="0"/>
          <w:numId w:val="7"/>
        </w:numPr>
        <w:autoSpaceDE/>
        <w:adjustRightInd/>
        <w:spacing w:line="276" w:lineRule="auto"/>
        <w:contextualSpacing/>
        <w:jc w:val="both"/>
        <w:rPr>
          <w:rFonts w:ascii="Arial" w:hAnsi="Arial" w:cs="Arial"/>
          <w:sz w:val="22"/>
          <w:szCs w:val="22"/>
        </w:rPr>
      </w:pPr>
      <w:r>
        <w:rPr>
          <w:rFonts w:ascii="Arial" w:hAnsi="Arial"/>
          <w:sz w:val="22"/>
          <w:szCs w:val="22"/>
        </w:rPr>
        <w:t>The maximum limit registered by the trading p</w:t>
      </w:r>
      <w:r w:rsidR="00751B4F">
        <w:rPr>
          <w:rFonts w:ascii="Arial" w:hAnsi="Arial"/>
          <w:sz w:val="22"/>
          <w:szCs w:val="22"/>
        </w:rPr>
        <w:t>rice was 120 RON</w:t>
      </w:r>
      <w:r>
        <w:rPr>
          <w:rFonts w:ascii="Arial" w:hAnsi="Arial"/>
          <w:sz w:val="22"/>
          <w:szCs w:val="22"/>
        </w:rPr>
        <w:t>/share and was reached both in the last week of January and the first day of February;</w:t>
      </w:r>
    </w:p>
    <w:p w:rsidR="00DF06F0" w:rsidRPr="006A2E17" w:rsidRDefault="00DF06F0" w:rsidP="00D87DA4">
      <w:pPr>
        <w:widowControl/>
        <w:numPr>
          <w:ilvl w:val="0"/>
          <w:numId w:val="7"/>
        </w:numPr>
        <w:autoSpaceDE/>
        <w:adjustRightInd/>
        <w:spacing w:line="276" w:lineRule="auto"/>
        <w:jc w:val="both"/>
        <w:rPr>
          <w:rFonts w:ascii="Arial" w:hAnsi="Arial" w:cs="Arial"/>
          <w:sz w:val="22"/>
          <w:szCs w:val="22"/>
        </w:rPr>
      </w:pPr>
      <w:r>
        <w:rPr>
          <w:rFonts w:ascii="Arial" w:hAnsi="Arial"/>
          <w:sz w:val="22"/>
          <w:szCs w:val="22"/>
        </w:rPr>
        <w:t>A peak of the transactions was recorded on 21.02.2018, when a total volume of 611,933 shares was traded, in amount of 61,805,233 RON, representing 42.33% of the total volume of COTE  shares traded in 2018 H1;</w:t>
      </w:r>
    </w:p>
    <w:p w:rsidR="00DF06F0" w:rsidRDefault="00DF06F0" w:rsidP="00D87DA4">
      <w:pPr>
        <w:widowControl/>
        <w:numPr>
          <w:ilvl w:val="0"/>
          <w:numId w:val="7"/>
        </w:numPr>
        <w:autoSpaceDE/>
        <w:adjustRightInd/>
        <w:spacing w:line="276" w:lineRule="auto"/>
        <w:jc w:val="both"/>
        <w:rPr>
          <w:rFonts w:ascii="Arial" w:hAnsi="Arial" w:cs="Arial"/>
          <w:sz w:val="22"/>
          <w:szCs w:val="22"/>
        </w:rPr>
      </w:pPr>
      <w:r>
        <w:rPr>
          <w:rFonts w:ascii="Arial" w:hAnsi="Arial"/>
          <w:sz w:val="22"/>
          <w:szCs w:val="22"/>
        </w:rPr>
        <w:t>The Market capitalization at the end of 2018H1 was of 779,177,520 RON, a decrease by 5.46% as compared to the value recorded at the end of 2017 H1 (824,196,666 RON). At 30.06.2018, as per TOP 100 issuers according to capitalization, CONPET ranked 18.</w:t>
      </w:r>
    </w:p>
    <w:p w:rsidR="00B108EF" w:rsidRPr="006A2E17" w:rsidRDefault="00B108EF" w:rsidP="00B108EF">
      <w:pPr>
        <w:widowControl/>
        <w:autoSpaceDE/>
        <w:adjustRightInd/>
        <w:spacing w:line="276" w:lineRule="auto"/>
        <w:ind w:left="720"/>
        <w:jc w:val="both"/>
        <w:rPr>
          <w:rFonts w:ascii="Arial" w:hAnsi="Arial" w:cs="Arial"/>
          <w:sz w:val="22"/>
          <w:szCs w:val="22"/>
          <w:lang w:val="fr-FR"/>
        </w:rPr>
      </w:pPr>
    </w:p>
    <w:p w:rsidR="00DF06F0" w:rsidRPr="006A2E17" w:rsidRDefault="00DF06F0" w:rsidP="00DF06F0">
      <w:pPr>
        <w:spacing w:line="276" w:lineRule="auto"/>
        <w:jc w:val="both"/>
        <w:rPr>
          <w:rFonts w:ascii="Arial" w:eastAsia="Calibri" w:hAnsi="Arial" w:cs="Arial"/>
          <w:sz w:val="22"/>
          <w:szCs w:val="22"/>
        </w:rPr>
      </w:pPr>
      <w:r>
        <w:rPr>
          <w:rFonts w:ascii="Arial" w:hAnsi="Arial"/>
          <w:sz w:val="22"/>
          <w:szCs w:val="22"/>
        </w:rPr>
        <w:t>Trading values indicate a stable share, which continues to attract investors’ confidence, due, to a large extent, the effectiveness of CONPET management and the high degree of transparency on the activities and goals of the company.</w:t>
      </w:r>
    </w:p>
    <w:p w:rsidR="00DF06F0" w:rsidRPr="006A2E17" w:rsidRDefault="00DF06F0" w:rsidP="00DF06F0">
      <w:pPr>
        <w:spacing w:line="276" w:lineRule="auto"/>
        <w:jc w:val="both"/>
        <w:rPr>
          <w:rFonts w:ascii="Arial" w:eastAsia="Calibri" w:hAnsi="Arial" w:cs="Arial"/>
          <w:sz w:val="22"/>
          <w:szCs w:val="22"/>
          <w:lang w:val="fr-FR"/>
        </w:rPr>
      </w:pPr>
    </w:p>
    <w:p w:rsidR="00F03ACD" w:rsidRDefault="00DF06F0" w:rsidP="008B5C3B">
      <w:pPr>
        <w:spacing w:line="276" w:lineRule="auto"/>
        <w:jc w:val="both"/>
        <w:rPr>
          <w:rFonts w:ascii="Arial" w:eastAsia="Calibri" w:hAnsi="Arial" w:cs="Arial"/>
          <w:sz w:val="22"/>
          <w:szCs w:val="22"/>
        </w:rPr>
      </w:pPr>
      <w:r>
        <w:rPr>
          <w:rFonts w:ascii="Arial" w:hAnsi="Arial"/>
          <w:sz w:val="22"/>
          <w:szCs w:val="22"/>
        </w:rPr>
        <w:t>The main trading indices of 2018 H1 for the shares issued by CONPET are presented in the following table:</w:t>
      </w:r>
    </w:p>
    <w:p w:rsidR="008B5C3B" w:rsidRPr="008B5C3B" w:rsidRDefault="008B5C3B" w:rsidP="008B5C3B">
      <w:pPr>
        <w:spacing w:line="276" w:lineRule="auto"/>
        <w:jc w:val="both"/>
        <w:rPr>
          <w:rFonts w:ascii="Arial" w:eastAsia="Calibri" w:hAnsi="Arial" w:cs="Arial"/>
          <w:sz w:val="22"/>
          <w:szCs w:val="22"/>
          <w:lang w:val="fr-FR"/>
        </w:rPr>
      </w:pPr>
    </w:p>
    <w:tbl>
      <w:tblPr>
        <w:tblStyle w:val="TableGrid"/>
        <w:tblW w:w="9218"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03"/>
        <w:gridCol w:w="2286"/>
        <w:gridCol w:w="1595"/>
        <w:gridCol w:w="2217"/>
        <w:gridCol w:w="1817"/>
      </w:tblGrid>
      <w:tr w:rsidR="00F03ACD" w:rsidRPr="008B5C3B" w:rsidTr="00B108EF">
        <w:trPr>
          <w:trHeight w:val="202"/>
        </w:trPr>
        <w:tc>
          <w:tcPr>
            <w:tcW w:w="1303" w:type="dxa"/>
            <w:tcBorders>
              <w:bottom w:val="nil"/>
            </w:tcBorders>
            <w:shd w:val="clear" w:color="auto" w:fill="DEEAF6" w:themeFill="accent1" w:themeFillTint="33"/>
            <w:vAlign w:val="center"/>
          </w:tcPr>
          <w:p w:rsidR="00F03ACD" w:rsidRPr="008B5C3B" w:rsidRDefault="00F03ACD" w:rsidP="001D229E">
            <w:pPr>
              <w:spacing w:line="276" w:lineRule="auto"/>
              <w:jc w:val="right"/>
              <w:rPr>
                <w:rFonts w:ascii="Arial" w:eastAsia="Calibri" w:hAnsi="Arial" w:cs="Arial"/>
              </w:rPr>
            </w:pPr>
            <w:r>
              <w:rPr>
                <w:rFonts w:ascii="Arial" w:hAnsi="Arial"/>
                <w:b/>
                <w:bCs/>
                <w:iCs/>
                <w:noProof/>
                <w:lang w:eastAsia="en-US"/>
              </w:rPr>
              <mc:AlternateContent>
                <mc:Choice Requires="wps">
                  <w:drawing>
                    <wp:anchor distT="0" distB="0" distL="114300" distR="114300" simplePos="0" relativeHeight="251662336" behindDoc="0" locked="0" layoutInCell="1" allowOverlap="1" wp14:anchorId="35BFBC52" wp14:editId="17A86D4F">
                      <wp:simplePos x="0" y="0"/>
                      <wp:positionH relativeFrom="page">
                        <wp:posOffset>9525</wp:posOffset>
                      </wp:positionH>
                      <wp:positionV relativeFrom="page">
                        <wp:posOffset>0</wp:posOffset>
                      </wp:positionV>
                      <wp:extent cx="828675" cy="38100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828675"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8009B4"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5pt,0" to="6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" strokecolor="windowText" strokeweight=".5pt">
                      <v:stroke joinstyle="miter"/>
                      <w10:wrap anchorx="page" anchory="page"/>
                    </v:line>
                  </w:pict>
                </mc:Fallback>
              </mc:AlternateContent>
            </w:r>
            <w:r>
              <w:rPr>
                <w:rFonts w:ascii="Arial" w:hAnsi="Arial"/>
                <w:b/>
                <w:bCs/>
                <w:iCs/>
              </w:rPr>
              <w:t>Indices</w:t>
            </w:r>
          </w:p>
        </w:tc>
        <w:tc>
          <w:tcPr>
            <w:tcW w:w="2286" w:type="dxa"/>
            <w:vMerge w:val="restart"/>
            <w:shd w:val="clear" w:color="auto" w:fill="DEEAF6" w:themeFill="accent1" w:themeFillTint="33"/>
            <w:vAlign w:val="center"/>
          </w:tcPr>
          <w:p w:rsidR="00F03ACD" w:rsidRPr="008B5C3B" w:rsidRDefault="00F03ACD" w:rsidP="001D229E">
            <w:pPr>
              <w:spacing w:line="276" w:lineRule="auto"/>
              <w:jc w:val="center"/>
              <w:rPr>
                <w:rFonts w:ascii="Arial" w:eastAsia="Calibri" w:hAnsi="Arial" w:cs="Arial"/>
              </w:rPr>
            </w:pPr>
            <w:r>
              <w:rPr>
                <w:rFonts w:ascii="Arial" w:hAnsi="Arial"/>
                <w:b/>
                <w:bCs/>
              </w:rPr>
              <w:t>Average price (RON/share)</w:t>
            </w:r>
          </w:p>
        </w:tc>
        <w:tc>
          <w:tcPr>
            <w:tcW w:w="1595" w:type="dxa"/>
            <w:vMerge w:val="restart"/>
            <w:shd w:val="clear" w:color="auto" w:fill="DEEAF6" w:themeFill="accent1" w:themeFillTint="33"/>
            <w:vAlign w:val="center"/>
          </w:tcPr>
          <w:p w:rsidR="00F03ACD" w:rsidRPr="008B5C3B" w:rsidRDefault="00F03ACD" w:rsidP="001D229E">
            <w:pPr>
              <w:spacing w:line="276" w:lineRule="auto"/>
              <w:jc w:val="center"/>
              <w:rPr>
                <w:rFonts w:ascii="Arial" w:eastAsia="Calibri" w:hAnsi="Arial" w:cs="Arial"/>
              </w:rPr>
            </w:pPr>
            <w:r>
              <w:rPr>
                <w:rFonts w:ascii="Arial" w:hAnsi="Arial"/>
                <w:b/>
                <w:bCs/>
              </w:rPr>
              <w:t>No. of trades</w:t>
            </w:r>
          </w:p>
        </w:tc>
        <w:tc>
          <w:tcPr>
            <w:tcW w:w="2217" w:type="dxa"/>
            <w:vMerge w:val="restart"/>
            <w:shd w:val="clear" w:color="auto" w:fill="DEEAF6" w:themeFill="accent1" w:themeFillTint="33"/>
            <w:vAlign w:val="center"/>
          </w:tcPr>
          <w:p w:rsidR="00F03ACD" w:rsidRPr="008B5C3B" w:rsidRDefault="00F03ACD" w:rsidP="001D229E">
            <w:pPr>
              <w:spacing w:line="276" w:lineRule="auto"/>
              <w:jc w:val="center"/>
              <w:rPr>
                <w:rFonts w:ascii="Arial" w:eastAsia="Calibri" w:hAnsi="Arial" w:cs="Arial"/>
              </w:rPr>
            </w:pPr>
            <w:r>
              <w:rPr>
                <w:rFonts w:ascii="Arial" w:hAnsi="Arial"/>
                <w:b/>
                <w:bCs/>
              </w:rPr>
              <w:t xml:space="preserve">No. of traded shares </w:t>
            </w:r>
          </w:p>
        </w:tc>
        <w:tc>
          <w:tcPr>
            <w:tcW w:w="1817" w:type="dxa"/>
            <w:vMerge w:val="restart"/>
            <w:shd w:val="clear" w:color="auto" w:fill="DEEAF6" w:themeFill="accent1" w:themeFillTint="33"/>
            <w:vAlign w:val="center"/>
          </w:tcPr>
          <w:p w:rsidR="00F03ACD" w:rsidRPr="008B5C3B" w:rsidRDefault="00F03ACD" w:rsidP="001D229E">
            <w:pPr>
              <w:spacing w:line="276" w:lineRule="auto"/>
              <w:jc w:val="center"/>
              <w:rPr>
                <w:rFonts w:ascii="Arial" w:eastAsia="Calibri" w:hAnsi="Arial" w:cs="Arial"/>
              </w:rPr>
            </w:pPr>
            <w:r>
              <w:rPr>
                <w:rFonts w:ascii="Arial" w:hAnsi="Arial"/>
                <w:b/>
                <w:bCs/>
              </w:rPr>
              <w:t>Value of trades (RON)</w:t>
            </w:r>
          </w:p>
        </w:tc>
      </w:tr>
      <w:tr w:rsidR="00F03ACD" w:rsidRPr="008B5C3B" w:rsidTr="00B108EF">
        <w:trPr>
          <w:trHeight w:val="211"/>
        </w:trPr>
        <w:tc>
          <w:tcPr>
            <w:tcW w:w="1303" w:type="dxa"/>
            <w:tcBorders>
              <w:top w:val="nil"/>
            </w:tcBorders>
            <w:shd w:val="clear" w:color="auto" w:fill="DEEAF6" w:themeFill="accent1" w:themeFillTint="33"/>
            <w:vAlign w:val="center"/>
          </w:tcPr>
          <w:p w:rsidR="00F03ACD" w:rsidRPr="008B5C3B" w:rsidRDefault="00F03ACD" w:rsidP="001D229E">
            <w:pPr>
              <w:spacing w:line="276" w:lineRule="auto"/>
              <w:jc w:val="both"/>
              <w:rPr>
                <w:rFonts w:ascii="Arial" w:eastAsia="Calibri" w:hAnsi="Arial" w:cs="Arial"/>
              </w:rPr>
            </w:pPr>
            <w:r>
              <w:rPr>
                <w:rFonts w:ascii="Arial" w:hAnsi="Arial"/>
                <w:b/>
                <w:bCs/>
                <w:iCs/>
              </w:rPr>
              <w:t>Month</w:t>
            </w:r>
          </w:p>
        </w:tc>
        <w:tc>
          <w:tcPr>
            <w:tcW w:w="2286" w:type="dxa"/>
            <w:vMerge/>
            <w:shd w:val="clear" w:color="auto" w:fill="DEEAF6" w:themeFill="accent1" w:themeFillTint="33"/>
            <w:vAlign w:val="center"/>
          </w:tcPr>
          <w:p w:rsidR="00F03ACD" w:rsidRPr="008B5C3B" w:rsidRDefault="00F03ACD" w:rsidP="001D229E">
            <w:pPr>
              <w:spacing w:line="276" w:lineRule="auto"/>
              <w:jc w:val="both"/>
              <w:rPr>
                <w:rFonts w:ascii="Arial" w:eastAsia="Calibri" w:hAnsi="Arial" w:cs="Arial"/>
                <w:lang w:val="fr-FR"/>
              </w:rPr>
            </w:pPr>
          </w:p>
        </w:tc>
        <w:tc>
          <w:tcPr>
            <w:tcW w:w="1595" w:type="dxa"/>
            <w:vMerge/>
            <w:shd w:val="clear" w:color="auto" w:fill="auto"/>
            <w:vAlign w:val="center"/>
          </w:tcPr>
          <w:p w:rsidR="00F03ACD" w:rsidRPr="008B5C3B" w:rsidRDefault="00F03ACD" w:rsidP="001D229E">
            <w:pPr>
              <w:spacing w:line="276" w:lineRule="auto"/>
              <w:jc w:val="both"/>
              <w:rPr>
                <w:rFonts w:ascii="Arial" w:eastAsia="Calibri" w:hAnsi="Arial" w:cs="Arial"/>
                <w:lang w:val="fr-FR"/>
              </w:rPr>
            </w:pPr>
          </w:p>
        </w:tc>
        <w:tc>
          <w:tcPr>
            <w:tcW w:w="2217" w:type="dxa"/>
            <w:vMerge/>
            <w:shd w:val="clear" w:color="auto" w:fill="auto"/>
            <w:vAlign w:val="center"/>
          </w:tcPr>
          <w:p w:rsidR="00F03ACD" w:rsidRPr="008B5C3B" w:rsidRDefault="00F03ACD" w:rsidP="001D229E">
            <w:pPr>
              <w:spacing w:line="276" w:lineRule="auto"/>
              <w:jc w:val="both"/>
              <w:rPr>
                <w:rFonts w:ascii="Arial" w:eastAsia="Calibri" w:hAnsi="Arial" w:cs="Arial"/>
                <w:lang w:val="fr-FR"/>
              </w:rPr>
            </w:pPr>
          </w:p>
        </w:tc>
        <w:tc>
          <w:tcPr>
            <w:tcW w:w="1817" w:type="dxa"/>
            <w:vMerge/>
            <w:shd w:val="clear" w:color="auto" w:fill="auto"/>
            <w:vAlign w:val="center"/>
          </w:tcPr>
          <w:p w:rsidR="00F03ACD" w:rsidRPr="008B5C3B" w:rsidRDefault="00F03ACD" w:rsidP="001D229E">
            <w:pPr>
              <w:spacing w:line="276" w:lineRule="auto"/>
              <w:jc w:val="both"/>
              <w:rPr>
                <w:rFonts w:ascii="Arial" w:eastAsia="Calibri" w:hAnsi="Arial" w:cs="Arial"/>
                <w:lang w:val="fr-FR"/>
              </w:rPr>
            </w:pPr>
          </w:p>
        </w:tc>
      </w:tr>
      <w:tr w:rsidR="00F03ACD" w:rsidRPr="008B5C3B" w:rsidTr="00B108EF">
        <w:trPr>
          <w:trHeight w:val="225"/>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rPr>
            </w:pPr>
            <w:r>
              <w:rPr>
                <w:rFonts w:ascii="Arial" w:hAnsi="Arial"/>
              </w:rPr>
              <w:t>January</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Pr>
                <w:rFonts w:ascii="Arial" w:hAnsi="Arial"/>
              </w:rPr>
              <w:t>112.39</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1,596</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54,932</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6,173,638</w:t>
            </w:r>
          </w:p>
        </w:tc>
      </w:tr>
      <w:tr w:rsidR="00F03ACD" w:rsidRPr="008B5C3B" w:rsidTr="00B108EF">
        <w:trPr>
          <w:trHeight w:val="211"/>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rPr>
            </w:pPr>
            <w:r>
              <w:rPr>
                <w:rFonts w:ascii="Arial" w:hAnsi="Arial"/>
              </w:rPr>
              <w:t>February</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Pr>
                <w:rFonts w:ascii="Arial" w:hAnsi="Arial"/>
              </w:rPr>
              <w:t>102.53</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2,175</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707,740</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72,566,976</w:t>
            </w:r>
          </w:p>
        </w:tc>
      </w:tr>
      <w:tr w:rsidR="00F03ACD" w:rsidRPr="008B5C3B" w:rsidTr="00B108EF">
        <w:trPr>
          <w:trHeight w:val="202"/>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rPr>
            </w:pPr>
            <w:r>
              <w:rPr>
                <w:rFonts w:ascii="Arial" w:hAnsi="Arial"/>
              </w:rPr>
              <w:t>March</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Pr>
                <w:rFonts w:ascii="Arial" w:hAnsi="Arial"/>
              </w:rPr>
              <w:t>113.36</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965</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39,158</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4,438,997</w:t>
            </w:r>
          </w:p>
        </w:tc>
      </w:tr>
      <w:tr w:rsidR="00F03ACD" w:rsidRPr="008B5C3B" w:rsidTr="00B108EF">
        <w:trPr>
          <w:trHeight w:val="211"/>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rPr>
            </w:pPr>
            <w:r>
              <w:rPr>
                <w:rFonts w:ascii="Arial" w:hAnsi="Arial"/>
              </w:rPr>
              <w:t>April</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Pr>
                <w:rFonts w:ascii="Arial" w:hAnsi="Arial"/>
              </w:rPr>
              <w:t>101.34</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507</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541,175</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54,840,244</w:t>
            </w:r>
          </w:p>
        </w:tc>
      </w:tr>
      <w:tr w:rsidR="00F03ACD" w:rsidRPr="008B5C3B" w:rsidTr="00B108EF">
        <w:trPr>
          <w:trHeight w:val="202"/>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rPr>
            </w:pPr>
            <w:r>
              <w:rPr>
                <w:rFonts w:ascii="Arial" w:hAnsi="Arial"/>
              </w:rPr>
              <w:t>May</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Pr>
                <w:rFonts w:ascii="Arial" w:hAnsi="Arial"/>
              </w:rPr>
              <w:t>97.94</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1,162</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50,813</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4,976,778</w:t>
            </w:r>
          </w:p>
        </w:tc>
      </w:tr>
      <w:tr w:rsidR="00F03ACD" w:rsidRPr="008B5C3B" w:rsidTr="00B108EF">
        <w:trPr>
          <w:trHeight w:val="202"/>
        </w:trPr>
        <w:tc>
          <w:tcPr>
            <w:tcW w:w="1303" w:type="dxa"/>
            <w:shd w:val="clear" w:color="auto" w:fill="auto"/>
            <w:vAlign w:val="center"/>
          </w:tcPr>
          <w:p w:rsidR="00F03ACD" w:rsidRPr="008B5C3B" w:rsidRDefault="00F03ACD" w:rsidP="001D229E">
            <w:pPr>
              <w:spacing w:line="276" w:lineRule="auto"/>
              <w:jc w:val="both"/>
              <w:rPr>
                <w:rFonts w:ascii="Arial" w:eastAsia="Calibri" w:hAnsi="Arial" w:cs="Arial"/>
              </w:rPr>
            </w:pPr>
            <w:r>
              <w:rPr>
                <w:rFonts w:ascii="Arial" w:hAnsi="Arial"/>
              </w:rPr>
              <w:t xml:space="preserve">June </w:t>
            </w:r>
          </w:p>
        </w:tc>
        <w:tc>
          <w:tcPr>
            <w:tcW w:w="2286" w:type="dxa"/>
            <w:shd w:val="clear" w:color="auto" w:fill="auto"/>
            <w:vAlign w:val="center"/>
          </w:tcPr>
          <w:p w:rsidR="00F03ACD" w:rsidRPr="008B5C3B" w:rsidRDefault="00F03ACD" w:rsidP="001D229E">
            <w:pPr>
              <w:spacing w:line="276" w:lineRule="auto"/>
              <w:jc w:val="center"/>
              <w:rPr>
                <w:rFonts w:ascii="Arial" w:hAnsi="Arial" w:cs="Arial"/>
              </w:rPr>
            </w:pPr>
            <w:r>
              <w:rPr>
                <w:rFonts w:ascii="Arial" w:hAnsi="Arial"/>
              </w:rPr>
              <w:t>94.61</w:t>
            </w:r>
          </w:p>
        </w:tc>
        <w:tc>
          <w:tcPr>
            <w:tcW w:w="1595"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1,153</w:t>
            </w:r>
          </w:p>
        </w:tc>
        <w:tc>
          <w:tcPr>
            <w:tcW w:w="22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51,756</w:t>
            </w:r>
          </w:p>
        </w:tc>
        <w:tc>
          <w:tcPr>
            <w:tcW w:w="1817" w:type="dxa"/>
            <w:shd w:val="clear" w:color="auto" w:fill="auto"/>
            <w:vAlign w:val="center"/>
          </w:tcPr>
          <w:p w:rsidR="00F03ACD" w:rsidRPr="008B5C3B" w:rsidRDefault="00F03ACD" w:rsidP="001D229E">
            <w:pPr>
              <w:spacing w:line="276" w:lineRule="auto"/>
              <w:jc w:val="center"/>
              <w:rPr>
                <w:rFonts w:ascii="Arial" w:eastAsia="Calibri" w:hAnsi="Arial" w:cs="Arial"/>
              </w:rPr>
            </w:pPr>
            <w:r>
              <w:rPr>
                <w:rFonts w:ascii="Arial" w:hAnsi="Arial"/>
              </w:rPr>
              <w:t>4,896,659</w:t>
            </w:r>
          </w:p>
        </w:tc>
      </w:tr>
      <w:tr w:rsidR="00497F0F" w:rsidRPr="008B5C3B" w:rsidTr="00B108EF">
        <w:trPr>
          <w:trHeight w:val="225"/>
        </w:trPr>
        <w:tc>
          <w:tcPr>
            <w:tcW w:w="1303" w:type="dxa"/>
            <w:shd w:val="clear" w:color="auto" w:fill="DEEAF6" w:themeFill="accent1" w:themeFillTint="33"/>
            <w:vAlign w:val="center"/>
          </w:tcPr>
          <w:p w:rsidR="00F03ACD" w:rsidRPr="008B5C3B" w:rsidRDefault="00F03ACD" w:rsidP="001D229E">
            <w:pPr>
              <w:spacing w:line="276" w:lineRule="auto"/>
              <w:jc w:val="both"/>
              <w:rPr>
                <w:rFonts w:ascii="Arial" w:eastAsia="Calibri" w:hAnsi="Arial" w:cs="Arial"/>
              </w:rPr>
            </w:pPr>
            <w:r>
              <w:rPr>
                <w:rFonts w:ascii="Arial" w:hAnsi="Arial"/>
                <w:b/>
                <w:bCs/>
              </w:rPr>
              <w:t xml:space="preserve">Cumulated </w:t>
            </w:r>
          </w:p>
        </w:tc>
        <w:tc>
          <w:tcPr>
            <w:tcW w:w="2286" w:type="dxa"/>
            <w:shd w:val="clear" w:color="auto" w:fill="DEEAF6" w:themeFill="accent1" w:themeFillTint="33"/>
            <w:vAlign w:val="center"/>
          </w:tcPr>
          <w:p w:rsidR="00F03ACD" w:rsidRPr="008B5C3B" w:rsidRDefault="00F03ACD" w:rsidP="001D229E">
            <w:pPr>
              <w:spacing w:line="276" w:lineRule="auto"/>
              <w:jc w:val="center"/>
              <w:rPr>
                <w:rFonts w:ascii="Arial" w:hAnsi="Arial" w:cs="Arial"/>
                <w:b/>
              </w:rPr>
            </w:pPr>
            <w:r>
              <w:rPr>
                <w:rFonts w:ascii="Arial" w:hAnsi="Arial"/>
                <w:b/>
              </w:rPr>
              <w:t>102.31</w:t>
            </w:r>
          </w:p>
        </w:tc>
        <w:tc>
          <w:tcPr>
            <w:tcW w:w="1595" w:type="dxa"/>
            <w:shd w:val="clear" w:color="auto" w:fill="DEEAF6" w:themeFill="accent1" w:themeFillTint="33"/>
            <w:vAlign w:val="center"/>
          </w:tcPr>
          <w:p w:rsidR="00F03ACD" w:rsidRPr="008B5C3B" w:rsidRDefault="00F03ACD" w:rsidP="001D229E">
            <w:pPr>
              <w:spacing w:line="276" w:lineRule="auto"/>
              <w:jc w:val="center"/>
              <w:rPr>
                <w:rFonts w:ascii="Arial" w:hAnsi="Arial" w:cs="Arial"/>
                <w:b/>
              </w:rPr>
            </w:pPr>
            <w:r>
              <w:rPr>
                <w:rFonts w:ascii="Arial" w:hAnsi="Arial"/>
                <w:b/>
              </w:rPr>
              <w:t>7,558</w:t>
            </w:r>
          </w:p>
        </w:tc>
        <w:tc>
          <w:tcPr>
            <w:tcW w:w="2217" w:type="dxa"/>
            <w:shd w:val="clear" w:color="auto" w:fill="DEEAF6" w:themeFill="accent1" w:themeFillTint="33"/>
            <w:vAlign w:val="center"/>
          </w:tcPr>
          <w:p w:rsidR="00F03ACD" w:rsidRPr="008B5C3B" w:rsidRDefault="00F03ACD" w:rsidP="001D229E">
            <w:pPr>
              <w:spacing w:line="276" w:lineRule="auto"/>
              <w:jc w:val="center"/>
              <w:rPr>
                <w:rFonts w:ascii="Arial" w:hAnsi="Arial" w:cs="Arial"/>
                <w:b/>
              </w:rPr>
            </w:pPr>
            <w:r>
              <w:rPr>
                <w:rFonts w:ascii="Arial" w:hAnsi="Arial"/>
                <w:b/>
              </w:rPr>
              <w:t>1,445,574</w:t>
            </w:r>
          </w:p>
        </w:tc>
        <w:tc>
          <w:tcPr>
            <w:tcW w:w="1817" w:type="dxa"/>
            <w:shd w:val="clear" w:color="auto" w:fill="DEEAF6" w:themeFill="accent1" w:themeFillTint="33"/>
            <w:vAlign w:val="center"/>
          </w:tcPr>
          <w:p w:rsidR="00F03ACD" w:rsidRPr="008B5C3B" w:rsidRDefault="00F03ACD" w:rsidP="001D229E">
            <w:pPr>
              <w:spacing w:line="276" w:lineRule="auto"/>
              <w:jc w:val="center"/>
              <w:rPr>
                <w:rFonts w:ascii="Arial" w:hAnsi="Arial" w:cs="Arial"/>
                <w:b/>
              </w:rPr>
            </w:pPr>
            <w:r>
              <w:rPr>
                <w:rFonts w:ascii="Arial" w:hAnsi="Arial"/>
                <w:b/>
              </w:rPr>
              <w:t>147,893,292</w:t>
            </w:r>
          </w:p>
        </w:tc>
      </w:tr>
    </w:tbl>
    <w:p w:rsidR="00F03ACD" w:rsidRPr="001819A5" w:rsidRDefault="00F03ACD" w:rsidP="00F03ACD">
      <w:pPr>
        <w:spacing w:line="276" w:lineRule="auto"/>
        <w:jc w:val="center"/>
        <w:rPr>
          <w:rFonts w:ascii="Arial" w:eastAsia="Calibri" w:hAnsi="Arial" w:cs="Arial"/>
          <w:sz w:val="16"/>
          <w:szCs w:val="16"/>
        </w:rPr>
      </w:pPr>
      <w:r>
        <w:rPr>
          <w:rFonts w:ascii="Arial" w:hAnsi="Arial"/>
          <w:sz w:val="16"/>
          <w:szCs w:val="16"/>
        </w:rPr>
        <w:t>Table 17 - Main trading indices</w:t>
      </w:r>
    </w:p>
    <w:p w:rsidR="00F03ACD" w:rsidRPr="006A2E17" w:rsidRDefault="00F03ACD" w:rsidP="00F03ACD">
      <w:pPr>
        <w:spacing w:line="276" w:lineRule="auto"/>
        <w:jc w:val="center"/>
        <w:rPr>
          <w:rFonts w:ascii="Arial" w:eastAsia="Calibri" w:hAnsi="Arial" w:cs="Arial"/>
          <w:b/>
          <w:i/>
          <w:sz w:val="22"/>
          <w:szCs w:val="22"/>
          <w:lang w:val="fr-FR"/>
        </w:rPr>
      </w:pPr>
    </w:p>
    <w:p w:rsidR="00F03ACD" w:rsidRPr="006A2E17" w:rsidRDefault="00F03ACD" w:rsidP="00F03ACD">
      <w:pPr>
        <w:rPr>
          <w:rFonts w:ascii="Arial" w:eastAsia="Calibri" w:hAnsi="Arial" w:cs="Arial"/>
          <w:sz w:val="22"/>
          <w:szCs w:val="22"/>
        </w:rPr>
      </w:pPr>
      <w:r>
        <w:rPr>
          <w:rFonts w:ascii="Arial" w:hAnsi="Arial"/>
          <w:b/>
          <w:noProof/>
          <w:color w:val="1F497D"/>
          <w:sz w:val="22"/>
          <w:szCs w:val="22"/>
          <w:lang w:eastAsia="en-US"/>
        </w:rPr>
        <w:lastRenderedPageBreak/>
        <w:drawing>
          <wp:inline distT="0" distB="0" distL="0" distR="0" wp14:anchorId="3376292C" wp14:editId="57163CAC">
            <wp:extent cx="5848350" cy="3168000"/>
            <wp:effectExtent l="0" t="0" r="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03ACD" w:rsidRDefault="00F03ACD" w:rsidP="00F03ACD">
      <w:pPr>
        <w:jc w:val="center"/>
        <w:rPr>
          <w:rFonts w:ascii="Arial" w:eastAsia="Calibri" w:hAnsi="Arial" w:cs="Arial"/>
          <w:i/>
          <w:sz w:val="18"/>
          <w:szCs w:val="18"/>
          <w:lang w:val="fr-FR"/>
        </w:rPr>
      </w:pPr>
    </w:p>
    <w:p w:rsidR="00F03ACD" w:rsidRPr="001819A5" w:rsidRDefault="0078286C" w:rsidP="00F03ACD">
      <w:pPr>
        <w:jc w:val="center"/>
        <w:rPr>
          <w:rFonts w:ascii="Arial" w:eastAsia="Calibri" w:hAnsi="Arial" w:cs="Arial"/>
          <w:sz w:val="16"/>
          <w:szCs w:val="16"/>
        </w:rPr>
      </w:pPr>
      <w:r>
        <w:rPr>
          <w:rFonts w:ascii="Arial" w:hAnsi="Arial"/>
          <w:sz w:val="16"/>
          <w:szCs w:val="16"/>
        </w:rPr>
        <w:t>Chart 1</w:t>
      </w:r>
      <w:r w:rsidR="008659DF">
        <w:rPr>
          <w:rFonts w:ascii="Arial" w:hAnsi="Arial"/>
          <w:sz w:val="16"/>
          <w:szCs w:val="16"/>
        </w:rPr>
        <w:t>4</w:t>
      </w:r>
      <w:proofErr w:type="gramStart"/>
      <w:r w:rsidR="00F03ACD">
        <w:rPr>
          <w:rFonts w:ascii="Arial" w:hAnsi="Arial"/>
          <w:sz w:val="16"/>
          <w:szCs w:val="16"/>
        </w:rPr>
        <w:t>-  Evolution</w:t>
      </w:r>
      <w:proofErr w:type="gramEnd"/>
      <w:r w:rsidR="00F03ACD">
        <w:rPr>
          <w:rFonts w:ascii="Arial" w:hAnsi="Arial"/>
          <w:sz w:val="16"/>
          <w:szCs w:val="16"/>
        </w:rPr>
        <w:t xml:space="preserve"> of COTE share vs. BET index (rebased)</w:t>
      </w:r>
    </w:p>
    <w:p w:rsidR="00F03ACD" w:rsidRPr="006A2E17" w:rsidRDefault="00F03ACD" w:rsidP="00F03ACD">
      <w:pPr>
        <w:rPr>
          <w:rFonts w:ascii="Arial" w:eastAsia="Calibri" w:hAnsi="Arial" w:cs="Arial"/>
          <w:sz w:val="22"/>
          <w:szCs w:val="22"/>
          <w:lang w:val="fr-FR"/>
        </w:rPr>
      </w:pPr>
    </w:p>
    <w:p w:rsidR="00F03ACD" w:rsidRPr="006A2E17" w:rsidRDefault="00F03ACD" w:rsidP="00F03ACD">
      <w:pPr>
        <w:spacing w:line="360" w:lineRule="auto"/>
        <w:jc w:val="both"/>
        <w:rPr>
          <w:rFonts w:ascii="Arial" w:hAnsi="Arial" w:cs="Arial"/>
          <w:sz w:val="22"/>
          <w:szCs w:val="22"/>
        </w:rPr>
      </w:pPr>
      <w:r>
        <w:rPr>
          <w:rFonts w:ascii="Arial" w:hAnsi="Arial"/>
          <w:sz w:val="22"/>
          <w:szCs w:val="22"/>
        </w:rPr>
        <w:t xml:space="preserve">Currently, the company CONPET S.A. is included in 7 out of the total of 9 stock indices, respectively in </w:t>
      </w:r>
      <w:r>
        <w:rPr>
          <w:rFonts w:ascii="Arial" w:hAnsi="Arial"/>
          <w:b/>
          <w:bCs/>
          <w:i/>
          <w:iCs/>
          <w:sz w:val="22"/>
          <w:szCs w:val="22"/>
        </w:rPr>
        <w:t>BET, BET-TR, BET-XT, BET-XT-TR, BET-BK, BET-NG and BET Plus indices</w:t>
      </w:r>
      <w:r>
        <w:rPr>
          <w:rFonts w:ascii="Arial" w:hAnsi="Arial"/>
          <w:sz w:val="22"/>
          <w:szCs w:val="22"/>
        </w:rPr>
        <w:t xml:space="preserve">. </w:t>
      </w:r>
    </w:p>
    <w:p w:rsidR="00F03ACD" w:rsidRPr="006A2E17" w:rsidRDefault="00F03ACD" w:rsidP="00F03ACD">
      <w:pPr>
        <w:rPr>
          <w:rFonts w:ascii="Arial" w:hAnsi="Arial" w:cs="Arial"/>
          <w:b/>
          <w:bCs/>
          <w:i/>
          <w:sz w:val="22"/>
          <w:szCs w:val="22"/>
          <w:lang w:val="it-IT"/>
        </w:rPr>
      </w:pPr>
    </w:p>
    <w:p w:rsidR="00F03ACD" w:rsidRPr="006A2E17" w:rsidRDefault="00F03ACD" w:rsidP="00F03ACD">
      <w:pPr>
        <w:rPr>
          <w:rFonts w:ascii="Arial" w:eastAsia="Calibri" w:hAnsi="Arial" w:cs="Arial"/>
          <w:sz w:val="22"/>
          <w:szCs w:val="22"/>
        </w:rPr>
      </w:pPr>
      <w:r>
        <w:rPr>
          <w:rFonts w:ascii="Arial" w:hAnsi="Arial"/>
          <w:noProof/>
          <w:sz w:val="22"/>
          <w:szCs w:val="22"/>
          <w:lang w:eastAsia="en-US"/>
        </w:rPr>
        <w:drawing>
          <wp:inline distT="0" distB="0" distL="0" distR="0" wp14:anchorId="0B227B76" wp14:editId="44E723B3">
            <wp:extent cx="5934075" cy="3182400"/>
            <wp:effectExtent l="0" t="0" r="9525" b="184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03ACD" w:rsidRDefault="00F03ACD" w:rsidP="00F03ACD">
      <w:pPr>
        <w:jc w:val="center"/>
        <w:rPr>
          <w:rFonts w:ascii="Arial" w:hAnsi="Arial" w:cs="Arial"/>
          <w:bCs/>
          <w:i/>
          <w:sz w:val="18"/>
          <w:szCs w:val="18"/>
          <w:lang w:val="it-IT"/>
        </w:rPr>
      </w:pPr>
    </w:p>
    <w:p w:rsidR="00F03ACD" w:rsidRPr="001819A5" w:rsidRDefault="008659DF" w:rsidP="00F03ACD">
      <w:pPr>
        <w:jc w:val="center"/>
        <w:rPr>
          <w:rFonts w:ascii="Arial" w:hAnsi="Arial" w:cs="Arial"/>
          <w:bCs/>
          <w:sz w:val="16"/>
          <w:szCs w:val="16"/>
        </w:rPr>
      </w:pPr>
      <w:r>
        <w:rPr>
          <w:rFonts w:ascii="Arial" w:hAnsi="Arial"/>
          <w:bCs/>
          <w:sz w:val="16"/>
          <w:szCs w:val="16"/>
        </w:rPr>
        <w:t>Chart 15</w:t>
      </w:r>
      <w:r w:rsidR="001819A5">
        <w:rPr>
          <w:rFonts w:ascii="Arial" w:hAnsi="Arial"/>
          <w:bCs/>
          <w:sz w:val="16"/>
          <w:szCs w:val="16"/>
        </w:rPr>
        <w:t xml:space="preserve"> - Evolution of Cote share vs. stock indices (rebased) where it is included in 2018 H1 (RON)</w:t>
      </w:r>
    </w:p>
    <w:p w:rsidR="00F03ACD" w:rsidRPr="00EA1976" w:rsidRDefault="00F03ACD" w:rsidP="00F03ACD">
      <w:pPr>
        <w:rPr>
          <w:rFonts w:ascii="Arial" w:eastAsia="Calibri" w:hAnsi="Arial" w:cs="Arial"/>
          <w:sz w:val="18"/>
          <w:szCs w:val="18"/>
          <w:lang w:val="fr-FR"/>
        </w:rPr>
      </w:pPr>
    </w:p>
    <w:p w:rsidR="00F84A32" w:rsidRDefault="00F84A32" w:rsidP="00F03ACD">
      <w:pPr>
        <w:spacing w:line="360" w:lineRule="auto"/>
        <w:rPr>
          <w:rFonts w:ascii="Arial" w:hAnsi="Arial" w:cs="Arial"/>
          <w:sz w:val="22"/>
          <w:szCs w:val="22"/>
        </w:rPr>
      </w:pPr>
    </w:p>
    <w:p w:rsidR="00F03ACD" w:rsidRDefault="00F84A32" w:rsidP="00F03ACD">
      <w:pPr>
        <w:spacing w:line="360" w:lineRule="auto"/>
        <w:rPr>
          <w:rFonts w:ascii="Arial" w:eastAsia="Calibri" w:hAnsi="Arial" w:cs="Arial"/>
          <w:sz w:val="22"/>
          <w:szCs w:val="22"/>
        </w:rPr>
      </w:pPr>
      <w:r>
        <w:rPr>
          <w:rFonts w:ascii="Arial" w:hAnsi="Arial"/>
          <w:sz w:val="22"/>
          <w:szCs w:val="22"/>
        </w:rPr>
        <w:t xml:space="preserve">The evolution of the trading price of CONPET S.A. </w:t>
      </w:r>
      <w:r w:rsidR="0078286C">
        <w:rPr>
          <w:rFonts w:ascii="Arial" w:hAnsi="Arial"/>
          <w:sz w:val="22"/>
          <w:szCs w:val="22"/>
        </w:rPr>
        <w:t>s</w:t>
      </w:r>
      <w:r>
        <w:rPr>
          <w:rFonts w:ascii="Arial" w:hAnsi="Arial"/>
          <w:sz w:val="22"/>
          <w:szCs w:val="22"/>
        </w:rPr>
        <w:t>hares, along 2018</w:t>
      </w:r>
      <w:r w:rsidR="0078286C">
        <w:rPr>
          <w:rFonts w:ascii="Arial" w:hAnsi="Arial"/>
          <w:sz w:val="22"/>
          <w:szCs w:val="22"/>
        </w:rPr>
        <w:t xml:space="preserve"> </w:t>
      </w:r>
      <w:r>
        <w:rPr>
          <w:rFonts w:ascii="Arial" w:hAnsi="Arial"/>
          <w:sz w:val="22"/>
          <w:szCs w:val="22"/>
        </w:rPr>
        <w:t xml:space="preserve">H1 is the following:  </w:t>
      </w:r>
    </w:p>
    <w:p w:rsidR="00F84A32" w:rsidRPr="004031C8" w:rsidRDefault="00C64F67" w:rsidP="004031C8">
      <w:pPr>
        <w:spacing w:line="276" w:lineRule="auto"/>
        <w:jc w:val="both"/>
        <w:rPr>
          <w:rFonts w:ascii="Arial" w:eastAsia="Calibri" w:hAnsi="Arial" w:cs="Arial"/>
          <w:sz w:val="22"/>
          <w:szCs w:val="22"/>
        </w:rPr>
      </w:pPr>
      <w:r>
        <w:rPr>
          <w:rFonts w:ascii="Arial" w:hAnsi="Arial"/>
          <w:noProof/>
          <w:sz w:val="22"/>
          <w:szCs w:val="22"/>
          <w:lang w:eastAsia="en-US"/>
        </w:rPr>
        <w:t xml:space="preserve">  </w:t>
      </w:r>
      <w:r w:rsidRPr="00C64F67">
        <w:rPr>
          <w:noProof/>
          <w:lang w:eastAsia="en-US"/>
        </w:rPr>
        <w:lastRenderedPageBreak/>
        <mc:AlternateContent>
          <mc:Choice Requires="wps">
            <w:drawing>
              <wp:anchor distT="0" distB="0" distL="114300" distR="114300" simplePos="0" relativeHeight="251669504" behindDoc="0" locked="0" layoutInCell="1" allowOverlap="1" wp14:anchorId="335CDCAF" wp14:editId="0C8AEAE3">
                <wp:simplePos x="0" y="0"/>
                <wp:positionH relativeFrom="column">
                  <wp:posOffset>3419475</wp:posOffset>
                </wp:positionH>
                <wp:positionV relativeFrom="paragraph">
                  <wp:posOffset>1428750</wp:posOffset>
                </wp:positionV>
                <wp:extent cx="1885950" cy="2571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1885950" cy="257175"/>
                        </a:xfrm>
                        <a:prstGeom prst="rect">
                          <a:avLst/>
                        </a:prstGeom>
                        <a:solidFill>
                          <a:sysClr val="window" lastClr="FFFFFF"/>
                        </a:solidFill>
                        <a:ln w="12700" cap="flat" cmpd="sng" algn="ctr">
                          <a:solidFill>
                            <a:sysClr val="window" lastClr="FFFFFF"/>
                          </a:solidFill>
                          <a:prstDash val="solid"/>
                          <a:miter lim="800000"/>
                        </a:ln>
                        <a:effectLst/>
                      </wps:spPr>
                      <wps:txbx>
                        <w:txbxContent>
                          <w:p w:rsidR="00C64F67" w:rsidRPr="00C64F67" w:rsidRDefault="00C64F67" w:rsidP="00C64F67">
                            <w:pPr>
                              <w:shd w:val="clear" w:color="auto" w:fill="FFFFFF" w:themeFill="background1"/>
                              <w:jc w:val="center"/>
                              <w:rPr>
                                <w:rFonts w:ascii="Arial" w:hAnsi="Arial" w:cs="Arial"/>
                                <w:sz w:val="16"/>
                              </w:rPr>
                            </w:pPr>
                            <w:r w:rsidRPr="00C64F67">
                              <w:rPr>
                                <w:rFonts w:ascii="Arial" w:hAnsi="Arial" w:cs="Arial"/>
                                <w:sz w:val="16"/>
                              </w:rPr>
                              <w:t>Average price (RON/share)</w:t>
                            </w:r>
                            <w:r>
                              <w:rPr>
                                <w:rFonts w:ascii="Arial" w:hAnsi="Arial" w:cs="Arial"/>
                                <w:sz w:val="16"/>
                              </w:rPr>
                              <w:t xml:space="preserve"> 2017</w:t>
                            </w:r>
                            <w:r w:rsidRPr="00C64F67">
                              <w:rPr>
                                <w:rFonts w:ascii="Arial" w:hAnsi="Arial" w:cs="Arial"/>
                                <w:sz w:val="16"/>
                              </w:rPr>
                              <w:t xml:space="preserve"> 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CDCAF" id="Rectangle 42" o:spid="_x0000_s1028" style="position:absolute;left:0;text-align:left;margin-left:269.25pt;margin-top:112.5pt;width:148.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" fillcolor="window" strokecolor="window" strokeweight="1pt">
                <v:textbox>
                  <w:txbxContent>
                    <w:p w:rsidR="00C64F67" w:rsidRPr="00C64F67" w:rsidRDefault="00C64F67" w:rsidP="00C64F67">
                      <w:pPr>
                        <w:shd w:val="clear" w:color="auto" w:fill="FFFFFF" w:themeFill="background1"/>
                        <w:jc w:val="center"/>
                        <w:rPr>
                          <w:rFonts w:ascii="Arial" w:hAnsi="Arial" w:cs="Arial"/>
                          <w:sz w:val="16"/>
                        </w:rPr>
                      </w:pPr>
                      <w:r w:rsidRPr="00C64F67">
                        <w:rPr>
                          <w:rFonts w:ascii="Arial" w:hAnsi="Arial" w:cs="Arial"/>
                          <w:sz w:val="16"/>
                        </w:rPr>
                        <w:t>Average price (RON/share)</w:t>
                      </w:r>
                      <w:r>
                        <w:rPr>
                          <w:rFonts w:ascii="Arial" w:hAnsi="Arial" w:cs="Arial"/>
                          <w:sz w:val="16"/>
                        </w:rPr>
                        <w:t xml:space="preserve"> 2017</w:t>
                      </w:r>
                      <w:r w:rsidRPr="00C64F67">
                        <w:rPr>
                          <w:rFonts w:ascii="Arial" w:hAnsi="Arial" w:cs="Arial"/>
                          <w:sz w:val="16"/>
                        </w:rPr>
                        <w:t xml:space="preserve"> H1</w:t>
                      </w:r>
                    </w:p>
                  </w:txbxContent>
                </v:textbox>
              </v:rect>
            </w:pict>
          </mc:Fallback>
        </mc:AlternateContent>
      </w:r>
      <w:r>
        <w:rPr>
          <w:noProof/>
          <w:lang w:eastAsia="en-US"/>
        </w:rPr>
        <mc:AlternateContent>
          <mc:Choice Requires="wps">
            <w:drawing>
              <wp:anchor distT="0" distB="0" distL="114300" distR="114300" simplePos="0" relativeHeight="251667456" behindDoc="0" locked="0" layoutInCell="1" allowOverlap="1">
                <wp:simplePos x="0" y="0"/>
                <wp:positionH relativeFrom="column">
                  <wp:posOffset>1215390</wp:posOffset>
                </wp:positionH>
                <wp:positionV relativeFrom="paragraph">
                  <wp:posOffset>1435735</wp:posOffset>
                </wp:positionV>
                <wp:extent cx="1885950" cy="2571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18859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F67" w:rsidRPr="00C64F67" w:rsidRDefault="00C64F67" w:rsidP="00C64F67">
                            <w:pPr>
                              <w:shd w:val="clear" w:color="auto" w:fill="FFFFFF" w:themeFill="background1"/>
                              <w:jc w:val="center"/>
                              <w:rPr>
                                <w:rFonts w:ascii="Arial" w:hAnsi="Arial" w:cs="Arial"/>
                                <w:sz w:val="16"/>
                              </w:rPr>
                            </w:pPr>
                            <w:r w:rsidRPr="00C64F67">
                              <w:rPr>
                                <w:rFonts w:ascii="Arial" w:hAnsi="Arial" w:cs="Arial"/>
                                <w:sz w:val="16"/>
                              </w:rPr>
                              <w:t>Average price (RON/share) 2018 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9" style="position:absolute;left:0;text-align:left;margin-left:95.7pt;margin-top:113.05pt;width:148.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" fillcolor="white [3212]" strokecolor="white [3212]" strokeweight="1pt">
                <v:textbox>
                  <w:txbxContent>
                    <w:p w:rsidR="00C64F67" w:rsidRPr="00C64F67" w:rsidRDefault="00C64F67" w:rsidP="00C64F67">
                      <w:pPr>
                        <w:shd w:val="clear" w:color="auto" w:fill="FFFFFF" w:themeFill="background1"/>
                        <w:jc w:val="center"/>
                        <w:rPr>
                          <w:rFonts w:ascii="Arial" w:hAnsi="Arial" w:cs="Arial"/>
                          <w:sz w:val="16"/>
                        </w:rPr>
                      </w:pPr>
                      <w:r w:rsidRPr="00C64F67">
                        <w:rPr>
                          <w:rFonts w:ascii="Arial" w:hAnsi="Arial" w:cs="Arial"/>
                          <w:sz w:val="16"/>
                        </w:rPr>
                        <w:t>Average price (RON/share) 2018 H1</w:t>
                      </w:r>
                    </w:p>
                  </w:txbxContent>
                </v:textbox>
              </v:rect>
            </w:pict>
          </mc:Fallback>
        </mc:AlternateContent>
      </w:r>
      <w:r>
        <w:rPr>
          <w:noProof/>
          <w:lang w:eastAsia="en-US"/>
        </w:rPr>
        <mc:AlternateContent>
          <mc:Choice Requires="wps">
            <w:drawing>
              <wp:anchor distT="0" distB="0" distL="114300" distR="114300" simplePos="0" relativeHeight="251666432" behindDoc="0" locked="0" layoutInCell="1" allowOverlap="1" wp14:anchorId="4FC8CE55" wp14:editId="65A068BF">
                <wp:simplePos x="0" y="0"/>
                <wp:positionH relativeFrom="margin">
                  <wp:posOffset>224790</wp:posOffset>
                </wp:positionH>
                <wp:positionV relativeFrom="paragraph">
                  <wp:posOffset>1197610</wp:posOffset>
                </wp:positionV>
                <wp:extent cx="5854262" cy="228600"/>
                <wp:effectExtent l="0" t="0" r="0" b="0"/>
                <wp:wrapNone/>
                <wp:docPr id="3" name="TextBox 2"/>
                <wp:cNvGraphicFramePr/>
                <a:graphic xmlns:a="http://schemas.openxmlformats.org/drawingml/2006/main">
                  <a:graphicData uri="http://schemas.microsoft.com/office/word/2010/wordprocessingShape">
                    <wps:wsp>
                      <wps:cNvSpPr txBox="1"/>
                      <wps:spPr>
                        <a:xfrm>
                          <a:off x="0" y="0"/>
                          <a:ext cx="5854262" cy="228600"/>
                        </a:xfrm>
                        <a:prstGeom prst="rect">
                          <a:avLst/>
                        </a:prstGeom>
                        <a:noFill/>
                      </wps:spPr>
                      <wps:txbx>
                        <w:txbxContent>
                          <w:p w:rsidR="00C64F67" w:rsidRDefault="00C64F67" w:rsidP="00C64F67">
                            <w:pPr>
                              <w:shd w:val="clear" w:color="auto" w:fill="FFFFFF" w:themeFill="background1"/>
                              <w:rPr>
                                <w:rFonts w:ascii="Arial" w:hAnsi="Arial" w:cs="Arial"/>
                                <w:sz w:val="18"/>
                              </w:rPr>
                            </w:pPr>
                            <w:r w:rsidRPr="00C64F67">
                              <w:rPr>
                                <w:rFonts w:ascii="Arial" w:hAnsi="Arial" w:cs="Arial"/>
                                <w:sz w:val="18"/>
                              </w:rPr>
                              <w:t xml:space="preserve">      </w:t>
                            </w:r>
                            <w:r>
                              <w:rPr>
                                <w:rFonts w:ascii="Arial" w:hAnsi="Arial" w:cs="Arial"/>
                                <w:sz w:val="18"/>
                              </w:rPr>
                              <w:t xml:space="preserve">     </w:t>
                            </w:r>
                            <w:r w:rsidRPr="00C64F67">
                              <w:rPr>
                                <w:rFonts w:ascii="Arial" w:hAnsi="Arial" w:cs="Arial"/>
                                <w:sz w:val="18"/>
                              </w:rPr>
                              <w:t xml:space="preserve"> January              February             </w:t>
                            </w:r>
                            <w:r>
                              <w:rPr>
                                <w:rFonts w:ascii="Arial" w:hAnsi="Arial" w:cs="Arial"/>
                                <w:sz w:val="18"/>
                              </w:rPr>
                              <w:t xml:space="preserve">   </w:t>
                            </w:r>
                            <w:r w:rsidRPr="00C64F67">
                              <w:rPr>
                                <w:rFonts w:ascii="Arial" w:hAnsi="Arial" w:cs="Arial"/>
                                <w:sz w:val="18"/>
                              </w:rPr>
                              <w:t xml:space="preserve"> March                 </w:t>
                            </w:r>
                            <w:r>
                              <w:rPr>
                                <w:rFonts w:ascii="Arial" w:hAnsi="Arial" w:cs="Arial"/>
                                <w:sz w:val="18"/>
                              </w:rPr>
                              <w:t xml:space="preserve">   </w:t>
                            </w:r>
                            <w:r w:rsidRPr="00C64F67">
                              <w:rPr>
                                <w:rFonts w:ascii="Arial" w:hAnsi="Arial" w:cs="Arial"/>
                                <w:sz w:val="18"/>
                              </w:rPr>
                              <w:t xml:space="preserve">April                   </w:t>
                            </w:r>
                            <w:r>
                              <w:rPr>
                                <w:rFonts w:ascii="Arial" w:hAnsi="Arial" w:cs="Arial"/>
                                <w:sz w:val="18"/>
                              </w:rPr>
                              <w:t xml:space="preserve">  </w:t>
                            </w:r>
                            <w:r w:rsidRPr="00C64F67">
                              <w:rPr>
                                <w:rFonts w:ascii="Arial" w:hAnsi="Arial" w:cs="Arial"/>
                                <w:sz w:val="18"/>
                              </w:rPr>
                              <w:t xml:space="preserve"> May                  </w:t>
                            </w:r>
                            <w:r>
                              <w:rPr>
                                <w:rFonts w:ascii="Arial" w:hAnsi="Arial" w:cs="Arial"/>
                                <w:sz w:val="18"/>
                              </w:rPr>
                              <w:t xml:space="preserve">   </w:t>
                            </w:r>
                            <w:r w:rsidRPr="00C64F67">
                              <w:rPr>
                                <w:rFonts w:ascii="Arial" w:hAnsi="Arial" w:cs="Arial"/>
                                <w:sz w:val="18"/>
                              </w:rPr>
                              <w:t>June</w:t>
                            </w:r>
                          </w:p>
                          <w:p w:rsidR="00C64F67" w:rsidRDefault="00C64F67" w:rsidP="00C64F67">
                            <w:pPr>
                              <w:shd w:val="clear" w:color="auto" w:fill="FFFFFF" w:themeFill="background1"/>
                              <w:rPr>
                                <w:rFonts w:ascii="Arial" w:hAnsi="Arial" w:cs="Arial"/>
                                <w:sz w:val="18"/>
                              </w:rPr>
                            </w:pPr>
                          </w:p>
                          <w:p w:rsidR="00C64F67" w:rsidRPr="00C64F67" w:rsidRDefault="00C64F67" w:rsidP="00C64F67">
                            <w:pPr>
                              <w:shd w:val="clear" w:color="auto" w:fill="FFFFFF" w:themeFill="background1"/>
                              <w:rPr>
                                <w:rFonts w:ascii="Arial" w:hAnsi="Arial" w:cs="Arial"/>
                                <w:sz w:val="18"/>
                              </w:rPr>
                            </w:pPr>
                          </w:p>
                        </w:txbxContent>
                      </wps:txbx>
                      <wps:bodyPr wrap="square" rtlCol="0">
                        <a:noAutofit/>
                      </wps:bodyPr>
                    </wps:wsp>
                  </a:graphicData>
                </a:graphic>
                <wp14:sizeRelV relativeFrom="margin">
                  <wp14:pctHeight>0</wp14:pctHeight>
                </wp14:sizeRelV>
              </wp:anchor>
            </w:drawing>
          </mc:Choice>
          <mc:Fallback>
            <w:pict>
              <v:shapetype w14:anchorId="4FC8CE55" id="_x0000_t202" coordsize="21600,21600" o:spt="202" path="m,l,21600r21600,l21600,xe">
                <v:stroke joinstyle="miter"/>
                <v:path gradientshapeok="t" o:connecttype="rect"/>
              </v:shapetype>
              <v:shape id="TextBox 2" o:spid="_x0000_s1030" type="#_x0000_t202" style="position:absolute;left:0;text-align:left;margin-left:17.7pt;margin-top:94.3pt;width:460.95pt;height:18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" filled="f" stroked="f">
                <v:textbox>
                  <w:txbxContent>
                    <w:p w:rsidR="00C64F67" w:rsidRDefault="00C64F67" w:rsidP="00C64F67">
                      <w:pPr>
                        <w:shd w:val="clear" w:color="auto" w:fill="FFFFFF" w:themeFill="background1"/>
                        <w:rPr>
                          <w:rFonts w:ascii="Arial" w:hAnsi="Arial" w:cs="Arial"/>
                          <w:sz w:val="18"/>
                        </w:rPr>
                      </w:pPr>
                      <w:r w:rsidRPr="00C64F67">
                        <w:rPr>
                          <w:rFonts w:ascii="Arial" w:hAnsi="Arial" w:cs="Arial"/>
                          <w:sz w:val="18"/>
                        </w:rPr>
                        <w:t xml:space="preserve">      </w:t>
                      </w:r>
                      <w:r>
                        <w:rPr>
                          <w:rFonts w:ascii="Arial" w:hAnsi="Arial" w:cs="Arial"/>
                          <w:sz w:val="18"/>
                        </w:rPr>
                        <w:t xml:space="preserve">     </w:t>
                      </w:r>
                      <w:r w:rsidRPr="00C64F67">
                        <w:rPr>
                          <w:rFonts w:ascii="Arial" w:hAnsi="Arial" w:cs="Arial"/>
                          <w:sz w:val="18"/>
                        </w:rPr>
                        <w:t xml:space="preserve"> January              February             </w:t>
                      </w:r>
                      <w:r>
                        <w:rPr>
                          <w:rFonts w:ascii="Arial" w:hAnsi="Arial" w:cs="Arial"/>
                          <w:sz w:val="18"/>
                        </w:rPr>
                        <w:t xml:space="preserve">   </w:t>
                      </w:r>
                      <w:r w:rsidRPr="00C64F67">
                        <w:rPr>
                          <w:rFonts w:ascii="Arial" w:hAnsi="Arial" w:cs="Arial"/>
                          <w:sz w:val="18"/>
                        </w:rPr>
                        <w:t xml:space="preserve"> March                 </w:t>
                      </w:r>
                      <w:r>
                        <w:rPr>
                          <w:rFonts w:ascii="Arial" w:hAnsi="Arial" w:cs="Arial"/>
                          <w:sz w:val="18"/>
                        </w:rPr>
                        <w:t xml:space="preserve">   </w:t>
                      </w:r>
                      <w:r w:rsidRPr="00C64F67">
                        <w:rPr>
                          <w:rFonts w:ascii="Arial" w:hAnsi="Arial" w:cs="Arial"/>
                          <w:sz w:val="18"/>
                        </w:rPr>
                        <w:t xml:space="preserve">April                   </w:t>
                      </w:r>
                      <w:r>
                        <w:rPr>
                          <w:rFonts w:ascii="Arial" w:hAnsi="Arial" w:cs="Arial"/>
                          <w:sz w:val="18"/>
                        </w:rPr>
                        <w:t xml:space="preserve">  </w:t>
                      </w:r>
                      <w:r w:rsidRPr="00C64F67">
                        <w:rPr>
                          <w:rFonts w:ascii="Arial" w:hAnsi="Arial" w:cs="Arial"/>
                          <w:sz w:val="18"/>
                        </w:rPr>
                        <w:t xml:space="preserve"> May                  </w:t>
                      </w:r>
                      <w:r>
                        <w:rPr>
                          <w:rFonts w:ascii="Arial" w:hAnsi="Arial" w:cs="Arial"/>
                          <w:sz w:val="18"/>
                        </w:rPr>
                        <w:t xml:space="preserve">   </w:t>
                      </w:r>
                      <w:r w:rsidRPr="00C64F67">
                        <w:rPr>
                          <w:rFonts w:ascii="Arial" w:hAnsi="Arial" w:cs="Arial"/>
                          <w:sz w:val="18"/>
                        </w:rPr>
                        <w:t>June</w:t>
                      </w:r>
                    </w:p>
                    <w:p w:rsidR="00C64F67" w:rsidRDefault="00C64F67" w:rsidP="00C64F67">
                      <w:pPr>
                        <w:shd w:val="clear" w:color="auto" w:fill="FFFFFF" w:themeFill="background1"/>
                        <w:rPr>
                          <w:rFonts w:ascii="Arial" w:hAnsi="Arial" w:cs="Arial"/>
                          <w:sz w:val="18"/>
                        </w:rPr>
                      </w:pPr>
                    </w:p>
                    <w:p w:rsidR="00C64F67" w:rsidRPr="00C64F67" w:rsidRDefault="00C64F67" w:rsidP="00C64F67">
                      <w:pPr>
                        <w:shd w:val="clear" w:color="auto" w:fill="FFFFFF" w:themeFill="background1"/>
                        <w:rPr>
                          <w:rFonts w:ascii="Arial" w:hAnsi="Arial" w:cs="Arial"/>
                          <w:sz w:val="18"/>
                        </w:rPr>
                      </w:pPr>
                    </w:p>
                  </w:txbxContent>
                </v:textbox>
                <w10:wrap anchorx="margin"/>
              </v:shape>
            </w:pict>
          </mc:Fallback>
        </mc:AlternateContent>
      </w:r>
      <w:r w:rsidR="00F03ACD">
        <w:rPr>
          <w:rFonts w:ascii="Arial" w:hAnsi="Arial"/>
          <w:noProof/>
          <w:sz w:val="22"/>
          <w:szCs w:val="22"/>
          <w:lang w:eastAsia="en-US"/>
        </w:rPr>
        <w:drawing>
          <wp:inline distT="0" distB="0" distL="0" distR="0" wp14:anchorId="72516EF4" wp14:editId="391A7A2E">
            <wp:extent cx="5972175" cy="1742400"/>
            <wp:effectExtent l="0" t="0" r="9525" b="107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03ACD" w:rsidRDefault="00F03ACD" w:rsidP="004031C8">
      <w:pPr>
        <w:spacing w:line="276" w:lineRule="auto"/>
        <w:jc w:val="center"/>
        <w:rPr>
          <w:rFonts w:ascii="Arial" w:eastAsia="Calibri" w:hAnsi="Arial" w:cs="Arial"/>
          <w:sz w:val="16"/>
          <w:szCs w:val="16"/>
        </w:rPr>
      </w:pPr>
      <w:r>
        <w:rPr>
          <w:rFonts w:ascii="Arial" w:hAnsi="Arial"/>
          <w:sz w:val="16"/>
          <w:szCs w:val="16"/>
        </w:rPr>
        <w:t>Chart 16 - Evolution of the average trading price of the shares</w:t>
      </w:r>
    </w:p>
    <w:p w:rsidR="004031C8" w:rsidRPr="004031C8" w:rsidRDefault="004031C8" w:rsidP="004031C8">
      <w:pPr>
        <w:spacing w:line="276" w:lineRule="auto"/>
        <w:jc w:val="center"/>
        <w:rPr>
          <w:rFonts w:ascii="Arial" w:eastAsia="Calibri" w:hAnsi="Arial" w:cs="Arial"/>
          <w:sz w:val="16"/>
          <w:szCs w:val="16"/>
        </w:rPr>
      </w:pPr>
    </w:p>
    <w:p w:rsidR="00F84A32" w:rsidRPr="006A2E17" w:rsidRDefault="00F84A32" w:rsidP="00F84A32">
      <w:pPr>
        <w:spacing w:line="276" w:lineRule="auto"/>
        <w:jc w:val="both"/>
        <w:rPr>
          <w:rFonts w:ascii="Arial" w:hAnsi="Arial" w:cs="Arial"/>
          <w:color w:val="FF0000"/>
          <w:sz w:val="22"/>
          <w:szCs w:val="22"/>
        </w:rPr>
      </w:pPr>
      <w:r>
        <w:rPr>
          <w:rFonts w:ascii="Arial" w:hAnsi="Arial"/>
          <w:sz w:val="22"/>
          <w:szCs w:val="22"/>
        </w:rPr>
        <w:t xml:space="preserve">Within the first </w:t>
      </w:r>
      <w:r w:rsidR="00A954CF">
        <w:rPr>
          <w:rFonts w:ascii="Arial" w:hAnsi="Arial"/>
          <w:sz w:val="22"/>
          <w:szCs w:val="22"/>
        </w:rPr>
        <w:t>6 months of 2018, CONPET S.A. w</w:t>
      </w:r>
      <w:r>
        <w:rPr>
          <w:rFonts w:ascii="Arial" w:hAnsi="Arial"/>
          <w:sz w:val="22"/>
          <w:szCs w:val="22"/>
        </w:rPr>
        <w:t>as one of the highest trade</w:t>
      </w:r>
      <w:r w:rsidR="00A954CF">
        <w:rPr>
          <w:rFonts w:ascii="Arial" w:hAnsi="Arial"/>
          <w:sz w:val="22"/>
          <w:szCs w:val="22"/>
        </w:rPr>
        <w:t>d</w:t>
      </w:r>
      <w:r>
        <w:rPr>
          <w:rFonts w:ascii="Arial" w:hAnsi="Arial"/>
          <w:sz w:val="22"/>
          <w:szCs w:val="22"/>
        </w:rPr>
        <w:t xml:space="preserve"> 13 companies at Bucharest Stock Exchange. </w:t>
      </w:r>
    </w:p>
    <w:p w:rsidR="00F84A32" w:rsidRPr="006A2E17" w:rsidRDefault="00F84A32" w:rsidP="00F03ACD">
      <w:pPr>
        <w:rPr>
          <w:rFonts w:ascii="Arial" w:hAnsi="Arial" w:cs="Arial"/>
          <w:sz w:val="22"/>
          <w:szCs w:val="22"/>
        </w:rPr>
      </w:pPr>
    </w:p>
    <w:p w:rsidR="00F03ACD" w:rsidRPr="00E46854" w:rsidRDefault="00F03ACD" w:rsidP="00F03ACD">
      <w:pPr>
        <w:widowControl/>
        <w:autoSpaceDE/>
        <w:autoSpaceDN/>
        <w:adjustRightInd/>
        <w:spacing w:line="276" w:lineRule="auto"/>
        <w:jc w:val="both"/>
        <w:rPr>
          <w:rFonts w:ascii="Arial" w:eastAsia="Calibri" w:hAnsi="Arial" w:cs="Arial"/>
          <w:b/>
          <w:color w:val="1F4E79" w:themeColor="accent1" w:themeShade="80"/>
          <w:sz w:val="24"/>
          <w:szCs w:val="24"/>
        </w:rPr>
      </w:pPr>
      <w:r>
        <w:rPr>
          <w:rFonts w:ascii="Arial" w:hAnsi="Arial"/>
          <w:b/>
          <w:color w:val="1F4E79" w:themeColor="accent1" w:themeShade="80"/>
          <w:sz w:val="24"/>
          <w:szCs w:val="24"/>
        </w:rPr>
        <w:t xml:space="preserve">Own shares, issuance of bonds or other debt instruments </w:t>
      </w:r>
    </w:p>
    <w:p w:rsidR="00F03ACD" w:rsidRPr="006A2E17" w:rsidRDefault="00F03ACD" w:rsidP="00F03ACD">
      <w:pPr>
        <w:spacing w:line="276" w:lineRule="auto"/>
        <w:jc w:val="both"/>
        <w:rPr>
          <w:rFonts w:ascii="Arial" w:hAnsi="Arial" w:cs="Arial"/>
          <w:sz w:val="22"/>
          <w:szCs w:val="22"/>
          <w:lang w:val="fr-FR"/>
        </w:rPr>
      </w:pPr>
    </w:p>
    <w:p w:rsidR="00D70023" w:rsidRDefault="00D94626" w:rsidP="00CC5790">
      <w:pPr>
        <w:spacing w:line="276" w:lineRule="auto"/>
        <w:jc w:val="both"/>
        <w:rPr>
          <w:rFonts w:ascii="Arial" w:hAnsi="Arial" w:cs="Arial"/>
          <w:b/>
          <w:sz w:val="22"/>
          <w:szCs w:val="22"/>
        </w:rPr>
      </w:pPr>
      <w:r>
        <w:rPr>
          <w:rFonts w:ascii="Arial" w:hAnsi="Arial"/>
          <w:sz w:val="22"/>
          <w:szCs w:val="22"/>
        </w:rPr>
        <w:t>CONPET did not carry out transactions involving the purchase of own shares and does not hold own shares at the end of 2018 H1.</w:t>
      </w:r>
      <w:r>
        <w:rPr>
          <w:rFonts w:ascii="Arial" w:hAnsi="Arial"/>
          <w:sz w:val="22"/>
          <w:szCs w:val="22"/>
        </w:rPr>
        <w:cr/>
        <w:t>CONPET has not issued bonds or other debt instruments.</w:t>
      </w:r>
    </w:p>
    <w:p w:rsidR="00CC5790" w:rsidRPr="00CC5790" w:rsidRDefault="00CC5790" w:rsidP="00CC5790">
      <w:pPr>
        <w:spacing w:line="276" w:lineRule="auto"/>
        <w:jc w:val="both"/>
        <w:rPr>
          <w:rFonts w:ascii="Arial" w:hAnsi="Arial" w:cs="Arial"/>
          <w:b/>
          <w:sz w:val="22"/>
          <w:szCs w:val="22"/>
          <w:lang w:val="fr-FR" w:eastAsia="en-US"/>
        </w:rPr>
      </w:pPr>
    </w:p>
    <w:p w:rsidR="00D70023" w:rsidRPr="00E46854" w:rsidRDefault="00F03ACD" w:rsidP="008F7E9A">
      <w:pPr>
        <w:spacing w:line="360" w:lineRule="auto"/>
        <w:rPr>
          <w:rFonts w:ascii="Arial" w:hAnsi="Arial" w:cs="Arial"/>
          <w:b/>
          <w:color w:val="1F4E79" w:themeColor="accent1" w:themeShade="80"/>
          <w:sz w:val="24"/>
          <w:szCs w:val="24"/>
        </w:rPr>
      </w:pPr>
      <w:r>
        <w:rPr>
          <w:rFonts w:ascii="Arial" w:hAnsi="Arial"/>
          <w:b/>
          <w:color w:val="1F4E79" w:themeColor="accent1" w:themeShade="80"/>
          <w:sz w:val="24"/>
          <w:szCs w:val="24"/>
        </w:rPr>
        <w:t>Dividends</w:t>
      </w:r>
    </w:p>
    <w:p w:rsidR="00D94626" w:rsidRPr="00D94626" w:rsidRDefault="00D94626" w:rsidP="00D70023">
      <w:pPr>
        <w:spacing w:line="276" w:lineRule="auto"/>
        <w:jc w:val="both"/>
        <w:rPr>
          <w:rFonts w:ascii="Arial" w:hAnsi="Arial" w:cs="Arial"/>
          <w:color w:val="FF0000"/>
          <w:sz w:val="22"/>
          <w:szCs w:val="22"/>
        </w:rPr>
      </w:pPr>
      <w:r>
        <w:rPr>
          <w:rFonts w:ascii="Arial" w:hAnsi="Arial"/>
          <w:sz w:val="22"/>
          <w:szCs w:val="22"/>
        </w:rPr>
        <w:t xml:space="preserve">CONPET S.A. </w:t>
      </w:r>
      <w:r w:rsidR="00631AD1">
        <w:rPr>
          <w:rFonts w:ascii="Arial" w:hAnsi="Arial"/>
          <w:sz w:val="22"/>
          <w:szCs w:val="22"/>
        </w:rPr>
        <w:t>continued</w:t>
      </w:r>
      <w:r>
        <w:rPr>
          <w:rFonts w:ascii="Arial" w:hAnsi="Arial"/>
          <w:sz w:val="22"/>
          <w:szCs w:val="22"/>
        </w:rPr>
        <w:t xml:space="preserve"> the dividend policy, granting its shareholders a dividend in amount of 8.04 RON, ranking second in top dividends distributed by the companies listed at the Bucharest Stock Exchange, category Premium. The dividend yield recorded at the date of dividend payment was </w:t>
      </w:r>
      <w:proofErr w:type="gramStart"/>
      <w:r>
        <w:rPr>
          <w:rFonts w:ascii="Arial" w:hAnsi="Arial"/>
          <w:sz w:val="22"/>
          <w:szCs w:val="22"/>
        </w:rPr>
        <w:t>of  8.93</w:t>
      </w:r>
      <w:proofErr w:type="gramEnd"/>
      <w:r>
        <w:rPr>
          <w:rFonts w:ascii="Arial" w:hAnsi="Arial"/>
          <w:sz w:val="22"/>
          <w:szCs w:val="22"/>
        </w:rPr>
        <w:t>%.</w:t>
      </w:r>
    </w:p>
    <w:p w:rsidR="00D94626" w:rsidRPr="00D94626" w:rsidRDefault="00D94626" w:rsidP="00D70023">
      <w:pPr>
        <w:widowControl/>
        <w:tabs>
          <w:tab w:val="num" w:pos="540"/>
        </w:tabs>
        <w:autoSpaceDE/>
        <w:autoSpaceDN/>
        <w:adjustRightInd/>
        <w:spacing w:after="200" w:line="276" w:lineRule="auto"/>
        <w:contextualSpacing/>
        <w:jc w:val="both"/>
        <w:rPr>
          <w:rFonts w:ascii="Arial" w:eastAsia="Calibri" w:hAnsi="Arial" w:cs="Arial"/>
          <w:sz w:val="22"/>
          <w:szCs w:val="22"/>
          <w:lang w:eastAsia="en-US"/>
        </w:rPr>
      </w:pPr>
    </w:p>
    <w:p w:rsidR="00D94626" w:rsidRPr="00D94626" w:rsidRDefault="00D94626" w:rsidP="00D70023">
      <w:pPr>
        <w:widowControl/>
        <w:tabs>
          <w:tab w:val="num" w:pos="540"/>
        </w:tabs>
        <w:autoSpaceDE/>
        <w:autoSpaceDN/>
        <w:adjustRightInd/>
        <w:spacing w:after="200" w:line="276" w:lineRule="auto"/>
        <w:contextualSpacing/>
        <w:jc w:val="both"/>
        <w:rPr>
          <w:rFonts w:ascii="Arial" w:eastAsia="Calibri" w:hAnsi="Arial" w:cs="Arial"/>
          <w:iCs/>
          <w:sz w:val="22"/>
          <w:szCs w:val="22"/>
        </w:rPr>
      </w:pPr>
      <w:r>
        <w:rPr>
          <w:rFonts w:ascii="Arial" w:hAnsi="Arial"/>
          <w:sz w:val="22"/>
          <w:szCs w:val="22"/>
        </w:rPr>
        <w:t xml:space="preserve">The Ordinary General </w:t>
      </w:r>
      <w:r w:rsidR="003D6CD5">
        <w:rPr>
          <w:rFonts w:ascii="Arial" w:hAnsi="Arial"/>
          <w:sz w:val="22"/>
          <w:szCs w:val="22"/>
        </w:rPr>
        <w:t>M</w:t>
      </w:r>
      <w:r>
        <w:rPr>
          <w:rFonts w:ascii="Arial" w:hAnsi="Arial"/>
          <w:sz w:val="22"/>
          <w:szCs w:val="22"/>
        </w:rPr>
        <w:t>eeting of Shareholders</w:t>
      </w:r>
      <w:r>
        <w:rPr>
          <w:rFonts w:ascii="Arial" w:hAnsi="Arial"/>
          <w:bCs/>
          <w:sz w:val="22"/>
          <w:szCs w:val="22"/>
        </w:rPr>
        <w:t xml:space="preserve"> dated 26.04.2018</w:t>
      </w:r>
      <w:r>
        <w:rPr>
          <w:rFonts w:ascii="Arial" w:hAnsi="Arial"/>
          <w:b/>
          <w:bCs/>
          <w:sz w:val="22"/>
          <w:szCs w:val="22"/>
        </w:rPr>
        <w:t xml:space="preserve"> </w:t>
      </w:r>
      <w:r>
        <w:rPr>
          <w:rFonts w:ascii="Arial" w:hAnsi="Arial"/>
          <w:sz w:val="22"/>
          <w:szCs w:val="22"/>
        </w:rPr>
        <w:t>approved the distribution as dividends of the amount of 69,621,097 RON out of the net profit related to 2017 financial year.</w:t>
      </w:r>
      <w:r>
        <w:rPr>
          <w:rFonts w:ascii="Arial" w:hAnsi="Arial"/>
          <w:iCs/>
          <w:sz w:val="22"/>
          <w:szCs w:val="22"/>
        </w:rPr>
        <w:t xml:space="preserve"> The date of payment was set by the OGMS for 28.06.2018.</w:t>
      </w:r>
    </w:p>
    <w:p w:rsidR="00D94626" w:rsidRPr="00D94626" w:rsidRDefault="00D94626" w:rsidP="00D70023">
      <w:pPr>
        <w:spacing w:line="276" w:lineRule="auto"/>
        <w:jc w:val="both"/>
        <w:rPr>
          <w:rFonts w:ascii="Arial" w:hAnsi="Arial" w:cs="Arial"/>
          <w:bCs/>
          <w:i/>
          <w:color w:val="FF0000"/>
          <w:sz w:val="18"/>
          <w:szCs w:val="18"/>
        </w:rPr>
      </w:pPr>
    </w:p>
    <w:p w:rsidR="00FB7CDD" w:rsidRDefault="00D94626" w:rsidP="00FB7CDD">
      <w:pPr>
        <w:widowControl/>
        <w:tabs>
          <w:tab w:val="num" w:pos="540"/>
        </w:tabs>
        <w:autoSpaceDE/>
        <w:autoSpaceDN/>
        <w:adjustRightInd/>
        <w:spacing w:after="200" w:line="276" w:lineRule="auto"/>
        <w:contextualSpacing/>
        <w:jc w:val="both"/>
        <w:rPr>
          <w:rFonts w:ascii="Arial" w:eastAsia="Calibri" w:hAnsi="Arial" w:cs="Arial"/>
          <w:bCs/>
          <w:sz w:val="22"/>
          <w:szCs w:val="22"/>
        </w:rPr>
      </w:pPr>
      <w:r>
        <w:rPr>
          <w:rFonts w:ascii="Arial" w:hAnsi="Arial"/>
          <w:bCs/>
          <w:sz w:val="22"/>
          <w:szCs w:val="22"/>
        </w:rPr>
        <w:t xml:space="preserve">The evolution of the gross dividend per share paid in the financial years </w:t>
      </w:r>
      <w:r w:rsidR="00996B63">
        <w:rPr>
          <w:rFonts w:ascii="Arial" w:hAnsi="Arial"/>
          <w:bCs/>
          <w:sz w:val="22"/>
          <w:szCs w:val="22"/>
        </w:rPr>
        <w:t>of</w:t>
      </w:r>
      <w:r>
        <w:rPr>
          <w:rFonts w:ascii="Arial" w:hAnsi="Arial"/>
          <w:bCs/>
          <w:sz w:val="22"/>
          <w:szCs w:val="22"/>
        </w:rPr>
        <w:t xml:space="preserve"> the last 5 years is the following:</w:t>
      </w:r>
    </w:p>
    <w:p w:rsidR="00F03ACD" w:rsidRPr="009B4B54" w:rsidRDefault="005850D2" w:rsidP="009B4B54">
      <w:pPr>
        <w:widowControl/>
        <w:tabs>
          <w:tab w:val="num" w:pos="540"/>
        </w:tabs>
        <w:autoSpaceDE/>
        <w:autoSpaceDN/>
        <w:adjustRightInd/>
        <w:spacing w:after="200" w:line="276" w:lineRule="auto"/>
        <w:contextualSpacing/>
        <w:jc w:val="center"/>
        <w:rPr>
          <w:rFonts w:ascii="Arial" w:eastAsia="Calibri" w:hAnsi="Arial" w:cs="Arial"/>
          <w:bCs/>
          <w:sz w:val="22"/>
          <w:szCs w:val="22"/>
        </w:rPr>
      </w:pPr>
      <w:r>
        <w:rPr>
          <w:noProof/>
          <w:lang w:eastAsia="en-US"/>
        </w:rPr>
        <w:drawing>
          <wp:inline distT="0" distB="0" distL="0" distR="0" wp14:anchorId="1746561A" wp14:editId="608979D4">
            <wp:extent cx="4057650" cy="2814352"/>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65361" cy="2819700"/>
                    </a:xfrm>
                    <a:prstGeom prst="rect">
                      <a:avLst/>
                    </a:prstGeom>
                  </pic:spPr>
                </pic:pic>
              </a:graphicData>
            </a:graphic>
          </wp:inline>
        </w:drawing>
      </w:r>
    </w:p>
    <w:p w:rsidR="00D5561F" w:rsidRDefault="008F5405" w:rsidP="001819A5">
      <w:pPr>
        <w:jc w:val="center"/>
        <w:rPr>
          <w:rFonts w:ascii="Arial" w:hAnsi="Arial" w:cs="Arial"/>
          <w:sz w:val="16"/>
          <w:szCs w:val="16"/>
        </w:rPr>
      </w:pPr>
      <w:r>
        <w:rPr>
          <w:rFonts w:ascii="Arial" w:hAnsi="Arial"/>
          <w:sz w:val="16"/>
          <w:szCs w:val="16"/>
        </w:rPr>
        <w:t xml:space="preserve">Chart 17 Evolution of the dividend per share during 2014-2018 </w:t>
      </w:r>
    </w:p>
    <w:p w:rsidR="001819A5" w:rsidRDefault="001819A5" w:rsidP="00D70023">
      <w:pPr>
        <w:jc w:val="both"/>
        <w:rPr>
          <w:rFonts w:ascii="Arial" w:hAnsi="Arial" w:cs="Arial"/>
          <w:sz w:val="16"/>
          <w:szCs w:val="16"/>
        </w:rPr>
      </w:pPr>
    </w:p>
    <w:p w:rsidR="00D70023" w:rsidRPr="00CC5790" w:rsidRDefault="00D70023" w:rsidP="00CC5790">
      <w:pPr>
        <w:spacing w:line="276" w:lineRule="auto"/>
        <w:jc w:val="both"/>
        <w:rPr>
          <w:rFonts w:ascii="Arial" w:hAnsi="Arial" w:cs="Arial"/>
          <w:sz w:val="22"/>
          <w:szCs w:val="22"/>
        </w:rPr>
      </w:pPr>
      <w:r>
        <w:rPr>
          <w:rFonts w:ascii="Arial" w:hAnsi="Arial"/>
          <w:sz w:val="22"/>
          <w:szCs w:val="22"/>
        </w:rPr>
        <w:lastRenderedPageBreak/>
        <w:t>In 2017 was distributed an additional dividend of 18.34RON/share, distributed from the retained earnings and from other reserves - own financing sources, the gross dividend/share dist</w:t>
      </w:r>
      <w:r w:rsidR="005850D2">
        <w:rPr>
          <w:rFonts w:ascii="Arial" w:hAnsi="Arial"/>
          <w:sz w:val="22"/>
          <w:szCs w:val="22"/>
        </w:rPr>
        <w:t>ributed from</w:t>
      </w:r>
      <w:r>
        <w:rPr>
          <w:rFonts w:ascii="Arial" w:hAnsi="Arial"/>
          <w:sz w:val="22"/>
          <w:szCs w:val="22"/>
        </w:rPr>
        <w:t xml:space="preserve"> 2016 profit amounted to 8.07 RON/share.</w:t>
      </w:r>
    </w:p>
    <w:p w:rsidR="002F763D" w:rsidRPr="00E46854" w:rsidRDefault="001819A5" w:rsidP="00D87DA4">
      <w:pPr>
        <w:pStyle w:val="ListParagraph"/>
        <w:numPr>
          <w:ilvl w:val="2"/>
          <w:numId w:val="30"/>
        </w:numPr>
        <w:shd w:val="clear" w:color="auto" w:fill="FFFFFF"/>
        <w:spacing w:before="180"/>
        <w:rPr>
          <w:rFonts w:ascii="Arial" w:hAnsi="Arial" w:cs="Arial"/>
          <w:b/>
          <w:bCs/>
          <w:color w:val="1F4E79" w:themeColor="accent1" w:themeShade="80"/>
          <w:spacing w:val="-2"/>
          <w:sz w:val="24"/>
          <w:szCs w:val="24"/>
        </w:rPr>
      </w:pPr>
      <w:r>
        <w:rPr>
          <w:rFonts w:ascii="Arial" w:hAnsi="Arial"/>
          <w:b/>
          <w:bCs/>
          <w:color w:val="1F4E79" w:themeColor="accent1" w:themeShade="80"/>
          <w:sz w:val="24"/>
          <w:szCs w:val="24"/>
        </w:rPr>
        <w:t>Corporate Governance</w:t>
      </w:r>
    </w:p>
    <w:p w:rsidR="00461FC5" w:rsidRPr="00D70023" w:rsidRDefault="00461FC5" w:rsidP="00461FC5">
      <w:pPr>
        <w:shd w:val="clear" w:color="auto" w:fill="FFFFFF"/>
        <w:spacing w:line="276" w:lineRule="auto"/>
        <w:jc w:val="both"/>
        <w:rPr>
          <w:rFonts w:ascii="Arial" w:hAnsi="Arial" w:cs="Arial"/>
          <w:sz w:val="22"/>
          <w:szCs w:val="22"/>
        </w:rPr>
      </w:pPr>
      <w:r>
        <w:rPr>
          <w:rFonts w:ascii="Arial" w:hAnsi="Arial"/>
          <w:sz w:val="22"/>
          <w:szCs w:val="22"/>
        </w:rPr>
        <w:t xml:space="preserve">The corporate governance at the level of CONPET </w:t>
      </w:r>
      <w:proofErr w:type="gramStart"/>
      <w:r>
        <w:rPr>
          <w:rFonts w:ascii="Arial" w:hAnsi="Arial"/>
          <w:sz w:val="22"/>
          <w:szCs w:val="22"/>
        </w:rPr>
        <w:t xml:space="preserve">is organized and conducted in accordance with the Romanian legislative framework, namely the Companies </w:t>
      </w:r>
      <w:r w:rsidR="005850D2">
        <w:rPr>
          <w:rFonts w:ascii="Arial" w:hAnsi="Arial"/>
          <w:sz w:val="22"/>
          <w:szCs w:val="22"/>
        </w:rPr>
        <w:t>Act</w:t>
      </w:r>
      <w:r>
        <w:rPr>
          <w:rFonts w:ascii="Arial" w:hAnsi="Arial"/>
          <w:sz w:val="22"/>
          <w:szCs w:val="22"/>
        </w:rPr>
        <w:t xml:space="preserve"> no. 31/1990 and the Government Emergency Ordinance no. 109/2011 on corporate governance of the public enterprises</w:t>
      </w:r>
      <w:proofErr w:type="gramEnd"/>
      <w:r>
        <w:rPr>
          <w:rFonts w:ascii="Arial" w:hAnsi="Arial"/>
          <w:sz w:val="22"/>
          <w:szCs w:val="22"/>
        </w:rPr>
        <w:t>.</w:t>
      </w:r>
    </w:p>
    <w:p w:rsidR="00461FC5" w:rsidRPr="00D70023" w:rsidRDefault="00461FC5" w:rsidP="00461FC5">
      <w:pPr>
        <w:spacing w:line="276" w:lineRule="auto"/>
        <w:jc w:val="both"/>
        <w:rPr>
          <w:rFonts w:ascii="Arial" w:hAnsi="Arial" w:cs="Arial"/>
          <w:color w:val="000000"/>
          <w:sz w:val="22"/>
          <w:szCs w:val="22"/>
        </w:rPr>
      </w:pPr>
    </w:p>
    <w:p w:rsidR="00461FC5" w:rsidRPr="00D70023" w:rsidRDefault="00461FC5" w:rsidP="00461FC5">
      <w:pPr>
        <w:spacing w:line="276" w:lineRule="auto"/>
        <w:jc w:val="both"/>
        <w:rPr>
          <w:rFonts w:ascii="Arial" w:hAnsi="Arial" w:cs="Arial"/>
          <w:color w:val="000000"/>
          <w:sz w:val="22"/>
          <w:szCs w:val="22"/>
        </w:rPr>
      </w:pPr>
      <w:r>
        <w:rPr>
          <w:rFonts w:ascii="Arial" w:hAnsi="Arial"/>
          <w:color w:val="000000"/>
          <w:sz w:val="22"/>
          <w:szCs w:val="22"/>
        </w:rPr>
        <w:t>CONPET shares</w:t>
      </w:r>
      <w:r w:rsidR="005850D2">
        <w:rPr>
          <w:rFonts w:ascii="Arial" w:hAnsi="Arial"/>
          <w:color w:val="000000"/>
          <w:sz w:val="22"/>
          <w:szCs w:val="22"/>
        </w:rPr>
        <w:t xml:space="preserve"> </w:t>
      </w:r>
      <w:proofErr w:type="gramStart"/>
      <w:r w:rsidR="005850D2">
        <w:rPr>
          <w:rFonts w:ascii="Arial" w:hAnsi="Arial"/>
          <w:color w:val="000000"/>
          <w:sz w:val="22"/>
          <w:szCs w:val="22"/>
        </w:rPr>
        <w:t>are traded</w:t>
      </w:r>
      <w:proofErr w:type="gramEnd"/>
      <w:r w:rsidR="005850D2">
        <w:rPr>
          <w:rFonts w:ascii="Arial" w:hAnsi="Arial"/>
          <w:color w:val="000000"/>
          <w:sz w:val="22"/>
          <w:szCs w:val="22"/>
        </w:rPr>
        <w:t>, since September 5</w:t>
      </w:r>
      <w:r>
        <w:rPr>
          <w:rFonts w:ascii="Arial" w:hAnsi="Arial"/>
          <w:color w:val="000000"/>
          <w:sz w:val="22"/>
          <w:szCs w:val="22"/>
        </w:rPr>
        <w:t>, 2013, on the regulated market managed by Bucharest Stock Exchange (BSE) at category I, under the COTE symbol.</w:t>
      </w:r>
      <w:r>
        <w:rPr>
          <w:rFonts w:ascii="Arial" w:hAnsi="Arial"/>
          <w:color w:val="000000"/>
          <w:sz w:val="22"/>
          <w:szCs w:val="22"/>
        </w:rPr>
        <w:cr/>
      </w:r>
      <w:r>
        <w:rPr>
          <w:rFonts w:ascii="Arial" w:hAnsi="Arial"/>
          <w:color w:val="000000"/>
          <w:sz w:val="22"/>
          <w:szCs w:val="22"/>
        </w:rPr>
        <w:br/>
      </w:r>
      <w:r w:rsidR="00B3394C">
        <w:rPr>
          <w:rFonts w:ascii="Arial" w:hAnsi="Arial"/>
          <w:color w:val="000000"/>
          <w:sz w:val="22"/>
          <w:szCs w:val="22"/>
        </w:rPr>
        <w:t>CONPET’s c</w:t>
      </w:r>
      <w:r>
        <w:rPr>
          <w:rFonts w:ascii="Arial" w:hAnsi="Arial"/>
          <w:color w:val="000000"/>
          <w:sz w:val="22"/>
          <w:szCs w:val="22"/>
        </w:rPr>
        <w:t xml:space="preserve">orporate governance </w:t>
      </w:r>
      <w:r w:rsidR="00B3394C">
        <w:rPr>
          <w:rFonts w:ascii="Arial" w:hAnsi="Arial"/>
          <w:color w:val="000000"/>
          <w:sz w:val="22"/>
          <w:szCs w:val="22"/>
        </w:rPr>
        <w:t xml:space="preserve">system </w:t>
      </w:r>
      <w:proofErr w:type="gramStart"/>
      <w:r>
        <w:rPr>
          <w:rFonts w:ascii="Arial" w:hAnsi="Arial"/>
          <w:color w:val="000000"/>
          <w:sz w:val="22"/>
          <w:szCs w:val="22"/>
        </w:rPr>
        <w:t>is constantly improved</w:t>
      </w:r>
      <w:proofErr w:type="gramEnd"/>
      <w:r>
        <w:rPr>
          <w:rFonts w:ascii="Arial" w:hAnsi="Arial"/>
          <w:color w:val="000000"/>
          <w:sz w:val="22"/>
          <w:szCs w:val="22"/>
        </w:rPr>
        <w:t>, as to be compliant with the rules and recommendations applicable to a company listed at the BSE.</w:t>
      </w:r>
    </w:p>
    <w:p w:rsidR="00461FC5" w:rsidRPr="00D70023" w:rsidRDefault="00461FC5" w:rsidP="00461FC5">
      <w:pPr>
        <w:spacing w:line="276" w:lineRule="auto"/>
        <w:jc w:val="both"/>
        <w:rPr>
          <w:rFonts w:ascii="Arial" w:hAnsi="Arial" w:cs="Arial"/>
          <w:sz w:val="22"/>
          <w:szCs w:val="22"/>
        </w:rPr>
      </w:pPr>
    </w:p>
    <w:p w:rsidR="00461FC5" w:rsidRPr="00D70023" w:rsidRDefault="00461FC5" w:rsidP="00461FC5">
      <w:pPr>
        <w:spacing w:line="276" w:lineRule="auto"/>
        <w:jc w:val="both"/>
        <w:rPr>
          <w:rFonts w:ascii="Arial" w:hAnsi="Arial" w:cs="Arial"/>
          <w:sz w:val="22"/>
          <w:szCs w:val="22"/>
        </w:rPr>
      </w:pPr>
      <w:r>
        <w:rPr>
          <w:rFonts w:ascii="Arial" w:hAnsi="Arial"/>
          <w:sz w:val="22"/>
          <w:szCs w:val="22"/>
        </w:rPr>
        <w:t xml:space="preserve">Among the first measures already implemented for a transparent and fair information, please note:  </w:t>
      </w:r>
    </w:p>
    <w:p w:rsidR="00461FC5" w:rsidRPr="00D70023" w:rsidRDefault="00461FC5" w:rsidP="00D87DA4">
      <w:pPr>
        <w:widowControl/>
        <w:numPr>
          <w:ilvl w:val="0"/>
          <w:numId w:val="8"/>
        </w:numPr>
        <w:adjustRightInd/>
        <w:spacing w:line="276" w:lineRule="auto"/>
        <w:jc w:val="both"/>
        <w:rPr>
          <w:rFonts w:ascii="Arial" w:hAnsi="Arial" w:cs="Arial"/>
          <w:sz w:val="22"/>
          <w:szCs w:val="22"/>
        </w:rPr>
      </w:pPr>
      <w:r>
        <w:rPr>
          <w:rFonts w:ascii="Arial" w:hAnsi="Arial"/>
          <w:sz w:val="22"/>
          <w:szCs w:val="22"/>
        </w:rPr>
        <w:t>The inclusion in the administrators’ annual report of a chapter devoted to corporate governance with reference, inter alia, to the information related to the Board of Administration and the established consultative committees;</w:t>
      </w:r>
    </w:p>
    <w:p w:rsidR="00461FC5" w:rsidRPr="00D70023" w:rsidRDefault="00461FC5" w:rsidP="00D87DA4">
      <w:pPr>
        <w:widowControl/>
        <w:numPr>
          <w:ilvl w:val="0"/>
          <w:numId w:val="8"/>
        </w:numPr>
        <w:adjustRightInd/>
        <w:spacing w:line="276" w:lineRule="auto"/>
        <w:jc w:val="both"/>
        <w:rPr>
          <w:rFonts w:ascii="Arial" w:hAnsi="Arial" w:cs="Arial"/>
          <w:sz w:val="22"/>
          <w:szCs w:val="22"/>
        </w:rPr>
      </w:pPr>
      <w:r>
        <w:rPr>
          <w:rFonts w:ascii="Arial" w:hAnsi="Arial"/>
          <w:sz w:val="22"/>
          <w:szCs w:val="22"/>
        </w:rPr>
        <w:t>Diversification of communication with shareholders and investors through the inclusion on the own web page of the releases addressed to market participants, half-yearly and quarterly financial statements</w:t>
      </w:r>
      <w:r w:rsidR="005850D2">
        <w:rPr>
          <w:rFonts w:ascii="Arial" w:hAnsi="Arial"/>
          <w:sz w:val="22"/>
          <w:szCs w:val="22"/>
        </w:rPr>
        <w:t xml:space="preserve"> and</w:t>
      </w:r>
      <w:r>
        <w:rPr>
          <w:rFonts w:ascii="Arial" w:hAnsi="Arial"/>
          <w:sz w:val="22"/>
          <w:szCs w:val="22"/>
        </w:rPr>
        <w:t xml:space="preserve"> annual reports, procedures to be followed in order to access and participate in the GMS;  </w:t>
      </w:r>
    </w:p>
    <w:p w:rsidR="00461FC5" w:rsidRPr="00D70023" w:rsidRDefault="00461FC5" w:rsidP="00D87DA4">
      <w:pPr>
        <w:widowControl/>
        <w:numPr>
          <w:ilvl w:val="0"/>
          <w:numId w:val="8"/>
        </w:numPr>
        <w:adjustRightInd/>
        <w:spacing w:line="276" w:lineRule="auto"/>
        <w:jc w:val="both"/>
        <w:rPr>
          <w:rFonts w:ascii="Arial" w:hAnsi="Arial" w:cs="Arial"/>
          <w:sz w:val="22"/>
          <w:szCs w:val="22"/>
        </w:rPr>
      </w:pPr>
      <w:r>
        <w:rPr>
          <w:rFonts w:ascii="Arial" w:hAnsi="Arial"/>
          <w:sz w:val="22"/>
          <w:szCs w:val="22"/>
        </w:rPr>
        <w:t>The establishment of a specialized entity dedicated to the relationship wit</w:t>
      </w:r>
      <w:r w:rsidR="005F6E34">
        <w:rPr>
          <w:rFonts w:ascii="Arial" w:hAnsi="Arial"/>
          <w:sz w:val="22"/>
          <w:szCs w:val="22"/>
        </w:rPr>
        <w:t>h investors and shareholders.</w:t>
      </w:r>
      <w:r>
        <w:rPr>
          <w:rFonts w:ascii="Arial" w:hAnsi="Arial"/>
          <w:sz w:val="22"/>
          <w:szCs w:val="22"/>
        </w:rPr>
        <w:br/>
      </w:r>
    </w:p>
    <w:p w:rsidR="00461FC5" w:rsidRPr="00E46854" w:rsidRDefault="00461FC5" w:rsidP="00461FC5">
      <w:pPr>
        <w:overflowPunct w:val="0"/>
        <w:spacing w:line="276" w:lineRule="auto"/>
        <w:jc w:val="both"/>
        <w:textAlignment w:val="baseline"/>
        <w:rPr>
          <w:rFonts w:ascii="Arial" w:hAnsi="Arial" w:cs="Arial"/>
          <w:b/>
          <w:bCs/>
          <w:i/>
          <w:iCs/>
          <w:color w:val="1F4E79" w:themeColor="accent1" w:themeShade="80"/>
          <w:sz w:val="22"/>
          <w:szCs w:val="22"/>
        </w:rPr>
      </w:pPr>
      <w:r>
        <w:rPr>
          <w:rFonts w:ascii="Arial" w:hAnsi="Arial"/>
          <w:b/>
          <w:bCs/>
          <w:i/>
          <w:iCs/>
          <w:color w:val="1F4E79" w:themeColor="accent1" w:themeShade="80"/>
          <w:sz w:val="22"/>
          <w:szCs w:val="22"/>
        </w:rPr>
        <w:t>The Corporate Governance Rules</w:t>
      </w:r>
    </w:p>
    <w:p w:rsidR="000C2FE3" w:rsidRPr="00D70023" w:rsidRDefault="000C2FE3" w:rsidP="00461FC5">
      <w:pPr>
        <w:overflowPunct w:val="0"/>
        <w:spacing w:line="276" w:lineRule="auto"/>
        <w:jc w:val="both"/>
        <w:textAlignment w:val="baseline"/>
        <w:rPr>
          <w:rFonts w:ascii="Arial" w:eastAsiaTheme="minorHAnsi" w:hAnsi="Arial" w:cs="Arial"/>
          <w:b/>
          <w:bCs/>
          <w:i/>
          <w:iCs/>
          <w:sz w:val="22"/>
          <w:szCs w:val="22"/>
          <w:lang w:eastAsia="en-US"/>
        </w:rPr>
      </w:pPr>
    </w:p>
    <w:p w:rsidR="005F6E34" w:rsidRDefault="005F6E34" w:rsidP="00461FC5">
      <w:pPr>
        <w:overflowPunct w:val="0"/>
        <w:spacing w:line="276" w:lineRule="auto"/>
        <w:jc w:val="both"/>
        <w:textAlignment w:val="baseline"/>
        <w:rPr>
          <w:rFonts w:ascii="Arial" w:hAnsi="Arial"/>
          <w:sz w:val="22"/>
          <w:szCs w:val="22"/>
        </w:rPr>
      </w:pPr>
      <w:r>
        <w:rPr>
          <w:rFonts w:ascii="Arial" w:hAnsi="Arial"/>
          <w:sz w:val="22"/>
          <w:szCs w:val="22"/>
        </w:rPr>
        <w:t>CONPET S</w:t>
      </w:r>
      <w:r w:rsidR="005850D2">
        <w:rPr>
          <w:rFonts w:ascii="Arial" w:hAnsi="Arial"/>
          <w:sz w:val="22"/>
          <w:szCs w:val="22"/>
        </w:rPr>
        <w:t>.</w:t>
      </w:r>
      <w:r>
        <w:rPr>
          <w:rFonts w:ascii="Arial" w:hAnsi="Arial"/>
          <w:sz w:val="22"/>
          <w:szCs w:val="22"/>
        </w:rPr>
        <w:t>A</w:t>
      </w:r>
      <w:r w:rsidR="005850D2">
        <w:rPr>
          <w:rFonts w:ascii="Arial" w:hAnsi="Arial"/>
          <w:sz w:val="22"/>
          <w:szCs w:val="22"/>
        </w:rPr>
        <w:t>.</w:t>
      </w:r>
      <w:r>
        <w:rPr>
          <w:rFonts w:ascii="Arial" w:hAnsi="Arial"/>
          <w:sz w:val="22"/>
          <w:szCs w:val="22"/>
        </w:rPr>
        <w:t xml:space="preserve"> issued the Corporate Governance Rules of CONPET</w:t>
      </w:r>
      <w:r w:rsidR="005850D2">
        <w:rPr>
          <w:rFonts w:ascii="Arial" w:hAnsi="Arial"/>
          <w:sz w:val="22"/>
          <w:szCs w:val="22"/>
        </w:rPr>
        <w:t>, in compliance with t</w:t>
      </w:r>
      <w:r>
        <w:rPr>
          <w:rFonts w:ascii="Arial" w:hAnsi="Arial"/>
          <w:sz w:val="22"/>
          <w:szCs w:val="22"/>
        </w:rPr>
        <w:t xml:space="preserve">he Governance Code of the BSE, this one </w:t>
      </w:r>
      <w:proofErr w:type="gramStart"/>
      <w:r>
        <w:rPr>
          <w:rFonts w:ascii="Arial" w:hAnsi="Arial"/>
          <w:sz w:val="22"/>
          <w:szCs w:val="22"/>
        </w:rPr>
        <w:t>being approved</w:t>
      </w:r>
      <w:proofErr w:type="gramEnd"/>
      <w:r>
        <w:rPr>
          <w:rFonts w:ascii="Arial" w:hAnsi="Arial"/>
          <w:sz w:val="22"/>
          <w:szCs w:val="22"/>
        </w:rPr>
        <w:t xml:space="preserve"> by the Board of Administration in the meeting held on March 27, 2014. </w:t>
      </w:r>
    </w:p>
    <w:p w:rsidR="00461FC5" w:rsidRPr="00D70023" w:rsidRDefault="005F6E34" w:rsidP="005F6E34">
      <w:pPr>
        <w:overflowPunct w:val="0"/>
        <w:spacing w:line="276" w:lineRule="auto"/>
        <w:jc w:val="both"/>
        <w:textAlignment w:val="baseline"/>
        <w:rPr>
          <w:rFonts w:ascii="Arial" w:hAnsi="Arial" w:cs="Arial"/>
          <w:sz w:val="22"/>
          <w:szCs w:val="22"/>
        </w:rPr>
      </w:pPr>
      <w:r>
        <w:rPr>
          <w:rFonts w:ascii="Arial" w:hAnsi="Arial"/>
          <w:sz w:val="22"/>
          <w:szCs w:val="22"/>
        </w:rPr>
        <w:t>By this document</w:t>
      </w:r>
      <w:r w:rsidR="005850D2">
        <w:rPr>
          <w:rFonts w:ascii="Arial" w:hAnsi="Arial"/>
          <w:sz w:val="22"/>
          <w:szCs w:val="22"/>
        </w:rPr>
        <w:t>, the</w:t>
      </w:r>
      <w:r>
        <w:rPr>
          <w:rFonts w:ascii="Arial" w:hAnsi="Arial"/>
          <w:sz w:val="22"/>
          <w:szCs w:val="22"/>
        </w:rPr>
        <w:t xml:space="preserve"> company voluntarily undertook </w:t>
      </w:r>
      <w:r w:rsidR="00461FC5">
        <w:rPr>
          <w:rFonts w:ascii="Arial" w:hAnsi="Arial"/>
          <w:sz w:val="22"/>
          <w:szCs w:val="22"/>
        </w:rPr>
        <w:t xml:space="preserve">the </w:t>
      </w:r>
      <w:r>
        <w:rPr>
          <w:rFonts w:ascii="Arial" w:hAnsi="Arial"/>
          <w:sz w:val="22"/>
          <w:szCs w:val="22"/>
        </w:rPr>
        <w:t xml:space="preserve">corporate governance principles. </w:t>
      </w:r>
      <w:r w:rsidR="00461FC5">
        <w:rPr>
          <w:rFonts w:ascii="Arial" w:hAnsi="Arial"/>
          <w:sz w:val="22"/>
          <w:szCs w:val="22"/>
        </w:rPr>
        <w:br/>
        <w:t xml:space="preserve">The Regulation is a public document and can be viewed on the company’s website by clicking on the following link </w:t>
      </w:r>
      <w:r w:rsidRPr="005F6E34">
        <w:rPr>
          <w:rFonts w:ascii="Arial" w:hAnsi="Arial"/>
          <w:sz w:val="22"/>
          <w:szCs w:val="22"/>
        </w:rPr>
        <w:t>https://www.conpet.ro/en/corporate-governance/corporate-governance-rules/</w:t>
      </w:r>
      <w:r w:rsidR="00461FC5">
        <w:rPr>
          <w:rFonts w:ascii="Arial" w:hAnsi="Arial"/>
          <w:sz w:val="22"/>
          <w:szCs w:val="22"/>
        </w:rPr>
        <w:br/>
        <w:t xml:space="preserve"> </w:t>
      </w:r>
    </w:p>
    <w:p w:rsidR="00461FC5" w:rsidRPr="00D70023" w:rsidRDefault="00461FC5" w:rsidP="00461FC5">
      <w:pPr>
        <w:overflowPunct w:val="0"/>
        <w:spacing w:line="276" w:lineRule="auto"/>
        <w:jc w:val="both"/>
        <w:textAlignment w:val="baseline"/>
        <w:rPr>
          <w:rFonts w:ascii="Arial" w:hAnsi="Arial" w:cs="Arial"/>
          <w:i/>
          <w:iCs/>
          <w:sz w:val="22"/>
          <w:szCs w:val="22"/>
        </w:rPr>
      </w:pPr>
      <w:r>
        <w:rPr>
          <w:rFonts w:ascii="Arial" w:hAnsi="Arial"/>
          <w:i/>
          <w:iCs/>
          <w:sz w:val="22"/>
          <w:szCs w:val="22"/>
        </w:rPr>
        <w:t xml:space="preserve">Actions for further improvement of CONPET corporate governance </w:t>
      </w:r>
    </w:p>
    <w:p w:rsidR="00461FC5" w:rsidRPr="00D70023" w:rsidRDefault="00461FC5" w:rsidP="00461FC5">
      <w:pPr>
        <w:overflowPunct w:val="0"/>
        <w:spacing w:line="276" w:lineRule="auto"/>
        <w:jc w:val="both"/>
        <w:textAlignment w:val="baseline"/>
        <w:rPr>
          <w:rFonts w:ascii="Arial" w:hAnsi="Arial" w:cs="Arial"/>
          <w:sz w:val="22"/>
          <w:szCs w:val="22"/>
        </w:rPr>
      </w:pPr>
    </w:p>
    <w:p w:rsidR="00461FC5" w:rsidRPr="00D70023" w:rsidRDefault="00461FC5" w:rsidP="00461FC5">
      <w:pPr>
        <w:overflowPunct w:val="0"/>
        <w:spacing w:line="276" w:lineRule="auto"/>
        <w:jc w:val="both"/>
        <w:textAlignment w:val="baseline"/>
        <w:rPr>
          <w:rFonts w:ascii="Arial" w:hAnsi="Arial" w:cs="Arial"/>
          <w:sz w:val="22"/>
          <w:szCs w:val="22"/>
        </w:rPr>
      </w:pPr>
      <w:r>
        <w:rPr>
          <w:rFonts w:ascii="Arial" w:hAnsi="Arial"/>
          <w:sz w:val="22"/>
          <w:szCs w:val="22"/>
        </w:rPr>
        <w:t xml:space="preserve">With its listing at BSE, CONPET has undertaken the application of the Corporate Governance Code of Bucharest Stock Exchange and, therefore, of the highest corporate governance standards currently existing in Romania.  </w:t>
      </w:r>
    </w:p>
    <w:p w:rsidR="00461FC5" w:rsidRPr="00D70023" w:rsidRDefault="00461FC5" w:rsidP="00461FC5">
      <w:pPr>
        <w:overflowPunct w:val="0"/>
        <w:spacing w:line="276" w:lineRule="auto"/>
        <w:jc w:val="both"/>
        <w:textAlignment w:val="baseline"/>
        <w:rPr>
          <w:rFonts w:ascii="Arial" w:hAnsi="Arial" w:cs="Arial"/>
          <w:sz w:val="22"/>
          <w:szCs w:val="22"/>
        </w:rPr>
      </w:pPr>
    </w:p>
    <w:p w:rsidR="00461FC5" w:rsidRPr="00D70023" w:rsidRDefault="00461FC5" w:rsidP="00461FC5">
      <w:pPr>
        <w:spacing w:line="276" w:lineRule="auto"/>
        <w:jc w:val="both"/>
        <w:rPr>
          <w:rFonts w:ascii="Arial" w:hAnsi="Arial" w:cs="Arial"/>
          <w:b/>
          <w:bCs/>
          <w:sz w:val="22"/>
          <w:szCs w:val="22"/>
        </w:rPr>
      </w:pPr>
      <w:r>
        <w:rPr>
          <w:rFonts w:ascii="Arial" w:hAnsi="Arial"/>
          <w:sz w:val="22"/>
          <w:szCs w:val="22"/>
        </w:rPr>
        <w:t xml:space="preserve">One of the goals of the company CONPET S.A. is to increase the transparency and visibility of the company on the stock market and to ensure greater openness to shareholders and investors in order to increase the credibility of the company.  </w:t>
      </w:r>
    </w:p>
    <w:p w:rsidR="00461FC5" w:rsidRDefault="00461FC5" w:rsidP="00461FC5">
      <w:pPr>
        <w:overflowPunct w:val="0"/>
        <w:spacing w:line="276" w:lineRule="auto"/>
        <w:ind w:left="720"/>
        <w:jc w:val="both"/>
        <w:rPr>
          <w:rFonts w:ascii="Arial" w:hAnsi="Arial" w:cs="Arial"/>
          <w:sz w:val="22"/>
          <w:szCs w:val="22"/>
        </w:rPr>
      </w:pPr>
    </w:p>
    <w:p w:rsidR="00EF0FAE" w:rsidRDefault="00EF0FAE" w:rsidP="00461FC5">
      <w:pPr>
        <w:overflowPunct w:val="0"/>
        <w:spacing w:line="276" w:lineRule="auto"/>
        <w:ind w:left="720"/>
        <w:jc w:val="both"/>
        <w:rPr>
          <w:rFonts w:ascii="Arial" w:hAnsi="Arial" w:cs="Arial"/>
          <w:sz w:val="22"/>
          <w:szCs w:val="22"/>
        </w:rPr>
      </w:pPr>
    </w:p>
    <w:p w:rsidR="00EF0FAE" w:rsidRDefault="00EF0FAE" w:rsidP="00461FC5">
      <w:pPr>
        <w:overflowPunct w:val="0"/>
        <w:spacing w:line="276" w:lineRule="auto"/>
        <w:ind w:left="720"/>
        <w:jc w:val="both"/>
        <w:rPr>
          <w:rFonts w:ascii="Arial" w:hAnsi="Arial" w:cs="Arial"/>
          <w:sz w:val="22"/>
          <w:szCs w:val="22"/>
        </w:rPr>
      </w:pPr>
    </w:p>
    <w:p w:rsidR="00740567" w:rsidRDefault="00740567" w:rsidP="00461FC5">
      <w:pPr>
        <w:overflowPunct w:val="0"/>
        <w:spacing w:line="276" w:lineRule="auto"/>
        <w:ind w:left="720"/>
        <w:jc w:val="both"/>
        <w:rPr>
          <w:rFonts w:ascii="Arial" w:hAnsi="Arial" w:cs="Arial"/>
          <w:sz w:val="22"/>
          <w:szCs w:val="22"/>
        </w:rPr>
      </w:pPr>
    </w:p>
    <w:p w:rsidR="002540B7" w:rsidRPr="00D70023" w:rsidRDefault="002540B7" w:rsidP="004031C8">
      <w:pPr>
        <w:overflowPunct w:val="0"/>
        <w:spacing w:line="276" w:lineRule="auto"/>
        <w:jc w:val="both"/>
        <w:rPr>
          <w:rFonts w:ascii="Arial" w:hAnsi="Arial" w:cs="Arial"/>
          <w:sz w:val="22"/>
          <w:szCs w:val="22"/>
        </w:rPr>
      </w:pPr>
    </w:p>
    <w:p w:rsidR="00461FC5" w:rsidRDefault="00461FC5" w:rsidP="005850D2">
      <w:pPr>
        <w:overflowPunct w:val="0"/>
        <w:spacing w:line="276" w:lineRule="auto"/>
        <w:jc w:val="both"/>
        <w:textAlignment w:val="baseline"/>
        <w:rPr>
          <w:rFonts w:ascii="Arial" w:hAnsi="Arial" w:cs="Arial"/>
          <w:sz w:val="22"/>
          <w:szCs w:val="22"/>
        </w:rPr>
      </w:pPr>
      <w:r>
        <w:rPr>
          <w:rFonts w:ascii="Arial" w:hAnsi="Arial"/>
          <w:b/>
          <w:bCs/>
          <w:i/>
          <w:iCs/>
          <w:color w:val="1F4E79" w:themeColor="accent1" w:themeShade="80"/>
          <w:sz w:val="22"/>
          <w:szCs w:val="22"/>
        </w:rPr>
        <w:t>Transparency, information and communication</w:t>
      </w:r>
      <w:r>
        <w:rPr>
          <w:rFonts w:ascii="Arial" w:hAnsi="Arial"/>
          <w:b/>
          <w:bCs/>
          <w:i/>
          <w:iCs/>
          <w:color w:val="1F4E79" w:themeColor="accent1" w:themeShade="80"/>
          <w:sz w:val="22"/>
          <w:szCs w:val="22"/>
        </w:rPr>
        <w:cr/>
      </w:r>
      <w:r>
        <w:rPr>
          <w:rFonts w:ascii="Arial" w:hAnsi="Arial"/>
          <w:b/>
          <w:bCs/>
          <w:i/>
          <w:iCs/>
          <w:color w:val="1F4E79" w:themeColor="accent1" w:themeShade="80"/>
          <w:sz w:val="22"/>
          <w:szCs w:val="22"/>
        </w:rPr>
        <w:cr/>
      </w:r>
      <w:r>
        <w:rPr>
          <w:rFonts w:ascii="Arial" w:hAnsi="Arial"/>
          <w:sz w:val="22"/>
          <w:szCs w:val="22"/>
        </w:rPr>
        <w:t xml:space="preserve">As a company listed in the Premium category of Bucharest Stock Exchange, CONPET fully complies with the obligations of reporting to the investors and the market in general, drafting and submitting the periodic and current reports required by the regulations of the Exchange.  The company has also implemented a strategy of communication to other stakeholders (authorities and local communities, media, etc.).  </w:t>
      </w:r>
    </w:p>
    <w:p w:rsidR="00461FC5" w:rsidRPr="00D70023" w:rsidRDefault="00461FC5" w:rsidP="00461FC5">
      <w:pPr>
        <w:overflowPunct w:val="0"/>
        <w:spacing w:line="276" w:lineRule="auto"/>
        <w:jc w:val="both"/>
        <w:textAlignment w:val="baseline"/>
        <w:rPr>
          <w:rFonts w:ascii="Arial" w:hAnsi="Arial" w:cs="Arial"/>
          <w:sz w:val="22"/>
          <w:szCs w:val="22"/>
        </w:rPr>
      </w:pPr>
      <w:r>
        <w:rPr>
          <w:rFonts w:ascii="Arial" w:hAnsi="Arial"/>
          <w:sz w:val="22"/>
          <w:szCs w:val="22"/>
        </w:rPr>
        <w:t xml:space="preserve">As a company operating in an activity </w:t>
      </w:r>
      <w:proofErr w:type="gramStart"/>
      <w:r>
        <w:rPr>
          <w:rFonts w:ascii="Arial" w:hAnsi="Arial"/>
          <w:sz w:val="22"/>
          <w:szCs w:val="22"/>
        </w:rPr>
        <w:t>area  of</w:t>
      </w:r>
      <w:proofErr w:type="gramEnd"/>
      <w:r>
        <w:rPr>
          <w:rFonts w:ascii="Arial" w:hAnsi="Arial"/>
          <w:sz w:val="22"/>
          <w:szCs w:val="22"/>
        </w:rPr>
        <w:t xml:space="preserve"> national interest and strategic importance, CONPET seeks to achieve the appropriate balance between the information of a confidential nature </w:t>
      </w:r>
      <w:r w:rsidR="005850D2">
        <w:rPr>
          <w:rFonts w:ascii="Arial" w:hAnsi="Arial"/>
          <w:sz w:val="22"/>
          <w:szCs w:val="22"/>
        </w:rPr>
        <w:t>and that of public interest.</w:t>
      </w:r>
      <w:r>
        <w:rPr>
          <w:rFonts w:ascii="Arial" w:hAnsi="Arial"/>
          <w:sz w:val="22"/>
          <w:szCs w:val="22"/>
        </w:rPr>
        <w:t xml:space="preserve">Internal regulations have been adopted for the dissemination of information and compliance with confidentiality.  </w:t>
      </w:r>
    </w:p>
    <w:p w:rsidR="00461FC5" w:rsidRPr="00D70023" w:rsidRDefault="00461FC5" w:rsidP="00461FC5">
      <w:pPr>
        <w:spacing w:line="276" w:lineRule="auto"/>
        <w:jc w:val="both"/>
        <w:rPr>
          <w:rFonts w:ascii="Arial" w:hAnsi="Arial" w:cs="Arial"/>
          <w:sz w:val="22"/>
          <w:szCs w:val="22"/>
        </w:rPr>
      </w:pPr>
    </w:p>
    <w:p w:rsidR="00461FC5" w:rsidRPr="00D70023" w:rsidRDefault="00461FC5" w:rsidP="00461FC5">
      <w:pPr>
        <w:spacing w:line="276" w:lineRule="auto"/>
        <w:jc w:val="both"/>
        <w:rPr>
          <w:rFonts w:ascii="Arial" w:hAnsi="Arial" w:cs="Arial"/>
          <w:sz w:val="22"/>
          <w:szCs w:val="22"/>
        </w:rPr>
      </w:pPr>
      <w:r>
        <w:rPr>
          <w:rFonts w:ascii="Arial" w:hAnsi="Arial"/>
          <w:sz w:val="22"/>
          <w:szCs w:val="22"/>
        </w:rPr>
        <w:t xml:space="preserve">In accordance with the principles of corporate governance, CONPET has announced the timetable for meetings with analysts and investors, </w:t>
      </w:r>
      <w:proofErr w:type="gramStart"/>
      <w:r>
        <w:rPr>
          <w:rFonts w:ascii="Arial" w:hAnsi="Arial"/>
          <w:sz w:val="22"/>
          <w:szCs w:val="22"/>
        </w:rPr>
        <w:t>being organized</w:t>
      </w:r>
      <w:proofErr w:type="gramEnd"/>
      <w:r>
        <w:rPr>
          <w:rFonts w:ascii="Arial" w:hAnsi="Arial"/>
          <w:sz w:val="22"/>
          <w:szCs w:val="22"/>
        </w:rPr>
        <w:t xml:space="preserve"> in semester 1 three conference calls with the financial analysts on the capital market, where have been debated periodi</w:t>
      </w:r>
      <w:r w:rsidR="005850D2">
        <w:rPr>
          <w:rFonts w:ascii="Arial" w:hAnsi="Arial"/>
          <w:sz w:val="22"/>
          <w:szCs w:val="22"/>
        </w:rPr>
        <w:t xml:space="preserve">c reports of the company. </w:t>
      </w:r>
      <w:r>
        <w:rPr>
          <w:rFonts w:ascii="Arial" w:hAnsi="Arial"/>
          <w:sz w:val="22"/>
          <w:szCs w:val="22"/>
        </w:rPr>
        <w:t xml:space="preserve">The presentation materials prepared </w:t>
      </w:r>
      <w:proofErr w:type="gramStart"/>
      <w:r>
        <w:rPr>
          <w:rFonts w:ascii="Arial" w:hAnsi="Arial"/>
          <w:sz w:val="22"/>
          <w:szCs w:val="22"/>
        </w:rPr>
        <w:t>on the occasion of</w:t>
      </w:r>
      <w:proofErr w:type="gramEnd"/>
      <w:r>
        <w:rPr>
          <w:rFonts w:ascii="Arial" w:hAnsi="Arial"/>
          <w:sz w:val="22"/>
          <w:szCs w:val="22"/>
        </w:rPr>
        <w:t xml:space="preserve"> the events mentioned above have been published on the company’s website. Furthermore, the company’s representative answered positive to all the participants to the capital market.</w:t>
      </w:r>
    </w:p>
    <w:p w:rsidR="00461FC5" w:rsidRPr="00D70023" w:rsidRDefault="00461FC5" w:rsidP="00461FC5">
      <w:pPr>
        <w:spacing w:line="276" w:lineRule="auto"/>
        <w:rPr>
          <w:rFonts w:ascii="Arial" w:hAnsi="Arial" w:cs="Arial"/>
          <w:sz w:val="22"/>
          <w:szCs w:val="22"/>
        </w:rPr>
      </w:pPr>
    </w:p>
    <w:p w:rsidR="00461FC5" w:rsidRPr="00D70023" w:rsidRDefault="00461FC5" w:rsidP="00461FC5">
      <w:pPr>
        <w:spacing w:line="276" w:lineRule="auto"/>
        <w:jc w:val="both"/>
        <w:rPr>
          <w:rFonts w:ascii="Arial" w:hAnsi="Arial" w:cs="Arial"/>
          <w:sz w:val="22"/>
          <w:szCs w:val="22"/>
        </w:rPr>
      </w:pPr>
      <w:r>
        <w:rPr>
          <w:rFonts w:ascii="Arial" w:hAnsi="Arial"/>
          <w:sz w:val="22"/>
          <w:szCs w:val="22"/>
        </w:rPr>
        <w:t>The company has also provided a contact number and an email address (</w:t>
      </w:r>
      <w:hyperlink r:id="rId28" w:history="1">
        <w:r>
          <w:rPr>
            <w:rStyle w:val="Hyperlink"/>
            <w:rFonts w:ascii="Arial" w:hAnsi="Arial"/>
            <w:color w:val="auto"/>
            <w:sz w:val="22"/>
            <w:szCs w:val="22"/>
          </w:rPr>
          <w:t>infoinvestitori@CONPET.ro</w:t>
        </w:r>
      </w:hyperlink>
      <w:r>
        <w:rPr>
          <w:rFonts w:ascii="Arial" w:hAnsi="Arial"/>
          <w:sz w:val="22"/>
          <w:szCs w:val="22"/>
        </w:rPr>
        <w:t>), through which investors can ask various questions, thus getting in direct contact with the investor relations</w:t>
      </w:r>
      <w:r w:rsidR="005850D2">
        <w:rPr>
          <w:rFonts w:ascii="Arial" w:hAnsi="Arial"/>
          <w:sz w:val="22"/>
          <w:szCs w:val="22"/>
        </w:rPr>
        <w:t xml:space="preserve"> </w:t>
      </w:r>
      <w:r>
        <w:rPr>
          <w:rFonts w:ascii="Arial" w:hAnsi="Arial"/>
          <w:sz w:val="22"/>
          <w:szCs w:val="22"/>
        </w:rPr>
        <w:t xml:space="preserve">team of the company.  Bucharest Stock Exchange has tested the promptitude of response and approach </w:t>
      </w:r>
      <w:r w:rsidR="005850D2">
        <w:rPr>
          <w:rFonts w:ascii="Arial" w:hAnsi="Arial"/>
          <w:sz w:val="22"/>
          <w:szCs w:val="22"/>
        </w:rPr>
        <w:t>via</w:t>
      </w:r>
      <w:r>
        <w:rPr>
          <w:rFonts w:ascii="Arial" w:hAnsi="Arial"/>
          <w:sz w:val="22"/>
          <w:szCs w:val="22"/>
        </w:rPr>
        <w:t xml:space="preserve"> e-mail and the accuracy and quality of the information provided, sending a few questions from a random email address, the rating received following this unannounced check being “excellent”.</w:t>
      </w:r>
    </w:p>
    <w:p w:rsidR="00461FC5" w:rsidRDefault="00461FC5" w:rsidP="00461FC5">
      <w:pPr>
        <w:spacing w:line="276" w:lineRule="auto"/>
        <w:jc w:val="both"/>
        <w:rPr>
          <w:rFonts w:ascii="Arial" w:hAnsi="Arial" w:cs="Arial"/>
          <w:sz w:val="22"/>
          <w:szCs w:val="22"/>
        </w:rPr>
      </w:pPr>
    </w:p>
    <w:p w:rsidR="00461FC5" w:rsidRDefault="00461FC5" w:rsidP="00461FC5">
      <w:pPr>
        <w:spacing w:line="276" w:lineRule="auto"/>
        <w:jc w:val="both"/>
        <w:rPr>
          <w:rFonts w:ascii="Arial" w:hAnsi="Arial" w:cs="Arial"/>
          <w:sz w:val="22"/>
          <w:szCs w:val="22"/>
        </w:rPr>
      </w:pPr>
      <w:r>
        <w:rPr>
          <w:rFonts w:ascii="Arial" w:hAnsi="Arial"/>
          <w:sz w:val="22"/>
          <w:szCs w:val="22"/>
        </w:rPr>
        <w:t>The evolution of CONPET S.A. share is monitored by the research departments of the major financial investment services companies from the Romanian capital market.  The entity that manages the relationship with the investors maintains a permanent connection with all financial analysts in the capital market.</w:t>
      </w:r>
    </w:p>
    <w:p w:rsidR="00461FC5" w:rsidRPr="00D70023" w:rsidRDefault="00461FC5" w:rsidP="00461FC5">
      <w:pPr>
        <w:spacing w:line="276" w:lineRule="auto"/>
        <w:rPr>
          <w:rFonts w:ascii="Arial" w:hAnsi="Arial" w:cs="Arial"/>
          <w:sz w:val="22"/>
          <w:szCs w:val="22"/>
        </w:rPr>
      </w:pPr>
    </w:p>
    <w:p w:rsidR="00461FC5" w:rsidRPr="00D70023" w:rsidRDefault="00461FC5" w:rsidP="00461FC5">
      <w:pPr>
        <w:overflowPunct w:val="0"/>
        <w:spacing w:line="276" w:lineRule="auto"/>
        <w:jc w:val="both"/>
        <w:textAlignment w:val="baseline"/>
        <w:rPr>
          <w:rFonts w:ascii="Arial" w:hAnsi="Arial" w:cs="Arial"/>
          <w:sz w:val="22"/>
          <w:szCs w:val="22"/>
        </w:rPr>
      </w:pPr>
      <w:r>
        <w:rPr>
          <w:rFonts w:ascii="Arial" w:hAnsi="Arial"/>
          <w:sz w:val="22"/>
          <w:szCs w:val="22"/>
        </w:rPr>
        <w:t>At CONPET level, the corporate governance structures are:</w:t>
      </w:r>
    </w:p>
    <w:p w:rsidR="00461FC5" w:rsidRPr="00D70023" w:rsidRDefault="00461FC5" w:rsidP="00461FC5">
      <w:pPr>
        <w:overflowPunct w:val="0"/>
        <w:spacing w:line="276" w:lineRule="auto"/>
        <w:ind w:left="720"/>
        <w:jc w:val="both"/>
        <w:rPr>
          <w:rFonts w:ascii="Arial" w:hAnsi="Arial" w:cs="Arial"/>
          <w:sz w:val="22"/>
          <w:szCs w:val="22"/>
        </w:rPr>
      </w:pPr>
      <w:r>
        <w:rPr>
          <w:rFonts w:ascii="Arial" w:hAnsi="Arial"/>
          <w:bCs/>
          <w:sz w:val="22"/>
          <w:szCs w:val="22"/>
        </w:rPr>
        <w:t>-</w:t>
      </w:r>
      <w:r>
        <w:rPr>
          <w:rFonts w:ascii="Arial" w:hAnsi="Arial"/>
          <w:b/>
          <w:bCs/>
          <w:sz w:val="22"/>
          <w:szCs w:val="22"/>
        </w:rPr>
        <w:t xml:space="preserve"> </w:t>
      </w:r>
      <w:r>
        <w:rPr>
          <w:rFonts w:ascii="Arial" w:hAnsi="Arial"/>
          <w:sz w:val="22"/>
          <w:szCs w:val="22"/>
        </w:rPr>
        <w:t>The General Meeting of Shareholders;</w:t>
      </w:r>
    </w:p>
    <w:p w:rsidR="00461FC5" w:rsidRPr="00D70023" w:rsidRDefault="00461FC5" w:rsidP="00461FC5">
      <w:pPr>
        <w:overflowPunct w:val="0"/>
        <w:spacing w:line="276" w:lineRule="auto"/>
        <w:ind w:left="720"/>
        <w:jc w:val="both"/>
        <w:rPr>
          <w:rFonts w:ascii="Arial" w:hAnsi="Arial" w:cs="Arial"/>
          <w:sz w:val="22"/>
          <w:szCs w:val="22"/>
        </w:rPr>
      </w:pPr>
      <w:r>
        <w:rPr>
          <w:rFonts w:ascii="Arial" w:hAnsi="Arial"/>
          <w:sz w:val="22"/>
          <w:szCs w:val="22"/>
        </w:rPr>
        <w:t>- the Board of Administration and the Consultative Committees;</w:t>
      </w:r>
    </w:p>
    <w:p w:rsidR="00461FC5" w:rsidRPr="00D70023" w:rsidRDefault="00461FC5" w:rsidP="00461FC5">
      <w:pPr>
        <w:widowControl/>
        <w:autoSpaceDE/>
        <w:autoSpaceDN/>
        <w:adjustRightInd/>
        <w:spacing w:line="276" w:lineRule="auto"/>
        <w:ind w:firstLine="720"/>
        <w:jc w:val="both"/>
        <w:rPr>
          <w:rFonts w:ascii="Arial" w:eastAsia="Calibri" w:hAnsi="Arial" w:cs="Arial"/>
          <w:bCs/>
          <w:sz w:val="22"/>
          <w:szCs w:val="22"/>
        </w:rPr>
      </w:pPr>
      <w:r>
        <w:rPr>
          <w:rFonts w:ascii="Arial" w:hAnsi="Arial"/>
          <w:sz w:val="22"/>
          <w:szCs w:val="22"/>
        </w:rPr>
        <w:t>- The Director General.</w:t>
      </w:r>
    </w:p>
    <w:p w:rsidR="00461FC5" w:rsidRPr="00D70023" w:rsidRDefault="00461FC5" w:rsidP="00461FC5">
      <w:pPr>
        <w:widowControl/>
        <w:autoSpaceDE/>
        <w:autoSpaceDN/>
        <w:adjustRightInd/>
        <w:spacing w:line="276" w:lineRule="auto"/>
        <w:jc w:val="both"/>
        <w:rPr>
          <w:rFonts w:ascii="Arial" w:eastAsia="Calibri" w:hAnsi="Arial" w:cs="Arial"/>
          <w:bCs/>
          <w:sz w:val="22"/>
          <w:szCs w:val="22"/>
          <w:lang w:val="pt-BR" w:eastAsia="en-US"/>
        </w:rPr>
      </w:pPr>
    </w:p>
    <w:p w:rsidR="00461FC5" w:rsidRPr="00E46854" w:rsidRDefault="00461FC5" w:rsidP="00461FC5">
      <w:pPr>
        <w:widowControl/>
        <w:overflowPunct w:val="0"/>
        <w:spacing w:line="276" w:lineRule="auto"/>
        <w:jc w:val="both"/>
        <w:textAlignment w:val="baseline"/>
        <w:rPr>
          <w:rFonts w:ascii="Arial" w:hAnsi="Arial" w:cs="Arial"/>
          <w:b/>
          <w:bCs/>
          <w:color w:val="1F4E79" w:themeColor="accent1" w:themeShade="80"/>
          <w:sz w:val="22"/>
          <w:szCs w:val="22"/>
        </w:rPr>
      </w:pPr>
      <w:r>
        <w:rPr>
          <w:rFonts w:ascii="Arial" w:hAnsi="Arial"/>
          <w:b/>
          <w:bCs/>
          <w:color w:val="1F4E79" w:themeColor="accent1" w:themeShade="80"/>
          <w:sz w:val="22"/>
          <w:szCs w:val="22"/>
        </w:rPr>
        <w:t xml:space="preserve">The General Meeting of Shareholders; </w:t>
      </w:r>
    </w:p>
    <w:p w:rsidR="00461FC5" w:rsidRPr="00D70023" w:rsidRDefault="00461FC5" w:rsidP="00461FC5">
      <w:pPr>
        <w:widowControl/>
        <w:overflowPunct w:val="0"/>
        <w:spacing w:line="276" w:lineRule="auto"/>
        <w:jc w:val="both"/>
        <w:textAlignment w:val="baseline"/>
        <w:rPr>
          <w:rFonts w:ascii="Arial" w:hAnsi="Arial" w:cs="Arial"/>
          <w:sz w:val="22"/>
          <w:szCs w:val="22"/>
          <w:lang w:eastAsia="en-US"/>
        </w:rPr>
      </w:pPr>
    </w:p>
    <w:p w:rsidR="00461FC5" w:rsidRDefault="00461FC5" w:rsidP="00461FC5">
      <w:pPr>
        <w:widowControl/>
        <w:overflowPunct w:val="0"/>
        <w:spacing w:line="276" w:lineRule="auto"/>
        <w:jc w:val="both"/>
        <w:textAlignment w:val="baseline"/>
        <w:rPr>
          <w:rFonts w:ascii="Arial" w:hAnsi="Arial" w:cs="Arial"/>
          <w:sz w:val="22"/>
          <w:szCs w:val="22"/>
        </w:rPr>
      </w:pPr>
      <w:r>
        <w:rPr>
          <w:rFonts w:ascii="Arial" w:hAnsi="Arial"/>
          <w:sz w:val="22"/>
          <w:szCs w:val="22"/>
        </w:rPr>
        <w:t>The shareholding structure, corresponding to the consolidated synthetic structure of the shareholders at 30.06.2018, was the following:</w:t>
      </w:r>
    </w:p>
    <w:p w:rsidR="002963F3" w:rsidRPr="00D70023" w:rsidRDefault="002963F3" w:rsidP="00461FC5">
      <w:pPr>
        <w:widowControl/>
        <w:overflowPunct w:val="0"/>
        <w:spacing w:line="276" w:lineRule="auto"/>
        <w:jc w:val="both"/>
        <w:textAlignment w:val="baseline"/>
        <w:rPr>
          <w:rFonts w:ascii="Arial" w:hAnsi="Arial" w:cs="Arial"/>
          <w:sz w:val="22"/>
          <w:szCs w:val="22"/>
          <w:lang w:eastAsia="en-US"/>
        </w:rPr>
      </w:pPr>
    </w:p>
    <w:p w:rsidR="00461FC5" w:rsidRPr="00D70023" w:rsidRDefault="00461FC5" w:rsidP="00D87DA4">
      <w:pPr>
        <w:widowControl/>
        <w:numPr>
          <w:ilvl w:val="0"/>
          <w:numId w:val="12"/>
        </w:numPr>
        <w:overflowPunct w:val="0"/>
        <w:autoSpaceDE/>
        <w:autoSpaceDN/>
        <w:adjustRightInd/>
        <w:spacing w:line="276" w:lineRule="auto"/>
        <w:jc w:val="both"/>
        <w:rPr>
          <w:rFonts w:ascii="Arial" w:hAnsi="Arial" w:cs="Arial"/>
          <w:sz w:val="22"/>
          <w:szCs w:val="22"/>
        </w:rPr>
      </w:pPr>
      <w:r>
        <w:rPr>
          <w:rFonts w:ascii="Arial" w:hAnsi="Arial"/>
          <w:sz w:val="22"/>
          <w:szCs w:val="22"/>
        </w:rPr>
        <w:t>The Romanian State, represented by the Ministry of Energy (the line ministry or its successors, according to the law)</w:t>
      </w:r>
    </w:p>
    <w:p w:rsidR="00461FC5" w:rsidRPr="00D70023" w:rsidRDefault="00461FC5" w:rsidP="00D87DA4">
      <w:pPr>
        <w:widowControl/>
        <w:numPr>
          <w:ilvl w:val="0"/>
          <w:numId w:val="13"/>
        </w:numPr>
        <w:overflowPunct w:val="0"/>
        <w:autoSpaceDE/>
        <w:autoSpaceDN/>
        <w:adjustRightInd/>
        <w:spacing w:line="276" w:lineRule="auto"/>
        <w:jc w:val="both"/>
        <w:rPr>
          <w:rFonts w:ascii="Arial" w:hAnsi="Arial" w:cs="Arial"/>
          <w:sz w:val="22"/>
          <w:szCs w:val="22"/>
        </w:rPr>
      </w:pPr>
      <w:r>
        <w:rPr>
          <w:rFonts w:ascii="Arial" w:hAnsi="Arial"/>
          <w:sz w:val="22"/>
          <w:szCs w:val="22"/>
        </w:rPr>
        <w:t xml:space="preserve">Number of shares: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5,083,372</w:t>
      </w:r>
    </w:p>
    <w:p w:rsidR="00461FC5" w:rsidRPr="00D70023" w:rsidRDefault="00461FC5" w:rsidP="00D87DA4">
      <w:pPr>
        <w:widowControl/>
        <w:numPr>
          <w:ilvl w:val="0"/>
          <w:numId w:val="13"/>
        </w:numPr>
        <w:overflowPunct w:val="0"/>
        <w:autoSpaceDE/>
        <w:autoSpaceDN/>
        <w:adjustRightInd/>
        <w:spacing w:line="276" w:lineRule="auto"/>
        <w:jc w:val="both"/>
        <w:rPr>
          <w:rFonts w:ascii="Arial" w:hAnsi="Arial" w:cs="Arial"/>
          <w:sz w:val="22"/>
          <w:szCs w:val="22"/>
        </w:rPr>
      </w:pPr>
      <w:r>
        <w:rPr>
          <w:rFonts w:ascii="Arial" w:hAnsi="Arial"/>
          <w:sz w:val="22"/>
          <w:szCs w:val="22"/>
        </w:rPr>
        <w:t>Value of contribution</w:t>
      </w:r>
      <w:r w:rsidR="005850D2">
        <w:rPr>
          <w:rFonts w:ascii="Arial" w:hAnsi="Arial"/>
          <w:sz w:val="22"/>
          <w:szCs w:val="22"/>
        </w:rPr>
        <w:t xml:space="preserve"> to the share capital (RON) </w:t>
      </w:r>
      <w:r w:rsidR="005850D2">
        <w:rPr>
          <w:rFonts w:ascii="Arial" w:hAnsi="Arial"/>
          <w:sz w:val="22"/>
          <w:szCs w:val="22"/>
        </w:rPr>
        <w:tab/>
      </w:r>
      <w:r w:rsidR="005850D2">
        <w:rPr>
          <w:rFonts w:ascii="Arial" w:hAnsi="Arial"/>
          <w:sz w:val="22"/>
          <w:szCs w:val="22"/>
        </w:rPr>
        <w:tab/>
      </w:r>
      <w:r>
        <w:rPr>
          <w:rFonts w:ascii="Arial" w:hAnsi="Arial"/>
          <w:sz w:val="22"/>
          <w:szCs w:val="22"/>
        </w:rPr>
        <w:t>16,775,128</w:t>
      </w:r>
    </w:p>
    <w:p w:rsidR="00461FC5" w:rsidRPr="00D70023" w:rsidRDefault="00461FC5" w:rsidP="00D87DA4">
      <w:pPr>
        <w:widowControl/>
        <w:numPr>
          <w:ilvl w:val="0"/>
          <w:numId w:val="13"/>
        </w:numPr>
        <w:overflowPunct w:val="0"/>
        <w:autoSpaceDE/>
        <w:autoSpaceDN/>
        <w:adjustRightInd/>
        <w:spacing w:line="276" w:lineRule="auto"/>
        <w:jc w:val="both"/>
        <w:rPr>
          <w:rFonts w:ascii="Arial" w:hAnsi="Arial" w:cs="Arial"/>
          <w:sz w:val="22"/>
          <w:szCs w:val="22"/>
        </w:rPr>
      </w:pPr>
      <w:r>
        <w:rPr>
          <w:rFonts w:ascii="Arial" w:hAnsi="Arial"/>
          <w:sz w:val="22"/>
          <w:szCs w:val="22"/>
        </w:rPr>
        <w:t xml:space="preserve">Share on profit and loss (%):  </w:t>
      </w:r>
      <w:r>
        <w:rPr>
          <w:rFonts w:ascii="Arial" w:hAnsi="Arial"/>
          <w:sz w:val="22"/>
          <w:szCs w:val="22"/>
        </w:rPr>
        <w:tab/>
      </w:r>
      <w:r>
        <w:rPr>
          <w:rFonts w:ascii="Arial" w:hAnsi="Arial"/>
          <w:sz w:val="22"/>
          <w:szCs w:val="22"/>
        </w:rPr>
        <w:tab/>
        <w:t xml:space="preserve">                 </w:t>
      </w:r>
      <w:r w:rsidR="005850D2">
        <w:rPr>
          <w:rFonts w:ascii="Arial" w:hAnsi="Arial"/>
          <w:sz w:val="22"/>
          <w:szCs w:val="22"/>
        </w:rPr>
        <w:t xml:space="preserve">            </w:t>
      </w:r>
      <w:r>
        <w:rPr>
          <w:rFonts w:ascii="Arial" w:hAnsi="Arial"/>
          <w:sz w:val="22"/>
          <w:szCs w:val="22"/>
        </w:rPr>
        <w:t>58.7162</w:t>
      </w:r>
    </w:p>
    <w:p w:rsidR="00643AAB" w:rsidRPr="00D70023" w:rsidRDefault="00643AAB" w:rsidP="00461FC5">
      <w:pPr>
        <w:widowControl/>
        <w:overflowPunct w:val="0"/>
        <w:adjustRightInd/>
        <w:spacing w:line="276" w:lineRule="auto"/>
        <w:ind w:left="360"/>
        <w:jc w:val="both"/>
        <w:rPr>
          <w:rFonts w:ascii="Arial" w:hAnsi="Arial" w:cs="Arial"/>
          <w:sz w:val="22"/>
          <w:szCs w:val="22"/>
          <w:lang w:eastAsia="en-US"/>
        </w:rPr>
      </w:pPr>
    </w:p>
    <w:p w:rsidR="00461FC5" w:rsidRPr="00D70023" w:rsidRDefault="00461FC5" w:rsidP="00D87DA4">
      <w:pPr>
        <w:widowControl/>
        <w:numPr>
          <w:ilvl w:val="0"/>
          <w:numId w:val="12"/>
        </w:numPr>
        <w:overflowPunct w:val="0"/>
        <w:autoSpaceDE/>
        <w:autoSpaceDN/>
        <w:adjustRightInd/>
        <w:spacing w:line="276" w:lineRule="auto"/>
        <w:jc w:val="both"/>
        <w:rPr>
          <w:rFonts w:ascii="Arial" w:hAnsi="Arial" w:cs="Arial"/>
          <w:sz w:val="22"/>
          <w:szCs w:val="22"/>
        </w:rPr>
      </w:pPr>
      <w:r>
        <w:rPr>
          <w:rFonts w:ascii="Arial" w:hAnsi="Arial"/>
          <w:sz w:val="22"/>
          <w:szCs w:val="22"/>
        </w:rPr>
        <w:t>Legal persons (91 shareholders)</w:t>
      </w:r>
    </w:p>
    <w:p w:rsidR="00461FC5" w:rsidRPr="00D70023" w:rsidRDefault="00461FC5" w:rsidP="00D87DA4">
      <w:pPr>
        <w:widowControl/>
        <w:numPr>
          <w:ilvl w:val="0"/>
          <w:numId w:val="13"/>
        </w:numPr>
        <w:tabs>
          <w:tab w:val="left" w:pos="6570"/>
        </w:tabs>
        <w:overflowPunct w:val="0"/>
        <w:autoSpaceDE/>
        <w:autoSpaceDN/>
        <w:adjustRightInd/>
        <w:spacing w:line="276" w:lineRule="auto"/>
        <w:jc w:val="both"/>
        <w:rPr>
          <w:rFonts w:ascii="Arial" w:hAnsi="Arial" w:cs="Arial"/>
          <w:sz w:val="22"/>
          <w:szCs w:val="22"/>
        </w:rPr>
      </w:pPr>
      <w:r>
        <w:rPr>
          <w:rFonts w:ascii="Arial" w:hAnsi="Arial"/>
          <w:sz w:val="22"/>
          <w:szCs w:val="22"/>
        </w:rPr>
        <w:t xml:space="preserve">Number of shares: </w:t>
      </w:r>
      <w:r>
        <w:rPr>
          <w:rFonts w:ascii="Arial" w:hAnsi="Arial"/>
          <w:sz w:val="22"/>
          <w:szCs w:val="22"/>
        </w:rPr>
        <w:tab/>
        <w:t>2,536,458</w:t>
      </w:r>
    </w:p>
    <w:p w:rsidR="00461FC5" w:rsidRPr="00D70023" w:rsidRDefault="00461FC5" w:rsidP="00D87DA4">
      <w:pPr>
        <w:widowControl/>
        <w:numPr>
          <w:ilvl w:val="0"/>
          <w:numId w:val="13"/>
        </w:numPr>
        <w:overflowPunct w:val="0"/>
        <w:autoSpaceDE/>
        <w:autoSpaceDN/>
        <w:adjustRightInd/>
        <w:spacing w:line="276" w:lineRule="auto"/>
        <w:jc w:val="both"/>
        <w:rPr>
          <w:rFonts w:ascii="Arial" w:hAnsi="Arial" w:cs="Arial"/>
          <w:sz w:val="22"/>
          <w:szCs w:val="22"/>
        </w:rPr>
      </w:pPr>
      <w:r>
        <w:rPr>
          <w:rFonts w:ascii="Arial" w:hAnsi="Arial"/>
          <w:sz w:val="22"/>
          <w:szCs w:val="22"/>
        </w:rPr>
        <w:t xml:space="preserve">Value of contribution to the share capital </w:t>
      </w:r>
      <w:r w:rsidR="005850D2">
        <w:rPr>
          <w:rFonts w:ascii="Arial" w:hAnsi="Arial"/>
          <w:sz w:val="22"/>
          <w:szCs w:val="22"/>
        </w:rPr>
        <w:t>(RON)</w:t>
      </w:r>
      <w:r w:rsidR="005850D2">
        <w:rPr>
          <w:rFonts w:ascii="Arial" w:hAnsi="Arial"/>
          <w:sz w:val="22"/>
          <w:szCs w:val="22"/>
        </w:rPr>
        <w:tab/>
        <w:t xml:space="preserve">              </w:t>
      </w:r>
      <w:r>
        <w:rPr>
          <w:rFonts w:ascii="Arial" w:hAnsi="Arial"/>
          <w:sz w:val="22"/>
          <w:szCs w:val="22"/>
        </w:rPr>
        <w:t>8,370,311</w:t>
      </w:r>
    </w:p>
    <w:p w:rsidR="00461FC5" w:rsidRPr="00D70023" w:rsidRDefault="00461FC5" w:rsidP="00D87DA4">
      <w:pPr>
        <w:widowControl/>
        <w:numPr>
          <w:ilvl w:val="0"/>
          <w:numId w:val="13"/>
        </w:numPr>
        <w:overflowPunct w:val="0"/>
        <w:autoSpaceDE/>
        <w:autoSpaceDN/>
        <w:adjustRightInd/>
        <w:spacing w:line="276" w:lineRule="auto"/>
        <w:jc w:val="both"/>
        <w:rPr>
          <w:rFonts w:ascii="Arial" w:hAnsi="Arial" w:cs="Arial"/>
          <w:sz w:val="22"/>
          <w:szCs w:val="22"/>
        </w:rPr>
      </w:pPr>
      <w:r>
        <w:rPr>
          <w:rFonts w:ascii="Arial" w:hAnsi="Arial"/>
          <w:sz w:val="22"/>
          <w:szCs w:val="22"/>
        </w:rPr>
        <w:t xml:space="preserve">Share on profit and loss (%):                              </w:t>
      </w:r>
      <w:r w:rsidR="005850D2">
        <w:rPr>
          <w:rFonts w:ascii="Arial" w:hAnsi="Arial"/>
          <w:sz w:val="22"/>
          <w:szCs w:val="22"/>
        </w:rPr>
        <w:t xml:space="preserve">                       </w:t>
      </w:r>
      <w:r>
        <w:rPr>
          <w:rFonts w:ascii="Arial" w:hAnsi="Arial"/>
          <w:sz w:val="22"/>
          <w:szCs w:val="22"/>
        </w:rPr>
        <w:t xml:space="preserve"> 29.2977</w:t>
      </w:r>
    </w:p>
    <w:p w:rsidR="00461FC5" w:rsidRPr="00D70023" w:rsidRDefault="00461FC5" w:rsidP="00461FC5">
      <w:pPr>
        <w:widowControl/>
        <w:overflowPunct w:val="0"/>
        <w:autoSpaceDE/>
        <w:autoSpaceDN/>
        <w:adjustRightInd/>
        <w:spacing w:line="276" w:lineRule="auto"/>
        <w:ind w:left="720"/>
        <w:jc w:val="both"/>
        <w:rPr>
          <w:rFonts w:ascii="Arial" w:hAnsi="Arial" w:cs="Arial"/>
          <w:sz w:val="22"/>
          <w:szCs w:val="22"/>
          <w:lang w:eastAsia="en-US"/>
        </w:rPr>
      </w:pPr>
    </w:p>
    <w:p w:rsidR="00461FC5" w:rsidRPr="00D70023" w:rsidRDefault="00461FC5" w:rsidP="00D87DA4">
      <w:pPr>
        <w:widowControl/>
        <w:numPr>
          <w:ilvl w:val="0"/>
          <w:numId w:val="12"/>
        </w:numPr>
        <w:overflowPunct w:val="0"/>
        <w:autoSpaceDE/>
        <w:autoSpaceDN/>
        <w:adjustRightInd/>
        <w:spacing w:line="276" w:lineRule="auto"/>
        <w:jc w:val="both"/>
        <w:rPr>
          <w:rFonts w:ascii="Arial" w:hAnsi="Arial" w:cs="Arial"/>
          <w:sz w:val="22"/>
          <w:szCs w:val="22"/>
        </w:rPr>
      </w:pPr>
      <w:r>
        <w:rPr>
          <w:rFonts w:ascii="Arial" w:hAnsi="Arial"/>
          <w:sz w:val="22"/>
          <w:szCs w:val="22"/>
        </w:rPr>
        <w:t>Natural persons (12,620 shareholders)</w:t>
      </w:r>
    </w:p>
    <w:p w:rsidR="00461FC5" w:rsidRPr="00D70023" w:rsidRDefault="00461FC5" w:rsidP="00D87DA4">
      <w:pPr>
        <w:widowControl/>
        <w:numPr>
          <w:ilvl w:val="0"/>
          <w:numId w:val="13"/>
        </w:numPr>
        <w:overflowPunct w:val="0"/>
        <w:autoSpaceDE/>
        <w:autoSpaceDN/>
        <w:adjustRightInd/>
        <w:spacing w:line="276" w:lineRule="auto"/>
        <w:jc w:val="both"/>
        <w:rPr>
          <w:rFonts w:ascii="Arial" w:hAnsi="Arial" w:cs="Arial"/>
          <w:sz w:val="22"/>
          <w:szCs w:val="22"/>
        </w:rPr>
      </w:pPr>
      <w:r>
        <w:rPr>
          <w:rFonts w:ascii="Arial" w:hAnsi="Arial"/>
          <w:sz w:val="22"/>
          <w:szCs w:val="22"/>
        </w:rPr>
        <w:t xml:space="preserve">Number of shares: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1,037,698</w:t>
      </w:r>
    </w:p>
    <w:p w:rsidR="00461FC5" w:rsidRPr="00D70023" w:rsidRDefault="00461FC5" w:rsidP="00D87DA4">
      <w:pPr>
        <w:widowControl/>
        <w:numPr>
          <w:ilvl w:val="0"/>
          <w:numId w:val="13"/>
        </w:numPr>
        <w:overflowPunct w:val="0"/>
        <w:autoSpaceDE/>
        <w:autoSpaceDN/>
        <w:adjustRightInd/>
        <w:spacing w:line="276" w:lineRule="auto"/>
        <w:jc w:val="both"/>
        <w:rPr>
          <w:rFonts w:ascii="Arial" w:hAnsi="Arial" w:cs="Arial"/>
          <w:sz w:val="22"/>
          <w:szCs w:val="22"/>
        </w:rPr>
      </w:pPr>
      <w:r>
        <w:rPr>
          <w:rFonts w:ascii="Arial" w:hAnsi="Arial"/>
          <w:sz w:val="22"/>
          <w:szCs w:val="22"/>
        </w:rPr>
        <w:t>Value of contribution t</w:t>
      </w:r>
      <w:r w:rsidR="005850D2">
        <w:rPr>
          <w:rFonts w:ascii="Arial" w:hAnsi="Arial"/>
          <w:sz w:val="22"/>
          <w:szCs w:val="22"/>
        </w:rPr>
        <w:t xml:space="preserve">o the share capital (RON) </w:t>
      </w:r>
      <w:r w:rsidR="005850D2">
        <w:rPr>
          <w:rFonts w:ascii="Arial" w:hAnsi="Arial"/>
          <w:sz w:val="22"/>
          <w:szCs w:val="22"/>
        </w:rPr>
        <w:tab/>
      </w:r>
      <w:r w:rsidR="005850D2">
        <w:rPr>
          <w:rFonts w:ascii="Arial" w:hAnsi="Arial"/>
          <w:sz w:val="22"/>
          <w:szCs w:val="22"/>
        </w:rPr>
        <w:tab/>
        <w:t xml:space="preserve">   </w:t>
      </w:r>
      <w:r>
        <w:rPr>
          <w:rFonts w:ascii="Arial" w:hAnsi="Arial"/>
          <w:sz w:val="22"/>
          <w:szCs w:val="22"/>
        </w:rPr>
        <w:t>3,424,403</w:t>
      </w:r>
    </w:p>
    <w:p w:rsidR="00461FC5" w:rsidRPr="00D70023" w:rsidRDefault="00461FC5" w:rsidP="00D87DA4">
      <w:pPr>
        <w:widowControl/>
        <w:numPr>
          <w:ilvl w:val="0"/>
          <w:numId w:val="13"/>
        </w:numPr>
        <w:overflowPunct w:val="0"/>
        <w:autoSpaceDE/>
        <w:autoSpaceDN/>
        <w:adjustRightInd/>
        <w:spacing w:line="276" w:lineRule="auto"/>
        <w:jc w:val="both"/>
        <w:rPr>
          <w:rFonts w:ascii="Arial" w:hAnsi="Arial" w:cs="Arial"/>
          <w:sz w:val="22"/>
          <w:szCs w:val="22"/>
        </w:rPr>
      </w:pPr>
      <w:r>
        <w:rPr>
          <w:rFonts w:ascii="Arial" w:hAnsi="Arial"/>
          <w:sz w:val="22"/>
          <w:szCs w:val="22"/>
        </w:rPr>
        <w:t xml:space="preserve">Share on profit and loss (%): </w:t>
      </w:r>
      <w:r>
        <w:rPr>
          <w:rFonts w:ascii="Arial" w:hAnsi="Arial"/>
          <w:sz w:val="22"/>
          <w:szCs w:val="22"/>
        </w:rPr>
        <w:tab/>
      </w:r>
      <w:r>
        <w:rPr>
          <w:rFonts w:ascii="Arial" w:hAnsi="Arial"/>
          <w:sz w:val="22"/>
          <w:szCs w:val="22"/>
        </w:rPr>
        <w:tab/>
        <w:t xml:space="preserve">                 </w:t>
      </w:r>
      <w:r w:rsidR="005850D2">
        <w:rPr>
          <w:rFonts w:ascii="Arial" w:hAnsi="Arial"/>
          <w:sz w:val="22"/>
          <w:szCs w:val="22"/>
        </w:rPr>
        <w:t xml:space="preserve">                        </w:t>
      </w:r>
      <w:r>
        <w:rPr>
          <w:rFonts w:ascii="Arial" w:hAnsi="Arial"/>
          <w:sz w:val="22"/>
          <w:szCs w:val="22"/>
        </w:rPr>
        <w:t>11.9861</w:t>
      </w:r>
    </w:p>
    <w:p w:rsidR="00461FC5" w:rsidRPr="00D70023" w:rsidRDefault="00461FC5" w:rsidP="00461FC5">
      <w:pPr>
        <w:widowControl/>
        <w:overflowPunct w:val="0"/>
        <w:spacing w:line="276" w:lineRule="auto"/>
        <w:jc w:val="both"/>
        <w:textAlignment w:val="baseline"/>
        <w:rPr>
          <w:rFonts w:ascii="Arial" w:hAnsi="Arial" w:cs="Arial"/>
          <w:sz w:val="22"/>
          <w:szCs w:val="22"/>
          <w:lang w:eastAsia="en-US"/>
        </w:rPr>
      </w:pPr>
    </w:p>
    <w:p w:rsidR="00461FC5" w:rsidRPr="00D70023" w:rsidRDefault="00461FC5" w:rsidP="00461FC5">
      <w:pPr>
        <w:widowControl/>
        <w:overflowPunct w:val="0"/>
        <w:spacing w:line="276" w:lineRule="auto"/>
        <w:jc w:val="both"/>
        <w:textAlignment w:val="baseline"/>
        <w:rPr>
          <w:rFonts w:ascii="Arial" w:hAnsi="Arial" w:cs="Arial"/>
          <w:sz w:val="22"/>
          <w:szCs w:val="22"/>
        </w:rPr>
      </w:pPr>
      <w:r>
        <w:rPr>
          <w:rFonts w:ascii="Arial" w:hAnsi="Arial"/>
          <w:sz w:val="22"/>
          <w:szCs w:val="22"/>
        </w:rPr>
        <w:t>Majorit</w:t>
      </w:r>
      <w:r w:rsidR="005850D2">
        <w:rPr>
          <w:rFonts w:ascii="Arial" w:hAnsi="Arial"/>
          <w:sz w:val="22"/>
          <w:szCs w:val="22"/>
        </w:rPr>
        <w:t xml:space="preserve">y shareholder of CONPET </w:t>
      </w:r>
      <w:proofErr w:type="gramStart"/>
      <w:r w:rsidR="005850D2">
        <w:rPr>
          <w:rFonts w:ascii="Arial" w:hAnsi="Arial"/>
          <w:sz w:val="22"/>
          <w:szCs w:val="22"/>
        </w:rPr>
        <w:t>company</w:t>
      </w:r>
      <w:proofErr w:type="gramEnd"/>
      <w:r>
        <w:rPr>
          <w:rFonts w:ascii="Arial" w:hAnsi="Arial"/>
          <w:sz w:val="22"/>
          <w:szCs w:val="22"/>
        </w:rPr>
        <w:t xml:space="preserve"> is the Romanian State. The rights and duties of the Romanian State, as majority shareholder, shall be exercised in the General Meetings of Shareholders, by the Ministry of Energy, under whose authority is placed the company, through specifically designated representatives. </w:t>
      </w:r>
    </w:p>
    <w:p w:rsidR="00461FC5" w:rsidRPr="00D70023" w:rsidRDefault="00461FC5" w:rsidP="00461FC5">
      <w:pPr>
        <w:widowControl/>
        <w:tabs>
          <w:tab w:val="left" w:pos="6840"/>
        </w:tabs>
        <w:overflowPunct w:val="0"/>
        <w:spacing w:line="276" w:lineRule="auto"/>
        <w:ind w:right="-15"/>
        <w:jc w:val="both"/>
        <w:textAlignment w:val="baseline"/>
        <w:rPr>
          <w:rFonts w:ascii="Arial" w:hAnsi="Arial" w:cs="Arial"/>
          <w:sz w:val="22"/>
          <w:szCs w:val="22"/>
          <w:lang w:eastAsia="en-US"/>
        </w:rPr>
      </w:pPr>
    </w:p>
    <w:p w:rsidR="00461FC5" w:rsidRPr="00D70023" w:rsidRDefault="00461FC5" w:rsidP="00461FC5">
      <w:pPr>
        <w:widowControl/>
        <w:tabs>
          <w:tab w:val="left" w:pos="6840"/>
        </w:tabs>
        <w:overflowPunct w:val="0"/>
        <w:spacing w:line="276" w:lineRule="auto"/>
        <w:ind w:right="-15"/>
        <w:jc w:val="both"/>
        <w:textAlignment w:val="baseline"/>
        <w:rPr>
          <w:rFonts w:ascii="Arial" w:hAnsi="Arial" w:cs="Arial"/>
          <w:sz w:val="22"/>
          <w:szCs w:val="22"/>
        </w:rPr>
      </w:pPr>
      <w:r>
        <w:rPr>
          <w:rFonts w:ascii="Arial" w:hAnsi="Arial"/>
          <w:sz w:val="22"/>
          <w:szCs w:val="22"/>
        </w:rPr>
        <w:t>The shareholders exercise their rights at the General Meeting of Shareholders (“GMS”), which is the highest decision-making body of the company.  The powers of approval of the General Meeting of Shareholders, the organization and validity conditions of these meetings are set out in the Articles of Incorporation of the company, in accordance with the applicable regulations, and are supplemented with the incident legal provisions.  Both the Articles of Incorporation of the company and shareholders’ rights are posted on the company’s website at the following addresses:</w:t>
      </w:r>
    </w:p>
    <w:p w:rsidR="00461FC5" w:rsidRPr="00D70023" w:rsidRDefault="00461FC5" w:rsidP="00461FC5">
      <w:pPr>
        <w:widowControl/>
        <w:tabs>
          <w:tab w:val="left" w:pos="6840"/>
        </w:tabs>
        <w:overflowPunct w:val="0"/>
        <w:spacing w:line="276" w:lineRule="auto"/>
        <w:ind w:right="-15"/>
        <w:jc w:val="both"/>
        <w:textAlignment w:val="baseline"/>
        <w:rPr>
          <w:rFonts w:ascii="Arial" w:hAnsi="Arial" w:cs="Arial"/>
          <w:sz w:val="22"/>
          <w:szCs w:val="22"/>
          <w:u w:val="single"/>
        </w:rPr>
      </w:pPr>
      <w:r>
        <w:rPr>
          <w:rFonts w:ascii="Arial" w:hAnsi="Arial"/>
          <w:sz w:val="22"/>
          <w:szCs w:val="22"/>
          <w:u w:val="single"/>
        </w:rPr>
        <w:t>https://www.conpet.ro/wp-content/uploads/2015/11/Act-Constitutiv-la-17.05.2018.pdf</w:t>
      </w:r>
    </w:p>
    <w:p w:rsidR="00461FC5" w:rsidRPr="00D70023" w:rsidRDefault="003F1507" w:rsidP="00461FC5">
      <w:pPr>
        <w:widowControl/>
        <w:tabs>
          <w:tab w:val="left" w:pos="6840"/>
        </w:tabs>
        <w:overflowPunct w:val="0"/>
        <w:spacing w:line="276" w:lineRule="auto"/>
        <w:ind w:right="-15"/>
        <w:jc w:val="both"/>
        <w:textAlignment w:val="baseline"/>
        <w:rPr>
          <w:rFonts w:ascii="Arial" w:hAnsi="Arial" w:cs="Arial"/>
          <w:sz w:val="22"/>
          <w:szCs w:val="22"/>
        </w:rPr>
      </w:pPr>
      <w:hyperlink r:id="rId29" w:history="1">
        <w:r w:rsidR="00A53EA5">
          <w:rPr>
            <w:rFonts w:ascii="Arial" w:hAnsi="Arial"/>
            <w:sz w:val="22"/>
            <w:szCs w:val="22"/>
            <w:u w:val="single"/>
          </w:rPr>
          <w:t>http://www.CONPET.ro/relatia-cu-investitorii/info-actionari/</w:t>
        </w:r>
      </w:hyperlink>
      <w:r w:rsidR="00A53EA5">
        <w:rPr>
          <w:rFonts w:ascii="Arial" w:hAnsi="Arial"/>
          <w:sz w:val="22"/>
          <w:szCs w:val="22"/>
        </w:rPr>
        <w:t xml:space="preserve"> </w:t>
      </w:r>
    </w:p>
    <w:p w:rsidR="00461FC5" w:rsidRPr="00D70023" w:rsidRDefault="00461FC5" w:rsidP="00461FC5">
      <w:pPr>
        <w:widowControl/>
        <w:overflowPunct w:val="0"/>
        <w:spacing w:line="276" w:lineRule="auto"/>
        <w:jc w:val="both"/>
        <w:textAlignment w:val="baseline"/>
        <w:rPr>
          <w:rFonts w:ascii="Arial" w:hAnsi="Arial" w:cs="Arial"/>
          <w:sz w:val="22"/>
          <w:szCs w:val="22"/>
          <w:lang w:eastAsia="en-US"/>
        </w:rPr>
      </w:pPr>
    </w:p>
    <w:p w:rsidR="00461FC5" w:rsidRPr="00D70023" w:rsidRDefault="00461FC5" w:rsidP="00461FC5">
      <w:pPr>
        <w:widowControl/>
        <w:overflowPunct w:val="0"/>
        <w:spacing w:after="260" w:line="276" w:lineRule="auto"/>
        <w:jc w:val="both"/>
        <w:textAlignment w:val="baseline"/>
        <w:rPr>
          <w:rFonts w:ascii="Arial" w:hAnsi="Arial" w:cs="Arial"/>
          <w:sz w:val="22"/>
          <w:szCs w:val="22"/>
        </w:rPr>
      </w:pPr>
      <w:r>
        <w:rPr>
          <w:rFonts w:ascii="Arial" w:hAnsi="Arial"/>
          <w:sz w:val="22"/>
          <w:szCs w:val="22"/>
        </w:rPr>
        <w:t>According to the law, each subscribed and paid share gives the holder the right to one vote in the General Meeting of Shareholders, the right to elect and to be elected to the governing bodies, the right to participate in the distribution of dividends according to the provisions of the Articles of Incorporation and of the legal dispositions, as well as other rights provided for by them.</w:t>
      </w:r>
    </w:p>
    <w:p w:rsidR="00461FC5" w:rsidRPr="00D70023" w:rsidRDefault="00461FC5" w:rsidP="00461FC5">
      <w:pPr>
        <w:widowControl/>
        <w:overflowPunct w:val="0"/>
        <w:spacing w:after="345" w:line="276" w:lineRule="auto"/>
        <w:jc w:val="both"/>
        <w:textAlignment w:val="baseline"/>
        <w:rPr>
          <w:rFonts w:ascii="Arial" w:hAnsi="Arial" w:cs="Arial"/>
          <w:sz w:val="22"/>
          <w:szCs w:val="22"/>
        </w:rPr>
      </w:pPr>
      <w:r>
        <w:rPr>
          <w:rFonts w:ascii="Arial" w:hAnsi="Arial"/>
          <w:sz w:val="22"/>
          <w:szCs w:val="22"/>
        </w:rPr>
        <w:t xml:space="preserve">Shareholders are entitled to a fair and complete information in the General Meeting of Shareholders on the company’s situation.  </w:t>
      </w:r>
    </w:p>
    <w:p w:rsidR="00461FC5" w:rsidRPr="00D70023" w:rsidRDefault="00461FC5" w:rsidP="00461FC5">
      <w:pPr>
        <w:widowControl/>
        <w:overflowPunct w:val="0"/>
        <w:spacing w:after="260" w:line="276" w:lineRule="auto"/>
        <w:jc w:val="both"/>
        <w:textAlignment w:val="baseline"/>
        <w:rPr>
          <w:rFonts w:ascii="Arial" w:hAnsi="Arial" w:cs="Arial"/>
          <w:sz w:val="22"/>
          <w:szCs w:val="22"/>
        </w:rPr>
      </w:pPr>
      <w:r>
        <w:rPr>
          <w:rFonts w:ascii="Arial" w:hAnsi="Arial"/>
          <w:sz w:val="22"/>
          <w:szCs w:val="22"/>
        </w:rPr>
        <w:t>In order to provide equal treatment and full and fair exercise of all shareholders’ rights, the CONPET makes available to them all relevant information regarding the GMS and adopted decisions, according to the law, both by mass-communication means and in the special section open on the company’s website.</w:t>
      </w:r>
    </w:p>
    <w:p w:rsidR="00461FC5" w:rsidRPr="00D70023" w:rsidRDefault="00461FC5" w:rsidP="00461FC5">
      <w:pPr>
        <w:widowControl/>
        <w:overflowPunct w:val="0"/>
        <w:spacing w:after="260" w:line="276" w:lineRule="auto"/>
        <w:jc w:val="both"/>
        <w:textAlignment w:val="baseline"/>
        <w:rPr>
          <w:rFonts w:ascii="Arial" w:hAnsi="Arial" w:cs="Arial"/>
          <w:sz w:val="22"/>
          <w:szCs w:val="22"/>
        </w:rPr>
      </w:pPr>
      <w:r>
        <w:rPr>
          <w:rFonts w:ascii="Arial" w:hAnsi="Arial"/>
          <w:sz w:val="22"/>
          <w:szCs w:val="22"/>
        </w:rPr>
        <w:t>CONPET pays all diligence, in compliance with the requirements of the legislation in the area, to ease the participation of the shareholders in the sessions of the General Meetings, as well as for the full exercise of the rights thereof.  The shareholders may take part and vote, in person, in the General Meeting of Shareholders, but also have the possibility to exercise the vote by representation or by correspondence.</w:t>
      </w:r>
    </w:p>
    <w:p w:rsidR="00461FC5" w:rsidRPr="00D70023" w:rsidRDefault="00461FC5" w:rsidP="00461FC5">
      <w:pPr>
        <w:widowControl/>
        <w:overflowPunct w:val="0"/>
        <w:spacing w:after="260" w:line="276" w:lineRule="auto"/>
        <w:jc w:val="both"/>
        <w:textAlignment w:val="baseline"/>
        <w:rPr>
          <w:rFonts w:ascii="Arial" w:hAnsi="Arial" w:cs="Arial"/>
          <w:sz w:val="22"/>
          <w:szCs w:val="22"/>
        </w:rPr>
      </w:pPr>
      <w:r>
        <w:rPr>
          <w:rFonts w:ascii="Arial" w:hAnsi="Arial"/>
          <w:sz w:val="22"/>
          <w:szCs w:val="22"/>
        </w:rPr>
        <w:t>The General Meeting of Shareholders is opened and presided by the Chairman of the Board of Administration or, in his absence, by another administrator appointed by the Chairman of the Board of Administration.</w:t>
      </w:r>
    </w:p>
    <w:p w:rsidR="00461FC5" w:rsidRDefault="00461FC5" w:rsidP="00643AAB">
      <w:pPr>
        <w:widowControl/>
        <w:overflowPunct w:val="0"/>
        <w:spacing w:before="120"/>
        <w:jc w:val="both"/>
        <w:textAlignment w:val="baseline"/>
        <w:rPr>
          <w:rFonts w:ascii="Arial" w:hAnsi="Arial" w:cs="Arial"/>
          <w:sz w:val="22"/>
          <w:szCs w:val="22"/>
        </w:rPr>
      </w:pPr>
      <w:r>
        <w:rPr>
          <w:rFonts w:ascii="Arial" w:hAnsi="Arial"/>
          <w:sz w:val="22"/>
          <w:szCs w:val="22"/>
        </w:rPr>
        <w:lastRenderedPageBreak/>
        <w:t>During the General Meetings of Shareholders, the dialog between the shareholders and the members of the Board of Administration and/or the Director General is allowed and encouraged.  Each shareholder may address questions to the administrators regarding the company activity, according to the legal provisions.</w:t>
      </w:r>
    </w:p>
    <w:p w:rsidR="00461FC5" w:rsidRPr="00D70023" w:rsidRDefault="00461FC5" w:rsidP="00643AAB">
      <w:pPr>
        <w:widowControl/>
        <w:overflowPunct w:val="0"/>
        <w:spacing w:before="120"/>
        <w:jc w:val="both"/>
        <w:textAlignment w:val="baseline"/>
        <w:rPr>
          <w:rFonts w:ascii="Arial" w:hAnsi="Arial" w:cs="Arial"/>
          <w:sz w:val="22"/>
          <w:szCs w:val="22"/>
        </w:rPr>
      </w:pPr>
      <w:r>
        <w:rPr>
          <w:rFonts w:ascii="Arial" w:hAnsi="Arial"/>
          <w:sz w:val="22"/>
          <w:szCs w:val="22"/>
        </w:rPr>
        <w:t xml:space="preserve">The decisions made by the General Meetings of Shareholders within the limits of the law and of the Articles of Incorporation are mandatory even for the shareholders who did not take part in the meeting or voted </w:t>
      </w:r>
      <w:proofErr w:type="gramStart"/>
      <w:r>
        <w:rPr>
          <w:rFonts w:ascii="Arial" w:hAnsi="Arial"/>
          <w:sz w:val="22"/>
          <w:szCs w:val="22"/>
        </w:rPr>
        <w:t>against</w:t>
      </w:r>
      <w:proofErr w:type="gramEnd"/>
      <w:r>
        <w:rPr>
          <w:rFonts w:ascii="Arial" w:hAnsi="Arial"/>
          <w:sz w:val="22"/>
          <w:szCs w:val="22"/>
        </w:rPr>
        <w:t>.</w:t>
      </w:r>
    </w:p>
    <w:p w:rsidR="00461FC5" w:rsidRPr="00D70023" w:rsidRDefault="00461FC5" w:rsidP="00461FC5">
      <w:pPr>
        <w:widowControl/>
        <w:overflowPunct w:val="0"/>
        <w:spacing w:line="276" w:lineRule="auto"/>
        <w:jc w:val="both"/>
        <w:textAlignment w:val="baseline"/>
        <w:rPr>
          <w:rFonts w:ascii="Arial" w:hAnsi="Arial" w:cs="Arial"/>
          <w:sz w:val="22"/>
          <w:szCs w:val="22"/>
        </w:rPr>
      </w:pPr>
      <w:r>
        <w:rPr>
          <w:rFonts w:ascii="Arial" w:hAnsi="Arial"/>
          <w:sz w:val="22"/>
          <w:szCs w:val="22"/>
        </w:rPr>
        <w:t>The decisions of the General Meeting of Shareholders which are contrary to the law or the Articles of Incorporation can be challenged in court, according to the law.</w:t>
      </w:r>
    </w:p>
    <w:p w:rsidR="00461FC5" w:rsidRDefault="00461FC5" w:rsidP="00461FC5">
      <w:pPr>
        <w:spacing w:line="276" w:lineRule="auto"/>
        <w:jc w:val="both"/>
        <w:rPr>
          <w:rFonts w:ascii="Arial" w:hAnsi="Arial" w:cs="Arial"/>
          <w:b/>
          <w:bCs/>
          <w:color w:val="0070C0"/>
          <w:spacing w:val="-2"/>
          <w:sz w:val="22"/>
          <w:szCs w:val="22"/>
        </w:rPr>
      </w:pPr>
    </w:p>
    <w:p w:rsidR="00E76B83" w:rsidRDefault="00E76B83" w:rsidP="00E76B83">
      <w:pPr>
        <w:widowControl/>
        <w:overflowPunct w:val="0"/>
        <w:spacing w:line="276" w:lineRule="auto"/>
        <w:jc w:val="both"/>
        <w:textAlignment w:val="baseline"/>
        <w:rPr>
          <w:rFonts w:ascii="Arial" w:hAnsi="Arial"/>
          <w:b/>
          <w:bCs/>
          <w:color w:val="2E74B5" w:themeColor="accent1" w:themeShade="BF"/>
          <w:sz w:val="22"/>
          <w:szCs w:val="22"/>
        </w:rPr>
      </w:pPr>
      <w:r w:rsidRPr="00FB0D77">
        <w:rPr>
          <w:rFonts w:ascii="Arial" w:hAnsi="Arial"/>
          <w:b/>
          <w:bCs/>
          <w:color w:val="2E74B5" w:themeColor="accent1" w:themeShade="BF"/>
          <w:sz w:val="22"/>
          <w:szCs w:val="22"/>
        </w:rPr>
        <w:t xml:space="preserve">The Board of Administration </w:t>
      </w:r>
    </w:p>
    <w:p w:rsidR="00FB0D77" w:rsidRPr="00FB0D77" w:rsidRDefault="00FB0D77" w:rsidP="00E76B83">
      <w:pPr>
        <w:widowControl/>
        <w:overflowPunct w:val="0"/>
        <w:spacing w:line="276" w:lineRule="auto"/>
        <w:jc w:val="both"/>
        <w:textAlignment w:val="baseline"/>
        <w:rPr>
          <w:rFonts w:ascii="Arial" w:hAnsi="Arial"/>
          <w:b/>
          <w:bCs/>
          <w:color w:val="2E74B5" w:themeColor="accent1" w:themeShade="BF"/>
          <w:sz w:val="22"/>
          <w:szCs w:val="22"/>
        </w:rPr>
      </w:pP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 xml:space="preserve">The Company is administered by a Board of Administration made of 7 members.  The Board of Administration is led by a </w:t>
      </w:r>
      <w:proofErr w:type="gramStart"/>
      <w:r w:rsidRPr="00E76B83">
        <w:rPr>
          <w:rFonts w:ascii="Arial" w:hAnsi="Arial"/>
          <w:bCs/>
          <w:sz w:val="22"/>
          <w:szCs w:val="22"/>
        </w:rPr>
        <w:t>chairman</w:t>
      </w:r>
      <w:proofErr w:type="gramEnd"/>
      <w:r w:rsidRPr="00E76B83">
        <w:rPr>
          <w:rFonts w:ascii="Arial" w:hAnsi="Arial"/>
          <w:bCs/>
          <w:sz w:val="22"/>
          <w:szCs w:val="22"/>
        </w:rPr>
        <w:t xml:space="preserve"> who cannot act </w:t>
      </w:r>
      <w:r w:rsidR="00DF6101">
        <w:rPr>
          <w:rFonts w:ascii="Arial" w:hAnsi="Arial"/>
          <w:bCs/>
          <w:sz w:val="22"/>
          <w:szCs w:val="22"/>
        </w:rPr>
        <w:t>as</w:t>
      </w:r>
      <w:r w:rsidRPr="00E76B83">
        <w:rPr>
          <w:rFonts w:ascii="Arial" w:hAnsi="Arial"/>
          <w:bCs/>
          <w:sz w:val="22"/>
          <w:szCs w:val="22"/>
        </w:rPr>
        <w:t xml:space="preserve"> Director General of the company.</w:t>
      </w: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 xml:space="preserve">Starting with 28.11.2017, the General Meeting of Shareholders appointed provisional Board of Administration members with a limited mandate for a duration of 4 months, respectively until 28.03.2018 or until the completion of the selection procedure provided by the EGO no. 109/2011 approved with subsequent amendments and completions by Law no. 111/2016, if this takes place prior to 4 months as of the appointment of the provisional administrators.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 xml:space="preserve">On 05.03.2018, the General </w:t>
      </w:r>
      <w:r w:rsidR="00DF6101">
        <w:rPr>
          <w:rFonts w:ascii="Arial" w:hAnsi="Arial"/>
          <w:bCs/>
          <w:sz w:val="22"/>
          <w:szCs w:val="22"/>
        </w:rPr>
        <w:t>M</w:t>
      </w:r>
      <w:r w:rsidRPr="00E76B83">
        <w:rPr>
          <w:rFonts w:ascii="Arial" w:hAnsi="Arial"/>
          <w:bCs/>
          <w:sz w:val="22"/>
          <w:szCs w:val="22"/>
        </w:rPr>
        <w:t>eeting of Shareholders approved the extension of the mandates of the administrators in capacity for a period of 2 months, respectively until the date of 28.05.2018.</w:t>
      </w:r>
    </w:p>
    <w:p w:rsidR="00E76B83" w:rsidRPr="00E76B83" w:rsidRDefault="00E76B83" w:rsidP="00E76B83">
      <w:pPr>
        <w:widowControl/>
        <w:overflowPunct w:val="0"/>
        <w:spacing w:line="276" w:lineRule="auto"/>
        <w:jc w:val="both"/>
        <w:textAlignment w:val="baseline"/>
        <w:rPr>
          <w:rFonts w:ascii="Arial" w:hAnsi="Arial"/>
          <w:bCs/>
          <w:sz w:val="22"/>
          <w:szCs w:val="22"/>
        </w:rPr>
      </w:pPr>
    </w:p>
    <w:p w:rsidR="00E76B83" w:rsidRPr="00E76B83" w:rsidRDefault="00E76B83" w:rsidP="00E76B83">
      <w:pPr>
        <w:widowControl/>
        <w:overflowPunct w:val="0"/>
        <w:spacing w:line="276" w:lineRule="auto"/>
        <w:jc w:val="both"/>
        <w:textAlignment w:val="baseline"/>
        <w:rPr>
          <w:rFonts w:ascii="Arial" w:hAnsi="Arial"/>
          <w:bCs/>
          <w:sz w:val="22"/>
          <w:szCs w:val="22"/>
        </w:rPr>
      </w:pPr>
      <w:proofErr w:type="gramStart"/>
      <w:r w:rsidRPr="00E76B83">
        <w:rPr>
          <w:rFonts w:ascii="Arial" w:hAnsi="Arial"/>
          <w:bCs/>
          <w:sz w:val="22"/>
          <w:szCs w:val="22"/>
        </w:rPr>
        <w:t>Starting with 17.05.2018, the General Meeting of Shareholders revoked the Board of Administration members and appointed, by the application of the cumulative voting method, the new Board of Administration formed of 7 members, for a duration of 4 months, respectively until 17.09.2018, or until the completion of the selection procedure provided by the EGO no. 109/2011 approved with subsequent amendments and completions by Law no. 111/2016, if this takes place prior to the expiry date of the administrators’ mandate</w:t>
      </w:r>
      <w:r w:rsidR="00DF6101">
        <w:rPr>
          <w:rFonts w:ascii="Arial" w:hAnsi="Arial"/>
          <w:bCs/>
          <w:sz w:val="22"/>
          <w:szCs w:val="22"/>
        </w:rPr>
        <w:t>s</w:t>
      </w:r>
      <w:r w:rsidRPr="00E76B83">
        <w:rPr>
          <w:rFonts w:ascii="Arial" w:hAnsi="Arial"/>
          <w:bCs/>
          <w:sz w:val="22"/>
          <w:szCs w:val="22"/>
        </w:rPr>
        <w:t>.</w:t>
      </w:r>
      <w:proofErr w:type="gramEnd"/>
      <w:r w:rsidRPr="00E76B83">
        <w:rPr>
          <w:rFonts w:ascii="Arial" w:hAnsi="Arial"/>
          <w:bCs/>
          <w:sz w:val="22"/>
          <w:szCs w:val="22"/>
        </w:rPr>
        <w:t xml:space="preserve"> </w:t>
      </w:r>
    </w:p>
    <w:p w:rsidR="00E76B83" w:rsidRPr="00E76B83" w:rsidRDefault="00E76B83" w:rsidP="00E76B83">
      <w:pPr>
        <w:widowControl/>
        <w:overflowPunct w:val="0"/>
        <w:spacing w:line="276" w:lineRule="auto"/>
        <w:jc w:val="both"/>
        <w:textAlignment w:val="baseline"/>
        <w:rPr>
          <w:rFonts w:ascii="Arial" w:hAnsi="Arial"/>
          <w:bCs/>
          <w:sz w:val="22"/>
          <w:szCs w:val="22"/>
        </w:rPr>
      </w:pP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The current constituency of the Board of Administration is the following:</w:t>
      </w:r>
    </w:p>
    <w:p w:rsidR="00E76B83" w:rsidRPr="00E76B83" w:rsidRDefault="00E76B83" w:rsidP="00E76B83">
      <w:pPr>
        <w:widowControl/>
        <w:overflowPunct w:val="0"/>
        <w:spacing w:line="276" w:lineRule="auto"/>
        <w:jc w:val="both"/>
        <w:textAlignment w:val="baseline"/>
        <w:rPr>
          <w:rFonts w:ascii="Arial" w:hAnsi="Arial"/>
          <w:bCs/>
          <w:sz w:val="22"/>
          <w:szCs w:val="22"/>
        </w:rPr>
      </w:pP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Stan – Olteanu Manuela - Petronela, Romanian citizen;</w:t>
      </w: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Văduva Constantin, Romanian citizen;</w:t>
      </w: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 xml:space="preserve">Iacob Constantin - Ciprian, Romanian citizen; </w:t>
      </w: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Popa Claudiu - Aurelian, Romanian citizen;</w:t>
      </w: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Matei Ion - Cristian, Romanian citizen;</w:t>
      </w: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 xml:space="preserve">Gavrilă Florin - Daniel, Romanian citizen; </w:t>
      </w: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Ilași Liviu, Romanian citizen.</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 xml:space="preserve">The Board of Administration structure is diverse, comprising both women and </w:t>
      </w:r>
      <w:r w:rsidR="00DF6101">
        <w:rPr>
          <w:rFonts w:ascii="Arial" w:hAnsi="Arial"/>
          <w:bCs/>
          <w:sz w:val="22"/>
          <w:szCs w:val="22"/>
        </w:rPr>
        <w:t>men, of different professions (E</w:t>
      </w:r>
      <w:r w:rsidRPr="00E76B83">
        <w:rPr>
          <w:rFonts w:ascii="Arial" w:hAnsi="Arial"/>
          <w:bCs/>
          <w:sz w:val="22"/>
          <w:szCs w:val="22"/>
        </w:rPr>
        <w:t xml:space="preserve">ngineers, Jurists and </w:t>
      </w:r>
      <w:r w:rsidR="00DF6101">
        <w:rPr>
          <w:rFonts w:ascii="Arial" w:hAnsi="Arial"/>
          <w:bCs/>
          <w:sz w:val="22"/>
          <w:szCs w:val="22"/>
        </w:rPr>
        <w:t>E</w:t>
      </w:r>
      <w:r w:rsidRPr="00E76B83">
        <w:rPr>
          <w:rFonts w:ascii="Arial" w:hAnsi="Arial"/>
          <w:bCs/>
          <w:sz w:val="22"/>
          <w:szCs w:val="22"/>
        </w:rPr>
        <w:t>conomists) with professional experience in the energy, banking, investments, consultancy</w:t>
      </w:r>
      <w:r w:rsidR="00DF6101">
        <w:rPr>
          <w:rFonts w:ascii="Arial" w:hAnsi="Arial"/>
          <w:bCs/>
          <w:sz w:val="22"/>
          <w:szCs w:val="22"/>
        </w:rPr>
        <w:t xml:space="preserve"> domains</w:t>
      </w:r>
      <w:r w:rsidRPr="00E76B83">
        <w:rPr>
          <w:rFonts w:ascii="Arial" w:hAnsi="Arial"/>
          <w:bCs/>
          <w:sz w:val="22"/>
          <w:szCs w:val="22"/>
        </w:rPr>
        <w:t>.</w:t>
      </w: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 xml:space="preserve">The CV’s of the members of the Board of Administration of CONPET S.A. are available on the company’s website https://www.conpet.ro/en/corporate-governance/board-of-administration/. </w:t>
      </w: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t xml:space="preserve">The administrator Ilasi Liviu holds a number of 40 shares issued by the company, the administrator Gavrila Dorin holds 50 shares, the other administrators not holding any participation to the share capital of CONPET </w:t>
      </w:r>
      <w:proofErr w:type="gramStart"/>
      <w:r w:rsidRPr="00E76B83">
        <w:rPr>
          <w:rFonts w:ascii="Arial" w:hAnsi="Arial"/>
          <w:bCs/>
          <w:sz w:val="22"/>
          <w:szCs w:val="22"/>
        </w:rPr>
        <w:t>S.A..</w:t>
      </w:r>
      <w:proofErr w:type="gramEnd"/>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Cs/>
          <w:sz w:val="22"/>
          <w:szCs w:val="22"/>
        </w:rPr>
      </w:pPr>
      <w:r w:rsidRPr="00E76B83">
        <w:rPr>
          <w:rFonts w:ascii="Arial" w:hAnsi="Arial"/>
          <w:bCs/>
          <w:sz w:val="22"/>
          <w:szCs w:val="22"/>
        </w:rPr>
        <w:lastRenderedPageBreak/>
        <w:t>The Articles of Incorporation of CONPET S.A</w:t>
      </w:r>
      <w:proofErr w:type="gramStart"/>
      <w:r w:rsidRPr="00E76B83">
        <w:rPr>
          <w:rFonts w:ascii="Arial" w:hAnsi="Arial"/>
          <w:bCs/>
          <w:sz w:val="22"/>
          <w:szCs w:val="22"/>
        </w:rPr>
        <w:t>. ,</w:t>
      </w:r>
      <w:proofErr w:type="gramEnd"/>
      <w:r w:rsidRPr="00E76B83">
        <w:rPr>
          <w:rFonts w:ascii="Arial" w:hAnsi="Arial"/>
          <w:bCs/>
          <w:sz w:val="22"/>
          <w:szCs w:val="22"/>
        </w:rPr>
        <w:t xml:space="preserve"> updated at 17.05.2018, regulates the attributions, responsibilities and competencies of the Board of </w:t>
      </w:r>
      <w:r>
        <w:rPr>
          <w:rFonts w:ascii="Arial" w:hAnsi="Arial"/>
          <w:bCs/>
          <w:sz w:val="22"/>
          <w:szCs w:val="22"/>
        </w:rPr>
        <w:t>Administration.</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 xml:space="preserve">The Board of Administration performs its </w:t>
      </w:r>
      <w:proofErr w:type="gramStart"/>
      <w:r w:rsidRPr="006A7F45">
        <w:rPr>
          <w:rFonts w:ascii="Arial" w:hAnsi="Arial"/>
          <w:bCs/>
          <w:sz w:val="22"/>
          <w:szCs w:val="22"/>
        </w:rPr>
        <w:t>business  based</w:t>
      </w:r>
      <w:proofErr w:type="gramEnd"/>
      <w:r w:rsidRPr="006A7F45">
        <w:rPr>
          <w:rFonts w:ascii="Arial" w:hAnsi="Arial"/>
          <w:bCs/>
          <w:sz w:val="22"/>
          <w:szCs w:val="22"/>
        </w:rPr>
        <w:t xml:space="preserve"> on the Rules of the Organization and Functioning set under the provisions of Law no.31/1990, republished, subsequent amendments and completions and with the Articles of Incorporation of CONPET S.A..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 xml:space="preserve">The terms of reference of the Board of Administration may be consulted at the web page: </w:t>
      </w:r>
      <w:r w:rsidR="006A7F45" w:rsidRPr="006A7F45">
        <w:rPr>
          <w:rFonts w:ascii="Arial" w:hAnsi="Arial"/>
          <w:bCs/>
          <w:sz w:val="22"/>
          <w:szCs w:val="22"/>
        </w:rPr>
        <w:t>https://www.conpet.ro/guvernanta-corporativa/consiliul-de-administratie/</w:t>
      </w:r>
      <w:r w:rsidRPr="006A7F45">
        <w:rPr>
          <w:rFonts w:ascii="Arial" w:hAnsi="Arial"/>
          <w:bCs/>
          <w:sz w:val="22"/>
          <w:szCs w:val="22"/>
        </w:rPr>
        <w:t xml:space="preserve">.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FB0D77" w:rsidRDefault="00E76B83" w:rsidP="00E76B83">
      <w:pPr>
        <w:widowControl/>
        <w:overflowPunct w:val="0"/>
        <w:spacing w:line="276" w:lineRule="auto"/>
        <w:jc w:val="both"/>
        <w:textAlignment w:val="baseline"/>
        <w:rPr>
          <w:rFonts w:ascii="Arial" w:hAnsi="Arial"/>
          <w:b/>
          <w:bCs/>
          <w:color w:val="2E74B5" w:themeColor="accent1" w:themeShade="BF"/>
          <w:sz w:val="22"/>
          <w:szCs w:val="22"/>
        </w:rPr>
      </w:pPr>
      <w:r w:rsidRPr="00FB0D77">
        <w:rPr>
          <w:rFonts w:ascii="Arial" w:hAnsi="Arial"/>
          <w:b/>
          <w:bCs/>
          <w:color w:val="2E74B5" w:themeColor="accent1" w:themeShade="BF"/>
          <w:sz w:val="22"/>
          <w:szCs w:val="22"/>
        </w:rPr>
        <w:t xml:space="preserve">Consultative Committees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 xml:space="preserve">For the observance of the legal provisions specific to the capital market, the Board of </w:t>
      </w:r>
      <w:proofErr w:type="gramStart"/>
      <w:r w:rsidRPr="006A7F45">
        <w:rPr>
          <w:rFonts w:ascii="Arial" w:hAnsi="Arial"/>
          <w:bCs/>
          <w:sz w:val="22"/>
          <w:szCs w:val="22"/>
        </w:rPr>
        <w:t>Administration  has</w:t>
      </w:r>
      <w:proofErr w:type="gramEnd"/>
      <w:r w:rsidRPr="006A7F45">
        <w:rPr>
          <w:rFonts w:ascii="Arial" w:hAnsi="Arial"/>
          <w:bCs/>
          <w:sz w:val="22"/>
          <w:szCs w:val="22"/>
        </w:rPr>
        <w:t xml:space="preserve"> established Consultative Committees in the following structure:</w:t>
      </w:r>
    </w:p>
    <w:p w:rsidR="00E76B83" w:rsidRPr="006A7F45" w:rsidRDefault="00E76B83" w:rsidP="00E76B83">
      <w:pPr>
        <w:widowControl/>
        <w:overflowPunct w:val="0"/>
        <w:spacing w:line="276" w:lineRule="auto"/>
        <w:jc w:val="both"/>
        <w:textAlignment w:val="baseline"/>
        <w:rPr>
          <w:rFonts w:ascii="Arial" w:hAnsi="Arial"/>
          <w:bCs/>
          <w:sz w:val="22"/>
          <w:szCs w:val="22"/>
        </w:rPr>
      </w:pP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The Audit Committee;</w:t>
      </w: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The Nomination and Remuneration Committee;</w:t>
      </w: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The Finance and Investor Relations Committee;</w:t>
      </w: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 xml:space="preserve">The Committee for Development and Relation with the Authorities (established by  </w:t>
      </w: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joining the Committee for Relation with the Regulatory and Energy Authorities and the Development Committee, as per the BoA Decision no. 18/ 28.11.2017).</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 xml:space="preserve">The Consultative Committees have attributions set by the Internal Regulation for the Organization and Functioning of the Consultative Committees established at the Board of Administration level and are liable for the carry on of analyses and preparation of recommendations for the Board of Administration in the specific areas, submitting reports to the latter regarding the activities performed.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 xml:space="preserve">The consultative committees meet whenever necessary, at the President call, and the proposals/recommendations formulated by the Board of Administration (for the substantiation of </w:t>
      </w:r>
      <w:r w:rsidR="00DF6101">
        <w:rPr>
          <w:rFonts w:ascii="Arial" w:hAnsi="Arial"/>
          <w:bCs/>
          <w:sz w:val="22"/>
          <w:szCs w:val="22"/>
        </w:rPr>
        <w:t>its</w:t>
      </w:r>
      <w:r w:rsidRPr="006A7F45">
        <w:rPr>
          <w:rFonts w:ascii="Arial" w:hAnsi="Arial"/>
          <w:bCs/>
          <w:sz w:val="22"/>
          <w:szCs w:val="22"/>
        </w:rPr>
        <w:t xml:space="preserve"> resolutions made) adopt by majority of expressed votes. The attributions and responsibilities of the consultative committees are being established by the Board of Administration.</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 xml:space="preserve">The Board of Administration may set up as well, by resolution, other consultative committees, in different areas of activity, pursuant to the company’s necessities and the management strategy thereof. At least one member of each consultative committee should be non-executive independent administrator. </w:t>
      </w: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The audit and remuneration committees are made up exclusively of non-executive administrators. At least one member of the audit committee must have expertise in the application of the accounting policies or financial audit.</w:t>
      </w: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 xml:space="preserve">The terms of reference of the Consultative Committees may be consulted at the web page: www.CONPET.ro/ guvernanţă corporativă/ RIOF for the Consultative Committees established at the Board of Administration level. </w:t>
      </w:r>
    </w:p>
    <w:p w:rsidR="00E76B83" w:rsidRPr="006A7F45" w:rsidRDefault="00E76B83" w:rsidP="00E76B83">
      <w:pPr>
        <w:widowControl/>
        <w:overflowPunct w:val="0"/>
        <w:spacing w:line="276" w:lineRule="auto"/>
        <w:jc w:val="both"/>
        <w:textAlignment w:val="baseline"/>
        <w:rPr>
          <w:rFonts w:ascii="Arial" w:hAnsi="Arial"/>
          <w:bCs/>
          <w:sz w:val="22"/>
          <w:szCs w:val="22"/>
        </w:rPr>
      </w:pPr>
    </w:p>
    <w:p w:rsidR="00E76B83" w:rsidRPr="006A7F45" w:rsidRDefault="00E76B83" w:rsidP="00E76B83">
      <w:pPr>
        <w:widowControl/>
        <w:overflowPunct w:val="0"/>
        <w:spacing w:line="276" w:lineRule="auto"/>
        <w:jc w:val="both"/>
        <w:textAlignment w:val="baseline"/>
        <w:rPr>
          <w:rFonts w:ascii="Arial" w:hAnsi="Arial"/>
          <w:bCs/>
          <w:sz w:val="22"/>
          <w:szCs w:val="22"/>
        </w:rPr>
      </w:pPr>
      <w:r w:rsidRPr="006A7F45">
        <w:rPr>
          <w:rFonts w:ascii="Arial" w:hAnsi="Arial"/>
          <w:bCs/>
          <w:sz w:val="22"/>
          <w:szCs w:val="22"/>
        </w:rPr>
        <w:t>During January - June 2018, the Board of Admi</w:t>
      </w:r>
      <w:r w:rsidR="00641468">
        <w:rPr>
          <w:rFonts w:ascii="Arial" w:hAnsi="Arial"/>
          <w:bCs/>
          <w:sz w:val="22"/>
          <w:szCs w:val="22"/>
        </w:rPr>
        <w:t xml:space="preserve">nistration organized </w:t>
      </w:r>
      <w:proofErr w:type="gramStart"/>
      <w:r w:rsidR="00641468">
        <w:rPr>
          <w:rFonts w:ascii="Arial" w:hAnsi="Arial"/>
          <w:bCs/>
          <w:sz w:val="22"/>
          <w:szCs w:val="22"/>
        </w:rPr>
        <w:t>9</w:t>
      </w:r>
      <w:proofErr w:type="gramEnd"/>
      <w:r w:rsidR="00641468">
        <w:rPr>
          <w:rFonts w:ascii="Arial" w:hAnsi="Arial"/>
          <w:bCs/>
          <w:sz w:val="22"/>
          <w:szCs w:val="22"/>
        </w:rPr>
        <w:t xml:space="preserve"> meetings</w:t>
      </w:r>
      <w:r w:rsidRPr="006A7F45">
        <w:rPr>
          <w:rFonts w:ascii="Arial" w:hAnsi="Arial"/>
          <w:bCs/>
          <w:sz w:val="22"/>
          <w:szCs w:val="22"/>
        </w:rPr>
        <w:t xml:space="preserve"> and the Consultative Committees had 13 meetings held.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Default="00E76B83" w:rsidP="006A7F45">
      <w:pPr>
        <w:overflowPunct w:val="0"/>
        <w:jc w:val="both"/>
        <w:textAlignment w:val="baseline"/>
        <w:rPr>
          <w:rFonts w:ascii="Arial" w:hAnsi="Arial"/>
          <w:bCs/>
          <w:sz w:val="22"/>
          <w:szCs w:val="22"/>
        </w:rPr>
      </w:pPr>
      <w:r w:rsidRPr="006A7F45">
        <w:rPr>
          <w:rFonts w:ascii="Arial" w:hAnsi="Arial"/>
          <w:bCs/>
          <w:sz w:val="22"/>
          <w:szCs w:val="22"/>
        </w:rPr>
        <w:t>The meetings of the Board of Administration took place according to the agenda transmitted to the administrators, the main decisions made having as object the followings:</w:t>
      </w:r>
    </w:p>
    <w:p w:rsidR="006A7F45" w:rsidRPr="006A7F45" w:rsidRDefault="006A7F45" w:rsidP="006A7F45">
      <w:pPr>
        <w:overflowPunct w:val="0"/>
        <w:jc w:val="both"/>
        <w:textAlignment w:val="baseline"/>
        <w:rPr>
          <w:rFonts w:ascii="Arial" w:hAnsi="Arial"/>
          <w:bCs/>
          <w:sz w:val="22"/>
          <w:szCs w:val="22"/>
        </w:rPr>
      </w:pPr>
    </w:p>
    <w:p w:rsidR="00E76B83" w:rsidRPr="006A7F45" w:rsidRDefault="00E76B83" w:rsidP="00D87DA4">
      <w:pPr>
        <w:pStyle w:val="ListParagraph"/>
        <w:numPr>
          <w:ilvl w:val="0"/>
          <w:numId w:val="35"/>
        </w:numPr>
        <w:overflowPunct w:val="0"/>
        <w:jc w:val="both"/>
        <w:textAlignment w:val="baseline"/>
        <w:rPr>
          <w:rFonts w:ascii="Arial" w:hAnsi="Arial"/>
          <w:bCs/>
        </w:rPr>
      </w:pPr>
      <w:r w:rsidRPr="006A7F45">
        <w:rPr>
          <w:rFonts w:ascii="Arial" w:hAnsi="Arial"/>
          <w:bCs/>
        </w:rPr>
        <w:t>endorsement of 2018 Income and Expenditure Budget</w:t>
      </w:r>
    </w:p>
    <w:p w:rsidR="00E76B83" w:rsidRPr="006A7F45" w:rsidRDefault="00E76B83" w:rsidP="00D87DA4">
      <w:pPr>
        <w:pStyle w:val="ListParagraph"/>
        <w:numPr>
          <w:ilvl w:val="0"/>
          <w:numId w:val="35"/>
        </w:numPr>
        <w:overflowPunct w:val="0"/>
        <w:jc w:val="both"/>
        <w:textAlignment w:val="baseline"/>
        <w:rPr>
          <w:rFonts w:ascii="Arial" w:hAnsi="Arial"/>
          <w:bCs/>
        </w:rPr>
      </w:pPr>
      <w:r w:rsidRPr="006A7F45">
        <w:rPr>
          <w:rFonts w:ascii="Arial" w:hAnsi="Arial"/>
          <w:bCs/>
        </w:rPr>
        <w:t xml:space="preserve">Endorsement of Investments Program for 2018; </w:t>
      </w:r>
    </w:p>
    <w:p w:rsidR="00E76B83" w:rsidRPr="006A7F45" w:rsidRDefault="00E76B83" w:rsidP="00D87DA4">
      <w:pPr>
        <w:pStyle w:val="ListParagraph"/>
        <w:numPr>
          <w:ilvl w:val="0"/>
          <w:numId w:val="35"/>
        </w:numPr>
        <w:overflowPunct w:val="0"/>
        <w:jc w:val="both"/>
        <w:textAlignment w:val="baseline"/>
        <w:rPr>
          <w:rFonts w:ascii="Arial" w:hAnsi="Arial"/>
          <w:bCs/>
        </w:rPr>
      </w:pPr>
      <w:r w:rsidRPr="006A7F45">
        <w:rPr>
          <w:rFonts w:ascii="Arial" w:hAnsi="Arial"/>
          <w:bCs/>
        </w:rPr>
        <w:t>Analysis of the company’s business presented by the executive management in the monthly reports</w:t>
      </w:r>
    </w:p>
    <w:p w:rsidR="00E76B83" w:rsidRPr="006A7F45" w:rsidRDefault="00E76B83" w:rsidP="00D87DA4">
      <w:pPr>
        <w:pStyle w:val="ListParagraph"/>
        <w:numPr>
          <w:ilvl w:val="0"/>
          <w:numId w:val="35"/>
        </w:numPr>
        <w:overflowPunct w:val="0"/>
        <w:jc w:val="both"/>
        <w:textAlignment w:val="baseline"/>
        <w:rPr>
          <w:rFonts w:ascii="Arial" w:hAnsi="Arial"/>
          <w:bCs/>
        </w:rPr>
      </w:pPr>
      <w:r w:rsidRPr="006A7F45">
        <w:rPr>
          <w:rFonts w:ascii="Arial" w:hAnsi="Arial"/>
          <w:bCs/>
        </w:rPr>
        <w:t>Periodical monitoring of the mode of physical and value performance of the Investment Program for 2018;</w:t>
      </w:r>
    </w:p>
    <w:p w:rsidR="00E76B83" w:rsidRPr="006A7F45" w:rsidRDefault="00E76B83" w:rsidP="00D87DA4">
      <w:pPr>
        <w:pStyle w:val="ListParagraph"/>
        <w:numPr>
          <w:ilvl w:val="0"/>
          <w:numId w:val="36"/>
        </w:numPr>
        <w:overflowPunct w:val="0"/>
        <w:jc w:val="both"/>
        <w:textAlignment w:val="baseline"/>
        <w:rPr>
          <w:rFonts w:ascii="Arial" w:hAnsi="Arial"/>
          <w:bCs/>
        </w:rPr>
      </w:pPr>
      <w:r w:rsidRPr="006A7F45">
        <w:rPr>
          <w:rFonts w:ascii="Arial" w:hAnsi="Arial"/>
          <w:bCs/>
        </w:rPr>
        <w:t>Analysis and approval of the monthly reports of the Consultative Committees;</w:t>
      </w:r>
    </w:p>
    <w:p w:rsidR="00E76B83" w:rsidRPr="006A7F45" w:rsidRDefault="00E76B83" w:rsidP="00D87DA4">
      <w:pPr>
        <w:pStyle w:val="ListParagraph"/>
        <w:numPr>
          <w:ilvl w:val="0"/>
          <w:numId w:val="36"/>
        </w:numPr>
        <w:overflowPunct w:val="0"/>
        <w:jc w:val="both"/>
        <w:textAlignment w:val="baseline"/>
        <w:rPr>
          <w:rFonts w:ascii="Arial" w:hAnsi="Arial"/>
          <w:bCs/>
        </w:rPr>
      </w:pPr>
      <w:r w:rsidRPr="006A7F45">
        <w:rPr>
          <w:rFonts w:ascii="Arial" w:hAnsi="Arial"/>
          <w:bCs/>
        </w:rPr>
        <w:t xml:space="preserve">Approval of the decommissioning of certain work sites; </w:t>
      </w:r>
    </w:p>
    <w:p w:rsidR="00E76B83" w:rsidRPr="006A7F45" w:rsidRDefault="00E76B83" w:rsidP="00D87DA4">
      <w:pPr>
        <w:pStyle w:val="ListParagraph"/>
        <w:numPr>
          <w:ilvl w:val="0"/>
          <w:numId w:val="36"/>
        </w:numPr>
        <w:overflowPunct w:val="0"/>
        <w:jc w:val="both"/>
        <w:textAlignment w:val="baseline"/>
        <w:rPr>
          <w:rFonts w:ascii="Arial" w:hAnsi="Arial"/>
          <w:bCs/>
        </w:rPr>
      </w:pPr>
      <w:r w:rsidRPr="006A7F45">
        <w:rPr>
          <w:rFonts w:ascii="Arial" w:hAnsi="Arial"/>
          <w:bCs/>
        </w:rPr>
        <w:t>Approval of the Convening Notices of the General Meeting of Shareholders and of the materials related to their Agenda;</w:t>
      </w:r>
    </w:p>
    <w:p w:rsidR="00E76B83" w:rsidRPr="006A7F45" w:rsidRDefault="00E76B83" w:rsidP="00D87DA4">
      <w:pPr>
        <w:pStyle w:val="ListParagraph"/>
        <w:numPr>
          <w:ilvl w:val="0"/>
          <w:numId w:val="36"/>
        </w:numPr>
        <w:overflowPunct w:val="0"/>
        <w:jc w:val="both"/>
        <w:textAlignment w:val="baseline"/>
        <w:rPr>
          <w:rFonts w:ascii="Arial" w:hAnsi="Arial"/>
          <w:bCs/>
        </w:rPr>
      </w:pPr>
      <w:r w:rsidRPr="006A7F45">
        <w:rPr>
          <w:rFonts w:ascii="Arial" w:hAnsi="Arial"/>
          <w:bCs/>
        </w:rPr>
        <w:t>Approval of sponsorship requests and periodical monitoring of sponsorship contracts concluded by the company;</w:t>
      </w:r>
    </w:p>
    <w:p w:rsidR="00E76B83" w:rsidRPr="006A7F45" w:rsidRDefault="00E76B83" w:rsidP="00D87DA4">
      <w:pPr>
        <w:pStyle w:val="ListParagraph"/>
        <w:numPr>
          <w:ilvl w:val="0"/>
          <w:numId w:val="36"/>
        </w:numPr>
        <w:overflowPunct w:val="0"/>
        <w:jc w:val="both"/>
        <w:textAlignment w:val="baseline"/>
        <w:rPr>
          <w:rFonts w:ascii="Arial" w:hAnsi="Arial"/>
          <w:bCs/>
        </w:rPr>
      </w:pPr>
      <w:r w:rsidRPr="006A7F45">
        <w:rPr>
          <w:rFonts w:ascii="Arial" w:hAnsi="Arial"/>
          <w:bCs/>
        </w:rPr>
        <w:t>Approval of proposals concerning CONPET capacity of member within employer’s/professional bodies, non-governmental associations and payment of related membership fees, for 2018;</w:t>
      </w:r>
    </w:p>
    <w:p w:rsidR="00E76B83" w:rsidRPr="006A7F45" w:rsidRDefault="00E76B83" w:rsidP="00D87DA4">
      <w:pPr>
        <w:pStyle w:val="ListParagraph"/>
        <w:numPr>
          <w:ilvl w:val="0"/>
          <w:numId w:val="37"/>
        </w:numPr>
        <w:overflowPunct w:val="0"/>
        <w:jc w:val="both"/>
        <w:textAlignment w:val="baseline"/>
        <w:rPr>
          <w:rFonts w:ascii="Arial" w:hAnsi="Arial"/>
          <w:bCs/>
        </w:rPr>
      </w:pPr>
      <w:r w:rsidRPr="006A7F45">
        <w:rPr>
          <w:rFonts w:ascii="Arial" w:hAnsi="Arial"/>
          <w:bCs/>
        </w:rPr>
        <w:t>Approval of the new organizational structure of CONPET and amendment of the Organizational and Operational Regulation of CONPET and of the staff establishment, correlated with the new organizational structure;</w:t>
      </w:r>
    </w:p>
    <w:p w:rsidR="00E76B83" w:rsidRPr="006A7F45" w:rsidRDefault="00E76B83" w:rsidP="00D87DA4">
      <w:pPr>
        <w:pStyle w:val="ListParagraph"/>
        <w:numPr>
          <w:ilvl w:val="0"/>
          <w:numId w:val="37"/>
        </w:numPr>
        <w:overflowPunct w:val="0"/>
        <w:jc w:val="both"/>
        <w:textAlignment w:val="baseline"/>
        <w:rPr>
          <w:rFonts w:ascii="Arial" w:hAnsi="Arial"/>
          <w:bCs/>
        </w:rPr>
      </w:pPr>
      <w:r w:rsidRPr="006A7F45">
        <w:rPr>
          <w:rFonts w:ascii="Arial" w:hAnsi="Arial"/>
          <w:bCs/>
        </w:rPr>
        <w:t>Approval of the job classification of the company;</w:t>
      </w:r>
    </w:p>
    <w:p w:rsidR="00E76B83" w:rsidRPr="006A7F45" w:rsidRDefault="00E76B83" w:rsidP="00D87DA4">
      <w:pPr>
        <w:pStyle w:val="ListParagraph"/>
        <w:numPr>
          <w:ilvl w:val="0"/>
          <w:numId w:val="37"/>
        </w:numPr>
        <w:overflowPunct w:val="0"/>
        <w:jc w:val="both"/>
        <w:textAlignment w:val="baseline"/>
        <w:rPr>
          <w:rFonts w:ascii="Arial" w:hAnsi="Arial"/>
          <w:bCs/>
        </w:rPr>
      </w:pPr>
      <w:r w:rsidRPr="006A7F45">
        <w:rPr>
          <w:rFonts w:ascii="Arial" w:hAnsi="Arial"/>
          <w:bCs/>
        </w:rPr>
        <w:t>Approval of the preliminary report on the economic-financial activity of CONPET S.A. during January-June 2017, accompanied by the non-audited preliminary financial statements at the date and for the financial year ended December 31, 2017;</w:t>
      </w:r>
    </w:p>
    <w:p w:rsidR="00E76B83" w:rsidRPr="006A7F45" w:rsidRDefault="00E76B83" w:rsidP="00D87DA4">
      <w:pPr>
        <w:pStyle w:val="ListParagraph"/>
        <w:numPr>
          <w:ilvl w:val="0"/>
          <w:numId w:val="37"/>
        </w:numPr>
        <w:overflowPunct w:val="0"/>
        <w:jc w:val="both"/>
        <w:textAlignment w:val="baseline"/>
        <w:rPr>
          <w:rFonts w:ascii="Arial" w:hAnsi="Arial"/>
          <w:bCs/>
        </w:rPr>
      </w:pPr>
      <w:r w:rsidRPr="006A7F45">
        <w:rPr>
          <w:rFonts w:ascii="Arial" w:hAnsi="Arial"/>
          <w:bCs/>
        </w:rPr>
        <w:t>Approval of the results of the annual inventory of the elements similar to assets, liabilities and equities, held by the company;</w:t>
      </w:r>
    </w:p>
    <w:p w:rsidR="00E76B83" w:rsidRPr="006A7F45" w:rsidRDefault="00E76B83" w:rsidP="00D87DA4">
      <w:pPr>
        <w:pStyle w:val="ListParagraph"/>
        <w:numPr>
          <w:ilvl w:val="0"/>
          <w:numId w:val="37"/>
        </w:numPr>
        <w:overflowPunct w:val="0"/>
        <w:jc w:val="both"/>
        <w:textAlignment w:val="baseline"/>
        <w:rPr>
          <w:rFonts w:ascii="Arial" w:hAnsi="Arial"/>
          <w:bCs/>
        </w:rPr>
      </w:pPr>
      <w:r w:rsidRPr="006A7F45">
        <w:rPr>
          <w:rFonts w:ascii="Arial" w:hAnsi="Arial"/>
          <w:bCs/>
        </w:rPr>
        <w:t>Approval of 2018 annual procurement program</w:t>
      </w:r>
      <w:r w:rsidR="006A7F45">
        <w:rPr>
          <w:rFonts w:ascii="Arial" w:hAnsi="Arial"/>
          <w:bCs/>
        </w:rPr>
        <w:t>;</w:t>
      </w:r>
    </w:p>
    <w:p w:rsidR="00E76B83" w:rsidRPr="006A7F45" w:rsidRDefault="00E76B83" w:rsidP="00D87DA4">
      <w:pPr>
        <w:pStyle w:val="ListParagraph"/>
        <w:numPr>
          <w:ilvl w:val="0"/>
          <w:numId w:val="37"/>
        </w:numPr>
        <w:overflowPunct w:val="0"/>
        <w:jc w:val="both"/>
        <w:textAlignment w:val="baseline"/>
        <w:rPr>
          <w:rFonts w:ascii="Arial" w:hAnsi="Arial"/>
          <w:bCs/>
        </w:rPr>
      </w:pPr>
      <w:r w:rsidRPr="006A7F45">
        <w:rPr>
          <w:rFonts w:ascii="Arial" w:hAnsi="Arial"/>
          <w:bCs/>
        </w:rPr>
        <w:t>Recurrent information on the state of achievement of the measures disposed by the BOA decisions;</w:t>
      </w:r>
    </w:p>
    <w:p w:rsidR="00E76B83" w:rsidRPr="00A75EF3" w:rsidRDefault="00E76B83" w:rsidP="00D87DA4">
      <w:pPr>
        <w:pStyle w:val="ListParagraph"/>
        <w:numPr>
          <w:ilvl w:val="0"/>
          <w:numId w:val="38"/>
        </w:numPr>
        <w:overflowPunct w:val="0"/>
        <w:jc w:val="both"/>
        <w:textAlignment w:val="baseline"/>
        <w:rPr>
          <w:rFonts w:ascii="Arial" w:hAnsi="Arial"/>
          <w:bCs/>
        </w:rPr>
      </w:pPr>
      <w:r w:rsidRPr="00A75EF3">
        <w:rPr>
          <w:rFonts w:ascii="Arial" w:hAnsi="Arial"/>
          <w:bCs/>
        </w:rPr>
        <w:t>Periodical monitoring of the ongoing procurement stage which value exceeds 100.000 RON, of the statement of the contracts concluded/completed with value exceeding 100.000 RON, of the statement of the contracts completed with value exceeding 100.000 RON, of the statement of the ongoing contracts of utilities in 2018;</w:t>
      </w:r>
    </w:p>
    <w:p w:rsidR="00E76B83" w:rsidRPr="00A75EF3" w:rsidRDefault="00E76B83" w:rsidP="00D87DA4">
      <w:pPr>
        <w:pStyle w:val="ListParagraph"/>
        <w:numPr>
          <w:ilvl w:val="0"/>
          <w:numId w:val="38"/>
        </w:numPr>
        <w:overflowPunct w:val="0"/>
        <w:jc w:val="both"/>
        <w:textAlignment w:val="baseline"/>
        <w:rPr>
          <w:rFonts w:ascii="Arial" w:hAnsi="Arial"/>
          <w:bCs/>
        </w:rPr>
      </w:pPr>
      <w:r w:rsidRPr="00A75EF3">
        <w:rPr>
          <w:rFonts w:ascii="Arial" w:hAnsi="Arial"/>
          <w:bCs/>
        </w:rPr>
        <w:t>Approval of the initial component of the selection plan of the Board of Administration members of the company CONPET S.A.;</w:t>
      </w:r>
    </w:p>
    <w:p w:rsidR="00E76B83" w:rsidRPr="00A75EF3" w:rsidRDefault="00E76B83" w:rsidP="00D87DA4">
      <w:pPr>
        <w:pStyle w:val="ListParagraph"/>
        <w:numPr>
          <w:ilvl w:val="0"/>
          <w:numId w:val="38"/>
        </w:numPr>
        <w:overflowPunct w:val="0"/>
        <w:jc w:val="both"/>
        <w:textAlignment w:val="baseline"/>
        <w:rPr>
          <w:rFonts w:ascii="Arial" w:hAnsi="Arial"/>
          <w:bCs/>
        </w:rPr>
      </w:pPr>
      <w:r w:rsidRPr="00A75EF3">
        <w:rPr>
          <w:rFonts w:ascii="Arial" w:hAnsi="Arial"/>
          <w:bCs/>
        </w:rPr>
        <w:t>Approval of the initiation, by the company of the selection procedure of the independent expert  specialized in human resources recruiting, respectively for the appointment of the candidates for the capacities of Board of Administration members and the approval of the criteria (terms)of reference for the selection of the independent expert; the executive management is to perform the procurement as per the legal provisions and the procurement internal procedural norms;</w:t>
      </w:r>
    </w:p>
    <w:p w:rsidR="00E76B83" w:rsidRPr="00A75EF3" w:rsidRDefault="00E76B83" w:rsidP="00D87DA4">
      <w:pPr>
        <w:pStyle w:val="ListParagraph"/>
        <w:numPr>
          <w:ilvl w:val="0"/>
          <w:numId w:val="38"/>
        </w:numPr>
        <w:overflowPunct w:val="0"/>
        <w:jc w:val="both"/>
        <w:textAlignment w:val="baseline"/>
        <w:rPr>
          <w:rFonts w:ascii="Arial" w:hAnsi="Arial"/>
          <w:bCs/>
        </w:rPr>
      </w:pPr>
      <w:r w:rsidRPr="00A75EF3">
        <w:rPr>
          <w:rFonts w:ascii="Arial" w:hAnsi="Arial"/>
          <w:bCs/>
        </w:rPr>
        <w:t xml:space="preserve">Approval of the Annual report of the Director General for 2017; </w:t>
      </w:r>
    </w:p>
    <w:p w:rsidR="00E76B83" w:rsidRPr="00A75EF3" w:rsidRDefault="00E76B83" w:rsidP="00D87DA4">
      <w:pPr>
        <w:pStyle w:val="ListParagraph"/>
        <w:numPr>
          <w:ilvl w:val="0"/>
          <w:numId w:val="38"/>
        </w:numPr>
        <w:overflowPunct w:val="0"/>
        <w:jc w:val="both"/>
        <w:textAlignment w:val="baseline"/>
        <w:rPr>
          <w:rFonts w:ascii="Arial" w:hAnsi="Arial"/>
          <w:bCs/>
        </w:rPr>
      </w:pPr>
      <w:r w:rsidRPr="00A75EF3">
        <w:rPr>
          <w:rFonts w:ascii="Arial" w:hAnsi="Arial"/>
          <w:bCs/>
        </w:rPr>
        <w:t>Approval of the Annual Administrators’ Report for the financial year ended 31.12.2017;</w:t>
      </w:r>
    </w:p>
    <w:p w:rsidR="00E76B83" w:rsidRPr="00A75EF3" w:rsidRDefault="00E76B83" w:rsidP="00D87DA4">
      <w:pPr>
        <w:pStyle w:val="ListParagraph"/>
        <w:numPr>
          <w:ilvl w:val="0"/>
          <w:numId w:val="38"/>
        </w:numPr>
        <w:overflowPunct w:val="0"/>
        <w:jc w:val="both"/>
        <w:textAlignment w:val="baseline"/>
        <w:rPr>
          <w:rFonts w:ascii="Arial" w:hAnsi="Arial"/>
          <w:bCs/>
        </w:rPr>
      </w:pPr>
      <w:r w:rsidRPr="00A75EF3">
        <w:rPr>
          <w:rFonts w:ascii="Arial" w:hAnsi="Arial"/>
          <w:bCs/>
        </w:rPr>
        <w:t>Endorsement of the annual financial statements at the date and for the financial year concluded on December 31.12.2017;</w:t>
      </w:r>
    </w:p>
    <w:p w:rsidR="00E76B83" w:rsidRPr="00A75EF3" w:rsidRDefault="00E76B83" w:rsidP="00D87DA4">
      <w:pPr>
        <w:pStyle w:val="ListParagraph"/>
        <w:numPr>
          <w:ilvl w:val="0"/>
          <w:numId w:val="38"/>
        </w:numPr>
        <w:overflowPunct w:val="0"/>
        <w:jc w:val="both"/>
        <w:textAlignment w:val="baseline"/>
        <w:rPr>
          <w:rFonts w:ascii="Arial" w:hAnsi="Arial"/>
          <w:bCs/>
        </w:rPr>
      </w:pPr>
      <w:r w:rsidRPr="00A75EF3">
        <w:rPr>
          <w:rFonts w:ascii="Arial" w:hAnsi="Arial"/>
          <w:bCs/>
        </w:rPr>
        <w:t>Approval of decommissioning and capitalization by bid sale of goods from the company patrimony;</w:t>
      </w:r>
    </w:p>
    <w:p w:rsidR="00E76B83" w:rsidRPr="00A75EF3" w:rsidRDefault="00E76B83" w:rsidP="00D87DA4">
      <w:pPr>
        <w:pStyle w:val="ListParagraph"/>
        <w:numPr>
          <w:ilvl w:val="0"/>
          <w:numId w:val="38"/>
        </w:numPr>
        <w:overflowPunct w:val="0"/>
        <w:jc w:val="both"/>
        <w:textAlignment w:val="baseline"/>
        <w:rPr>
          <w:rFonts w:ascii="Arial" w:hAnsi="Arial"/>
          <w:bCs/>
        </w:rPr>
      </w:pPr>
      <w:r w:rsidRPr="00A75EF3">
        <w:rPr>
          <w:rFonts w:ascii="Arial" w:hAnsi="Arial"/>
          <w:bCs/>
        </w:rPr>
        <w:t>Approval of the Director General’s report regarding CONPET S.A. for 2018 H1;</w:t>
      </w:r>
    </w:p>
    <w:p w:rsidR="00E76B83" w:rsidRPr="00A75EF3" w:rsidRDefault="00E76B83" w:rsidP="00D87DA4">
      <w:pPr>
        <w:pStyle w:val="ListParagraph"/>
        <w:numPr>
          <w:ilvl w:val="0"/>
          <w:numId w:val="38"/>
        </w:numPr>
        <w:overflowPunct w:val="0"/>
        <w:jc w:val="both"/>
        <w:textAlignment w:val="baseline"/>
        <w:rPr>
          <w:rFonts w:ascii="Arial" w:hAnsi="Arial"/>
          <w:bCs/>
        </w:rPr>
      </w:pPr>
      <w:r w:rsidRPr="00A75EF3">
        <w:rPr>
          <w:rFonts w:ascii="Arial" w:hAnsi="Arial"/>
          <w:bCs/>
        </w:rPr>
        <w:t>Approval of the Quarterly Report regarding the economic-financial activity of CONPET S.A. for the period ended 31.03.2018, accompanied by th</w:t>
      </w:r>
      <w:r w:rsidR="00A75EF3" w:rsidRPr="00A75EF3">
        <w:rPr>
          <w:rFonts w:ascii="Arial" w:hAnsi="Arial"/>
          <w:bCs/>
        </w:rPr>
        <w:t xml:space="preserve">e Interim Financial Statements </w:t>
      </w:r>
    </w:p>
    <w:p w:rsidR="00E76B83" w:rsidRPr="00A75EF3" w:rsidRDefault="00E76B83" w:rsidP="00A75EF3">
      <w:pPr>
        <w:pStyle w:val="ListParagraph"/>
        <w:overflowPunct w:val="0"/>
        <w:jc w:val="both"/>
        <w:textAlignment w:val="baseline"/>
        <w:rPr>
          <w:rFonts w:ascii="Arial" w:hAnsi="Arial"/>
          <w:bCs/>
        </w:rPr>
      </w:pPr>
      <w:proofErr w:type="gramStart"/>
      <w:r w:rsidRPr="00A75EF3">
        <w:rPr>
          <w:rFonts w:ascii="Arial" w:hAnsi="Arial"/>
          <w:bCs/>
        </w:rPr>
        <w:lastRenderedPageBreak/>
        <w:t>at</w:t>
      </w:r>
      <w:proofErr w:type="gramEnd"/>
      <w:r w:rsidRPr="00A75EF3">
        <w:rPr>
          <w:rFonts w:ascii="Arial" w:hAnsi="Arial"/>
          <w:bCs/>
        </w:rPr>
        <w:t xml:space="preserve"> the date and for the 3 months period ended 31.03.2018, prepared in compliance with  IAS 34;</w:t>
      </w:r>
    </w:p>
    <w:p w:rsidR="00E76B83" w:rsidRPr="00A75EF3" w:rsidRDefault="00E76B83" w:rsidP="00D87DA4">
      <w:pPr>
        <w:pStyle w:val="ListParagraph"/>
        <w:numPr>
          <w:ilvl w:val="0"/>
          <w:numId w:val="38"/>
        </w:numPr>
        <w:overflowPunct w:val="0"/>
        <w:jc w:val="both"/>
        <w:textAlignment w:val="baseline"/>
        <w:rPr>
          <w:rFonts w:ascii="Arial" w:hAnsi="Arial"/>
          <w:bCs/>
        </w:rPr>
      </w:pPr>
      <w:r w:rsidRPr="00A75EF3">
        <w:rPr>
          <w:rFonts w:ascii="Arial" w:hAnsi="Arial"/>
          <w:bCs/>
        </w:rPr>
        <w:t xml:space="preserve">Approval of </w:t>
      </w:r>
      <w:proofErr w:type="gramStart"/>
      <w:r w:rsidRPr="00A75EF3">
        <w:rPr>
          <w:rFonts w:ascii="Arial" w:hAnsi="Arial"/>
          <w:bCs/>
        </w:rPr>
        <w:t>conclusion  of</w:t>
      </w:r>
      <w:proofErr w:type="gramEnd"/>
      <w:r w:rsidRPr="00A75EF3">
        <w:rPr>
          <w:rFonts w:ascii="Arial" w:hAnsi="Arial"/>
          <w:bCs/>
        </w:rPr>
        <w:t xml:space="preserve"> certain Addenda to the Collective labor Agreement of CONPET.</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FB0D77" w:rsidRDefault="00641468" w:rsidP="00E76B83">
      <w:pPr>
        <w:widowControl/>
        <w:overflowPunct w:val="0"/>
        <w:spacing w:line="276" w:lineRule="auto"/>
        <w:jc w:val="both"/>
        <w:textAlignment w:val="baseline"/>
        <w:rPr>
          <w:rFonts w:ascii="Arial" w:hAnsi="Arial"/>
          <w:b/>
          <w:bCs/>
          <w:color w:val="2E74B5" w:themeColor="accent1" w:themeShade="BF"/>
          <w:sz w:val="22"/>
          <w:szCs w:val="22"/>
        </w:rPr>
      </w:pPr>
      <w:r>
        <w:rPr>
          <w:rFonts w:ascii="Arial" w:hAnsi="Arial"/>
          <w:b/>
          <w:bCs/>
          <w:color w:val="2E74B5" w:themeColor="accent1" w:themeShade="BF"/>
          <w:sz w:val="22"/>
          <w:szCs w:val="22"/>
        </w:rPr>
        <w:t>The Director General</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54CFB" w:rsidRDefault="00E76B83" w:rsidP="00E76B83">
      <w:pPr>
        <w:widowControl/>
        <w:overflowPunct w:val="0"/>
        <w:spacing w:line="276" w:lineRule="auto"/>
        <w:jc w:val="both"/>
        <w:textAlignment w:val="baseline"/>
        <w:rPr>
          <w:rFonts w:ascii="Arial" w:hAnsi="Arial"/>
          <w:bCs/>
          <w:sz w:val="22"/>
          <w:szCs w:val="22"/>
        </w:rPr>
      </w:pPr>
      <w:r w:rsidRPr="00854CFB">
        <w:rPr>
          <w:rFonts w:ascii="Arial" w:hAnsi="Arial"/>
          <w:bCs/>
          <w:sz w:val="22"/>
          <w:szCs w:val="22"/>
        </w:rPr>
        <w:t>Starting with 06.12.2017, pursuant to Decision no. 20/</w:t>
      </w:r>
      <w:proofErr w:type="gramStart"/>
      <w:r w:rsidRPr="00854CFB">
        <w:rPr>
          <w:rFonts w:ascii="Arial" w:hAnsi="Arial"/>
          <w:bCs/>
          <w:sz w:val="22"/>
          <w:szCs w:val="22"/>
        </w:rPr>
        <w:t>05.12.2017  of</w:t>
      </w:r>
      <w:proofErr w:type="gramEnd"/>
      <w:r w:rsidRPr="00854CFB">
        <w:rPr>
          <w:rFonts w:ascii="Arial" w:hAnsi="Arial"/>
          <w:bCs/>
          <w:sz w:val="22"/>
          <w:szCs w:val="22"/>
        </w:rPr>
        <w:t xml:space="preserve"> the Board of Administration, Mr. Dan-Silviu Baciu was appointed Director General of the company.</w:t>
      </w:r>
    </w:p>
    <w:p w:rsidR="00E76B83" w:rsidRPr="00854CFB" w:rsidRDefault="00E76B83" w:rsidP="00E76B83">
      <w:pPr>
        <w:widowControl/>
        <w:overflowPunct w:val="0"/>
        <w:spacing w:line="276" w:lineRule="auto"/>
        <w:jc w:val="both"/>
        <w:textAlignment w:val="baseline"/>
        <w:rPr>
          <w:rFonts w:ascii="Arial" w:hAnsi="Arial"/>
          <w:bCs/>
          <w:sz w:val="22"/>
          <w:szCs w:val="22"/>
        </w:rPr>
      </w:pPr>
    </w:p>
    <w:p w:rsidR="00E76B83" w:rsidRPr="00854CFB" w:rsidRDefault="00E76B83" w:rsidP="00E76B83">
      <w:pPr>
        <w:widowControl/>
        <w:overflowPunct w:val="0"/>
        <w:spacing w:line="276" w:lineRule="auto"/>
        <w:jc w:val="both"/>
        <w:textAlignment w:val="baseline"/>
        <w:rPr>
          <w:rFonts w:ascii="Arial" w:hAnsi="Arial"/>
          <w:bCs/>
          <w:sz w:val="22"/>
          <w:szCs w:val="22"/>
        </w:rPr>
      </w:pPr>
      <w:r w:rsidRPr="00854CFB">
        <w:rPr>
          <w:rFonts w:ascii="Arial" w:hAnsi="Arial"/>
          <w:bCs/>
          <w:sz w:val="22"/>
          <w:szCs w:val="22"/>
        </w:rPr>
        <w:t>The Director General of the company has the duties stipulated in the Articles of Incorporation, supplemented by the applicable legal provisions.</w:t>
      </w:r>
    </w:p>
    <w:p w:rsidR="00E76B83" w:rsidRPr="00854CFB" w:rsidRDefault="00E76B83" w:rsidP="00E76B83">
      <w:pPr>
        <w:widowControl/>
        <w:overflowPunct w:val="0"/>
        <w:spacing w:line="276" w:lineRule="auto"/>
        <w:jc w:val="both"/>
        <w:textAlignment w:val="baseline"/>
        <w:rPr>
          <w:rFonts w:ascii="Arial" w:hAnsi="Arial"/>
          <w:bCs/>
          <w:sz w:val="22"/>
          <w:szCs w:val="22"/>
        </w:rPr>
      </w:pPr>
    </w:p>
    <w:p w:rsidR="00E76B83" w:rsidRPr="00854CFB" w:rsidRDefault="00E76B83" w:rsidP="00E76B83">
      <w:pPr>
        <w:widowControl/>
        <w:overflowPunct w:val="0"/>
        <w:spacing w:line="276" w:lineRule="auto"/>
        <w:jc w:val="both"/>
        <w:textAlignment w:val="baseline"/>
        <w:rPr>
          <w:rFonts w:ascii="Arial" w:hAnsi="Arial"/>
          <w:bCs/>
          <w:sz w:val="22"/>
          <w:szCs w:val="22"/>
        </w:rPr>
      </w:pPr>
      <w:r w:rsidRPr="00854CFB">
        <w:rPr>
          <w:rFonts w:ascii="Arial" w:hAnsi="Arial"/>
          <w:bCs/>
          <w:sz w:val="22"/>
          <w:szCs w:val="22"/>
        </w:rPr>
        <w:t>The Director General supplies to the Board of Administration, regularly and comprehensively, detailed information regarding all outstanding aspects for the company business. Additionally, any outstanding event is immediately communicated to the Board of Administration.</w:t>
      </w:r>
    </w:p>
    <w:p w:rsidR="00E76B83" w:rsidRPr="00854CFB" w:rsidRDefault="00E76B83" w:rsidP="00E76B83">
      <w:pPr>
        <w:widowControl/>
        <w:overflowPunct w:val="0"/>
        <w:spacing w:line="276" w:lineRule="auto"/>
        <w:jc w:val="both"/>
        <w:textAlignment w:val="baseline"/>
        <w:rPr>
          <w:rFonts w:ascii="Arial" w:hAnsi="Arial"/>
          <w:bCs/>
          <w:sz w:val="22"/>
          <w:szCs w:val="22"/>
        </w:rPr>
      </w:pPr>
    </w:p>
    <w:p w:rsidR="00E76B83" w:rsidRPr="00854CFB" w:rsidRDefault="00E76B83" w:rsidP="00E76B83">
      <w:pPr>
        <w:widowControl/>
        <w:overflowPunct w:val="0"/>
        <w:spacing w:line="276" w:lineRule="auto"/>
        <w:jc w:val="both"/>
        <w:textAlignment w:val="baseline"/>
        <w:rPr>
          <w:rFonts w:ascii="Arial" w:hAnsi="Arial"/>
          <w:bCs/>
          <w:sz w:val="22"/>
          <w:szCs w:val="22"/>
        </w:rPr>
      </w:pPr>
      <w:r w:rsidRPr="00854CFB">
        <w:rPr>
          <w:rFonts w:ascii="Arial" w:hAnsi="Arial"/>
          <w:bCs/>
          <w:sz w:val="22"/>
          <w:szCs w:val="22"/>
        </w:rPr>
        <w:t>Moreover, any member of the Board of Administration may request the Director General information regarding the operative company management.</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54CFB" w:rsidRDefault="00E76B83" w:rsidP="00E76B83">
      <w:pPr>
        <w:widowControl/>
        <w:overflowPunct w:val="0"/>
        <w:spacing w:line="276" w:lineRule="auto"/>
        <w:jc w:val="both"/>
        <w:textAlignment w:val="baseline"/>
        <w:rPr>
          <w:rFonts w:ascii="Arial" w:hAnsi="Arial"/>
          <w:bCs/>
          <w:sz w:val="22"/>
          <w:szCs w:val="22"/>
        </w:rPr>
      </w:pPr>
      <w:r w:rsidRPr="00854CFB">
        <w:rPr>
          <w:rFonts w:ascii="Arial" w:hAnsi="Arial"/>
          <w:bCs/>
          <w:sz w:val="22"/>
          <w:szCs w:val="22"/>
        </w:rPr>
        <w:t xml:space="preserve">The Board of Administration delegated the company management to the Director General of CONPET and he represents the company in relation to third-parties.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54CFB" w:rsidRDefault="00E76B83" w:rsidP="00E76B83">
      <w:pPr>
        <w:widowControl/>
        <w:overflowPunct w:val="0"/>
        <w:spacing w:line="276" w:lineRule="auto"/>
        <w:jc w:val="both"/>
        <w:textAlignment w:val="baseline"/>
        <w:rPr>
          <w:rFonts w:ascii="Arial" w:hAnsi="Arial"/>
          <w:bCs/>
          <w:sz w:val="22"/>
          <w:szCs w:val="22"/>
        </w:rPr>
      </w:pPr>
      <w:r w:rsidRPr="00854CFB">
        <w:rPr>
          <w:rFonts w:ascii="Arial" w:hAnsi="Arial"/>
          <w:bCs/>
          <w:sz w:val="22"/>
          <w:szCs w:val="22"/>
        </w:rPr>
        <w:t xml:space="preserve">The Director General’s attributions are set pursuant to the Rules of Organization and </w:t>
      </w:r>
      <w:r w:rsidR="00641468">
        <w:rPr>
          <w:rFonts w:ascii="Arial" w:hAnsi="Arial"/>
          <w:bCs/>
          <w:sz w:val="22"/>
          <w:szCs w:val="22"/>
        </w:rPr>
        <w:t>O</w:t>
      </w:r>
      <w:r w:rsidRPr="00854CFB">
        <w:rPr>
          <w:rFonts w:ascii="Arial" w:hAnsi="Arial"/>
          <w:bCs/>
          <w:sz w:val="22"/>
          <w:szCs w:val="22"/>
        </w:rPr>
        <w:t>peration of the company (ROF</w:t>
      </w:r>
      <w:proofErr w:type="gramStart"/>
      <w:r w:rsidRPr="00854CFB">
        <w:rPr>
          <w:rFonts w:ascii="Arial" w:hAnsi="Arial"/>
          <w:bCs/>
          <w:sz w:val="22"/>
          <w:szCs w:val="22"/>
        </w:rPr>
        <w:t>)  and</w:t>
      </w:r>
      <w:proofErr w:type="gramEnd"/>
      <w:r w:rsidRPr="00854CFB">
        <w:rPr>
          <w:rFonts w:ascii="Arial" w:hAnsi="Arial"/>
          <w:bCs/>
          <w:sz w:val="22"/>
          <w:szCs w:val="22"/>
        </w:rPr>
        <w:t xml:space="preserve"> generally include:</w:t>
      </w:r>
    </w:p>
    <w:p w:rsidR="00E76B83" w:rsidRPr="00E37043" w:rsidRDefault="00E76B83" w:rsidP="00D87DA4">
      <w:pPr>
        <w:pStyle w:val="ListParagraph"/>
        <w:numPr>
          <w:ilvl w:val="0"/>
          <w:numId w:val="39"/>
        </w:numPr>
        <w:overflowPunct w:val="0"/>
        <w:jc w:val="both"/>
        <w:textAlignment w:val="baseline"/>
        <w:rPr>
          <w:rFonts w:ascii="Arial" w:hAnsi="Arial"/>
          <w:bCs/>
        </w:rPr>
      </w:pPr>
      <w:r w:rsidRPr="00E37043">
        <w:rPr>
          <w:rFonts w:ascii="Arial" w:hAnsi="Arial"/>
          <w:bCs/>
        </w:rPr>
        <w:t>Application of the strategy and development and marketing policies, set by the BOard of Administration;</w:t>
      </w:r>
    </w:p>
    <w:p w:rsidR="00E76B83" w:rsidRPr="00E37043" w:rsidRDefault="00E76B83" w:rsidP="00D87DA4">
      <w:pPr>
        <w:pStyle w:val="ListParagraph"/>
        <w:numPr>
          <w:ilvl w:val="0"/>
          <w:numId w:val="39"/>
        </w:numPr>
        <w:overflowPunct w:val="0"/>
        <w:jc w:val="both"/>
        <w:textAlignment w:val="baseline"/>
        <w:rPr>
          <w:rFonts w:ascii="Arial" w:hAnsi="Arial"/>
          <w:bCs/>
        </w:rPr>
      </w:pPr>
      <w:r w:rsidRPr="00E37043">
        <w:rPr>
          <w:rFonts w:ascii="Arial" w:hAnsi="Arial"/>
          <w:bCs/>
        </w:rPr>
        <w:t>Provision of management of the company’s business;</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t>Securing the observance of the reporting liabilities set by the regulations in force regarding the capital market and in the EGO no. 109/2011 regarding the corporate governance of the public enterprises, as well as the other applicable legal provisions;</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t>Preparation of projects and business plans in order to submit them to the Board of Administration for approval;</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t>Preparation of  the Organizational and Operational Rules and Regulations governing the company, the  personnel structure and submits them to the Board of Administration for approval;</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t>Organization and coordination of the necessary activities in order to put into practice the strategies and policies approved by the Board of Administration;</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t xml:space="preserve">hire / appointment / lays off / promotion / suspension / dismissal as the case may be, according to the law, of the company's personnel; </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t xml:space="preserve">Negotiation of the individual employees' labor contracts; </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t xml:space="preserve">Settlement of performance criteria and objectives for the executive directors, the follow-up of the degree of achievement thereof and assessment of the activity of the executive directors regarding the fulfillment of the attribution provided in the job description; </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t>negotiation and conclusion of the Collective Labor Agreement, in the name and on behalf of the company, in the form approved by the Board of Administration;</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t>Conclusion of juristic acts, in the name and on behalf of “CONPET” S.A., under the law and in compliance with the provisions of the contract of mandate and of the empowerments granted based on the resolution</w:t>
      </w:r>
      <w:r w:rsidR="00E37043">
        <w:rPr>
          <w:rFonts w:ascii="Arial" w:hAnsi="Arial"/>
          <w:bCs/>
        </w:rPr>
        <w:t xml:space="preserve"> of the Board of Administration;</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lastRenderedPageBreak/>
        <w:t>Conclusion of contracts for the sale-purchase of goods, under the law and in compliance with contract of mandate and the empowerments granted pursuant to the Board of Administration decisions;</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t>Organizes and manages the Executive Director Committee formed of executive directors. The Director General.may summon to the meetings employees with management or execution powers within the company and, as the case may be,when discussing problems of professional, economic and social concern, may also invite  the president of the union;</w:t>
      </w:r>
    </w:p>
    <w:p w:rsidR="00E76B83" w:rsidRPr="00E37043" w:rsidRDefault="00E76B83" w:rsidP="00D87DA4">
      <w:pPr>
        <w:pStyle w:val="ListParagraph"/>
        <w:numPr>
          <w:ilvl w:val="0"/>
          <w:numId w:val="40"/>
        </w:numPr>
        <w:overflowPunct w:val="0"/>
        <w:jc w:val="both"/>
        <w:textAlignment w:val="baseline"/>
        <w:rPr>
          <w:rFonts w:ascii="Arial" w:hAnsi="Arial"/>
          <w:bCs/>
        </w:rPr>
      </w:pPr>
      <w:r w:rsidRPr="00E37043">
        <w:rPr>
          <w:rFonts w:ascii="Arial" w:hAnsi="Arial"/>
          <w:bCs/>
        </w:rPr>
        <w:t>Informs the Board of Administration regularly and exhaustively on the operations undertaken or on the ones contemplated;</w:t>
      </w: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 xml:space="preserve">The Director General </w:t>
      </w:r>
      <w:proofErr w:type="gramStart"/>
      <w:r w:rsidRPr="00E37043">
        <w:rPr>
          <w:rFonts w:ascii="Arial" w:hAnsi="Arial"/>
          <w:bCs/>
          <w:sz w:val="22"/>
          <w:szCs w:val="22"/>
        </w:rPr>
        <w:t>is not allowed</w:t>
      </w:r>
      <w:proofErr w:type="gramEnd"/>
      <w:r w:rsidRPr="00E37043">
        <w:rPr>
          <w:rFonts w:ascii="Arial" w:hAnsi="Arial"/>
          <w:bCs/>
          <w:sz w:val="22"/>
          <w:szCs w:val="22"/>
        </w:rPr>
        <w:t xml:space="preserve"> to disclose dat</w:t>
      </w:r>
      <w:r w:rsidR="00641468">
        <w:rPr>
          <w:rFonts w:ascii="Arial" w:hAnsi="Arial"/>
          <w:bCs/>
          <w:sz w:val="22"/>
          <w:szCs w:val="22"/>
        </w:rPr>
        <w:t>a</w:t>
      </w:r>
      <w:r w:rsidRPr="00E37043">
        <w:rPr>
          <w:rFonts w:ascii="Arial" w:hAnsi="Arial"/>
          <w:bCs/>
          <w:sz w:val="22"/>
          <w:szCs w:val="22"/>
        </w:rPr>
        <w:t xml:space="preserve"> and information he has access to, regarding</w:t>
      </w:r>
      <w:r w:rsidR="00641468">
        <w:rPr>
          <w:rFonts w:ascii="Arial" w:hAnsi="Arial"/>
          <w:bCs/>
          <w:sz w:val="22"/>
          <w:szCs w:val="22"/>
        </w:rPr>
        <w:t xml:space="preserve"> the company and the business; t</w:t>
      </w:r>
      <w:r w:rsidRPr="00E37043">
        <w:rPr>
          <w:rFonts w:ascii="Arial" w:hAnsi="Arial"/>
          <w:bCs/>
          <w:sz w:val="22"/>
          <w:szCs w:val="22"/>
        </w:rPr>
        <w:t xml:space="preserve">his obligation remains valid after the contract termination, for a period of 5 years. Furthermore, he must observe the regime of the inside information provided by Law no. 297/ </w:t>
      </w:r>
      <w:proofErr w:type="gramStart"/>
      <w:r w:rsidRPr="00E37043">
        <w:rPr>
          <w:rFonts w:ascii="Arial" w:hAnsi="Arial"/>
          <w:bCs/>
          <w:sz w:val="22"/>
          <w:szCs w:val="22"/>
        </w:rPr>
        <w:t>2004  regarding</w:t>
      </w:r>
      <w:proofErr w:type="gramEnd"/>
      <w:r w:rsidRPr="00E37043">
        <w:rPr>
          <w:rFonts w:ascii="Arial" w:hAnsi="Arial"/>
          <w:bCs/>
          <w:sz w:val="22"/>
          <w:szCs w:val="22"/>
        </w:rPr>
        <w:t xml:space="preserve"> the capital market and the incidental regulations.</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FB0D77" w:rsidRDefault="00E76B83" w:rsidP="00E76B83">
      <w:pPr>
        <w:widowControl/>
        <w:overflowPunct w:val="0"/>
        <w:spacing w:line="276" w:lineRule="auto"/>
        <w:jc w:val="both"/>
        <w:textAlignment w:val="baseline"/>
        <w:rPr>
          <w:rFonts w:ascii="Arial" w:hAnsi="Arial"/>
          <w:b/>
          <w:bCs/>
          <w:color w:val="2E74B5" w:themeColor="accent1" w:themeShade="BF"/>
          <w:sz w:val="22"/>
          <w:szCs w:val="22"/>
        </w:rPr>
      </w:pPr>
      <w:r w:rsidRPr="00FB0D77">
        <w:rPr>
          <w:rFonts w:ascii="Arial" w:hAnsi="Arial"/>
          <w:b/>
          <w:bCs/>
          <w:color w:val="2E74B5" w:themeColor="accent1" w:themeShade="BF"/>
          <w:sz w:val="22"/>
          <w:szCs w:val="22"/>
        </w:rPr>
        <w:t>The Remuneration Policy</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In compliance with the provisions of Article 37 para</w:t>
      </w:r>
      <w:proofErr w:type="gramStart"/>
      <w:r w:rsidRPr="00E37043">
        <w:rPr>
          <w:rFonts w:ascii="Arial" w:hAnsi="Arial"/>
          <w:bCs/>
          <w:sz w:val="22"/>
          <w:szCs w:val="22"/>
        </w:rPr>
        <w:t>.(</w:t>
      </w:r>
      <w:proofErr w:type="gramEnd"/>
      <w:r w:rsidRPr="00E37043">
        <w:rPr>
          <w:rFonts w:ascii="Arial" w:hAnsi="Arial"/>
          <w:bCs/>
          <w:sz w:val="22"/>
          <w:szCs w:val="22"/>
        </w:rPr>
        <w:t>1) and (2) and respectively of Art. 38, para. (2) of the Emergency Government Ordinance nr.109/2011 regarding the corporate governance of the public enterprises, further amendments and additions, the administrators and the Director General receive a monthly fixed allowance for the activity performed.</w:t>
      </w: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 xml:space="preserve">The monthly fixed gross allowance for the members of the Board of Administration </w:t>
      </w:r>
      <w:proofErr w:type="gramStart"/>
      <w:r w:rsidRPr="00E37043">
        <w:rPr>
          <w:rFonts w:ascii="Arial" w:hAnsi="Arial"/>
          <w:bCs/>
          <w:sz w:val="22"/>
          <w:szCs w:val="22"/>
        </w:rPr>
        <w:t>has been capped</w:t>
      </w:r>
      <w:proofErr w:type="gramEnd"/>
      <w:r w:rsidRPr="00E37043">
        <w:rPr>
          <w:rFonts w:ascii="Arial" w:hAnsi="Arial"/>
          <w:bCs/>
          <w:sz w:val="22"/>
          <w:szCs w:val="22"/>
        </w:rPr>
        <w:t xml:space="preserve"> and it cannot exceed </w:t>
      </w:r>
      <w:r w:rsidR="00641468">
        <w:rPr>
          <w:rFonts w:ascii="Arial" w:hAnsi="Arial"/>
          <w:bCs/>
          <w:sz w:val="22"/>
          <w:szCs w:val="22"/>
        </w:rPr>
        <w:t xml:space="preserve">twice </w:t>
      </w:r>
      <w:r w:rsidRPr="00E37043">
        <w:rPr>
          <w:rFonts w:ascii="Arial" w:hAnsi="Arial"/>
          <w:bCs/>
          <w:sz w:val="22"/>
          <w:szCs w:val="22"/>
        </w:rPr>
        <w:t xml:space="preserve">the 12 months average of the average monthly gross earnings for the activity performed as per the core business of the company, communicated by the National Institute of Statistics (Rom. INS) prior to the appointment. </w:t>
      </w:r>
    </w:p>
    <w:p w:rsidR="00E76B83" w:rsidRPr="00E37043" w:rsidRDefault="00E76B83" w:rsidP="00E76B83">
      <w:pPr>
        <w:widowControl/>
        <w:overflowPunct w:val="0"/>
        <w:spacing w:line="276" w:lineRule="auto"/>
        <w:jc w:val="both"/>
        <w:textAlignment w:val="baseline"/>
        <w:rPr>
          <w:rFonts w:ascii="Arial" w:hAnsi="Arial"/>
          <w:bCs/>
          <w:sz w:val="22"/>
          <w:szCs w:val="22"/>
        </w:rPr>
      </w:pPr>
      <w:proofErr w:type="gramStart"/>
      <w:r w:rsidRPr="00E37043">
        <w:rPr>
          <w:rFonts w:ascii="Arial" w:hAnsi="Arial"/>
          <w:bCs/>
          <w:sz w:val="22"/>
          <w:szCs w:val="22"/>
        </w:rPr>
        <w:t>The fix</w:t>
      </w:r>
      <w:r w:rsidR="00641468">
        <w:rPr>
          <w:rFonts w:ascii="Arial" w:hAnsi="Arial"/>
          <w:bCs/>
          <w:sz w:val="22"/>
          <w:szCs w:val="22"/>
        </w:rPr>
        <w:t xml:space="preserve"> monthly gross allowance for</w:t>
      </w:r>
      <w:r w:rsidRPr="00E37043">
        <w:rPr>
          <w:rFonts w:ascii="Arial" w:hAnsi="Arial"/>
          <w:bCs/>
          <w:sz w:val="22"/>
          <w:szCs w:val="22"/>
        </w:rPr>
        <w:t xml:space="preserve"> the members of the Board of Administration,  which equals twice the average over the last twelve months of the monthly gross average earnings for the activity performed as per the core business registered by the company, at level of class, as per the classification of the activities in the national economy, communicated by the National Institute of Statistics prior to the appointment, was recalculated in compliance with the provisions of the EGO no. 79/ 2017  for the amendment and completion of Law no. 227/ 2015 regarding the Fiscal Code.</w:t>
      </w:r>
      <w:proofErr w:type="gramEnd"/>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 xml:space="preserve">The monthly gross fixed allowance recalculated in amount of 12,314 RON was approved by the GMS </w:t>
      </w:r>
      <w:proofErr w:type="gramStart"/>
      <w:r w:rsidRPr="00E37043">
        <w:rPr>
          <w:rFonts w:ascii="Arial" w:hAnsi="Arial"/>
          <w:bCs/>
          <w:sz w:val="22"/>
          <w:szCs w:val="22"/>
        </w:rPr>
        <w:t>on  05.03.2018</w:t>
      </w:r>
      <w:proofErr w:type="gramEnd"/>
      <w:r w:rsidRPr="00E37043">
        <w:rPr>
          <w:rFonts w:ascii="Arial" w:hAnsi="Arial"/>
          <w:bCs/>
          <w:sz w:val="22"/>
          <w:szCs w:val="22"/>
        </w:rPr>
        <w:t xml:space="preserve">, based on the provisions of Art. 18 of the EGO no.  90/ 2017 and was awarded starting </w:t>
      </w:r>
      <w:r w:rsidR="00641468">
        <w:rPr>
          <w:rFonts w:ascii="Arial" w:hAnsi="Arial"/>
          <w:bCs/>
          <w:sz w:val="22"/>
          <w:szCs w:val="22"/>
        </w:rPr>
        <w:t>with the month of January 2018.</w:t>
      </w: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On May 17, 2018, the GMS approved the election of a new Board of Administration and set the monthly fix allowance for the elected administrators in amount of 12.754 RON, which equals twice the average over the last twelve months of the monthly gross average earnings for the activity performed as per the core business registered by the company, at level of class as per the classification of the activities in the national economy, communicated by the National Institute of Statistics prior to the appointment, recalculated having as grounds the provisions of Art. 18 of the EGO no. 90/2017.</w:t>
      </w: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The total gross fixed remuneration paid during 01.01.2018 – 30.06.2018 to the members of the Boa</w:t>
      </w:r>
      <w:r w:rsidR="001363F9">
        <w:rPr>
          <w:rFonts w:ascii="Arial" w:hAnsi="Arial"/>
          <w:bCs/>
          <w:sz w:val="22"/>
          <w:szCs w:val="22"/>
        </w:rPr>
        <w:t>rd of Administration was of 519,</w:t>
      </w:r>
      <w:r w:rsidRPr="00E37043">
        <w:rPr>
          <w:rFonts w:ascii="Arial" w:hAnsi="Arial"/>
          <w:bCs/>
          <w:sz w:val="22"/>
          <w:szCs w:val="22"/>
        </w:rPr>
        <w:t>648 RON.</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By way of Decision no. 22/15.12.2017, the Board of Administration set the gross monthly fixed allowance of the Director General for the execution of the trusted mandate, in amount of 36,884 RON. The monthly fixed gross allowance of the Director G</w:t>
      </w:r>
      <w:r w:rsidR="00E37043" w:rsidRPr="00E37043">
        <w:rPr>
          <w:rFonts w:ascii="Arial" w:hAnsi="Arial"/>
          <w:bCs/>
          <w:sz w:val="22"/>
          <w:szCs w:val="22"/>
        </w:rPr>
        <w:t>eneral is set at the level of</w:t>
      </w:r>
      <w:r w:rsidRPr="00E37043">
        <w:rPr>
          <w:rFonts w:ascii="Arial" w:hAnsi="Arial"/>
          <w:bCs/>
          <w:sz w:val="22"/>
          <w:szCs w:val="22"/>
        </w:rPr>
        <w:t xml:space="preserve"> 6 times the average of the gross average earnings for the last 12 months for the activity carried out according </w:t>
      </w:r>
      <w:r w:rsidRPr="00E37043">
        <w:rPr>
          <w:rFonts w:ascii="Arial" w:hAnsi="Arial"/>
          <w:bCs/>
          <w:sz w:val="22"/>
          <w:szCs w:val="22"/>
        </w:rPr>
        <w:lastRenderedPageBreak/>
        <w:t xml:space="preserve">to the main core business of activity registered by the company at the class level as per the classification of activities in the national economy, communicated by the National Institute of Statistics prior to the appointment.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 xml:space="preserve">The allowance was calculated in compliance with the provisions of the EGO no. 79/2017 for the amendment and completion of Law no. 227/ 2015 regarding the Fiscal Code and approved by the Board of Administration. </w:t>
      </w:r>
    </w:p>
    <w:p w:rsidR="00E76B83" w:rsidRPr="00E37043" w:rsidRDefault="00E76B83" w:rsidP="00E76B83">
      <w:pPr>
        <w:widowControl/>
        <w:overflowPunct w:val="0"/>
        <w:spacing w:line="276" w:lineRule="auto"/>
        <w:jc w:val="both"/>
        <w:textAlignment w:val="baseline"/>
        <w:rPr>
          <w:rFonts w:ascii="Arial" w:hAnsi="Arial"/>
          <w:bCs/>
          <w:sz w:val="22"/>
          <w:szCs w:val="22"/>
        </w:rPr>
      </w:pP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The total gross fixed remuneration paid during 01.01.2018 – 30.06.2018 due to to the Director General was of 221.304 RON.</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FB0D77" w:rsidRDefault="00E76B83" w:rsidP="00E76B83">
      <w:pPr>
        <w:widowControl/>
        <w:overflowPunct w:val="0"/>
        <w:spacing w:line="276" w:lineRule="auto"/>
        <w:jc w:val="both"/>
        <w:textAlignment w:val="baseline"/>
        <w:rPr>
          <w:rFonts w:ascii="Arial" w:hAnsi="Arial"/>
          <w:b/>
          <w:bCs/>
          <w:color w:val="2E74B5" w:themeColor="accent1" w:themeShade="BF"/>
          <w:sz w:val="22"/>
          <w:szCs w:val="22"/>
        </w:rPr>
      </w:pPr>
      <w:r w:rsidRPr="00FB0D77">
        <w:rPr>
          <w:rFonts w:ascii="Arial" w:hAnsi="Arial"/>
          <w:b/>
          <w:bCs/>
          <w:color w:val="2E74B5" w:themeColor="accent1" w:themeShade="BF"/>
          <w:sz w:val="22"/>
          <w:szCs w:val="22"/>
        </w:rPr>
        <w:t xml:space="preserve">Management of the conflicts of interests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During 2018 H1, no conflicts of interests were recorded on the level of the company  CONPET SA, as it results from the declarations of interests submitted by the senior management and BoA members, in application of Law 176/2010 on integrity in the exercise of public office and dignities, for the amending and completion of Law 144/2007 regarding the establishment, organization and functioning of the National Integrity Agency, as well as for the modification and completion of other normative acts.</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 xml:space="preserve">In order to adhere to the National Anti corruption Strategy 2016 - 2020, the Director General of CONPET S.A. formulated on 24.11.2016, the Declaration of Adhesion, document by which one expresses the adhesion of the company's employees to the values, principles, objectives, measures and deadlines provided by the National Anti-corruption Strategy (NAS); </w:t>
      </w:r>
    </w:p>
    <w:p w:rsidR="00E76B83" w:rsidRPr="00E76B83" w:rsidRDefault="00E37043" w:rsidP="00E76B83">
      <w:pPr>
        <w:widowControl/>
        <w:overflowPunct w:val="0"/>
        <w:spacing w:line="276" w:lineRule="auto"/>
        <w:jc w:val="both"/>
        <w:textAlignment w:val="baseline"/>
        <w:rPr>
          <w:rFonts w:ascii="Arial" w:hAnsi="Arial"/>
          <w:b/>
          <w:bCs/>
          <w:color w:val="1F4E79" w:themeColor="accent1" w:themeShade="80"/>
          <w:sz w:val="22"/>
          <w:szCs w:val="22"/>
        </w:rPr>
      </w:pPr>
      <w:r>
        <w:rPr>
          <w:rFonts w:ascii="Arial" w:hAnsi="Arial"/>
          <w:b/>
          <w:bCs/>
          <w:color w:val="1F4E79" w:themeColor="accent1" w:themeShade="80"/>
          <w:sz w:val="22"/>
          <w:szCs w:val="22"/>
        </w:rPr>
        <w:t xml:space="preserve"> </w:t>
      </w:r>
    </w:p>
    <w:p w:rsidR="00E76B83" w:rsidRPr="00E37043" w:rsidRDefault="00E76B83" w:rsidP="00E76B83">
      <w:pPr>
        <w:widowControl/>
        <w:overflowPunct w:val="0"/>
        <w:spacing w:line="276" w:lineRule="auto"/>
        <w:jc w:val="both"/>
        <w:textAlignment w:val="baseline"/>
        <w:rPr>
          <w:rFonts w:ascii="Arial" w:hAnsi="Arial"/>
          <w:bCs/>
          <w:sz w:val="22"/>
          <w:szCs w:val="22"/>
        </w:rPr>
      </w:pPr>
      <w:proofErr w:type="gramStart"/>
      <w:r w:rsidRPr="00E37043">
        <w:rPr>
          <w:rFonts w:ascii="Arial" w:hAnsi="Arial"/>
          <w:bCs/>
          <w:sz w:val="22"/>
          <w:szCs w:val="22"/>
        </w:rPr>
        <w:t>In order to implement the National Anti-corruption Strategy 2016 - 2020, on 08.02.2017, by the Decision of the Director General no. 38, the Integrity Plan was approved, updated by Decision no. 649 / 15.09.2017 - detailing in particular the measures applicable to CONPET S.A., subsumed to the general and specific objectives set out in the SNA, in order to identify specific risks, vulnerabilities and specific intervention needs;</w:t>
      </w:r>
      <w:proofErr w:type="gramEnd"/>
      <w:r w:rsidRPr="00E37043">
        <w:rPr>
          <w:rFonts w:ascii="Arial" w:hAnsi="Arial"/>
          <w:bCs/>
          <w:sz w:val="22"/>
          <w:szCs w:val="22"/>
        </w:rPr>
        <w:t xml:space="preserve"> </w:t>
      </w:r>
    </w:p>
    <w:p w:rsidR="00E76B83" w:rsidRPr="00E76B83" w:rsidRDefault="00E37043" w:rsidP="00E76B83">
      <w:pPr>
        <w:widowControl/>
        <w:overflowPunct w:val="0"/>
        <w:spacing w:line="276" w:lineRule="auto"/>
        <w:jc w:val="both"/>
        <w:textAlignment w:val="baseline"/>
        <w:rPr>
          <w:rFonts w:ascii="Arial" w:hAnsi="Arial"/>
          <w:b/>
          <w:bCs/>
          <w:color w:val="1F4E79" w:themeColor="accent1" w:themeShade="80"/>
          <w:sz w:val="22"/>
          <w:szCs w:val="22"/>
        </w:rPr>
      </w:pPr>
      <w:r>
        <w:rPr>
          <w:rFonts w:ascii="Arial" w:hAnsi="Arial"/>
          <w:b/>
          <w:bCs/>
          <w:color w:val="1F4E79" w:themeColor="accent1" w:themeShade="80"/>
          <w:sz w:val="22"/>
          <w:szCs w:val="22"/>
        </w:rPr>
        <w:t xml:space="preserve"> </w:t>
      </w: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The administrator or the Director General who has interests in a particular operation, directly or indirectly, contrary to the interests of the company, must notify the other administrator and the internal auditor thereof and must not take part in any deliberations concerning this operation.  The same is the duty of the administrator or the Director General if, in a particular operation, he knows that the spouse, relatives or affiliates up to the fourth degree inclusively are interested.</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The members of the Board of Administration keep the confidentiality of any facts, data or information they have acquired in the course of exercising their responsibilities and understand that they have no right to use or disclose them during or after the activity.</w:t>
      </w:r>
    </w:p>
    <w:p w:rsidR="00E76B83" w:rsidRPr="00E37043" w:rsidRDefault="00E76B83" w:rsidP="00E76B83">
      <w:pPr>
        <w:widowControl/>
        <w:overflowPunct w:val="0"/>
        <w:spacing w:line="276" w:lineRule="auto"/>
        <w:jc w:val="both"/>
        <w:textAlignment w:val="baseline"/>
        <w:rPr>
          <w:rFonts w:ascii="Arial" w:hAnsi="Arial"/>
          <w:b/>
          <w:bCs/>
          <w:sz w:val="22"/>
          <w:szCs w:val="22"/>
        </w:rPr>
      </w:pPr>
    </w:p>
    <w:p w:rsidR="00E76B83" w:rsidRPr="00E37043" w:rsidRDefault="00E76B83" w:rsidP="00E76B83">
      <w:pPr>
        <w:widowControl/>
        <w:overflowPunct w:val="0"/>
        <w:spacing w:line="276" w:lineRule="auto"/>
        <w:jc w:val="both"/>
        <w:textAlignment w:val="baseline"/>
        <w:rPr>
          <w:rFonts w:ascii="Arial" w:hAnsi="Arial"/>
          <w:bCs/>
          <w:sz w:val="22"/>
          <w:szCs w:val="22"/>
        </w:rPr>
      </w:pPr>
      <w:r w:rsidRPr="00E37043">
        <w:rPr>
          <w:rFonts w:ascii="Arial" w:hAnsi="Arial"/>
          <w:bCs/>
          <w:sz w:val="22"/>
          <w:szCs w:val="22"/>
        </w:rPr>
        <w:t>In order to avoid the occurrence of conflicts of interest, the company has established a number of ethical rules that have to be respected both by the members of the Board of Administration and by the Director General and the employees of the company, in correlation with the applicable legal provisions.</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 xml:space="preserve">Both in the Organization and Operation Regulations of the Board of Administration of CONPET and in the Corporate Governance Regulation, there are provisions regarding the management of </w:t>
      </w:r>
      <w:r w:rsidRPr="0083680A">
        <w:rPr>
          <w:rFonts w:ascii="Arial" w:hAnsi="Arial"/>
          <w:bCs/>
          <w:sz w:val="22"/>
          <w:szCs w:val="22"/>
        </w:rPr>
        <w:lastRenderedPageBreak/>
        <w:t>conflicts of interest and transactions with the persons involved.  In practice, the Board of Administration members shall inform the Board of any conflicts of interest that have arisen or may arise and shall refrain from attending the discussion and voting for the adoption of a ruling on the matter giving rise to the conflict of interest concerned.</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FB0D77" w:rsidRDefault="00E76B83" w:rsidP="00E76B83">
      <w:pPr>
        <w:widowControl/>
        <w:overflowPunct w:val="0"/>
        <w:spacing w:line="276" w:lineRule="auto"/>
        <w:jc w:val="both"/>
        <w:textAlignment w:val="baseline"/>
        <w:rPr>
          <w:rFonts w:ascii="Arial" w:hAnsi="Arial"/>
          <w:b/>
          <w:bCs/>
          <w:color w:val="2E74B5" w:themeColor="accent1" w:themeShade="BF"/>
          <w:sz w:val="22"/>
          <w:szCs w:val="22"/>
        </w:rPr>
      </w:pPr>
      <w:r w:rsidRPr="00FB0D77">
        <w:rPr>
          <w:rFonts w:ascii="Arial" w:hAnsi="Arial"/>
          <w:b/>
          <w:bCs/>
          <w:color w:val="2E74B5" w:themeColor="accent1" w:themeShade="BF"/>
          <w:sz w:val="22"/>
          <w:szCs w:val="22"/>
        </w:rPr>
        <w:t>3.5.3</w:t>
      </w:r>
      <w:r w:rsidRPr="00FB0D77">
        <w:rPr>
          <w:rFonts w:ascii="Arial" w:hAnsi="Arial"/>
          <w:b/>
          <w:bCs/>
          <w:color w:val="2E74B5" w:themeColor="accent1" w:themeShade="BF"/>
          <w:sz w:val="22"/>
          <w:szCs w:val="22"/>
        </w:rPr>
        <w:tab/>
        <w:t>The Executive Management</w:t>
      </w:r>
    </w:p>
    <w:p w:rsidR="0083680A" w:rsidRPr="0083680A" w:rsidRDefault="0083680A" w:rsidP="00E76B83">
      <w:pPr>
        <w:widowControl/>
        <w:overflowPunct w:val="0"/>
        <w:spacing w:line="276" w:lineRule="auto"/>
        <w:jc w:val="both"/>
        <w:textAlignment w:val="baseline"/>
        <w:rPr>
          <w:rFonts w:ascii="Arial" w:hAnsi="Arial"/>
          <w:b/>
          <w:bCs/>
          <w:sz w:val="22"/>
          <w:szCs w:val="22"/>
        </w:rPr>
      </w:pPr>
    </w:p>
    <w:p w:rsidR="00E76B83" w:rsidRPr="0083680A" w:rsidRDefault="00E76B83" w:rsidP="00E76B83">
      <w:pPr>
        <w:widowControl/>
        <w:overflowPunct w:val="0"/>
        <w:spacing w:line="276" w:lineRule="auto"/>
        <w:jc w:val="both"/>
        <w:textAlignment w:val="baseline"/>
        <w:rPr>
          <w:rFonts w:ascii="Arial" w:hAnsi="Arial"/>
          <w:b/>
          <w:bCs/>
          <w:sz w:val="22"/>
          <w:szCs w:val="22"/>
        </w:rPr>
      </w:pPr>
      <w:r w:rsidRPr="0083680A">
        <w:rPr>
          <w:rFonts w:ascii="Arial" w:hAnsi="Arial"/>
          <w:b/>
          <w:bCs/>
          <w:sz w:val="22"/>
          <w:szCs w:val="22"/>
        </w:rPr>
        <w:t>During 01.01.2018 -30.06.2018, the executive management had the following composition:</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
          <w:bCs/>
          <w:sz w:val="22"/>
          <w:szCs w:val="22"/>
        </w:rPr>
      </w:pPr>
      <w:r w:rsidRPr="0083680A">
        <w:rPr>
          <w:rFonts w:ascii="Arial" w:hAnsi="Arial"/>
          <w:b/>
          <w:bCs/>
          <w:sz w:val="22"/>
          <w:szCs w:val="22"/>
        </w:rPr>
        <w:t>The organizational structure valid from 01.01.2018 until 31.01.2018</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BACIU Dan-Silviu</w:t>
      </w:r>
      <w:r w:rsidRPr="0083680A">
        <w:rPr>
          <w:rFonts w:ascii="Arial" w:hAnsi="Arial"/>
          <w:bCs/>
          <w:sz w:val="22"/>
          <w:szCs w:val="22"/>
        </w:rPr>
        <w:tab/>
        <w:t>Director General</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TOADER Sanda</w:t>
      </w:r>
      <w:r w:rsidRPr="0083680A">
        <w:rPr>
          <w:rFonts w:ascii="Arial" w:hAnsi="Arial"/>
          <w:bCs/>
          <w:sz w:val="22"/>
          <w:szCs w:val="22"/>
        </w:rPr>
        <w:tab/>
        <w:t>Director, Economic Direction</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DUMITRACHE Mihaela -  Anamaria</w:t>
      </w:r>
      <w:r w:rsidRPr="0083680A">
        <w:rPr>
          <w:rFonts w:ascii="Arial" w:hAnsi="Arial"/>
          <w:bCs/>
          <w:sz w:val="22"/>
          <w:szCs w:val="22"/>
        </w:rPr>
        <w:tab/>
        <w:t xml:space="preserve">Director, Trade and Regulated Activites Direction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
          <w:bCs/>
          <w:sz w:val="22"/>
          <w:szCs w:val="22"/>
        </w:rPr>
      </w:pPr>
      <w:r w:rsidRPr="0083680A">
        <w:rPr>
          <w:rFonts w:ascii="Arial" w:hAnsi="Arial"/>
          <w:b/>
          <w:bCs/>
          <w:sz w:val="22"/>
          <w:szCs w:val="22"/>
        </w:rPr>
        <w:t>The organizational structure valid from 01.02.2018 until 30.06.2018</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BACIU Dan-Silviu</w:t>
      </w:r>
      <w:r w:rsidRPr="0083680A">
        <w:rPr>
          <w:rFonts w:ascii="Arial" w:hAnsi="Arial"/>
          <w:bCs/>
          <w:sz w:val="22"/>
          <w:szCs w:val="22"/>
        </w:rPr>
        <w:tab/>
      </w:r>
      <w:r w:rsidR="001363F9">
        <w:rPr>
          <w:rFonts w:ascii="Arial" w:hAnsi="Arial"/>
          <w:bCs/>
          <w:sz w:val="22"/>
          <w:szCs w:val="22"/>
        </w:rPr>
        <w:t xml:space="preserve">                      </w:t>
      </w:r>
      <w:r w:rsidRPr="0083680A">
        <w:rPr>
          <w:rFonts w:ascii="Arial" w:hAnsi="Arial"/>
          <w:bCs/>
          <w:sz w:val="22"/>
          <w:szCs w:val="22"/>
        </w:rPr>
        <w:t>Director General</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DUMITRACHE Mihaela -  Anamaria</w:t>
      </w:r>
      <w:r w:rsidRPr="0083680A">
        <w:rPr>
          <w:rFonts w:ascii="Arial" w:hAnsi="Arial"/>
          <w:bCs/>
          <w:sz w:val="22"/>
          <w:szCs w:val="22"/>
        </w:rPr>
        <w:tab/>
        <w:t>Deputy Director General 1</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Vacant - until 03.04.2018</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VOICU Ioan – as of 03.04.2018</w:t>
      </w:r>
      <w:r w:rsidRPr="0083680A">
        <w:rPr>
          <w:rFonts w:ascii="Arial" w:hAnsi="Arial"/>
          <w:bCs/>
          <w:sz w:val="22"/>
          <w:szCs w:val="22"/>
        </w:rPr>
        <w:tab/>
        <w:t xml:space="preserve">Deputy Director General 2 </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TOADER Sanda</w:t>
      </w:r>
      <w:r w:rsidRPr="0083680A">
        <w:rPr>
          <w:rFonts w:ascii="Arial" w:hAnsi="Arial"/>
          <w:bCs/>
          <w:sz w:val="22"/>
          <w:szCs w:val="22"/>
        </w:rPr>
        <w:tab/>
      </w:r>
      <w:r w:rsidR="001363F9">
        <w:rPr>
          <w:rFonts w:ascii="Arial" w:hAnsi="Arial"/>
          <w:bCs/>
          <w:sz w:val="22"/>
          <w:szCs w:val="22"/>
        </w:rPr>
        <w:t xml:space="preserve">           </w:t>
      </w:r>
      <w:r w:rsidRPr="0083680A">
        <w:rPr>
          <w:rFonts w:ascii="Arial" w:hAnsi="Arial"/>
          <w:bCs/>
          <w:sz w:val="22"/>
          <w:szCs w:val="22"/>
        </w:rPr>
        <w:t>Director, Economic Direction</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STOICA Narcis - Florin</w:t>
      </w:r>
      <w:r w:rsidRPr="0083680A">
        <w:rPr>
          <w:rFonts w:ascii="Arial" w:hAnsi="Arial"/>
          <w:bCs/>
          <w:sz w:val="22"/>
          <w:szCs w:val="22"/>
        </w:rPr>
        <w:tab/>
        <w:t>Director</w:t>
      </w:r>
      <w:proofErr w:type="gramStart"/>
      <w:r w:rsidRPr="0083680A">
        <w:rPr>
          <w:rFonts w:ascii="Arial" w:hAnsi="Arial"/>
          <w:bCs/>
          <w:sz w:val="22"/>
          <w:szCs w:val="22"/>
        </w:rPr>
        <w:t>,  Operations</w:t>
      </w:r>
      <w:proofErr w:type="gramEnd"/>
      <w:r w:rsidRPr="0083680A">
        <w:rPr>
          <w:rFonts w:ascii="Arial" w:hAnsi="Arial"/>
          <w:bCs/>
          <w:sz w:val="22"/>
          <w:szCs w:val="22"/>
        </w:rPr>
        <w:t xml:space="preserve"> Transport Direction </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BUZATU Dan</w:t>
      </w:r>
      <w:r w:rsidRPr="0083680A">
        <w:rPr>
          <w:rFonts w:ascii="Arial" w:hAnsi="Arial"/>
          <w:bCs/>
          <w:sz w:val="22"/>
          <w:szCs w:val="22"/>
        </w:rPr>
        <w:tab/>
      </w:r>
      <w:r w:rsidR="001363F9">
        <w:rPr>
          <w:rFonts w:ascii="Arial" w:hAnsi="Arial"/>
          <w:bCs/>
          <w:sz w:val="22"/>
          <w:szCs w:val="22"/>
        </w:rPr>
        <w:t xml:space="preserve">                       </w:t>
      </w:r>
      <w:r w:rsidRPr="0083680A">
        <w:rPr>
          <w:rFonts w:ascii="Arial" w:hAnsi="Arial"/>
          <w:bCs/>
          <w:sz w:val="22"/>
          <w:szCs w:val="22"/>
        </w:rPr>
        <w:t>Director</w:t>
      </w:r>
      <w:proofErr w:type="gramStart"/>
      <w:r w:rsidRPr="0083680A">
        <w:rPr>
          <w:rFonts w:ascii="Arial" w:hAnsi="Arial"/>
          <w:bCs/>
          <w:sz w:val="22"/>
          <w:szCs w:val="22"/>
        </w:rPr>
        <w:t>,  Development</w:t>
      </w:r>
      <w:proofErr w:type="gramEnd"/>
      <w:r w:rsidRPr="0083680A">
        <w:rPr>
          <w:rFonts w:ascii="Arial" w:hAnsi="Arial"/>
          <w:bCs/>
          <w:sz w:val="22"/>
          <w:szCs w:val="22"/>
        </w:rPr>
        <w:t xml:space="preserve"> Maintenance Direction</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r w:rsidRPr="00E76B83">
        <w:rPr>
          <w:rFonts w:ascii="Arial" w:hAnsi="Arial"/>
          <w:b/>
          <w:bCs/>
          <w:color w:val="1F4E79" w:themeColor="accent1" w:themeShade="80"/>
          <w:sz w:val="22"/>
          <w:szCs w:val="22"/>
        </w:rPr>
        <w:tab/>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Default="00E76B83" w:rsidP="00E76B83">
      <w:pPr>
        <w:widowControl/>
        <w:overflowPunct w:val="0"/>
        <w:spacing w:line="276" w:lineRule="auto"/>
        <w:jc w:val="both"/>
        <w:textAlignment w:val="baseline"/>
        <w:rPr>
          <w:rFonts w:ascii="Arial" w:hAnsi="Arial"/>
          <w:b/>
          <w:bCs/>
          <w:sz w:val="22"/>
          <w:szCs w:val="22"/>
        </w:rPr>
      </w:pPr>
      <w:r w:rsidRPr="0083680A">
        <w:rPr>
          <w:rFonts w:ascii="Arial" w:hAnsi="Arial"/>
          <w:b/>
          <w:bCs/>
          <w:sz w:val="22"/>
          <w:szCs w:val="22"/>
        </w:rPr>
        <w:t>Activity regarding the sponsorship concluded in 2018 H1</w:t>
      </w:r>
    </w:p>
    <w:p w:rsidR="001363F9" w:rsidRPr="0083680A" w:rsidRDefault="001363F9" w:rsidP="00E76B83">
      <w:pPr>
        <w:widowControl/>
        <w:overflowPunct w:val="0"/>
        <w:spacing w:line="276" w:lineRule="auto"/>
        <w:jc w:val="both"/>
        <w:textAlignment w:val="baseline"/>
        <w:rPr>
          <w:rFonts w:ascii="Arial" w:hAnsi="Arial"/>
          <w:b/>
          <w:bCs/>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CONPET S.A. supported, through sponsorship actions, projects of tradition or with significant impact on the community, but also request of less amplitude targeting ideas, actions or individual performance.</w:t>
      </w:r>
      <w:r w:rsidRPr="0083680A">
        <w:rPr>
          <w:rFonts w:ascii="Arial" w:hAnsi="Arial"/>
          <w:bCs/>
          <w:sz w:val="22"/>
          <w:szCs w:val="22"/>
        </w:rPr>
        <w:tab/>
      </w:r>
    </w:p>
    <w:p w:rsidR="00E76B83" w:rsidRPr="0083680A" w:rsidRDefault="00E76B83" w:rsidP="00E76B83">
      <w:pPr>
        <w:widowControl/>
        <w:overflowPunct w:val="0"/>
        <w:spacing w:line="276" w:lineRule="auto"/>
        <w:jc w:val="both"/>
        <w:textAlignment w:val="baseline"/>
        <w:rPr>
          <w:rFonts w:ascii="Arial" w:hAnsi="Arial"/>
          <w:bCs/>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r w:rsidRPr="0083680A">
        <w:rPr>
          <w:rFonts w:ascii="Arial" w:hAnsi="Arial"/>
          <w:bCs/>
          <w:sz w:val="22"/>
          <w:szCs w:val="22"/>
        </w:rPr>
        <w:t>Our company targeted that the sponsorship meant to support certain projects and events carried out by the non-profit organizations be as effective as possible from the social point of view and the granted financial support represent a consistent support for people.</w:t>
      </w:r>
      <w:r w:rsidRPr="00E76B83">
        <w:rPr>
          <w:rFonts w:ascii="Arial" w:hAnsi="Arial"/>
          <w:b/>
          <w:bCs/>
          <w:color w:val="1F4E79" w:themeColor="accent1" w:themeShade="80"/>
          <w:sz w:val="22"/>
          <w:szCs w:val="22"/>
        </w:rPr>
        <w:tab/>
        <w:t xml:space="preserve">          </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For the year 2018, in the Revenues and Expenditure Budget of the Company CONPET S.A.</w:t>
      </w:r>
      <w:r w:rsidR="001363F9">
        <w:rPr>
          <w:rFonts w:ascii="Arial" w:hAnsi="Arial"/>
          <w:bCs/>
          <w:sz w:val="22"/>
          <w:szCs w:val="22"/>
        </w:rPr>
        <w:t xml:space="preserve"> </w:t>
      </w:r>
      <w:proofErr w:type="gramStart"/>
      <w:r w:rsidRPr="0083680A">
        <w:rPr>
          <w:rFonts w:ascii="Arial" w:hAnsi="Arial"/>
          <w:bCs/>
          <w:sz w:val="22"/>
          <w:szCs w:val="22"/>
        </w:rPr>
        <w:t>have been provided</w:t>
      </w:r>
      <w:proofErr w:type="gramEnd"/>
      <w:r w:rsidRPr="0083680A">
        <w:rPr>
          <w:rFonts w:ascii="Arial" w:hAnsi="Arial"/>
          <w:bCs/>
          <w:sz w:val="22"/>
          <w:szCs w:val="22"/>
        </w:rPr>
        <w:t xml:space="preserve"> sponsorship expenses in amount of 600,000 RON. </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 xml:space="preserve">During the Board of </w:t>
      </w:r>
      <w:proofErr w:type="gramStart"/>
      <w:r w:rsidRPr="0083680A">
        <w:rPr>
          <w:rFonts w:ascii="Arial" w:hAnsi="Arial"/>
          <w:bCs/>
          <w:sz w:val="22"/>
          <w:szCs w:val="22"/>
        </w:rPr>
        <w:t>Administration</w:t>
      </w:r>
      <w:proofErr w:type="gramEnd"/>
      <w:r w:rsidRPr="0083680A">
        <w:rPr>
          <w:rFonts w:ascii="Arial" w:hAnsi="Arial"/>
          <w:bCs/>
          <w:sz w:val="22"/>
          <w:szCs w:val="22"/>
        </w:rPr>
        <w:t xml:space="preserve"> meetings of CONPET S.A. </w:t>
      </w:r>
      <w:r w:rsidR="001363F9">
        <w:rPr>
          <w:rFonts w:ascii="Arial" w:hAnsi="Arial"/>
          <w:bCs/>
          <w:sz w:val="22"/>
          <w:szCs w:val="22"/>
        </w:rPr>
        <w:t>w</w:t>
      </w:r>
      <w:r w:rsidRPr="0083680A">
        <w:rPr>
          <w:rFonts w:ascii="Arial" w:hAnsi="Arial"/>
          <w:bCs/>
          <w:sz w:val="22"/>
          <w:szCs w:val="22"/>
        </w:rPr>
        <w:t>ere approved, to date, sponsorship in amount of 51,865 RON, as follows:</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 xml:space="preserve">12,865 </w:t>
      </w:r>
      <w:proofErr w:type="gramStart"/>
      <w:r w:rsidRPr="0083680A">
        <w:rPr>
          <w:rFonts w:ascii="Arial" w:hAnsi="Arial"/>
          <w:bCs/>
          <w:sz w:val="22"/>
          <w:szCs w:val="22"/>
        </w:rPr>
        <w:t>RON  “</w:t>
      </w:r>
      <w:proofErr w:type="gramEnd"/>
      <w:r w:rsidRPr="0083680A">
        <w:rPr>
          <w:rFonts w:ascii="Arial" w:hAnsi="Arial"/>
          <w:bCs/>
          <w:sz w:val="22"/>
          <w:szCs w:val="22"/>
        </w:rPr>
        <w:t>Education, social and sports activities”</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 xml:space="preserve">39,000 </w:t>
      </w:r>
      <w:proofErr w:type="gramStart"/>
      <w:r w:rsidRPr="0083680A">
        <w:rPr>
          <w:rFonts w:ascii="Arial" w:hAnsi="Arial"/>
          <w:bCs/>
          <w:sz w:val="22"/>
          <w:szCs w:val="22"/>
        </w:rPr>
        <w:t xml:space="preserve">RON </w:t>
      </w:r>
      <w:r w:rsidR="0083680A">
        <w:rPr>
          <w:rFonts w:ascii="Arial" w:hAnsi="Arial"/>
          <w:bCs/>
          <w:sz w:val="22"/>
          <w:szCs w:val="22"/>
        </w:rPr>
        <w:t xml:space="preserve"> “</w:t>
      </w:r>
      <w:proofErr w:type="gramEnd"/>
      <w:r w:rsidR="0083680A">
        <w:rPr>
          <w:rFonts w:ascii="Arial" w:hAnsi="Arial"/>
          <w:bCs/>
          <w:sz w:val="22"/>
          <w:szCs w:val="22"/>
        </w:rPr>
        <w:t>Other actions and activities”</w:t>
      </w:r>
    </w:p>
    <w:p w:rsid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1363F9" w:rsidRDefault="001363F9" w:rsidP="00E76B83">
      <w:pPr>
        <w:widowControl/>
        <w:overflowPunct w:val="0"/>
        <w:spacing w:line="276" w:lineRule="auto"/>
        <w:jc w:val="both"/>
        <w:textAlignment w:val="baseline"/>
        <w:rPr>
          <w:rFonts w:ascii="Arial" w:hAnsi="Arial"/>
          <w:b/>
          <w:bCs/>
          <w:color w:val="1F4E79" w:themeColor="accent1" w:themeShade="80"/>
          <w:sz w:val="22"/>
          <w:szCs w:val="22"/>
        </w:rPr>
      </w:pPr>
    </w:p>
    <w:p w:rsidR="001363F9" w:rsidRDefault="001363F9" w:rsidP="00E76B83">
      <w:pPr>
        <w:widowControl/>
        <w:overflowPunct w:val="0"/>
        <w:spacing w:line="276" w:lineRule="auto"/>
        <w:jc w:val="both"/>
        <w:textAlignment w:val="baseline"/>
        <w:rPr>
          <w:rFonts w:ascii="Arial" w:hAnsi="Arial"/>
          <w:b/>
          <w:bCs/>
          <w:color w:val="1F4E79" w:themeColor="accent1" w:themeShade="80"/>
          <w:sz w:val="22"/>
          <w:szCs w:val="22"/>
        </w:rPr>
      </w:pPr>
    </w:p>
    <w:p w:rsidR="001363F9" w:rsidRDefault="001363F9" w:rsidP="00E76B83">
      <w:pPr>
        <w:widowControl/>
        <w:overflowPunct w:val="0"/>
        <w:spacing w:line="276" w:lineRule="auto"/>
        <w:jc w:val="both"/>
        <w:textAlignment w:val="baseline"/>
        <w:rPr>
          <w:rFonts w:ascii="Arial" w:hAnsi="Arial"/>
          <w:b/>
          <w:bCs/>
          <w:color w:val="1F4E79" w:themeColor="accent1" w:themeShade="80"/>
          <w:sz w:val="22"/>
          <w:szCs w:val="22"/>
        </w:rPr>
      </w:pPr>
    </w:p>
    <w:p w:rsidR="001363F9" w:rsidRDefault="001363F9" w:rsidP="00E76B83">
      <w:pPr>
        <w:widowControl/>
        <w:overflowPunct w:val="0"/>
        <w:spacing w:line="276" w:lineRule="auto"/>
        <w:jc w:val="both"/>
        <w:textAlignment w:val="baseline"/>
        <w:rPr>
          <w:rFonts w:ascii="Arial" w:hAnsi="Arial"/>
          <w:b/>
          <w:bCs/>
          <w:color w:val="1F4E79" w:themeColor="accent1" w:themeShade="80"/>
          <w:sz w:val="22"/>
          <w:szCs w:val="22"/>
        </w:rPr>
      </w:pPr>
    </w:p>
    <w:p w:rsidR="001363F9" w:rsidRDefault="001363F9" w:rsidP="00E76B83">
      <w:pPr>
        <w:widowControl/>
        <w:overflowPunct w:val="0"/>
        <w:spacing w:line="276" w:lineRule="auto"/>
        <w:jc w:val="both"/>
        <w:textAlignment w:val="baseline"/>
        <w:rPr>
          <w:rFonts w:ascii="Arial" w:hAnsi="Arial"/>
          <w:b/>
          <w:bCs/>
          <w:color w:val="1F4E79" w:themeColor="accent1" w:themeShade="80"/>
          <w:sz w:val="22"/>
          <w:szCs w:val="22"/>
        </w:rPr>
      </w:pPr>
    </w:p>
    <w:p w:rsidR="001363F9" w:rsidRDefault="001363F9" w:rsidP="00E76B83">
      <w:pPr>
        <w:widowControl/>
        <w:overflowPunct w:val="0"/>
        <w:spacing w:line="276" w:lineRule="auto"/>
        <w:jc w:val="both"/>
        <w:textAlignment w:val="baseline"/>
        <w:rPr>
          <w:rFonts w:ascii="Arial" w:hAnsi="Arial"/>
          <w:b/>
          <w:bCs/>
          <w:color w:val="1F4E79" w:themeColor="accent1" w:themeShade="80"/>
          <w:sz w:val="22"/>
          <w:szCs w:val="22"/>
        </w:rPr>
      </w:pPr>
    </w:p>
    <w:p w:rsidR="001363F9" w:rsidRDefault="001363F9" w:rsidP="00E76B83">
      <w:pPr>
        <w:widowControl/>
        <w:overflowPunct w:val="0"/>
        <w:spacing w:line="276" w:lineRule="auto"/>
        <w:jc w:val="both"/>
        <w:textAlignment w:val="baseline"/>
        <w:rPr>
          <w:rFonts w:ascii="Arial" w:hAnsi="Arial"/>
          <w:b/>
          <w:bCs/>
          <w:color w:val="1F4E79" w:themeColor="accent1" w:themeShade="80"/>
          <w:sz w:val="22"/>
          <w:szCs w:val="22"/>
        </w:rPr>
      </w:pPr>
    </w:p>
    <w:p w:rsidR="001363F9" w:rsidRPr="00E76B83" w:rsidRDefault="001363F9"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FB0D77" w:rsidRDefault="00E76B83" w:rsidP="00E76B83">
      <w:pPr>
        <w:widowControl/>
        <w:overflowPunct w:val="0"/>
        <w:spacing w:line="276" w:lineRule="auto"/>
        <w:jc w:val="both"/>
        <w:textAlignment w:val="baseline"/>
        <w:rPr>
          <w:rFonts w:ascii="Arial" w:hAnsi="Arial"/>
          <w:b/>
          <w:bCs/>
          <w:color w:val="2E74B5" w:themeColor="accent1" w:themeShade="BF"/>
          <w:sz w:val="22"/>
          <w:szCs w:val="22"/>
        </w:rPr>
      </w:pPr>
      <w:r w:rsidRPr="00FB0D77">
        <w:rPr>
          <w:rFonts w:ascii="Arial" w:hAnsi="Arial"/>
          <w:b/>
          <w:bCs/>
          <w:color w:val="2E74B5" w:themeColor="accent1" w:themeShade="BF"/>
          <w:sz w:val="22"/>
          <w:szCs w:val="22"/>
        </w:rPr>
        <w:lastRenderedPageBreak/>
        <w:t xml:space="preserve">4. 2018 H1 RELEVANT CORPORATE EVENTS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
          <w:bCs/>
          <w:sz w:val="22"/>
          <w:szCs w:val="22"/>
        </w:rPr>
      </w:pPr>
      <w:r w:rsidRPr="0083680A">
        <w:rPr>
          <w:rFonts w:ascii="Arial" w:hAnsi="Arial"/>
          <w:b/>
          <w:bCs/>
          <w:sz w:val="22"/>
          <w:szCs w:val="22"/>
        </w:rPr>
        <w:t>March 5, 2018</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The General Meeting of Shareholders approved:</w:t>
      </w:r>
    </w:p>
    <w:p w:rsidR="00E76B83" w:rsidRPr="0083680A" w:rsidRDefault="00E76B83" w:rsidP="00D87DA4">
      <w:pPr>
        <w:pStyle w:val="ListParagraph"/>
        <w:numPr>
          <w:ilvl w:val="0"/>
          <w:numId w:val="41"/>
        </w:numPr>
        <w:overflowPunct w:val="0"/>
        <w:jc w:val="both"/>
        <w:textAlignment w:val="baseline"/>
        <w:rPr>
          <w:rFonts w:ascii="Arial" w:hAnsi="Arial"/>
          <w:bCs/>
        </w:rPr>
      </w:pPr>
      <w:r w:rsidRPr="0083680A">
        <w:rPr>
          <w:rFonts w:ascii="Arial" w:hAnsi="Arial"/>
          <w:bCs/>
        </w:rPr>
        <w:t>The Revenues and Expenditure Budget and the Investments Program related to 2018;</w:t>
      </w:r>
    </w:p>
    <w:p w:rsidR="00E76B83" w:rsidRPr="0083680A" w:rsidRDefault="00E76B83" w:rsidP="00D87DA4">
      <w:pPr>
        <w:pStyle w:val="ListParagraph"/>
        <w:numPr>
          <w:ilvl w:val="0"/>
          <w:numId w:val="41"/>
        </w:numPr>
        <w:overflowPunct w:val="0"/>
        <w:jc w:val="both"/>
        <w:textAlignment w:val="baseline"/>
        <w:rPr>
          <w:rFonts w:ascii="Arial" w:hAnsi="Arial"/>
          <w:bCs/>
        </w:rPr>
      </w:pPr>
      <w:r w:rsidRPr="0083680A">
        <w:rPr>
          <w:rFonts w:ascii="Arial" w:hAnsi="Arial"/>
          <w:bCs/>
        </w:rPr>
        <w:t>Initiation of the procedure for the selection of the administra</w:t>
      </w:r>
      <w:r w:rsidR="001363F9">
        <w:rPr>
          <w:rFonts w:ascii="Arial" w:hAnsi="Arial"/>
          <w:bCs/>
        </w:rPr>
        <w:t>tors of the company CONPET S.A.</w:t>
      </w:r>
      <w:r w:rsidRPr="0083680A">
        <w:rPr>
          <w:rFonts w:ascii="Arial" w:hAnsi="Arial"/>
          <w:bCs/>
        </w:rPr>
        <w:t>and granting mandate to the Board of Administration to initiate and perform the Company’s administrators selection procedure;</w:t>
      </w:r>
    </w:p>
    <w:p w:rsidR="00E76B83" w:rsidRPr="0083680A" w:rsidRDefault="00E76B83" w:rsidP="00D87DA4">
      <w:pPr>
        <w:pStyle w:val="ListParagraph"/>
        <w:numPr>
          <w:ilvl w:val="0"/>
          <w:numId w:val="41"/>
        </w:numPr>
        <w:overflowPunct w:val="0"/>
        <w:jc w:val="both"/>
        <w:textAlignment w:val="baseline"/>
        <w:rPr>
          <w:rFonts w:ascii="Arial" w:hAnsi="Arial"/>
          <w:bCs/>
        </w:rPr>
      </w:pPr>
      <w:r w:rsidRPr="0083680A">
        <w:rPr>
          <w:rFonts w:ascii="Arial" w:hAnsi="Arial"/>
          <w:bCs/>
        </w:rPr>
        <w:t>The extension, based on the provisions of Art. 64^1 para (5) of the EGO 109/2011, of the Mandate of the administrators in capacity at 28.03.2018 by a period of 2 months, respectively until 28.05.2018;</w:t>
      </w:r>
    </w:p>
    <w:p w:rsidR="0083680A" w:rsidRDefault="0083680A"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
          <w:bCs/>
          <w:sz w:val="22"/>
          <w:szCs w:val="22"/>
        </w:rPr>
      </w:pPr>
      <w:r w:rsidRPr="0083680A">
        <w:rPr>
          <w:rFonts w:ascii="Arial" w:hAnsi="Arial"/>
          <w:b/>
          <w:bCs/>
          <w:sz w:val="22"/>
          <w:szCs w:val="22"/>
        </w:rPr>
        <w:t>April 17, 2018</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 xml:space="preserve"> The company DEDEMAN SRL reports 7.413% shares held in the share capital of the company CONPET </w:t>
      </w:r>
      <w:proofErr w:type="gramStart"/>
      <w:r w:rsidRPr="0083680A">
        <w:rPr>
          <w:rFonts w:ascii="Arial" w:hAnsi="Arial"/>
          <w:bCs/>
          <w:sz w:val="22"/>
          <w:szCs w:val="22"/>
        </w:rPr>
        <w:t>SA .</w:t>
      </w:r>
      <w:proofErr w:type="gramEnd"/>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
          <w:bCs/>
          <w:sz w:val="22"/>
          <w:szCs w:val="22"/>
        </w:rPr>
      </w:pPr>
      <w:r w:rsidRPr="0083680A">
        <w:rPr>
          <w:rFonts w:ascii="Arial" w:hAnsi="Arial"/>
          <w:b/>
          <w:bCs/>
          <w:sz w:val="22"/>
          <w:szCs w:val="22"/>
        </w:rPr>
        <w:t>April 26, 2018</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The Ordinary General Meeting of Shareholders approved the annual financial statements for the financial year 2017 and the net profit distribution related to financial year 2017.</w:t>
      </w:r>
    </w:p>
    <w:p w:rsidR="00E76B83" w:rsidRPr="0083680A" w:rsidRDefault="00E76B83" w:rsidP="00E76B83">
      <w:pPr>
        <w:widowControl/>
        <w:overflowPunct w:val="0"/>
        <w:spacing w:line="276" w:lineRule="auto"/>
        <w:jc w:val="both"/>
        <w:textAlignment w:val="baseline"/>
        <w:rPr>
          <w:rFonts w:ascii="Arial" w:hAnsi="Arial"/>
          <w:bCs/>
          <w:sz w:val="22"/>
          <w:szCs w:val="22"/>
        </w:rPr>
      </w:pPr>
    </w:p>
    <w:p w:rsidR="00E76B83" w:rsidRPr="0083680A" w:rsidRDefault="00E76B83" w:rsidP="00E76B83">
      <w:pPr>
        <w:widowControl/>
        <w:overflowPunct w:val="0"/>
        <w:spacing w:line="276" w:lineRule="auto"/>
        <w:jc w:val="both"/>
        <w:textAlignment w:val="baseline"/>
        <w:rPr>
          <w:rFonts w:ascii="Arial" w:hAnsi="Arial"/>
          <w:b/>
          <w:bCs/>
          <w:sz w:val="22"/>
          <w:szCs w:val="22"/>
        </w:rPr>
      </w:pPr>
      <w:r w:rsidRPr="0083680A">
        <w:rPr>
          <w:rFonts w:ascii="Arial" w:hAnsi="Arial"/>
          <w:b/>
          <w:bCs/>
          <w:sz w:val="22"/>
          <w:szCs w:val="22"/>
        </w:rPr>
        <w:t>May 17, 2018</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The Ordinary General Meeting of Shareholders called by the Board of Administration of CONPET SA having included in the Agenda the approval of the Board of Administration and candidate profile;</w:t>
      </w:r>
    </w:p>
    <w:p w:rsidR="00E76B83" w:rsidRPr="0083680A" w:rsidRDefault="00E76B83" w:rsidP="00E76B83">
      <w:pPr>
        <w:widowControl/>
        <w:overflowPunct w:val="0"/>
        <w:spacing w:line="276" w:lineRule="auto"/>
        <w:jc w:val="both"/>
        <w:textAlignment w:val="baseline"/>
        <w:rPr>
          <w:rFonts w:ascii="Arial" w:hAnsi="Arial"/>
          <w:bCs/>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On 23.04.2018, the shareholders Societatea de Investiții Financiar</w:t>
      </w:r>
      <w:r w:rsidR="0083680A" w:rsidRPr="0083680A">
        <w:rPr>
          <w:rFonts w:ascii="Arial" w:hAnsi="Arial"/>
          <w:bCs/>
          <w:sz w:val="22"/>
          <w:szCs w:val="22"/>
        </w:rPr>
        <w:t xml:space="preserve">e Banat – Crișana SA requested </w:t>
      </w:r>
      <w:r w:rsidRPr="0083680A">
        <w:rPr>
          <w:rFonts w:ascii="Arial" w:hAnsi="Arial"/>
          <w:bCs/>
          <w:sz w:val="22"/>
          <w:szCs w:val="22"/>
        </w:rPr>
        <w:t>the supplementation of the Agenda by 6 new Items, wherefrom we mention:</w:t>
      </w:r>
    </w:p>
    <w:p w:rsidR="00E76B83" w:rsidRPr="0083680A" w:rsidRDefault="00E76B83" w:rsidP="00E76B83">
      <w:pPr>
        <w:widowControl/>
        <w:overflowPunct w:val="0"/>
        <w:spacing w:line="276" w:lineRule="auto"/>
        <w:jc w:val="both"/>
        <w:textAlignment w:val="baseline"/>
        <w:rPr>
          <w:rFonts w:ascii="Arial" w:hAnsi="Arial"/>
          <w:bCs/>
          <w:sz w:val="22"/>
          <w:szCs w:val="22"/>
        </w:rPr>
      </w:pPr>
    </w:p>
    <w:p w:rsidR="0083680A" w:rsidRPr="0083680A" w:rsidRDefault="00E76B83" w:rsidP="00D87DA4">
      <w:pPr>
        <w:pStyle w:val="ListParagraph"/>
        <w:numPr>
          <w:ilvl w:val="0"/>
          <w:numId w:val="42"/>
        </w:numPr>
        <w:overflowPunct w:val="0"/>
        <w:jc w:val="both"/>
        <w:textAlignment w:val="baseline"/>
        <w:rPr>
          <w:rFonts w:ascii="Arial" w:hAnsi="Arial"/>
          <w:bCs/>
        </w:rPr>
      </w:pPr>
      <w:r w:rsidRPr="0083680A">
        <w:rPr>
          <w:rFonts w:ascii="Arial" w:hAnsi="Arial"/>
          <w:bCs/>
        </w:rPr>
        <w:t>Revocation of the Boar</w:t>
      </w:r>
      <w:r w:rsidR="0083680A" w:rsidRPr="0083680A">
        <w:rPr>
          <w:rFonts w:ascii="Arial" w:hAnsi="Arial"/>
          <w:bCs/>
        </w:rPr>
        <w:t xml:space="preserve">d of Administration members and </w:t>
      </w:r>
    </w:p>
    <w:p w:rsidR="00E76B83" w:rsidRPr="0083680A" w:rsidRDefault="00E76B83" w:rsidP="00D87DA4">
      <w:pPr>
        <w:pStyle w:val="ListParagraph"/>
        <w:numPr>
          <w:ilvl w:val="0"/>
          <w:numId w:val="42"/>
        </w:numPr>
        <w:overflowPunct w:val="0"/>
        <w:jc w:val="both"/>
        <w:textAlignment w:val="baseline"/>
        <w:rPr>
          <w:rFonts w:ascii="Arial" w:hAnsi="Arial"/>
          <w:bCs/>
        </w:rPr>
      </w:pPr>
      <w:r w:rsidRPr="0083680A">
        <w:rPr>
          <w:rFonts w:ascii="Arial" w:hAnsi="Arial"/>
          <w:bCs/>
        </w:rPr>
        <w:t xml:space="preserve">Election of a new Board of Administration formed of </w:t>
      </w:r>
      <w:proofErr w:type="gramStart"/>
      <w:r w:rsidRPr="0083680A">
        <w:rPr>
          <w:rFonts w:ascii="Arial" w:hAnsi="Arial"/>
          <w:bCs/>
        </w:rPr>
        <w:t>7</w:t>
      </w:r>
      <w:proofErr w:type="gramEnd"/>
      <w:r w:rsidRPr="0083680A">
        <w:rPr>
          <w:rFonts w:ascii="Arial" w:hAnsi="Arial"/>
          <w:bCs/>
        </w:rPr>
        <w:t xml:space="preserve"> members, by the application of the cumulative voting method and settlement of the mandate duration of the elected administrators to 4 months or until the completion of the selection procedure provided by the EGO no. 109/2011, if this takes place before the expiry date of the administrators’ mandates. </w:t>
      </w:r>
    </w:p>
    <w:p w:rsidR="00E76B83" w:rsidRPr="0083680A" w:rsidRDefault="00E76B83" w:rsidP="00E76B83">
      <w:pPr>
        <w:widowControl/>
        <w:overflowPunct w:val="0"/>
        <w:spacing w:line="276" w:lineRule="auto"/>
        <w:jc w:val="both"/>
        <w:textAlignment w:val="baseline"/>
        <w:rPr>
          <w:rFonts w:ascii="Arial" w:hAnsi="Arial"/>
          <w:b/>
          <w:bCs/>
          <w:sz w:val="22"/>
          <w:szCs w:val="22"/>
        </w:rPr>
      </w:pPr>
      <w:r w:rsidRPr="0083680A">
        <w:rPr>
          <w:rFonts w:ascii="Arial" w:hAnsi="Arial"/>
          <w:b/>
          <w:bCs/>
          <w:sz w:val="22"/>
          <w:szCs w:val="22"/>
        </w:rPr>
        <w:t>June 19, 2018</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The National Agency for Mineral Resources issued the Order no. 117/15.06.2018 regarding the approval of the transport tariffs via the Crude oil, rich gas, condensate and ethane National Transport System, published in the Official Gazette of Ro</w:t>
      </w:r>
      <w:r w:rsidR="0083680A">
        <w:rPr>
          <w:rFonts w:ascii="Arial" w:hAnsi="Arial"/>
          <w:bCs/>
          <w:sz w:val="22"/>
          <w:szCs w:val="22"/>
        </w:rPr>
        <w:t>mania no. 500 dated 19.06.2018.</w:t>
      </w:r>
    </w:p>
    <w:p w:rsid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432988" w:rsidRDefault="00432988" w:rsidP="00E76B83">
      <w:pPr>
        <w:widowControl/>
        <w:overflowPunct w:val="0"/>
        <w:spacing w:line="276" w:lineRule="auto"/>
        <w:jc w:val="both"/>
        <w:textAlignment w:val="baseline"/>
        <w:rPr>
          <w:rFonts w:ascii="Arial" w:hAnsi="Arial"/>
          <w:b/>
          <w:bCs/>
          <w:color w:val="1F4E79" w:themeColor="accent1" w:themeShade="80"/>
          <w:sz w:val="22"/>
          <w:szCs w:val="22"/>
        </w:rPr>
      </w:pPr>
    </w:p>
    <w:p w:rsidR="00432988" w:rsidRDefault="00432988" w:rsidP="00E76B83">
      <w:pPr>
        <w:widowControl/>
        <w:overflowPunct w:val="0"/>
        <w:spacing w:line="276" w:lineRule="auto"/>
        <w:jc w:val="both"/>
        <w:textAlignment w:val="baseline"/>
        <w:rPr>
          <w:rFonts w:ascii="Arial" w:hAnsi="Arial"/>
          <w:b/>
          <w:bCs/>
          <w:color w:val="1F4E79" w:themeColor="accent1" w:themeShade="80"/>
          <w:sz w:val="22"/>
          <w:szCs w:val="22"/>
        </w:rPr>
      </w:pPr>
    </w:p>
    <w:p w:rsidR="00432988" w:rsidRDefault="00432988" w:rsidP="00E76B83">
      <w:pPr>
        <w:widowControl/>
        <w:overflowPunct w:val="0"/>
        <w:spacing w:line="276" w:lineRule="auto"/>
        <w:jc w:val="both"/>
        <w:textAlignment w:val="baseline"/>
        <w:rPr>
          <w:rFonts w:ascii="Arial" w:hAnsi="Arial"/>
          <w:b/>
          <w:bCs/>
          <w:color w:val="1F4E79" w:themeColor="accent1" w:themeShade="80"/>
          <w:sz w:val="22"/>
          <w:szCs w:val="22"/>
        </w:rPr>
      </w:pPr>
    </w:p>
    <w:p w:rsidR="00432988" w:rsidRPr="00E76B83" w:rsidRDefault="00432988"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FB0D77" w:rsidRDefault="00E76B83" w:rsidP="00E76B83">
      <w:pPr>
        <w:widowControl/>
        <w:overflowPunct w:val="0"/>
        <w:spacing w:line="276" w:lineRule="auto"/>
        <w:jc w:val="both"/>
        <w:textAlignment w:val="baseline"/>
        <w:rPr>
          <w:rFonts w:ascii="Arial" w:hAnsi="Arial"/>
          <w:b/>
          <w:bCs/>
          <w:color w:val="2E74B5" w:themeColor="accent1" w:themeShade="BF"/>
          <w:sz w:val="22"/>
          <w:szCs w:val="22"/>
        </w:rPr>
      </w:pPr>
      <w:r w:rsidRPr="00FB0D77">
        <w:rPr>
          <w:rFonts w:ascii="Arial" w:hAnsi="Arial"/>
          <w:b/>
          <w:bCs/>
          <w:color w:val="2E74B5" w:themeColor="accent1" w:themeShade="BF"/>
          <w:sz w:val="22"/>
          <w:szCs w:val="22"/>
        </w:rPr>
        <w:t>5. PRESENTATION OF THE INTERIM FINANCIAL STATEMENTS</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proofErr w:type="gramStart"/>
      <w:r w:rsidRPr="0083680A">
        <w:rPr>
          <w:rFonts w:ascii="Arial" w:hAnsi="Arial"/>
          <w:bCs/>
          <w:sz w:val="22"/>
          <w:szCs w:val="22"/>
        </w:rPr>
        <w:t>The  interim</w:t>
      </w:r>
      <w:proofErr w:type="gramEnd"/>
      <w:r w:rsidRPr="0083680A">
        <w:rPr>
          <w:rFonts w:ascii="Arial" w:hAnsi="Arial"/>
          <w:bCs/>
          <w:sz w:val="22"/>
          <w:szCs w:val="22"/>
        </w:rPr>
        <w:t xml:space="preserve"> financial statements at 30.06.2018 and for the 6 months period ended 30.06.2018 were prepared in compliance with IAS 34 - Interim Financial Reporting.</w:t>
      </w:r>
    </w:p>
    <w:p w:rsidR="00E76B83" w:rsidRPr="0083680A" w:rsidRDefault="00E76B83" w:rsidP="00E76B83">
      <w:pPr>
        <w:widowControl/>
        <w:overflowPunct w:val="0"/>
        <w:spacing w:line="276" w:lineRule="auto"/>
        <w:jc w:val="both"/>
        <w:textAlignment w:val="baseline"/>
        <w:rPr>
          <w:rFonts w:ascii="Arial" w:hAnsi="Arial"/>
          <w:bCs/>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proofErr w:type="gramStart"/>
      <w:r w:rsidRPr="0083680A">
        <w:rPr>
          <w:rFonts w:ascii="Arial" w:hAnsi="Arial"/>
          <w:bCs/>
          <w:sz w:val="22"/>
          <w:szCs w:val="22"/>
        </w:rPr>
        <w:t>The  interim</w:t>
      </w:r>
      <w:proofErr w:type="gramEnd"/>
      <w:r w:rsidRPr="0083680A">
        <w:rPr>
          <w:rFonts w:ascii="Arial" w:hAnsi="Arial"/>
          <w:bCs/>
          <w:sz w:val="22"/>
          <w:szCs w:val="22"/>
        </w:rPr>
        <w:t xml:space="preserve"> financial statements do not include all information and elements published in the annual financial statements and must be read together with the annual financial statements, prepared on December 31, 2017.</w:t>
      </w:r>
    </w:p>
    <w:p w:rsidR="00E76B83" w:rsidRPr="0083680A" w:rsidRDefault="00E76B83" w:rsidP="00E76B83">
      <w:pPr>
        <w:widowControl/>
        <w:overflowPunct w:val="0"/>
        <w:spacing w:line="276" w:lineRule="auto"/>
        <w:jc w:val="both"/>
        <w:textAlignment w:val="baseline"/>
        <w:rPr>
          <w:rFonts w:ascii="Arial" w:hAnsi="Arial"/>
          <w:bCs/>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 xml:space="preserve">The </w:t>
      </w:r>
      <w:proofErr w:type="gramStart"/>
      <w:r w:rsidRPr="0083680A">
        <w:rPr>
          <w:rFonts w:ascii="Arial" w:hAnsi="Arial"/>
          <w:bCs/>
          <w:sz w:val="22"/>
          <w:szCs w:val="22"/>
        </w:rPr>
        <w:t>simplified interim financial statements at the date and for the six months period ended June 30, 2018, included in this report have been revised by the external auditor BDO Audit SRL</w:t>
      </w:r>
      <w:proofErr w:type="gramEnd"/>
      <w:r w:rsidRPr="0083680A">
        <w:rPr>
          <w:rFonts w:ascii="Arial" w:hAnsi="Arial"/>
          <w:bCs/>
          <w:sz w:val="22"/>
          <w:szCs w:val="22"/>
        </w:rPr>
        <w:t>.</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
          <w:bCs/>
          <w:sz w:val="22"/>
          <w:szCs w:val="22"/>
        </w:rPr>
      </w:pPr>
      <w:r w:rsidRPr="0083680A">
        <w:rPr>
          <w:rFonts w:ascii="Arial" w:hAnsi="Arial"/>
          <w:b/>
          <w:bCs/>
          <w:sz w:val="22"/>
          <w:szCs w:val="22"/>
        </w:rPr>
        <w:t>Accounting Policies</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Cs/>
          <w:sz w:val="22"/>
          <w:szCs w:val="22"/>
        </w:rPr>
        <w:t xml:space="preserve">The accounting policies and the evaluation methods </w:t>
      </w:r>
      <w:r w:rsidR="00432988">
        <w:rPr>
          <w:rFonts w:ascii="Arial" w:hAnsi="Arial"/>
          <w:bCs/>
          <w:sz w:val="22"/>
          <w:szCs w:val="22"/>
        </w:rPr>
        <w:t>adopted in view of drafting the</w:t>
      </w:r>
      <w:r w:rsidRPr="0083680A">
        <w:rPr>
          <w:rFonts w:ascii="Arial" w:hAnsi="Arial"/>
          <w:bCs/>
          <w:sz w:val="22"/>
          <w:szCs w:val="22"/>
        </w:rPr>
        <w:t xml:space="preserve"> interim financial statements are </w:t>
      </w:r>
      <w:r w:rsidR="00432988">
        <w:rPr>
          <w:rFonts w:ascii="Arial" w:hAnsi="Arial"/>
          <w:bCs/>
          <w:sz w:val="22"/>
          <w:szCs w:val="22"/>
        </w:rPr>
        <w:t>the same</w:t>
      </w:r>
      <w:r w:rsidRPr="0083680A">
        <w:rPr>
          <w:rFonts w:ascii="Arial" w:hAnsi="Arial"/>
          <w:bCs/>
          <w:sz w:val="22"/>
          <w:szCs w:val="22"/>
        </w:rPr>
        <w:t xml:space="preserve"> with those used at the preparation of the financial statements for the year concluded December 31, 2017.</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E76B83">
      <w:pPr>
        <w:widowControl/>
        <w:overflowPunct w:val="0"/>
        <w:spacing w:line="276" w:lineRule="auto"/>
        <w:jc w:val="both"/>
        <w:textAlignment w:val="baseline"/>
        <w:rPr>
          <w:rFonts w:ascii="Arial" w:hAnsi="Arial"/>
          <w:b/>
          <w:bCs/>
          <w:sz w:val="22"/>
          <w:szCs w:val="22"/>
        </w:rPr>
      </w:pPr>
      <w:r w:rsidRPr="0083680A">
        <w:rPr>
          <w:rFonts w:ascii="Arial" w:hAnsi="Arial"/>
          <w:b/>
          <w:bCs/>
          <w:sz w:val="22"/>
          <w:szCs w:val="22"/>
        </w:rPr>
        <w:t>Annexes</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r w:rsidRPr="0083680A">
        <w:rPr>
          <w:rFonts w:ascii="Arial" w:hAnsi="Arial"/>
          <w:b/>
          <w:bCs/>
          <w:sz w:val="22"/>
          <w:szCs w:val="22"/>
        </w:rPr>
        <w:t>Annex no. 1</w:t>
      </w:r>
      <w:r w:rsidR="0083680A" w:rsidRPr="0083680A">
        <w:rPr>
          <w:rFonts w:ascii="Arial" w:hAnsi="Arial"/>
          <w:b/>
          <w:bCs/>
          <w:sz w:val="22"/>
          <w:szCs w:val="22"/>
        </w:rPr>
        <w:t xml:space="preserve"> </w:t>
      </w:r>
      <w:r w:rsidRPr="0083680A">
        <w:rPr>
          <w:rFonts w:ascii="Arial" w:hAnsi="Arial"/>
          <w:bCs/>
          <w:sz w:val="22"/>
          <w:szCs w:val="22"/>
        </w:rPr>
        <w:t>Interim Statement of the Financial Standing at June 30, 2018;</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r w:rsidRPr="0083680A">
        <w:rPr>
          <w:rFonts w:ascii="Arial" w:hAnsi="Arial"/>
          <w:b/>
          <w:bCs/>
          <w:sz w:val="22"/>
          <w:szCs w:val="22"/>
        </w:rPr>
        <w:t xml:space="preserve">Annex no. </w:t>
      </w:r>
      <w:proofErr w:type="gramStart"/>
      <w:r w:rsidRPr="0083680A">
        <w:rPr>
          <w:rFonts w:ascii="Arial" w:hAnsi="Arial"/>
          <w:b/>
          <w:bCs/>
          <w:sz w:val="22"/>
          <w:szCs w:val="22"/>
        </w:rPr>
        <w:t xml:space="preserve">2  </w:t>
      </w:r>
      <w:r w:rsidRPr="0083680A">
        <w:rPr>
          <w:rFonts w:ascii="Arial" w:hAnsi="Arial"/>
          <w:bCs/>
          <w:sz w:val="22"/>
          <w:szCs w:val="22"/>
        </w:rPr>
        <w:t>Interim</w:t>
      </w:r>
      <w:proofErr w:type="gramEnd"/>
      <w:r w:rsidRPr="0083680A">
        <w:rPr>
          <w:rFonts w:ascii="Arial" w:hAnsi="Arial"/>
          <w:bCs/>
          <w:sz w:val="22"/>
          <w:szCs w:val="22"/>
        </w:rPr>
        <w:t xml:space="preserve"> statement of the profit or loss a</w:t>
      </w:r>
      <w:r w:rsidR="00432988">
        <w:rPr>
          <w:rFonts w:ascii="Arial" w:hAnsi="Arial"/>
          <w:bCs/>
          <w:sz w:val="22"/>
          <w:szCs w:val="22"/>
        </w:rPr>
        <w:t>nd other global result elements</w:t>
      </w:r>
      <w:r w:rsidRPr="0083680A">
        <w:rPr>
          <w:rFonts w:ascii="Arial" w:hAnsi="Arial"/>
          <w:bCs/>
          <w:sz w:val="22"/>
          <w:szCs w:val="22"/>
        </w:rPr>
        <w:t xml:space="preserve"> for the six months period ended June 30, 2018</w:t>
      </w:r>
      <w:r w:rsidR="00432988">
        <w:rPr>
          <w:rFonts w:ascii="Arial" w:hAnsi="Arial"/>
          <w:bCs/>
          <w:sz w:val="22"/>
          <w:szCs w:val="22"/>
        </w:rPr>
        <w:t>;</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r w:rsidRPr="0083680A">
        <w:rPr>
          <w:rFonts w:ascii="Arial" w:hAnsi="Arial"/>
          <w:b/>
          <w:bCs/>
          <w:sz w:val="22"/>
          <w:szCs w:val="22"/>
        </w:rPr>
        <w:t xml:space="preserve">Annex no. </w:t>
      </w:r>
      <w:proofErr w:type="gramStart"/>
      <w:r w:rsidRPr="0083680A">
        <w:rPr>
          <w:rFonts w:ascii="Arial" w:hAnsi="Arial"/>
          <w:b/>
          <w:bCs/>
          <w:sz w:val="22"/>
          <w:szCs w:val="22"/>
        </w:rPr>
        <w:t xml:space="preserve">3  </w:t>
      </w:r>
      <w:r w:rsidRPr="0083680A">
        <w:rPr>
          <w:rFonts w:ascii="Arial" w:hAnsi="Arial"/>
          <w:bCs/>
          <w:sz w:val="22"/>
          <w:szCs w:val="22"/>
        </w:rPr>
        <w:t>Interim</w:t>
      </w:r>
      <w:proofErr w:type="gramEnd"/>
      <w:r w:rsidRPr="0083680A">
        <w:rPr>
          <w:rFonts w:ascii="Arial" w:hAnsi="Arial"/>
          <w:bCs/>
          <w:sz w:val="22"/>
          <w:szCs w:val="22"/>
        </w:rPr>
        <w:t xml:space="preserve"> cash-flow statement for the 6 month period ended at June 30, 2018;</w:t>
      </w:r>
      <w:r w:rsidRPr="00E76B83">
        <w:rPr>
          <w:rFonts w:ascii="Arial" w:hAnsi="Arial"/>
          <w:b/>
          <w:bCs/>
          <w:color w:val="1F4E79" w:themeColor="accent1" w:themeShade="80"/>
          <w:sz w:val="22"/>
          <w:szCs w:val="22"/>
        </w:rPr>
        <w:t xml:space="preserve"> </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r w:rsidRPr="0083680A">
        <w:rPr>
          <w:rFonts w:ascii="Arial" w:hAnsi="Arial"/>
          <w:b/>
          <w:bCs/>
          <w:sz w:val="22"/>
          <w:szCs w:val="22"/>
        </w:rPr>
        <w:t xml:space="preserve">Annex no. 4 </w:t>
      </w:r>
      <w:r w:rsidRPr="0083680A">
        <w:rPr>
          <w:rFonts w:ascii="Arial" w:hAnsi="Arial"/>
          <w:bCs/>
          <w:sz w:val="22"/>
          <w:szCs w:val="22"/>
        </w:rPr>
        <w:t>Execution of the Revenues and Expenditure Budget at June 30, 2018;</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
          <w:bCs/>
          <w:sz w:val="22"/>
          <w:szCs w:val="22"/>
        </w:rPr>
        <w:t xml:space="preserve">Annex no. 5 </w:t>
      </w:r>
      <w:r w:rsidRPr="0083680A">
        <w:rPr>
          <w:rFonts w:ascii="Arial" w:hAnsi="Arial"/>
          <w:bCs/>
          <w:sz w:val="22"/>
          <w:szCs w:val="22"/>
        </w:rPr>
        <w:t>Statement of works and products procurement contracts with values higher than 500.000 Euro, concluded during 01.01.2018-30.06.2018;</w:t>
      </w:r>
    </w:p>
    <w:p w:rsidR="00E76B83" w:rsidRPr="0083680A" w:rsidRDefault="00E76B83" w:rsidP="00E76B83">
      <w:pPr>
        <w:widowControl/>
        <w:overflowPunct w:val="0"/>
        <w:spacing w:line="276" w:lineRule="auto"/>
        <w:jc w:val="both"/>
        <w:textAlignment w:val="baseline"/>
        <w:rPr>
          <w:rFonts w:ascii="Arial" w:hAnsi="Arial"/>
          <w:bCs/>
          <w:sz w:val="22"/>
          <w:szCs w:val="22"/>
        </w:rPr>
      </w:pPr>
      <w:r w:rsidRPr="0083680A">
        <w:rPr>
          <w:rFonts w:ascii="Arial" w:hAnsi="Arial"/>
          <w:b/>
          <w:bCs/>
          <w:sz w:val="22"/>
          <w:szCs w:val="22"/>
        </w:rPr>
        <w:t xml:space="preserve">Annex no. </w:t>
      </w:r>
      <w:proofErr w:type="gramStart"/>
      <w:r w:rsidRPr="0083680A">
        <w:rPr>
          <w:rFonts w:ascii="Arial" w:hAnsi="Arial"/>
          <w:b/>
          <w:bCs/>
          <w:sz w:val="22"/>
          <w:szCs w:val="22"/>
        </w:rPr>
        <w:t xml:space="preserve">6  </w:t>
      </w:r>
      <w:r w:rsidRPr="0083680A">
        <w:rPr>
          <w:rFonts w:ascii="Arial" w:hAnsi="Arial"/>
          <w:bCs/>
          <w:sz w:val="22"/>
          <w:szCs w:val="22"/>
        </w:rPr>
        <w:t>Statement</w:t>
      </w:r>
      <w:proofErr w:type="gramEnd"/>
      <w:r w:rsidRPr="0083680A">
        <w:rPr>
          <w:rFonts w:ascii="Arial" w:hAnsi="Arial"/>
          <w:bCs/>
          <w:sz w:val="22"/>
          <w:szCs w:val="22"/>
        </w:rPr>
        <w:t xml:space="preserve"> of services procurement contracts with values higher than 100.000 Euro, concluded during 01.01.2018-30.06.2018;</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r w:rsidRPr="0083680A">
        <w:rPr>
          <w:rFonts w:ascii="Arial" w:hAnsi="Arial"/>
          <w:b/>
          <w:bCs/>
          <w:sz w:val="22"/>
          <w:szCs w:val="22"/>
        </w:rPr>
        <w:t xml:space="preserve">Annex no. 7 </w:t>
      </w:r>
      <w:r w:rsidRPr="0083680A">
        <w:rPr>
          <w:rFonts w:ascii="Arial" w:hAnsi="Arial"/>
          <w:bCs/>
          <w:sz w:val="22"/>
          <w:szCs w:val="22"/>
        </w:rPr>
        <w:t>Situation of litigations at 30.06.2018.</w:t>
      </w: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83680A" w:rsidRDefault="00E76B83" w:rsidP="0083680A">
      <w:pPr>
        <w:widowControl/>
        <w:overflowPunct w:val="0"/>
        <w:spacing w:line="276" w:lineRule="auto"/>
        <w:jc w:val="center"/>
        <w:textAlignment w:val="baseline"/>
        <w:rPr>
          <w:rFonts w:ascii="Arial" w:hAnsi="Arial"/>
          <w:b/>
          <w:bCs/>
          <w:sz w:val="22"/>
          <w:szCs w:val="22"/>
        </w:rPr>
      </w:pPr>
      <w:r w:rsidRPr="0083680A">
        <w:rPr>
          <w:rFonts w:ascii="Arial" w:hAnsi="Arial"/>
          <w:b/>
          <w:bCs/>
          <w:sz w:val="22"/>
          <w:szCs w:val="22"/>
        </w:rPr>
        <w:t>Chairman of the Board of Administration</w:t>
      </w:r>
    </w:p>
    <w:p w:rsidR="00E76B83" w:rsidRPr="0083680A" w:rsidRDefault="00E76B83" w:rsidP="0083680A">
      <w:pPr>
        <w:widowControl/>
        <w:overflowPunct w:val="0"/>
        <w:spacing w:line="276" w:lineRule="auto"/>
        <w:jc w:val="center"/>
        <w:textAlignment w:val="baseline"/>
        <w:rPr>
          <w:rFonts w:ascii="Arial" w:hAnsi="Arial"/>
          <w:b/>
          <w:bCs/>
          <w:sz w:val="22"/>
          <w:szCs w:val="22"/>
        </w:rPr>
      </w:pPr>
      <w:r w:rsidRPr="0083680A">
        <w:rPr>
          <w:rFonts w:ascii="Arial" w:hAnsi="Arial"/>
          <w:b/>
          <w:bCs/>
          <w:sz w:val="22"/>
          <w:szCs w:val="22"/>
        </w:rPr>
        <w:t>CONPET S.A.</w:t>
      </w:r>
    </w:p>
    <w:p w:rsidR="00E76B83" w:rsidRPr="0083680A" w:rsidRDefault="00E76B83" w:rsidP="0083680A">
      <w:pPr>
        <w:widowControl/>
        <w:overflowPunct w:val="0"/>
        <w:spacing w:line="276" w:lineRule="auto"/>
        <w:jc w:val="center"/>
        <w:textAlignment w:val="baseline"/>
        <w:rPr>
          <w:rFonts w:ascii="Arial" w:hAnsi="Arial"/>
          <w:b/>
          <w:bCs/>
          <w:sz w:val="22"/>
          <w:szCs w:val="22"/>
        </w:rPr>
      </w:pPr>
    </w:p>
    <w:p w:rsidR="00E76B83" w:rsidRPr="0083680A" w:rsidRDefault="00E76B83" w:rsidP="0083680A">
      <w:pPr>
        <w:widowControl/>
        <w:overflowPunct w:val="0"/>
        <w:spacing w:line="276" w:lineRule="auto"/>
        <w:jc w:val="center"/>
        <w:textAlignment w:val="baseline"/>
        <w:rPr>
          <w:rFonts w:ascii="Arial" w:hAnsi="Arial"/>
          <w:b/>
          <w:bCs/>
          <w:sz w:val="22"/>
          <w:szCs w:val="22"/>
        </w:rPr>
      </w:pPr>
      <w:r w:rsidRPr="0083680A">
        <w:rPr>
          <w:rFonts w:ascii="Arial" w:hAnsi="Arial"/>
          <w:b/>
          <w:bCs/>
          <w:sz w:val="22"/>
          <w:szCs w:val="22"/>
        </w:rPr>
        <w:t>Manuela-Petronela STAN-OLTEANU</w:t>
      </w:r>
    </w:p>
    <w:p w:rsidR="00E76B83" w:rsidRPr="0083680A" w:rsidRDefault="00E76B83" w:rsidP="0083680A">
      <w:pPr>
        <w:widowControl/>
        <w:overflowPunct w:val="0"/>
        <w:spacing w:line="276" w:lineRule="auto"/>
        <w:jc w:val="center"/>
        <w:textAlignment w:val="baseline"/>
        <w:rPr>
          <w:rFonts w:ascii="Arial" w:hAnsi="Arial"/>
          <w:b/>
          <w:bCs/>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P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FB0D77" w:rsidRDefault="00FB0D77" w:rsidP="00E76B83">
      <w:pPr>
        <w:widowControl/>
        <w:overflowPunct w:val="0"/>
        <w:spacing w:line="276" w:lineRule="auto"/>
        <w:jc w:val="both"/>
        <w:textAlignment w:val="baseline"/>
        <w:rPr>
          <w:rFonts w:ascii="Arial" w:hAnsi="Arial"/>
          <w:b/>
          <w:bCs/>
          <w:color w:val="1F4E79" w:themeColor="accent1" w:themeShade="80"/>
          <w:sz w:val="22"/>
          <w:szCs w:val="22"/>
        </w:rPr>
      </w:pPr>
    </w:p>
    <w:p w:rsidR="00FB0D77" w:rsidRDefault="00FB0D77" w:rsidP="00E76B83">
      <w:pPr>
        <w:widowControl/>
        <w:overflowPunct w:val="0"/>
        <w:spacing w:line="276" w:lineRule="auto"/>
        <w:jc w:val="both"/>
        <w:textAlignment w:val="baseline"/>
        <w:rPr>
          <w:rFonts w:ascii="Arial" w:hAnsi="Arial"/>
          <w:b/>
          <w:bCs/>
          <w:color w:val="1F4E79" w:themeColor="accent1" w:themeShade="80"/>
          <w:sz w:val="22"/>
          <w:szCs w:val="22"/>
        </w:rPr>
      </w:pPr>
    </w:p>
    <w:p w:rsidR="00FB0D77" w:rsidRDefault="00FB0D77" w:rsidP="00E76B83">
      <w:pPr>
        <w:widowControl/>
        <w:overflowPunct w:val="0"/>
        <w:spacing w:line="276" w:lineRule="auto"/>
        <w:jc w:val="both"/>
        <w:textAlignment w:val="baseline"/>
        <w:rPr>
          <w:rFonts w:ascii="Arial" w:hAnsi="Arial"/>
          <w:b/>
          <w:bCs/>
          <w:color w:val="1F4E79" w:themeColor="accent1" w:themeShade="80"/>
          <w:sz w:val="22"/>
          <w:szCs w:val="22"/>
        </w:rPr>
      </w:pPr>
    </w:p>
    <w:p w:rsidR="00EB53EC" w:rsidRPr="00CA3CF8" w:rsidRDefault="00EB53EC" w:rsidP="00EB53EC">
      <w:pPr>
        <w:rPr>
          <w:rFonts w:ascii="Arial" w:hAnsi="Arial" w:cs="Arial"/>
          <w:b/>
          <w:color w:val="1F4E79" w:themeColor="accent1" w:themeShade="80"/>
          <w:sz w:val="22"/>
          <w:szCs w:val="22"/>
        </w:rPr>
      </w:pPr>
      <w:r>
        <w:rPr>
          <w:rFonts w:ascii="Arial" w:hAnsi="Arial"/>
          <w:b/>
          <w:color w:val="1F4E79" w:themeColor="accent1" w:themeShade="80"/>
          <w:sz w:val="22"/>
          <w:szCs w:val="22"/>
        </w:rPr>
        <w:t>Annex no. 1</w:t>
      </w:r>
    </w:p>
    <w:p w:rsidR="00EB53EC" w:rsidRPr="00CA3CF8" w:rsidRDefault="00EB53EC" w:rsidP="00EB53EC">
      <w:pPr>
        <w:rPr>
          <w:rFonts w:ascii="Arial" w:hAnsi="Arial" w:cs="Arial"/>
          <w:b/>
          <w:color w:val="1F4E79" w:themeColor="accent1" w:themeShade="80"/>
          <w:sz w:val="22"/>
          <w:szCs w:val="22"/>
        </w:rPr>
      </w:pPr>
    </w:p>
    <w:p w:rsidR="00EB53EC" w:rsidRPr="00CA3CF8" w:rsidRDefault="00EB53EC" w:rsidP="00EB53EC">
      <w:pPr>
        <w:pStyle w:val="Heading1"/>
        <w:spacing w:before="0" w:after="0"/>
        <w:jc w:val="center"/>
        <w:rPr>
          <w:rFonts w:ascii="Arial" w:hAnsi="Arial" w:cs="Arial"/>
          <w:color w:val="1F4E79" w:themeColor="accent1" w:themeShade="80"/>
          <w:sz w:val="22"/>
          <w:szCs w:val="22"/>
        </w:rPr>
      </w:pPr>
      <w:r>
        <w:rPr>
          <w:rFonts w:ascii="Arial" w:hAnsi="Arial"/>
          <w:color w:val="1F4E79" w:themeColor="accent1" w:themeShade="80"/>
          <w:sz w:val="22"/>
          <w:szCs w:val="22"/>
        </w:rPr>
        <w:t>INTERIM STATEMENT OFTHE FINANCIAL STANDING AT JUNE 30,2018</w:t>
      </w:r>
    </w:p>
    <w:p w:rsidR="00EB53EC" w:rsidRPr="00CA3CF8" w:rsidRDefault="00EB53EC" w:rsidP="00EB53EC">
      <w:pPr>
        <w:rPr>
          <w:color w:val="1F4E79" w:themeColor="accent1" w:themeShade="80"/>
        </w:rPr>
      </w:pPr>
    </w:p>
    <w:p w:rsidR="00EB53EC" w:rsidRPr="001F3D8A" w:rsidRDefault="00EB53EC" w:rsidP="00EB53EC"/>
    <w:tbl>
      <w:tblPr>
        <w:tblW w:w="8747" w:type="dxa"/>
        <w:tblLook w:val="04A0" w:firstRow="1" w:lastRow="0" w:firstColumn="1" w:lastColumn="0" w:noHBand="0" w:noVBand="1"/>
      </w:tblPr>
      <w:tblGrid>
        <w:gridCol w:w="4399"/>
        <w:gridCol w:w="1973"/>
        <w:gridCol w:w="2375"/>
      </w:tblGrid>
      <w:tr w:rsidR="00EB53EC" w:rsidRPr="001F3D8A" w:rsidTr="003F1507">
        <w:trPr>
          <w:trHeight w:val="45"/>
          <w:tblHeader/>
        </w:trPr>
        <w:tc>
          <w:tcPr>
            <w:tcW w:w="4399" w:type="dxa"/>
            <w:tcBorders>
              <w:top w:val="nil"/>
              <w:left w:val="nil"/>
              <w:bottom w:val="nil"/>
              <w:right w:val="nil"/>
            </w:tcBorders>
            <w:shd w:val="clear" w:color="auto" w:fill="auto"/>
            <w:vAlign w:val="center"/>
            <w:hideMark/>
          </w:tcPr>
          <w:p w:rsidR="00EB53EC" w:rsidRPr="001F3D8A" w:rsidRDefault="00EB53EC" w:rsidP="003F1507">
            <w:pPr>
              <w:jc w:val="center"/>
              <w:rPr>
                <w:rFonts w:ascii="Arial" w:hAnsi="Arial" w:cs="Arial"/>
                <w:b/>
                <w:bCs/>
                <w:i/>
                <w:iCs/>
                <w:sz w:val="22"/>
                <w:szCs w:val="22"/>
              </w:rPr>
            </w:pPr>
          </w:p>
        </w:tc>
        <w:tc>
          <w:tcPr>
            <w:tcW w:w="1973" w:type="dxa"/>
            <w:tcBorders>
              <w:top w:val="single" w:sz="4" w:space="0" w:color="auto"/>
              <w:left w:val="nil"/>
              <w:right w:val="nil"/>
            </w:tcBorders>
            <w:shd w:val="clear" w:color="auto" w:fill="DEEAF6" w:themeFill="accent1" w:themeFillTint="33"/>
            <w:vAlign w:val="center"/>
            <w:hideMark/>
          </w:tcPr>
          <w:p w:rsidR="00EB53EC" w:rsidRPr="001F3D8A" w:rsidRDefault="00EB53EC" w:rsidP="003F1507">
            <w:pPr>
              <w:jc w:val="center"/>
              <w:rPr>
                <w:rFonts w:ascii="Arial" w:hAnsi="Arial" w:cs="Arial"/>
                <w:b/>
                <w:bCs/>
                <w:sz w:val="22"/>
                <w:szCs w:val="22"/>
              </w:rPr>
            </w:pPr>
            <w:r>
              <w:rPr>
                <w:rFonts w:ascii="Arial" w:hAnsi="Arial"/>
                <w:b/>
                <w:bCs/>
                <w:sz w:val="22"/>
                <w:szCs w:val="22"/>
              </w:rPr>
              <w:t>June 30, 2018</w:t>
            </w:r>
          </w:p>
          <w:p w:rsidR="00EB53EC" w:rsidRPr="001F3D8A" w:rsidRDefault="00EB53EC" w:rsidP="003F1507">
            <w:pPr>
              <w:jc w:val="center"/>
              <w:rPr>
                <w:rFonts w:ascii="Arial" w:hAnsi="Arial" w:cs="Arial"/>
                <w:b/>
                <w:bCs/>
                <w:sz w:val="22"/>
                <w:szCs w:val="22"/>
              </w:rPr>
            </w:pPr>
            <w:r>
              <w:rPr>
                <w:rFonts w:ascii="Arial" w:hAnsi="Arial"/>
                <w:b/>
                <w:bCs/>
                <w:sz w:val="22"/>
                <w:szCs w:val="22"/>
              </w:rPr>
              <w:t>(revised)</w:t>
            </w:r>
          </w:p>
        </w:tc>
        <w:tc>
          <w:tcPr>
            <w:tcW w:w="2375" w:type="dxa"/>
            <w:tcBorders>
              <w:top w:val="single" w:sz="4" w:space="0" w:color="auto"/>
              <w:left w:val="nil"/>
              <w:right w:val="nil"/>
            </w:tcBorders>
            <w:shd w:val="clear" w:color="auto" w:fill="DEEAF6" w:themeFill="accent1" w:themeFillTint="33"/>
            <w:vAlign w:val="center"/>
            <w:hideMark/>
          </w:tcPr>
          <w:p w:rsidR="00EB53EC" w:rsidRPr="001F3D8A" w:rsidRDefault="00EB53EC" w:rsidP="003F1507">
            <w:pPr>
              <w:jc w:val="center"/>
              <w:rPr>
                <w:rFonts w:ascii="Arial" w:hAnsi="Arial" w:cs="Arial"/>
                <w:b/>
                <w:bCs/>
                <w:sz w:val="22"/>
                <w:szCs w:val="22"/>
              </w:rPr>
            </w:pPr>
            <w:r>
              <w:rPr>
                <w:rFonts w:ascii="Arial" w:hAnsi="Arial"/>
                <w:b/>
                <w:bCs/>
                <w:sz w:val="22"/>
                <w:szCs w:val="22"/>
              </w:rPr>
              <w:t>December 31, 2017</w:t>
            </w:r>
          </w:p>
          <w:p w:rsidR="00EB53EC" w:rsidRPr="001F3D8A" w:rsidRDefault="00EB53EC" w:rsidP="003F1507">
            <w:pPr>
              <w:jc w:val="center"/>
              <w:rPr>
                <w:rFonts w:ascii="Arial" w:hAnsi="Arial" w:cs="Arial"/>
                <w:b/>
                <w:bCs/>
                <w:sz w:val="22"/>
                <w:szCs w:val="22"/>
              </w:rPr>
            </w:pPr>
            <w:r>
              <w:rPr>
                <w:rFonts w:ascii="Arial" w:hAnsi="Arial"/>
                <w:b/>
                <w:bCs/>
                <w:sz w:val="22"/>
                <w:szCs w:val="22"/>
              </w:rPr>
              <w:t>(audited)</w:t>
            </w:r>
          </w:p>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ASSETS</w:t>
            </w:r>
          </w:p>
        </w:tc>
        <w:tc>
          <w:tcPr>
            <w:tcW w:w="1973" w:type="dxa"/>
            <w:tcBorders>
              <w:top w:val="single" w:sz="4" w:space="0" w:color="auto"/>
              <w:left w:val="nil"/>
              <w:bottom w:val="nil"/>
              <w:right w:val="nil"/>
            </w:tcBorders>
            <w:shd w:val="clear" w:color="auto" w:fill="auto"/>
            <w:noWrap/>
            <w:vAlign w:val="bottom"/>
            <w:hideMark/>
          </w:tcPr>
          <w:p w:rsidR="00EB53EC" w:rsidRPr="001F3D8A" w:rsidRDefault="00EB53EC" w:rsidP="003F1507"/>
        </w:tc>
        <w:tc>
          <w:tcPr>
            <w:tcW w:w="2375" w:type="dxa"/>
            <w:tcBorders>
              <w:top w:val="single" w:sz="4" w:space="0" w:color="auto"/>
              <w:left w:val="nil"/>
              <w:bottom w:val="nil"/>
              <w:right w:val="nil"/>
            </w:tcBorders>
            <w:shd w:val="clear" w:color="auto" w:fill="auto"/>
            <w:noWrap/>
            <w:hideMark/>
          </w:tcPr>
          <w:p w:rsidR="00EB53EC" w:rsidRPr="001F3D8A" w:rsidRDefault="00EB53EC" w:rsidP="003F1507"/>
        </w:tc>
      </w:tr>
      <w:tr w:rsidR="00EB53EC" w:rsidRPr="001F3D8A" w:rsidTr="003F1507">
        <w:trPr>
          <w:trHeight w:val="264"/>
        </w:trPr>
        <w:tc>
          <w:tcPr>
            <w:tcW w:w="4399" w:type="dxa"/>
            <w:tcBorders>
              <w:top w:val="nil"/>
              <w:left w:val="nil"/>
              <w:bottom w:val="nil"/>
              <w:right w:val="nil"/>
            </w:tcBorders>
            <w:shd w:val="clear" w:color="auto" w:fill="auto"/>
            <w:vAlign w:val="center"/>
          </w:tcPr>
          <w:p w:rsidR="00EB53EC" w:rsidRPr="001F3D8A" w:rsidRDefault="00EB53EC" w:rsidP="003F1507">
            <w:pPr>
              <w:rPr>
                <w:rFonts w:ascii="Arial" w:hAnsi="Arial" w:cs="Arial"/>
                <w:b/>
                <w:sz w:val="22"/>
                <w:szCs w:val="22"/>
              </w:rPr>
            </w:pPr>
            <w:r>
              <w:rPr>
                <w:rFonts w:ascii="Arial" w:hAnsi="Arial"/>
                <w:b/>
                <w:sz w:val="22"/>
                <w:szCs w:val="22"/>
              </w:rPr>
              <w:t>Non-current assets</w:t>
            </w:r>
          </w:p>
        </w:tc>
        <w:tc>
          <w:tcPr>
            <w:tcW w:w="1973" w:type="dxa"/>
            <w:tcBorders>
              <w:top w:val="nil"/>
              <w:left w:val="nil"/>
              <w:bottom w:val="nil"/>
              <w:right w:val="nil"/>
            </w:tcBorders>
            <w:shd w:val="clear" w:color="auto" w:fill="auto"/>
            <w:noWrap/>
            <w:vAlign w:val="center"/>
          </w:tcPr>
          <w:p w:rsidR="00EB53EC" w:rsidRPr="001F3D8A" w:rsidRDefault="00EB53EC" w:rsidP="003F1507">
            <w:pPr>
              <w:jc w:val="right"/>
              <w:rPr>
                <w:rFonts w:ascii="Arial" w:hAnsi="Arial" w:cs="Arial"/>
                <w:sz w:val="22"/>
                <w:szCs w:val="22"/>
              </w:rPr>
            </w:pPr>
          </w:p>
        </w:tc>
        <w:tc>
          <w:tcPr>
            <w:tcW w:w="2375" w:type="dxa"/>
            <w:tcBorders>
              <w:top w:val="nil"/>
              <w:left w:val="nil"/>
              <w:bottom w:val="nil"/>
              <w:right w:val="nil"/>
            </w:tcBorders>
            <w:shd w:val="clear" w:color="auto" w:fill="auto"/>
            <w:noWrap/>
            <w:vAlign w:val="center"/>
          </w:tcPr>
          <w:p w:rsidR="00EB53EC" w:rsidRPr="001F3D8A" w:rsidRDefault="00EB53EC" w:rsidP="003F1507">
            <w:pPr>
              <w:jc w:val="right"/>
              <w:rPr>
                <w:rFonts w:ascii="Arial" w:hAnsi="Arial" w:cs="Arial"/>
                <w:sz w:val="22"/>
                <w:szCs w:val="22"/>
              </w:rPr>
            </w:pPr>
          </w:p>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Tangible assets</w:t>
            </w:r>
          </w:p>
        </w:tc>
        <w:tc>
          <w:tcPr>
            <w:tcW w:w="1973"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417,776,146</w:t>
            </w:r>
          </w:p>
        </w:tc>
        <w:tc>
          <w:tcPr>
            <w:tcW w:w="2375"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407,275,686</w:t>
            </w:r>
          </w:p>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Intangible assets</w:t>
            </w:r>
          </w:p>
        </w:tc>
        <w:tc>
          <w:tcPr>
            <w:tcW w:w="1973"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980,061</w:t>
            </w:r>
          </w:p>
        </w:tc>
        <w:tc>
          <w:tcPr>
            <w:tcW w:w="2375"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1,462,672</w:t>
            </w:r>
          </w:p>
        </w:tc>
      </w:tr>
      <w:tr w:rsidR="00EB53EC" w:rsidRPr="001F3D8A" w:rsidTr="003F1507">
        <w:trPr>
          <w:trHeight w:val="275"/>
        </w:trPr>
        <w:tc>
          <w:tcPr>
            <w:tcW w:w="4399" w:type="dxa"/>
            <w:tcBorders>
              <w:top w:val="nil"/>
              <w:left w:val="nil"/>
              <w:bottom w:val="nil"/>
              <w:right w:val="nil"/>
            </w:tcBorders>
            <w:shd w:val="clear" w:color="auto" w:fill="auto"/>
            <w:vAlign w:val="center"/>
          </w:tcPr>
          <w:p w:rsidR="00EB53EC" w:rsidRPr="001F3D8A" w:rsidRDefault="00EB53EC" w:rsidP="003F1507">
            <w:pPr>
              <w:ind w:left="-19"/>
              <w:rPr>
                <w:rFonts w:ascii="Arial" w:hAnsi="Arial" w:cs="Arial"/>
                <w:sz w:val="22"/>
                <w:szCs w:val="22"/>
              </w:rPr>
            </w:pPr>
            <w:r>
              <w:rPr>
                <w:rFonts w:ascii="Arial" w:hAnsi="Arial"/>
                <w:sz w:val="22"/>
                <w:szCs w:val="22"/>
              </w:rPr>
              <w:t>Financial Assets</w:t>
            </w:r>
          </w:p>
        </w:tc>
        <w:tc>
          <w:tcPr>
            <w:tcW w:w="1973" w:type="dxa"/>
            <w:tcBorders>
              <w:top w:val="nil"/>
              <w:left w:val="nil"/>
              <w:bottom w:val="nil"/>
              <w:right w:val="nil"/>
            </w:tcBorders>
            <w:shd w:val="clear" w:color="auto" w:fill="auto"/>
            <w:noWrap/>
            <w:vAlign w:val="center"/>
          </w:tcPr>
          <w:p w:rsidR="00EB53EC" w:rsidRPr="001F3D8A" w:rsidRDefault="00EB53EC" w:rsidP="003F1507">
            <w:pPr>
              <w:jc w:val="right"/>
              <w:rPr>
                <w:rFonts w:ascii="Arial" w:hAnsi="Arial" w:cs="Arial"/>
                <w:sz w:val="22"/>
                <w:szCs w:val="22"/>
              </w:rPr>
            </w:pPr>
            <w:r>
              <w:rPr>
                <w:rFonts w:ascii="Arial" w:hAnsi="Arial"/>
                <w:sz w:val="22"/>
                <w:szCs w:val="22"/>
              </w:rPr>
              <w:t>903,712</w:t>
            </w:r>
          </w:p>
        </w:tc>
        <w:tc>
          <w:tcPr>
            <w:tcW w:w="2375" w:type="dxa"/>
            <w:tcBorders>
              <w:top w:val="nil"/>
              <w:left w:val="nil"/>
              <w:bottom w:val="nil"/>
              <w:right w:val="nil"/>
            </w:tcBorders>
            <w:shd w:val="clear" w:color="auto" w:fill="auto"/>
            <w:noWrap/>
            <w:vAlign w:val="center"/>
          </w:tcPr>
          <w:p w:rsidR="00EB53EC" w:rsidRPr="001F3D8A" w:rsidRDefault="00EB53EC" w:rsidP="003F1507">
            <w:pPr>
              <w:jc w:val="right"/>
              <w:rPr>
                <w:rFonts w:ascii="Arial" w:hAnsi="Arial" w:cs="Arial"/>
                <w:sz w:val="22"/>
                <w:szCs w:val="22"/>
              </w:rPr>
            </w:pPr>
            <w:r>
              <w:rPr>
                <w:rFonts w:ascii="Arial" w:hAnsi="Arial"/>
                <w:sz w:val="22"/>
                <w:szCs w:val="22"/>
              </w:rPr>
              <w:t>973,782</w:t>
            </w:r>
          </w:p>
        </w:tc>
      </w:tr>
      <w:tr w:rsidR="00EB53EC" w:rsidRPr="001F3D8A" w:rsidTr="003F1507">
        <w:trPr>
          <w:trHeight w:val="275"/>
        </w:trPr>
        <w:tc>
          <w:tcPr>
            <w:tcW w:w="4399" w:type="dxa"/>
            <w:tcBorders>
              <w:top w:val="nil"/>
              <w:left w:val="nil"/>
              <w:bottom w:val="nil"/>
              <w:right w:val="nil"/>
            </w:tcBorders>
            <w:shd w:val="clear" w:color="auto" w:fill="auto"/>
            <w:vAlign w:val="center"/>
          </w:tcPr>
          <w:p w:rsidR="00EB53EC" w:rsidRPr="001F3D8A" w:rsidRDefault="00EB53EC" w:rsidP="003F1507">
            <w:pPr>
              <w:rPr>
                <w:rFonts w:ascii="Arial" w:hAnsi="Arial" w:cs="Arial"/>
                <w:b/>
                <w:sz w:val="22"/>
                <w:szCs w:val="22"/>
              </w:rPr>
            </w:pPr>
            <w:r>
              <w:rPr>
                <w:rFonts w:ascii="Arial" w:hAnsi="Arial"/>
                <w:sz w:val="22"/>
                <w:szCs w:val="22"/>
              </w:rPr>
              <w:t>Receivables related to the deferred corporate tax</w:t>
            </w:r>
          </w:p>
        </w:tc>
        <w:tc>
          <w:tcPr>
            <w:tcW w:w="1973" w:type="dxa"/>
            <w:tcBorders>
              <w:top w:val="nil"/>
              <w:left w:val="nil"/>
              <w:bottom w:val="single" w:sz="4" w:space="0" w:color="auto"/>
              <w:right w:val="nil"/>
            </w:tcBorders>
            <w:shd w:val="clear" w:color="auto" w:fill="auto"/>
            <w:noWrap/>
            <w:vAlign w:val="center"/>
          </w:tcPr>
          <w:p w:rsidR="00EB53EC" w:rsidRPr="001F3D8A" w:rsidRDefault="00EB53EC" w:rsidP="003F1507">
            <w:pPr>
              <w:jc w:val="right"/>
              <w:rPr>
                <w:rFonts w:ascii="Arial" w:hAnsi="Arial" w:cs="Arial"/>
                <w:b/>
                <w:sz w:val="22"/>
                <w:szCs w:val="22"/>
              </w:rPr>
            </w:pPr>
            <w:r>
              <w:rPr>
                <w:rFonts w:ascii="Arial" w:hAnsi="Arial"/>
                <w:sz w:val="22"/>
                <w:szCs w:val="22"/>
              </w:rPr>
              <w:t>2,118,485</w:t>
            </w:r>
          </w:p>
        </w:tc>
        <w:tc>
          <w:tcPr>
            <w:tcW w:w="2375" w:type="dxa"/>
            <w:tcBorders>
              <w:top w:val="nil"/>
              <w:left w:val="nil"/>
              <w:bottom w:val="single" w:sz="4" w:space="0" w:color="auto"/>
              <w:right w:val="nil"/>
            </w:tcBorders>
            <w:shd w:val="clear" w:color="auto" w:fill="auto"/>
            <w:noWrap/>
            <w:vAlign w:val="center"/>
          </w:tcPr>
          <w:p w:rsidR="00EB53EC" w:rsidRPr="001F3D8A" w:rsidRDefault="00EB53EC" w:rsidP="003F1507">
            <w:pPr>
              <w:jc w:val="right"/>
              <w:rPr>
                <w:rFonts w:ascii="Arial" w:hAnsi="Arial" w:cs="Arial"/>
                <w:b/>
                <w:sz w:val="22"/>
                <w:szCs w:val="22"/>
              </w:rPr>
            </w:pPr>
            <w:r>
              <w:rPr>
                <w:rFonts w:ascii="Arial" w:hAnsi="Arial"/>
                <w:sz w:val="22"/>
                <w:szCs w:val="22"/>
              </w:rPr>
              <w:t>970,394</w:t>
            </w:r>
          </w:p>
        </w:tc>
      </w:tr>
      <w:tr w:rsidR="00EB53EC" w:rsidRPr="001F3D8A" w:rsidTr="003F1507">
        <w:trPr>
          <w:trHeight w:val="275"/>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Total non-current assets</w:t>
            </w:r>
          </w:p>
        </w:tc>
        <w:tc>
          <w:tcPr>
            <w:tcW w:w="1973" w:type="dxa"/>
            <w:tcBorders>
              <w:top w:val="single" w:sz="4" w:space="0" w:color="auto"/>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421,778,404 </w:t>
            </w:r>
          </w:p>
        </w:tc>
        <w:tc>
          <w:tcPr>
            <w:tcW w:w="2375" w:type="dxa"/>
            <w:tcBorders>
              <w:top w:val="single" w:sz="4" w:space="0" w:color="auto"/>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410,682,534</w:t>
            </w:r>
          </w:p>
        </w:tc>
      </w:tr>
      <w:tr w:rsidR="00EB53EC" w:rsidRPr="001F3D8A" w:rsidTr="003F1507">
        <w:trPr>
          <w:trHeight w:val="264"/>
        </w:trPr>
        <w:tc>
          <w:tcPr>
            <w:tcW w:w="4399" w:type="dxa"/>
            <w:tcBorders>
              <w:top w:val="nil"/>
              <w:left w:val="nil"/>
              <w:bottom w:val="nil"/>
              <w:right w:val="nil"/>
            </w:tcBorders>
            <w:shd w:val="clear" w:color="auto" w:fill="auto"/>
            <w:vAlign w:val="bottom"/>
            <w:hideMark/>
          </w:tcPr>
          <w:p w:rsidR="00EB53EC" w:rsidRPr="001F3D8A" w:rsidRDefault="00EB53EC" w:rsidP="003F1507">
            <w:pPr>
              <w:jc w:val="right"/>
              <w:rPr>
                <w:rFonts w:ascii="Arial" w:hAnsi="Arial" w:cs="Arial"/>
                <w:b/>
                <w:bCs/>
                <w:sz w:val="22"/>
                <w:szCs w:val="22"/>
              </w:rPr>
            </w:pPr>
          </w:p>
        </w:tc>
        <w:tc>
          <w:tcPr>
            <w:tcW w:w="1973" w:type="dxa"/>
            <w:tcBorders>
              <w:top w:val="single" w:sz="4" w:space="0" w:color="auto"/>
              <w:left w:val="nil"/>
              <w:bottom w:val="nil"/>
              <w:right w:val="nil"/>
            </w:tcBorders>
            <w:shd w:val="clear" w:color="auto" w:fill="auto"/>
            <w:noWrap/>
            <w:vAlign w:val="bottom"/>
            <w:hideMark/>
          </w:tcPr>
          <w:p w:rsidR="00EB53EC" w:rsidRPr="001F3D8A" w:rsidRDefault="00EB53EC" w:rsidP="003F1507"/>
        </w:tc>
        <w:tc>
          <w:tcPr>
            <w:tcW w:w="2375" w:type="dxa"/>
            <w:tcBorders>
              <w:top w:val="single" w:sz="4" w:space="0" w:color="auto"/>
              <w:left w:val="nil"/>
              <w:bottom w:val="nil"/>
              <w:right w:val="nil"/>
            </w:tcBorders>
            <w:shd w:val="clear" w:color="auto" w:fill="auto"/>
            <w:noWrap/>
            <w:vAlign w:val="bottom"/>
            <w:hideMark/>
          </w:tcPr>
          <w:p w:rsidR="00EB53EC" w:rsidRPr="001F3D8A" w:rsidRDefault="00EB53EC" w:rsidP="003F1507"/>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Current assets</w:t>
            </w:r>
          </w:p>
        </w:tc>
        <w:tc>
          <w:tcPr>
            <w:tcW w:w="1973" w:type="dxa"/>
            <w:tcBorders>
              <w:top w:val="nil"/>
              <w:left w:val="nil"/>
              <w:bottom w:val="nil"/>
              <w:right w:val="nil"/>
            </w:tcBorders>
            <w:shd w:val="clear" w:color="auto" w:fill="auto"/>
            <w:noWrap/>
            <w:vAlign w:val="bottom"/>
            <w:hideMark/>
          </w:tcPr>
          <w:p w:rsidR="00EB53EC" w:rsidRPr="001F3D8A" w:rsidRDefault="00EB53EC" w:rsidP="003F1507"/>
        </w:tc>
        <w:tc>
          <w:tcPr>
            <w:tcW w:w="2375" w:type="dxa"/>
            <w:tcBorders>
              <w:top w:val="nil"/>
              <w:left w:val="nil"/>
              <w:bottom w:val="nil"/>
              <w:right w:val="nil"/>
            </w:tcBorders>
            <w:shd w:val="clear" w:color="auto" w:fill="auto"/>
            <w:noWrap/>
            <w:vAlign w:val="bottom"/>
            <w:hideMark/>
          </w:tcPr>
          <w:p w:rsidR="00EB53EC" w:rsidRPr="001F3D8A" w:rsidRDefault="00EB53EC" w:rsidP="003F1507"/>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Inventories</w:t>
            </w:r>
          </w:p>
        </w:tc>
        <w:tc>
          <w:tcPr>
            <w:tcW w:w="1973"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9,020,482 </w:t>
            </w:r>
          </w:p>
        </w:tc>
        <w:tc>
          <w:tcPr>
            <w:tcW w:w="2375"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9,024,205 </w:t>
            </w:r>
          </w:p>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Trade receivables and other receivables</w:t>
            </w:r>
          </w:p>
        </w:tc>
        <w:tc>
          <w:tcPr>
            <w:tcW w:w="1973"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47,351,293 </w:t>
            </w:r>
          </w:p>
        </w:tc>
        <w:tc>
          <w:tcPr>
            <w:tcW w:w="2375"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46,753,071 </w:t>
            </w:r>
          </w:p>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Short-term investments</w:t>
            </w:r>
          </w:p>
        </w:tc>
        <w:tc>
          <w:tcPr>
            <w:tcW w:w="1973"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70,953,628 </w:t>
            </w:r>
          </w:p>
        </w:tc>
        <w:tc>
          <w:tcPr>
            <w:tcW w:w="2375"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70,623,518 </w:t>
            </w:r>
          </w:p>
        </w:tc>
      </w:tr>
      <w:tr w:rsidR="00EB53EC" w:rsidRPr="001F3D8A" w:rsidTr="003F1507">
        <w:trPr>
          <w:trHeight w:val="177"/>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Cash and cash equivalents</w:t>
            </w:r>
          </w:p>
        </w:tc>
        <w:tc>
          <w:tcPr>
            <w:tcW w:w="1973" w:type="dxa"/>
            <w:tcBorders>
              <w:top w:val="nil"/>
              <w:left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166,451,048 </w:t>
            </w:r>
          </w:p>
        </w:tc>
        <w:tc>
          <w:tcPr>
            <w:tcW w:w="2375" w:type="dxa"/>
            <w:tcBorders>
              <w:top w:val="nil"/>
              <w:left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209,847,265 </w:t>
            </w:r>
          </w:p>
        </w:tc>
      </w:tr>
      <w:tr w:rsidR="00EB53EC" w:rsidRPr="001F3D8A" w:rsidTr="003F1507">
        <w:trPr>
          <w:trHeight w:val="52"/>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Prepaid expenses</w:t>
            </w:r>
          </w:p>
        </w:tc>
        <w:tc>
          <w:tcPr>
            <w:tcW w:w="1973" w:type="dxa"/>
            <w:tcBorders>
              <w:top w:val="nil"/>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1,584,055 </w:t>
            </w:r>
          </w:p>
        </w:tc>
        <w:tc>
          <w:tcPr>
            <w:tcW w:w="2375" w:type="dxa"/>
            <w:tcBorders>
              <w:top w:val="nil"/>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1,842,877 </w:t>
            </w:r>
          </w:p>
        </w:tc>
      </w:tr>
      <w:tr w:rsidR="00EB53EC" w:rsidRPr="001F3D8A" w:rsidTr="003F1507">
        <w:trPr>
          <w:trHeight w:val="275"/>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Total current assets</w:t>
            </w:r>
          </w:p>
        </w:tc>
        <w:tc>
          <w:tcPr>
            <w:tcW w:w="1973" w:type="dxa"/>
            <w:tcBorders>
              <w:top w:val="single" w:sz="4" w:space="0" w:color="auto"/>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295,360,506 </w:t>
            </w:r>
          </w:p>
        </w:tc>
        <w:tc>
          <w:tcPr>
            <w:tcW w:w="2375" w:type="dxa"/>
            <w:tcBorders>
              <w:top w:val="single" w:sz="4" w:space="0" w:color="auto"/>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338,090,936</w:t>
            </w:r>
          </w:p>
        </w:tc>
      </w:tr>
      <w:tr w:rsidR="00EB53EC" w:rsidRPr="001F3D8A" w:rsidTr="003F1507">
        <w:trPr>
          <w:trHeight w:val="275"/>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TOTAL  ASSETS</w:t>
            </w:r>
          </w:p>
        </w:tc>
        <w:tc>
          <w:tcPr>
            <w:tcW w:w="1973" w:type="dxa"/>
            <w:tcBorders>
              <w:top w:val="single" w:sz="4" w:space="0" w:color="auto"/>
              <w:left w:val="nil"/>
              <w:bottom w:val="double" w:sz="6"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717,138,910 </w:t>
            </w:r>
          </w:p>
        </w:tc>
        <w:tc>
          <w:tcPr>
            <w:tcW w:w="2375" w:type="dxa"/>
            <w:tcBorders>
              <w:top w:val="single" w:sz="4" w:space="0" w:color="auto"/>
              <w:left w:val="nil"/>
              <w:bottom w:val="double" w:sz="6"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748,773,470</w:t>
            </w:r>
          </w:p>
        </w:tc>
      </w:tr>
      <w:tr w:rsidR="00EB53EC" w:rsidRPr="001F3D8A" w:rsidTr="003F1507">
        <w:trPr>
          <w:trHeight w:val="275"/>
        </w:trPr>
        <w:tc>
          <w:tcPr>
            <w:tcW w:w="4399" w:type="dxa"/>
            <w:tcBorders>
              <w:top w:val="nil"/>
              <w:left w:val="nil"/>
              <w:bottom w:val="nil"/>
              <w:right w:val="nil"/>
            </w:tcBorders>
            <w:shd w:val="clear" w:color="auto" w:fill="auto"/>
            <w:vAlign w:val="bottom"/>
            <w:hideMark/>
          </w:tcPr>
          <w:p w:rsidR="00EB53EC" w:rsidRPr="001F3D8A" w:rsidRDefault="00EB53EC" w:rsidP="003F1507">
            <w:pPr>
              <w:jc w:val="right"/>
              <w:rPr>
                <w:rFonts w:ascii="Arial" w:hAnsi="Arial" w:cs="Arial"/>
                <w:b/>
                <w:bCs/>
                <w:sz w:val="22"/>
                <w:szCs w:val="22"/>
              </w:rPr>
            </w:pPr>
          </w:p>
        </w:tc>
        <w:tc>
          <w:tcPr>
            <w:tcW w:w="1973" w:type="dxa"/>
            <w:tcBorders>
              <w:top w:val="nil"/>
              <w:left w:val="nil"/>
              <w:bottom w:val="nil"/>
              <w:right w:val="nil"/>
            </w:tcBorders>
            <w:shd w:val="clear" w:color="auto" w:fill="auto"/>
            <w:noWrap/>
            <w:vAlign w:val="bottom"/>
            <w:hideMark/>
          </w:tcPr>
          <w:p w:rsidR="00EB53EC" w:rsidRPr="001F3D8A" w:rsidRDefault="00EB53EC" w:rsidP="003F1507"/>
        </w:tc>
        <w:tc>
          <w:tcPr>
            <w:tcW w:w="2375" w:type="dxa"/>
            <w:tcBorders>
              <w:top w:val="nil"/>
              <w:left w:val="nil"/>
              <w:bottom w:val="nil"/>
              <w:right w:val="nil"/>
            </w:tcBorders>
            <w:shd w:val="clear" w:color="auto" w:fill="auto"/>
            <w:noWrap/>
            <w:vAlign w:val="bottom"/>
            <w:hideMark/>
          </w:tcPr>
          <w:p w:rsidR="00EB53EC" w:rsidRPr="001F3D8A" w:rsidRDefault="00EB53EC" w:rsidP="003F1507"/>
        </w:tc>
      </w:tr>
      <w:tr w:rsidR="00EB53EC" w:rsidRPr="001F3D8A" w:rsidTr="003F1507">
        <w:trPr>
          <w:trHeight w:val="293"/>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Shareholders’ equity and liabilities</w:t>
            </w:r>
          </w:p>
        </w:tc>
        <w:tc>
          <w:tcPr>
            <w:tcW w:w="1973" w:type="dxa"/>
            <w:tcBorders>
              <w:top w:val="nil"/>
              <w:left w:val="nil"/>
              <w:bottom w:val="nil"/>
              <w:right w:val="nil"/>
            </w:tcBorders>
            <w:shd w:val="clear" w:color="auto" w:fill="auto"/>
            <w:noWrap/>
            <w:vAlign w:val="bottom"/>
            <w:hideMark/>
          </w:tcPr>
          <w:p w:rsidR="00EB53EC" w:rsidRPr="001F3D8A" w:rsidRDefault="00EB53EC" w:rsidP="003F1507"/>
        </w:tc>
        <w:tc>
          <w:tcPr>
            <w:tcW w:w="2375" w:type="dxa"/>
            <w:tcBorders>
              <w:top w:val="nil"/>
              <w:left w:val="nil"/>
              <w:bottom w:val="nil"/>
              <w:right w:val="nil"/>
            </w:tcBorders>
            <w:shd w:val="clear" w:color="auto" w:fill="auto"/>
            <w:noWrap/>
            <w:vAlign w:val="bottom"/>
            <w:hideMark/>
          </w:tcPr>
          <w:p w:rsidR="00EB53EC" w:rsidRPr="001F3D8A" w:rsidRDefault="00EB53EC" w:rsidP="003F1507"/>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Equities</w:t>
            </w:r>
          </w:p>
        </w:tc>
        <w:tc>
          <w:tcPr>
            <w:tcW w:w="1973" w:type="dxa"/>
            <w:tcBorders>
              <w:top w:val="nil"/>
              <w:left w:val="nil"/>
              <w:bottom w:val="nil"/>
              <w:right w:val="nil"/>
            </w:tcBorders>
            <w:shd w:val="clear" w:color="auto" w:fill="auto"/>
            <w:noWrap/>
            <w:vAlign w:val="bottom"/>
            <w:hideMark/>
          </w:tcPr>
          <w:p w:rsidR="00EB53EC" w:rsidRPr="001F3D8A" w:rsidRDefault="00EB53EC" w:rsidP="003F1507"/>
        </w:tc>
        <w:tc>
          <w:tcPr>
            <w:tcW w:w="2375" w:type="dxa"/>
            <w:tcBorders>
              <w:top w:val="nil"/>
              <w:left w:val="nil"/>
              <w:bottom w:val="nil"/>
              <w:right w:val="nil"/>
            </w:tcBorders>
            <w:shd w:val="clear" w:color="auto" w:fill="auto"/>
            <w:noWrap/>
            <w:vAlign w:val="bottom"/>
            <w:hideMark/>
          </w:tcPr>
          <w:p w:rsidR="00EB53EC" w:rsidRPr="001F3D8A" w:rsidRDefault="00EB53EC" w:rsidP="003F1507"/>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Subscribed and paid-up share capital</w:t>
            </w:r>
          </w:p>
        </w:tc>
        <w:tc>
          <w:tcPr>
            <w:tcW w:w="1973"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28,569,842</w:t>
            </w:r>
          </w:p>
        </w:tc>
        <w:tc>
          <w:tcPr>
            <w:tcW w:w="2375"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28,569,842</w:t>
            </w:r>
          </w:p>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Legal reserves</w:t>
            </w:r>
          </w:p>
        </w:tc>
        <w:tc>
          <w:tcPr>
            <w:tcW w:w="1973"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5,713,968 </w:t>
            </w:r>
          </w:p>
        </w:tc>
        <w:tc>
          <w:tcPr>
            <w:tcW w:w="2375"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5,713,968 </w:t>
            </w:r>
          </w:p>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Revaluation reserves</w:t>
            </w:r>
          </w:p>
        </w:tc>
        <w:tc>
          <w:tcPr>
            <w:tcW w:w="1973"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28,345,981 </w:t>
            </w:r>
          </w:p>
        </w:tc>
        <w:tc>
          <w:tcPr>
            <w:tcW w:w="2375"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31,016,763 </w:t>
            </w:r>
          </w:p>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Other reserves</w:t>
            </w:r>
          </w:p>
        </w:tc>
        <w:tc>
          <w:tcPr>
            <w:tcW w:w="1973"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492,787,718 </w:t>
            </w:r>
          </w:p>
        </w:tc>
        <w:tc>
          <w:tcPr>
            <w:tcW w:w="2375"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478,500,458 </w:t>
            </w:r>
          </w:p>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Retained Earnings</w:t>
            </w:r>
          </w:p>
        </w:tc>
        <w:tc>
          <w:tcPr>
            <w:tcW w:w="1973"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44,489,080</w:t>
            </w:r>
          </w:p>
        </w:tc>
        <w:tc>
          <w:tcPr>
            <w:tcW w:w="2375"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40,211,069 </w:t>
            </w:r>
          </w:p>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 xml:space="preserve">Result of the period </w:t>
            </w:r>
          </w:p>
        </w:tc>
        <w:tc>
          <w:tcPr>
            <w:tcW w:w="1973" w:type="dxa"/>
            <w:tcBorders>
              <w:top w:val="nil"/>
              <w:left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21,625,612 </w:t>
            </w:r>
          </w:p>
        </w:tc>
        <w:tc>
          <w:tcPr>
            <w:tcW w:w="2375" w:type="dxa"/>
            <w:tcBorders>
              <w:top w:val="nil"/>
              <w:left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74,387,774 </w:t>
            </w:r>
          </w:p>
        </w:tc>
      </w:tr>
      <w:tr w:rsidR="00EB53EC" w:rsidRPr="001F3D8A" w:rsidTr="003F1507">
        <w:trPr>
          <w:trHeight w:val="275"/>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Total equities</w:t>
            </w:r>
          </w:p>
        </w:tc>
        <w:tc>
          <w:tcPr>
            <w:tcW w:w="1973" w:type="dxa"/>
            <w:tcBorders>
              <w:top w:val="single" w:sz="4" w:space="0" w:color="auto"/>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621,532,201 </w:t>
            </w:r>
          </w:p>
        </w:tc>
        <w:tc>
          <w:tcPr>
            <w:tcW w:w="2375" w:type="dxa"/>
            <w:tcBorders>
              <w:top w:val="single" w:sz="4" w:space="0" w:color="auto"/>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658,399,874</w:t>
            </w:r>
          </w:p>
        </w:tc>
      </w:tr>
      <w:tr w:rsidR="00EB53EC" w:rsidRPr="001F3D8A" w:rsidTr="003F1507">
        <w:trPr>
          <w:trHeight w:val="275"/>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p>
          <w:p w:rsidR="00EB53EC" w:rsidRPr="001F3D8A" w:rsidRDefault="00EB53EC" w:rsidP="003F1507">
            <w:pPr>
              <w:rPr>
                <w:rFonts w:ascii="Arial" w:hAnsi="Arial" w:cs="Arial"/>
                <w:b/>
                <w:bCs/>
                <w:sz w:val="22"/>
                <w:szCs w:val="22"/>
              </w:rPr>
            </w:pPr>
            <w:r>
              <w:rPr>
                <w:rFonts w:ascii="Arial" w:hAnsi="Arial"/>
                <w:b/>
                <w:bCs/>
                <w:sz w:val="22"/>
                <w:szCs w:val="22"/>
              </w:rPr>
              <w:t>Deferred income</w:t>
            </w:r>
          </w:p>
        </w:tc>
        <w:tc>
          <w:tcPr>
            <w:tcW w:w="1973" w:type="dxa"/>
            <w:tcBorders>
              <w:top w:val="single" w:sz="4" w:space="0" w:color="auto"/>
              <w:left w:val="nil"/>
            </w:tcBorders>
            <w:shd w:val="clear" w:color="auto" w:fill="auto"/>
            <w:noWrap/>
            <w:vAlign w:val="bottom"/>
            <w:hideMark/>
          </w:tcPr>
          <w:p w:rsidR="00EB53EC" w:rsidRPr="001F3D8A" w:rsidRDefault="00EB53EC" w:rsidP="003F1507"/>
        </w:tc>
        <w:tc>
          <w:tcPr>
            <w:tcW w:w="2375" w:type="dxa"/>
            <w:tcBorders>
              <w:top w:val="single" w:sz="4" w:space="0" w:color="auto"/>
              <w:left w:val="nil"/>
              <w:bottom w:val="nil"/>
              <w:right w:val="nil"/>
            </w:tcBorders>
            <w:shd w:val="clear" w:color="auto" w:fill="auto"/>
            <w:noWrap/>
            <w:vAlign w:val="bottom"/>
            <w:hideMark/>
          </w:tcPr>
          <w:p w:rsidR="00EB53EC" w:rsidRPr="001F3D8A" w:rsidRDefault="00EB53EC" w:rsidP="003F1507"/>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Investment Subsidies</w:t>
            </w:r>
          </w:p>
        </w:tc>
        <w:tc>
          <w:tcPr>
            <w:tcW w:w="1973" w:type="dxa"/>
            <w:tcBorders>
              <w:top w:val="nil"/>
              <w:left w:val="nil"/>
              <w:bottom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1,248,342 </w:t>
            </w:r>
          </w:p>
        </w:tc>
        <w:tc>
          <w:tcPr>
            <w:tcW w:w="2375" w:type="dxa"/>
            <w:tcBorders>
              <w:top w:val="nil"/>
              <w:left w:val="nil"/>
              <w:bottom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1,314,536 </w:t>
            </w:r>
          </w:p>
        </w:tc>
      </w:tr>
      <w:tr w:rsidR="00EB53EC" w:rsidRPr="001F3D8A" w:rsidTr="003F1507">
        <w:trPr>
          <w:trHeight w:val="177"/>
        </w:trPr>
        <w:tc>
          <w:tcPr>
            <w:tcW w:w="4399" w:type="dxa"/>
            <w:tcBorders>
              <w:top w:val="nil"/>
              <w:left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Deferred income</w:t>
            </w:r>
          </w:p>
        </w:tc>
        <w:tc>
          <w:tcPr>
            <w:tcW w:w="1973" w:type="dxa"/>
            <w:tcBorders>
              <w:top w:val="nil"/>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10,909 </w:t>
            </w:r>
          </w:p>
        </w:tc>
        <w:tc>
          <w:tcPr>
            <w:tcW w:w="2375" w:type="dxa"/>
            <w:tcBorders>
              <w:top w:val="nil"/>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12,010 </w:t>
            </w:r>
          </w:p>
        </w:tc>
      </w:tr>
      <w:tr w:rsidR="00EB53EC" w:rsidRPr="001F3D8A" w:rsidTr="003F1507">
        <w:trPr>
          <w:trHeight w:val="193"/>
        </w:trPr>
        <w:tc>
          <w:tcPr>
            <w:tcW w:w="4399" w:type="dxa"/>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Total deferred revenues</w:t>
            </w:r>
          </w:p>
        </w:tc>
        <w:tc>
          <w:tcPr>
            <w:tcW w:w="1973" w:type="dxa"/>
            <w:tcBorders>
              <w:top w:val="single" w:sz="4" w:space="0" w:color="auto"/>
              <w:bottom w:val="single" w:sz="4" w:space="0" w:color="auto"/>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1,259,251 </w:t>
            </w:r>
          </w:p>
        </w:tc>
        <w:tc>
          <w:tcPr>
            <w:tcW w:w="2375" w:type="dxa"/>
            <w:tcBorders>
              <w:top w:val="single" w:sz="4" w:space="0" w:color="auto"/>
              <w:bottom w:val="single" w:sz="4" w:space="0" w:color="auto"/>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1,326,546 </w:t>
            </w:r>
          </w:p>
        </w:tc>
      </w:tr>
      <w:tr w:rsidR="00EB53EC" w:rsidRPr="001F3D8A" w:rsidTr="003F1507">
        <w:trPr>
          <w:trHeight w:val="474"/>
        </w:trPr>
        <w:tc>
          <w:tcPr>
            <w:tcW w:w="4399" w:type="dxa"/>
            <w:shd w:val="clear" w:color="auto" w:fill="auto"/>
            <w:vAlign w:val="bottom"/>
          </w:tcPr>
          <w:p w:rsidR="00EB53EC" w:rsidRPr="001F3D8A" w:rsidRDefault="00EB53EC" w:rsidP="003F1507">
            <w:pPr>
              <w:rPr>
                <w:rFonts w:ascii="Arial" w:hAnsi="Arial" w:cs="Arial"/>
                <w:b/>
                <w:bCs/>
                <w:sz w:val="22"/>
                <w:szCs w:val="22"/>
              </w:rPr>
            </w:pPr>
            <w:r>
              <w:rPr>
                <w:rFonts w:ascii="Arial" w:hAnsi="Arial"/>
                <w:b/>
                <w:bCs/>
                <w:sz w:val="22"/>
                <w:szCs w:val="22"/>
              </w:rPr>
              <w:t>Long-term liabilities</w:t>
            </w:r>
          </w:p>
        </w:tc>
        <w:tc>
          <w:tcPr>
            <w:tcW w:w="1973" w:type="dxa"/>
            <w:tcBorders>
              <w:top w:val="single" w:sz="4" w:space="0" w:color="auto"/>
            </w:tcBorders>
            <w:shd w:val="clear" w:color="auto" w:fill="auto"/>
            <w:noWrap/>
            <w:vAlign w:val="center"/>
          </w:tcPr>
          <w:p w:rsidR="00EB53EC" w:rsidRPr="001F3D8A" w:rsidRDefault="00EB53EC" w:rsidP="003F1507">
            <w:pPr>
              <w:jc w:val="right"/>
              <w:rPr>
                <w:rFonts w:ascii="Arial" w:hAnsi="Arial" w:cs="Arial"/>
                <w:b/>
                <w:bCs/>
                <w:sz w:val="22"/>
                <w:szCs w:val="22"/>
              </w:rPr>
            </w:pPr>
          </w:p>
        </w:tc>
        <w:tc>
          <w:tcPr>
            <w:tcW w:w="2375" w:type="dxa"/>
            <w:tcBorders>
              <w:top w:val="single" w:sz="4" w:space="0" w:color="auto"/>
            </w:tcBorders>
            <w:shd w:val="clear" w:color="auto" w:fill="auto"/>
            <w:noWrap/>
            <w:vAlign w:val="center"/>
          </w:tcPr>
          <w:p w:rsidR="00EB53EC" w:rsidRPr="001F3D8A" w:rsidRDefault="00EB53EC" w:rsidP="003F1507">
            <w:pPr>
              <w:jc w:val="right"/>
              <w:rPr>
                <w:rFonts w:ascii="Arial" w:hAnsi="Arial" w:cs="Arial"/>
                <w:b/>
                <w:bCs/>
                <w:sz w:val="22"/>
                <w:szCs w:val="22"/>
              </w:rPr>
            </w:pPr>
          </w:p>
        </w:tc>
      </w:tr>
      <w:tr w:rsidR="00EB53EC" w:rsidRPr="001F3D8A" w:rsidTr="003F1507">
        <w:trPr>
          <w:trHeight w:val="185"/>
        </w:trPr>
        <w:tc>
          <w:tcPr>
            <w:tcW w:w="4399" w:type="dxa"/>
            <w:shd w:val="clear" w:color="auto" w:fill="auto"/>
            <w:vAlign w:val="center"/>
          </w:tcPr>
          <w:p w:rsidR="00EB53EC" w:rsidRPr="001F3D8A" w:rsidRDefault="00EB53EC" w:rsidP="003F1507">
            <w:pPr>
              <w:rPr>
                <w:rFonts w:ascii="Arial" w:hAnsi="Arial" w:cs="Arial"/>
                <w:sz w:val="22"/>
                <w:szCs w:val="22"/>
              </w:rPr>
            </w:pPr>
            <w:r>
              <w:rPr>
                <w:rFonts w:ascii="Arial" w:hAnsi="Arial"/>
                <w:sz w:val="22"/>
                <w:szCs w:val="22"/>
              </w:rPr>
              <w:t>Long-term provisions</w:t>
            </w:r>
          </w:p>
        </w:tc>
        <w:tc>
          <w:tcPr>
            <w:tcW w:w="1973" w:type="dxa"/>
            <w:tcBorders>
              <w:bottom w:val="single" w:sz="4" w:space="0" w:color="auto"/>
            </w:tcBorders>
            <w:shd w:val="clear" w:color="auto" w:fill="auto"/>
            <w:noWrap/>
            <w:vAlign w:val="center"/>
          </w:tcPr>
          <w:p w:rsidR="00EB53EC" w:rsidRPr="001F3D8A" w:rsidRDefault="00EB53EC" w:rsidP="003F1507">
            <w:pPr>
              <w:jc w:val="right"/>
              <w:rPr>
                <w:rFonts w:ascii="Arial" w:hAnsi="Arial" w:cs="Arial"/>
                <w:sz w:val="22"/>
                <w:szCs w:val="22"/>
              </w:rPr>
            </w:pPr>
            <w:r>
              <w:rPr>
                <w:rFonts w:ascii="Arial" w:hAnsi="Arial"/>
                <w:sz w:val="22"/>
                <w:szCs w:val="22"/>
              </w:rPr>
              <w:t>13,295,870</w:t>
            </w:r>
          </w:p>
        </w:tc>
        <w:tc>
          <w:tcPr>
            <w:tcW w:w="2375" w:type="dxa"/>
            <w:tcBorders>
              <w:bottom w:val="single" w:sz="4" w:space="0" w:color="auto"/>
            </w:tcBorders>
            <w:shd w:val="clear" w:color="auto" w:fill="auto"/>
            <w:noWrap/>
            <w:vAlign w:val="center"/>
          </w:tcPr>
          <w:p w:rsidR="00EB53EC" w:rsidRPr="001F3D8A" w:rsidRDefault="00EB53EC" w:rsidP="003F1507">
            <w:pPr>
              <w:jc w:val="right"/>
              <w:rPr>
                <w:rFonts w:ascii="Arial" w:hAnsi="Arial" w:cs="Arial"/>
                <w:sz w:val="22"/>
                <w:szCs w:val="22"/>
              </w:rPr>
            </w:pPr>
            <w:r>
              <w:rPr>
                <w:rFonts w:ascii="Arial" w:hAnsi="Arial"/>
                <w:sz w:val="22"/>
                <w:szCs w:val="22"/>
              </w:rPr>
              <w:t>12,817,661</w:t>
            </w:r>
          </w:p>
        </w:tc>
      </w:tr>
      <w:tr w:rsidR="00EB53EC" w:rsidRPr="001F3D8A" w:rsidTr="003F1507">
        <w:trPr>
          <w:trHeight w:val="43"/>
        </w:trPr>
        <w:tc>
          <w:tcPr>
            <w:tcW w:w="4399" w:type="dxa"/>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Total long-term liabilities</w:t>
            </w:r>
          </w:p>
        </w:tc>
        <w:tc>
          <w:tcPr>
            <w:tcW w:w="1973" w:type="dxa"/>
            <w:tcBorders>
              <w:top w:val="single" w:sz="4" w:space="0" w:color="auto"/>
              <w:bottom w:val="single" w:sz="4" w:space="0" w:color="auto"/>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13,295,870 </w:t>
            </w:r>
          </w:p>
        </w:tc>
        <w:tc>
          <w:tcPr>
            <w:tcW w:w="2375" w:type="dxa"/>
            <w:tcBorders>
              <w:top w:val="single" w:sz="4" w:space="0" w:color="auto"/>
              <w:bottom w:val="single" w:sz="4" w:space="0" w:color="auto"/>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12,817,661</w:t>
            </w:r>
          </w:p>
        </w:tc>
      </w:tr>
      <w:tr w:rsidR="00EB53EC" w:rsidRPr="001F3D8A" w:rsidTr="003F1507">
        <w:trPr>
          <w:trHeight w:val="264"/>
        </w:trPr>
        <w:tc>
          <w:tcPr>
            <w:tcW w:w="4399" w:type="dxa"/>
            <w:tcBorders>
              <w:left w:val="nil"/>
              <w:bottom w:val="nil"/>
              <w:right w:val="nil"/>
            </w:tcBorders>
            <w:shd w:val="clear" w:color="auto" w:fill="auto"/>
            <w:vAlign w:val="center"/>
            <w:hideMark/>
          </w:tcPr>
          <w:p w:rsidR="00EB53EC" w:rsidRPr="001F3D8A" w:rsidRDefault="00EB53EC" w:rsidP="003F1507">
            <w:pPr>
              <w:jc w:val="right"/>
              <w:rPr>
                <w:rFonts w:ascii="Arial" w:hAnsi="Arial" w:cs="Arial"/>
                <w:b/>
                <w:bCs/>
                <w:sz w:val="22"/>
                <w:szCs w:val="22"/>
              </w:rPr>
            </w:pPr>
          </w:p>
        </w:tc>
        <w:tc>
          <w:tcPr>
            <w:tcW w:w="1973" w:type="dxa"/>
            <w:vMerge w:val="restart"/>
            <w:tcBorders>
              <w:top w:val="single" w:sz="4" w:space="0" w:color="auto"/>
              <w:left w:val="nil"/>
              <w:bottom w:val="nil"/>
              <w:right w:val="nil"/>
            </w:tcBorders>
            <w:shd w:val="clear" w:color="auto" w:fill="auto"/>
            <w:noWrap/>
            <w:vAlign w:val="bottom"/>
            <w:hideMark/>
          </w:tcPr>
          <w:p w:rsidR="00EB53EC" w:rsidRPr="001F3D8A" w:rsidRDefault="00EB53EC" w:rsidP="003F1507">
            <w:r>
              <w:t> </w:t>
            </w:r>
          </w:p>
        </w:tc>
        <w:tc>
          <w:tcPr>
            <w:tcW w:w="2375" w:type="dxa"/>
            <w:vMerge w:val="restart"/>
            <w:tcBorders>
              <w:top w:val="single" w:sz="4" w:space="0" w:color="auto"/>
              <w:left w:val="nil"/>
              <w:bottom w:val="nil"/>
              <w:right w:val="nil"/>
            </w:tcBorders>
            <w:shd w:val="clear" w:color="auto" w:fill="auto"/>
            <w:noWrap/>
            <w:vAlign w:val="bottom"/>
            <w:hideMark/>
          </w:tcPr>
          <w:p w:rsidR="00EB53EC" w:rsidRPr="001F3D8A" w:rsidRDefault="00EB53EC" w:rsidP="003F1507">
            <w:r>
              <w:t> </w:t>
            </w:r>
          </w:p>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Current liabilities</w:t>
            </w:r>
          </w:p>
        </w:tc>
        <w:tc>
          <w:tcPr>
            <w:tcW w:w="1973" w:type="dxa"/>
            <w:vMerge/>
            <w:tcBorders>
              <w:top w:val="nil"/>
              <w:left w:val="nil"/>
              <w:right w:val="nil"/>
            </w:tcBorders>
            <w:vAlign w:val="center"/>
            <w:hideMark/>
          </w:tcPr>
          <w:p w:rsidR="00EB53EC" w:rsidRPr="001F3D8A" w:rsidRDefault="00EB53EC" w:rsidP="003F1507"/>
        </w:tc>
        <w:tc>
          <w:tcPr>
            <w:tcW w:w="2375" w:type="dxa"/>
            <w:vMerge/>
            <w:tcBorders>
              <w:top w:val="nil"/>
              <w:left w:val="nil"/>
              <w:right w:val="nil"/>
            </w:tcBorders>
            <w:vAlign w:val="center"/>
            <w:hideMark/>
          </w:tcPr>
          <w:p w:rsidR="00EB53EC" w:rsidRPr="001F3D8A" w:rsidRDefault="00EB53EC" w:rsidP="003F1507"/>
        </w:tc>
      </w:tr>
      <w:tr w:rsidR="00EB53EC" w:rsidRPr="001F3D8A" w:rsidTr="003F1507">
        <w:trPr>
          <w:trHeight w:val="264"/>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Trade liabilities</w:t>
            </w:r>
          </w:p>
        </w:tc>
        <w:tc>
          <w:tcPr>
            <w:tcW w:w="1973" w:type="dxa"/>
            <w:tcBorders>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27,470,633 </w:t>
            </w:r>
          </w:p>
        </w:tc>
        <w:tc>
          <w:tcPr>
            <w:tcW w:w="2375" w:type="dxa"/>
            <w:tcBorders>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30,653,848 </w:t>
            </w:r>
          </w:p>
        </w:tc>
      </w:tr>
      <w:tr w:rsidR="00EB53EC" w:rsidRPr="001F3D8A" w:rsidTr="003F1507">
        <w:trPr>
          <w:trHeight w:val="127"/>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Current income tax</w:t>
            </w:r>
          </w:p>
        </w:tc>
        <w:tc>
          <w:tcPr>
            <w:tcW w:w="1973"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2,592,820 </w:t>
            </w:r>
          </w:p>
        </w:tc>
        <w:tc>
          <w:tcPr>
            <w:tcW w:w="2375" w:type="dxa"/>
            <w:tcBorders>
              <w:top w:val="nil"/>
              <w:left w:val="nil"/>
              <w:bottom w:val="nil"/>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3,761,986 </w:t>
            </w:r>
          </w:p>
        </w:tc>
      </w:tr>
      <w:tr w:rsidR="00EB53EC" w:rsidRPr="001F3D8A" w:rsidTr="003F1507">
        <w:trPr>
          <w:trHeight w:val="264"/>
        </w:trPr>
        <w:tc>
          <w:tcPr>
            <w:tcW w:w="4399" w:type="dxa"/>
            <w:tcBorders>
              <w:top w:val="nil"/>
              <w:left w:val="nil"/>
              <w:bottom w:val="nil"/>
              <w:right w:val="nil"/>
            </w:tcBorders>
            <w:shd w:val="clear" w:color="auto" w:fill="auto"/>
            <w:vAlign w:val="center"/>
          </w:tcPr>
          <w:p w:rsidR="00EB53EC" w:rsidRPr="001F3D8A" w:rsidRDefault="00EB53EC" w:rsidP="003F1507">
            <w:pPr>
              <w:rPr>
                <w:rFonts w:ascii="Arial" w:hAnsi="Arial" w:cs="Arial"/>
                <w:sz w:val="22"/>
                <w:szCs w:val="22"/>
              </w:rPr>
            </w:pPr>
            <w:r>
              <w:rPr>
                <w:rFonts w:ascii="Arial" w:hAnsi="Arial"/>
                <w:sz w:val="22"/>
                <w:szCs w:val="22"/>
              </w:rPr>
              <w:t>Other liabilities</w:t>
            </w:r>
          </w:p>
        </w:tc>
        <w:tc>
          <w:tcPr>
            <w:tcW w:w="1973" w:type="dxa"/>
            <w:tcBorders>
              <w:top w:val="nil"/>
              <w:left w:val="nil"/>
              <w:right w:val="nil"/>
            </w:tcBorders>
            <w:shd w:val="clear" w:color="auto" w:fill="auto"/>
            <w:noWrap/>
            <w:vAlign w:val="center"/>
          </w:tcPr>
          <w:p w:rsidR="00EB53EC" w:rsidRPr="001F3D8A" w:rsidRDefault="00EB53EC" w:rsidP="003F1507">
            <w:pPr>
              <w:jc w:val="right"/>
              <w:rPr>
                <w:rFonts w:ascii="Arial" w:hAnsi="Arial" w:cs="Arial"/>
                <w:sz w:val="22"/>
                <w:szCs w:val="22"/>
              </w:rPr>
            </w:pPr>
            <w:r>
              <w:rPr>
                <w:rFonts w:ascii="Arial" w:hAnsi="Arial"/>
                <w:sz w:val="22"/>
                <w:szCs w:val="22"/>
              </w:rPr>
              <w:t xml:space="preserve">38,053,444 </w:t>
            </w:r>
          </w:p>
        </w:tc>
        <w:tc>
          <w:tcPr>
            <w:tcW w:w="2375" w:type="dxa"/>
            <w:tcBorders>
              <w:top w:val="nil"/>
              <w:left w:val="nil"/>
              <w:right w:val="nil"/>
            </w:tcBorders>
            <w:shd w:val="clear" w:color="auto" w:fill="auto"/>
            <w:noWrap/>
            <w:vAlign w:val="center"/>
          </w:tcPr>
          <w:p w:rsidR="00EB53EC" w:rsidRPr="001F3D8A" w:rsidRDefault="00EB53EC" w:rsidP="003F1507">
            <w:pPr>
              <w:jc w:val="right"/>
              <w:rPr>
                <w:rFonts w:ascii="Arial" w:hAnsi="Arial" w:cs="Arial"/>
                <w:sz w:val="22"/>
                <w:szCs w:val="22"/>
              </w:rPr>
            </w:pPr>
            <w:r>
              <w:rPr>
                <w:rFonts w:ascii="Arial" w:hAnsi="Arial"/>
                <w:sz w:val="22"/>
                <w:szCs w:val="22"/>
              </w:rPr>
              <w:t xml:space="preserve">32,281,986 </w:t>
            </w:r>
          </w:p>
        </w:tc>
      </w:tr>
      <w:tr w:rsidR="00EB53EC" w:rsidRPr="001F3D8A" w:rsidTr="003F1507">
        <w:trPr>
          <w:trHeight w:val="136"/>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sz w:val="22"/>
                <w:szCs w:val="22"/>
              </w:rPr>
            </w:pPr>
            <w:r>
              <w:rPr>
                <w:rFonts w:ascii="Arial" w:hAnsi="Arial"/>
                <w:sz w:val="22"/>
                <w:szCs w:val="22"/>
              </w:rPr>
              <w:t>Short-term provisions</w:t>
            </w:r>
          </w:p>
        </w:tc>
        <w:tc>
          <w:tcPr>
            <w:tcW w:w="1973" w:type="dxa"/>
            <w:tcBorders>
              <w:top w:val="nil"/>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12,934,691</w:t>
            </w:r>
          </w:p>
        </w:tc>
        <w:tc>
          <w:tcPr>
            <w:tcW w:w="2375" w:type="dxa"/>
            <w:tcBorders>
              <w:top w:val="nil"/>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9,531,569 </w:t>
            </w:r>
          </w:p>
        </w:tc>
      </w:tr>
      <w:tr w:rsidR="00EB53EC" w:rsidRPr="001F3D8A" w:rsidTr="003F1507">
        <w:trPr>
          <w:trHeight w:val="167"/>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Total current liabilities</w:t>
            </w:r>
          </w:p>
        </w:tc>
        <w:tc>
          <w:tcPr>
            <w:tcW w:w="1973" w:type="dxa"/>
            <w:tcBorders>
              <w:top w:val="single" w:sz="4" w:space="0" w:color="auto"/>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81,051,588 </w:t>
            </w:r>
          </w:p>
        </w:tc>
        <w:tc>
          <w:tcPr>
            <w:tcW w:w="2375" w:type="dxa"/>
            <w:tcBorders>
              <w:top w:val="single" w:sz="4" w:space="0" w:color="auto"/>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76,229,389</w:t>
            </w:r>
          </w:p>
        </w:tc>
      </w:tr>
      <w:tr w:rsidR="00EB53EC" w:rsidRPr="001F3D8A" w:rsidTr="003F1507">
        <w:trPr>
          <w:trHeight w:val="275"/>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 xml:space="preserve">Total liabilities </w:t>
            </w:r>
          </w:p>
        </w:tc>
        <w:tc>
          <w:tcPr>
            <w:tcW w:w="1973" w:type="dxa"/>
            <w:tcBorders>
              <w:top w:val="single" w:sz="4" w:space="0" w:color="auto"/>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94,347,458 </w:t>
            </w:r>
          </w:p>
        </w:tc>
        <w:tc>
          <w:tcPr>
            <w:tcW w:w="2375" w:type="dxa"/>
            <w:tcBorders>
              <w:top w:val="single" w:sz="4" w:space="0" w:color="auto"/>
              <w:left w:val="nil"/>
              <w:bottom w:val="sing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89,047,050</w:t>
            </w:r>
          </w:p>
        </w:tc>
      </w:tr>
      <w:tr w:rsidR="00EB53EC" w:rsidRPr="001F3D8A" w:rsidTr="003F1507">
        <w:trPr>
          <w:trHeight w:val="523"/>
        </w:trPr>
        <w:tc>
          <w:tcPr>
            <w:tcW w:w="4399" w:type="dxa"/>
            <w:tcBorders>
              <w:top w:val="nil"/>
              <w:left w:val="nil"/>
              <w:bottom w:val="nil"/>
              <w:right w:val="nil"/>
            </w:tcBorders>
            <w:shd w:val="clear" w:color="auto" w:fill="auto"/>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 xml:space="preserve">TOTAL EQUITIES </w:t>
            </w:r>
          </w:p>
          <w:p w:rsidR="00EB53EC" w:rsidRPr="001F3D8A" w:rsidRDefault="00EB53EC" w:rsidP="003F1507">
            <w:pPr>
              <w:rPr>
                <w:rFonts w:ascii="Arial" w:hAnsi="Arial" w:cs="Arial"/>
                <w:b/>
                <w:bCs/>
                <w:sz w:val="22"/>
                <w:szCs w:val="22"/>
              </w:rPr>
            </w:pPr>
            <w:r>
              <w:rPr>
                <w:rFonts w:ascii="Arial" w:hAnsi="Arial"/>
                <w:b/>
                <w:bCs/>
                <w:sz w:val="22"/>
                <w:szCs w:val="22"/>
              </w:rPr>
              <w:t>AND LIABILITIES</w:t>
            </w:r>
          </w:p>
        </w:tc>
        <w:tc>
          <w:tcPr>
            <w:tcW w:w="1973" w:type="dxa"/>
            <w:tcBorders>
              <w:top w:val="single" w:sz="4" w:space="0" w:color="auto"/>
              <w:left w:val="nil"/>
              <w:bottom w:val="doub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717,138,910 </w:t>
            </w:r>
          </w:p>
        </w:tc>
        <w:tc>
          <w:tcPr>
            <w:tcW w:w="2375" w:type="dxa"/>
            <w:tcBorders>
              <w:top w:val="single" w:sz="4" w:space="0" w:color="auto"/>
              <w:left w:val="nil"/>
              <w:bottom w:val="double" w:sz="4" w:space="0" w:color="auto"/>
              <w:right w:val="nil"/>
            </w:tcBorders>
            <w:shd w:val="clear" w:color="auto" w:fill="auto"/>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748,773,470</w:t>
            </w:r>
          </w:p>
        </w:tc>
      </w:tr>
    </w:tbl>
    <w:p w:rsidR="00EB53EC" w:rsidRDefault="00EB53EC" w:rsidP="00EB53EC">
      <w:pPr>
        <w:widowControl/>
        <w:autoSpaceDE/>
        <w:autoSpaceDN/>
        <w:adjustRightInd/>
        <w:rPr>
          <w:rFonts w:ascii="Arial" w:hAnsi="Arial" w:cs="Arial"/>
          <w:sz w:val="22"/>
          <w:szCs w:val="22"/>
        </w:rPr>
      </w:pPr>
    </w:p>
    <w:p w:rsidR="00EB53EC" w:rsidRPr="00CA3CF8" w:rsidRDefault="00EB53EC" w:rsidP="00EB53EC">
      <w:pPr>
        <w:rPr>
          <w:rFonts w:ascii="Arial" w:hAnsi="Arial" w:cs="Arial"/>
          <w:b/>
          <w:color w:val="1F4E79" w:themeColor="accent1" w:themeShade="80"/>
          <w:sz w:val="22"/>
          <w:szCs w:val="22"/>
        </w:rPr>
      </w:pPr>
      <w:r>
        <w:rPr>
          <w:rFonts w:ascii="Arial" w:hAnsi="Arial"/>
          <w:b/>
          <w:color w:val="1F4E79" w:themeColor="accent1" w:themeShade="80"/>
          <w:sz w:val="22"/>
          <w:szCs w:val="22"/>
        </w:rPr>
        <w:t>Annex no. 2</w:t>
      </w:r>
    </w:p>
    <w:p w:rsidR="00EB53EC" w:rsidRPr="00CA3CF8" w:rsidRDefault="00EB53EC" w:rsidP="00EB53EC">
      <w:pPr>
        <w:rPr>
          <w:rFonts w:ascii="Arial" w:hAnsi="Arial" w:cs="Arial"/>
          <w:b/>
          <w:color w:val="1F4E79" w:themeColor="accent1" w:themeShade="80"/>
          <w:sz w:val="22"/>
          <w:szCs w:val="22"/>
          <w:lang w:val="fr-FR" w:eastAsia="en-US"/>
        </w:rPr>
      </w:pPr>
    </w:p>
    <w:p w:rsidR="00EB53EC" w:rsidRPr="00CA3CF8" w:rsidRDefault="00EB53EC" w:rsidP="00EB53EC">
      <w:pPr>
        <w:pStyle w:val="Heading1"/>
        <w:tabs>
          <w:tab w:val="num" w:pos="0"/>
        </w:tabs>
        <w:spacing w:before="0" w:after="0"/>
        <w:rPr>
          <w:rFonts w:ascii="Arial" w:hAnsi="Arial" w:cs="Arial"/>
          <w:color w:val="1F4E79" w:themeColor="accent1" w:themeShade="80"/>
          <w:sz w:val="22"/>
          <w:szCs w:val="22"/>
        </w:rPr>
      </w:pPr>
      <w:r>
        <w:rPr>
          <w:rFonts w:ascii="Arial" w:hAnsi="Arial"/>
          <w:color w:val="1F4E79" w:themeColor="accent1" w:themeShade="80"/>
          <w:sz w:val="22"/>
          <w:szCs w:val="22"/>
        </w:rPr>
        <w:t>THE INTERIM STATEMENT OF THE PROFIT AND LOSS ACCOUNT AND OTHER GLOBAL RESULT ELEMENTS FOR THE SIX MONTHS PERIOD ENDED</w:t>
      </w:r>
    </w:p>
    <w:p w:rsidR="00EB53EC" w:rsidRPr="001F3D8A" w:rsidRDefault="00EB53EC" w:rsidP="00EB53EC">
      <w:pPr>
        <w:pStyle w:val="Heading1"/>
        <w:tabs>
          <w:tab w:val="num" w:pos="0"/>
        </w:tabs>
        <w:spacing w:before="0" w:after="0"/>
        <w:jc w:val="center"/>
        <w:rPr>
          <w:rFonts w:ascii="Arial" w:hAnsi="Arial" w:cs="Arial"/>
          <w:sz w:val="22"/>
          <w:szCs w:val="22"/>
        </w:rPr>
      </w:pPr>
      <w:r>
        <w:rPr>
          <w:rFonts w:ascii="Arial" w:hAnsi="Arial"/>
          <w:color w:val="1F4E79" w:themeColor="accent1" w:themeShade="80"/>
          <w:sz w:val="22"/>
          <w:szCs w:val="22"/>
        </w:rPr>
        <w:t xml:space="preserve"> June 30, 2018</w:t>
      </w:r>
    </w:p>
    <w:p w:rsidR="00EB53EC" w:rsidRPr="001F3D8A" w:rsidRDefault="00EB53EC" w:rsidP="00EB53EC"/>
    <w:tbl>
      <w:tblPr>
        <w:tblW w:w="8655" w:type="dxa"/>
        <w:shd w:val="clear" w:color="auto" w:fill="FFFFFF" w:themeFill="background1"/>
        <w:tblLook w:val="04A0" w:firstRow="1" w:lastRow="0" w:firstColumn="1" w:lastColumn="0" w:noHBand="0" w:noVBand="1"/>
      </w:tblPr>
      <w:tblGrid>
        <w:gridCol w:w="4590"/>
        <w:gridCol w:w="1995"/>
        <w:gridCol w:w="2070"/>
      </w:tblGrid>
      <w:tr w:rsidR="00EB53EC" w:rsidRPr="001F3D8A" w:rsidTr="003F1507">
        <w:trPr>
          <w:trHeight w:val="300"/>
        </w:trPr>
        <w:tc>
          <w:tcPr>
            <w:tcW w:w="4590" w:type="dxa"/>
            <w:shd w:val="clear" w:color="auto" w:fill="FFFFFF" w:themeFill="background1"/>
            <w:noWrap/>
            <w:vAlign w:val="center"/>
            <w:hideMark/>
          </w:tcPr>
          <w:p w:rsidR="00EB53EC" w:rsidRPr="001F3D8A" w:rsidRDefault="00EB53EC" w:rsidP="003F1507">
            <w:pPr>
              <w:rPr>
                <w:sz w:val="24"/>
                <w:szCs w:val="24"/>
              </w:rPr>
            </w:pPr>
          </w:p>
        </w:tc>
        <w:tc>
          <w:tcPr>
            <w:tcW w:w="1995" w:type="dxa"/>
            <w:tcBorders>
              <w:top w:val="single" w:sz="4" w:space="0" w:color="auto"/>
              <w:bottom w:val="single" w:sz="4" w:space="0" w:color="auto"/>
            </w:tcBorders>
            <w:shd w:val="clear" w:color="auto" w:fill="DEEAF6" w:themeFill="accent1" w:themeFillTint="33"/>
            <w:noWrap/>
            <w:vAlign w:val="center"/>
            <w:hideMark/>
          </w:tcPr>
          <w:p w:rsidR="00EB53EC" w:rsidRPr="001F3D8A" w:rsidRDefault="00EB53EC" w:rsidP="003F1507">
            <w:pPr>
              <w:ind w:left="-111" w:right="-111"/>
              <w:jc w:val="center"/>
              <w:rPr>
                <w:rFonts w:ascii="Arial" w:hAnsi="Arial" w:cs="Arial"/>
                <w:b/>
                <w:bCs/>
                <w:sz w:val="22"/>
                <w:szCs w:val="22"/>
              </w:rPr>
            </w:pPr>
            <w:r>
              <w:rPr>
                <w:rFonts w:ascii="Arial" w:hAnsi="Arial"/>
                <w:b/>
                <w:bCs/>
                <w:sz w:val="22"/>
                <w:szCs w:val="22"/>
              </w:rPr>
              <w:t>6 months ended at</w:t>
            </w:r>
          </w:p>
          <w:p w:rsidR="00EB53EC" w:rsidRPr="001F3D8A" w:rsidRDefault="00EB53EC" w:rsidP="003F1507">
            <w:pPr>
              <w:ind w:left="-111" w:right="-111"/>
              <w:jc w:val="center"/>
              <w:rPr>
                <w:rFonts w:ascii="Arial" w:hAnsi="Arial" w:cs="Arial"/>
                <w:b/>
                <w:bCs/>
                <w:sz w:val="22"/>
                <w:szCs w:val="22"/>
              </w:rPr>
            </w:pPr>
            <w:r>
              <w:rPr>
                <w:rFonts w:ascii="Arial" w:hAnsi="Arial"/>
                <w:b/>
                <w:bCs/>
                <w:sz w:val="22"/>
                <w:szCs w:val="22"/>
              </w:rPr>
              <w:t>June 30, 2018 (revised)</w:t>
            </w:r>
          </w:p>
        </w:tc>
        <w:tc>
          <w:tcPr>
            <w:tcW w:w="2070" w:type="dxa"/>
            <w:tcBorders>
              <w:top w:val="single" w:sz="4" w:space="0" w:color="auto"/>
              <w:bottom w:val="single" w:sz="4" w:space="0" w:color="auto"/>
            </w:tcBorders>
            <w:shd w:val="clear" w:color="auto" w:fill="DEEAF6" w:themeFill="accent1" w:themeFillTint="33"/>
            <w:noWrap/>
            <w:vAlign w:val="center"/>
            <w:hideMark/>
          </w:tcPr>
          <w:p w:rsidR="00EB53EC" w:rsidRPr="001F3D8A" w:rsidRDefault="00EB53EC" w:rsidP="003F1507">
            <w:pPr>
              <w:jc w:val="center"/>
              <w:rPr>
                <w:rFonts w:ascii="Arial" w:hAnsi="Arial" w:cs="Arial"/>
                <w:b/>
                <w:bCs/>
                <w:sz w:val="22"/>
                <w:szCs w:val="22"/>
              </w:rPr>
            </w:pPr>
            <w:r>
              <w:rPr>
                <w:rFonts w:ascii="Arial" w:hAnsi="Arial"/>
                <w:b/>
                <w:bCs/>
                <w:sz w:val="22"/>
                <w:szCs w:val="22"/>
              </w:rPr>
              <w:t>6 months ended at</w:t>
            </w:r>
          </w:p>
          <w:p w:rsidR="00EB53EC" w:rsidRPr="001F3D8A" w:rsidRDefault="00EB53EC" w:rsidP="00432988">
            <w:pPr>
              <w:jc w:val="center"/>
              <w:rPr>
                <w:rFonts w:ascii="Arial" w:hAnsi="Arial" w:cs="Arial"/>
                <w:b/>
                <w:bCs/>
                <w:sz w:val="22"/>
                <w:szCs w:val="22"/>
              </w:rPr>
            </w:pPr>
            <w:r>
              <w:rPr>
                <w:rFonts w:ascii="Arial" w:hAnsi="Arial"/>
                <w:b/>
                <w:bCs/>
                <w:sz w:val="22"/>
                <w:szCs w:val="22"/>
              </w:rPr>
              <w:t>Friday, June 30, 2017 (re</w:t>
            </w:r>
            <w:r w:rsidR="00432988">
              <w:rPr>
                <w:rFonts w:ascii="Arial" w:hAnsi="Arial"/>
                <w:b/>
                <w:bCs/>
                <w:sz w:val="22"/>
                <w:szCs w:val="22"/>
              </w:rPr>
              <w:t>treated</w:t>
            </w:r>
            <w:r>
              <w:rPr>
                <w:rFonts w:ascii="Arial" w:hAnsi="Arial"/>
                <w:b/>
                <w:bCs/>
                <w:sz w:val="22"/>
                <w:szCs w:val="22"/>
              </w:rPr>
              <w:t>)</w:t>
            </w:r>
          </w:p>
        </w:tc>
      </w:tr>
      <w:tr w:rsidR="00EB53EC" w:rsidRPr="001F3D8A" w:rsidTr="003F1507">
        <w:trPr>
          <w:trHeight w:val="175"/>
        </w:trPr>
        <w:tc>
          <w:tcPr>
            <w:tcW w:w="4590" w:type="dxa"/>
            <w:shd w:val="clear" w:color="auto" w:fill="FFFFFF" w:themeFill="background1"/>
            <w:noWrap/>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 xml:space="preserve">Operating Revenues                                        </w:t>
            </w:r>
            <w:r>
              <w:rPr>
                <w:rFonts w:ascii="Arial" w:hAnsi="Arial"/>
                <w:sz w:val="22"/>
                <w:szCs w:val="22"/>
              </w:rPr>
              <w:t xml:space="preserve">   </w:t>
            </w:r>
          </w:p>
        </w:tc>
        <w:tc>
          <w:tcPr>
            <w:tcW w:w="1995" w:type="dxa"/>
            <w:tcBorders>
              <w:top w:val="single" w:sz="4" w:space="0" w:color="auto"/>
            </w:tcBorders>
            <w:shd w:val="clear" w:color="auto" w:fill="FFFFFF" w:themeFill="background1"/>
            <w:noWrap/>
            <w:vAlign w:val="center"/>
            <w:hideMark/>
          </w:tcPr>
          <w:p w:rsidR="00EB53EC" w:rsidRPr="001F3D8A" w:rsidRDefault="00EB53EC" w:rsidP="003F1507">
            <w:r>
              <w:t> </w:t>
            </w:r>
          </w:p>
        </w:tc>
        <w:tc>
          <w:tcPr>
            <w:tcW w:w="2070" w:type="dxa"/>
            <w:tcBorders>
              <w:top w:val="single" w:sz="4" w:space="0" w:color="auto"/>
            </w:tcBorders>
            <w:shd w:val="clear" w:color="auto" w:fill="FFFFFF" w:themeFill="background1"/>
            <w:noWrap/>
            <w:vAlign w:val="bottom"/>
            <w:hideMark/>
          </w:tcPr>
          <w:p w:rsidR="00EB53EC" w:rsidRPr="001F3D8A" w:rsidRDefault="00EB53EC" w:rsidP="003F1507"/>
        </w:tc>
      </w:tr>
      <w:tr w:rsidR="00EB53EC" w:rsidRPr="001F3D8A" w:rsidTr="003F1507">
        <w:trPr>
          <w:trHeight w:val="288"/>
        </w:trPr>
        <w:tc>
          <w:tcPr>
            <w:tcW w:w="4590" w:type="dxa"/>
            <w:shd w:val="clear" w:color="auto" w:fill="FFFFFF" w:themeFill="background1"/>
            <w:noWrap/>
            <w:vAlign w:val="center"/>
            <w:hideMark/>
          </w:tcPr>
          <w:p w:rsidR="00EB53EC" w:rsidRPr="001F3D8A" w:rsidRDefault="00EB53EC" w:rsidP="003F1507">
            <w:pPr>
              <w:rPr>
                <w:rFonts w:ascii="Arial" w:hAnsi="Arial" w:cs="Arial"/>
                <w:sz w:val="22"/>
                <w:szCs w:val="22"/>
              </w:rPr>
            </w:pPr>
            <w:r>
              <w:rPr>
                <w:rFonts w:ascii="Arial" w:hAnsi="Arial"/>
                <w:sz w:val="22"/>
                <w:szCs w:val="22"/>
              </w:rPr>
              <w:t>Turnover revenues</w:t>
            </w:r>
          </w:p>
        </w:tc>
        <w:tc>
          <w:tcPr>
            <w:tcW w:w="1995" w:type="dxa"/>
            <w:shd w:val="clear" w:color="auto" w:fill="FFFFFF" w:themeFill="background1"/>
            <w:noWrap/>
            <w:vAlign w:val="bottom"/>
            <w:hideMark/>
          </w:tcPr>
          <w:p w:rsidR="00EB53EC" w:rsidRPr="001F3D8A" w:rsidRDefault="00EB53EC" w:rsidP="003F1507">
            <w:pPr>
              <w:jc w:val="right"/>
              <w:rPr>
                <w:rFonts w:ascii="Arial" w:hAnsi="Arial" w:cs="Arial"/>
                <w:sz w:val="22"/>
                <w:szCs w:val="22"/>
              </w:rPr>
            </w:pPr>
            <w:r>
              <w:rPr>
                <w:rFonts w:ascii="Arial" w:hAnsi="Arial"/>
                <w:sz w:val="22"/>
                <w:szCs w:val="22"/>
              </w:rPr>
              <w:t xml:space="preserve">184,931,130 </w:t>
            </w:r>
          </w:p>
        </w:tc>
        <w:tc>
          <w:tcPr>
            <w:tcW w:w="2070" w:type="dxa"/>
            <w:shd w:val="clear" w:color="auto" w:fill="FFFFFF" w:themeFill="background1"/>
            <w:noWrap/>
            <w:vAlign w:val="bottom"/>
            <w:hideMark/>
          </w:tcPr>
          <w:p w:rsidR="00EB53EC" w:rsidRPr="001F3D8A" w:rsidRDefault="00EB53EC" w:rsidP="003F1507">
            <w:pPr>
              <w:jc w:val="right"/>
              <w:rPr>
                <w:rFonts w:ascii="Arial" w:hAnsi="Arial" w:cs="Arial"/>
                <w:sz w:val="22"/>
                <w:szCs w:val="22"/>
              </w:rPr>
            </w:pPr>
            <w:r>
              <w:rPr>
                <w:rFonts w:ascii="Arial" w:hAnsi="Arial"/>
                <w:sz w:val="22"/>
                <w:szCs w:val="22"/>
              </w:rPr>
              <w:t xml:space="preserve">186,314,395 </w:t>
            </w:r>
          </w:p>
        </w:tc>
      </w:tr>
      <w:tr w:rsidR="00EB53EC" w:rsidRPr="001F3D8A" w:rsidTr="003F1507">
        <w:trPr>
          <w:trHeight w:val="194"/>
        </w:trPr>
        <w:tc>
          <w:tcPr>
            <w:tcW w:w="4590" w:type="dxa"/>
            <w:shd w:val="clear" w:color="auto" w:fill="FFFFFF" w:themeFill="background1"/>
            <w:noWrap/>
            <w:vAlign w:val="center"/>
            <w:hideMark/>
          </w:tcPr>
          <w:p w:rsidR="00EB53EC" w:rsidRPr="001F3D8A" w:rsidRDefault="00EB53EC" w:rsidP="003F1507">
            <w:pPr>
              <w:rPr>
                <w:rFonts w:ascii="Arial" w:hAnsi="Arial" w:cs="Arial"/>
                <w:sz w:val="22"/>
                <w:szCs w:val="22"/>
              </w:rPr>
            </w:pPr>
            <w:r>
              <w:rPr>
                <w:rFonts w:ascii="Arial" w:hAnsi="Arial"/>
                <w:sz w:val="22"/>
                <w:szCs w:val="22"/>
              </w:rPr>
              <w:t>Other revenues</w:t>
            </w:r>
          </w:p>
        </w:tc>
        <w:tc>
          <w:tcPr>
            <w:tcW w:w="1995" w:type="dxa"/>
            <w:shd w:val="clear" w:color="auto" w:fill="FFFFFF" w:themeFill="background1"/>
            <w:noWrap/>
            <w:vAlign w:val="bottom"/>
            <w:hideMark/>
          </w:tcPr>
          <w:p w:rsidR="00EB53EC" w:rsidRPr="001F3D8A" w:rsidRDefault="00EB53EC" w:rsidP="003F1507">
            <w:pPr>
              <w:jc w:val="right"/>
              <w:rPr>
                <w:rFonts w:ascii="Arial" w:hAnsi="Arial" w:cs="Arial"/>
                <w:sz w:val="22"/>
                <w:szCs w:val="22"/>
              </w:rPr>
            </w:pPr>
            <w:r>
              <w:rPr>
                <w:rFonts w:ascii="Arial" w:hAnsi="Arial"/>
                <w:sz w:val="22"/>
                <w:szCs w:val="22"/>
              </w:rPr>
              <w:t xml:space="preserve">15,045,754 </w:t>
            </w:r>
          </w:p>
        </w:tc>
        <w:tc>
          <w:tcPr>
            <w:tcW w:w="2070" w:type="dxa"/>
            <w:shd w:val="clear" w:color="auto" w:fill="FFFFFF" w:themeFill="background1"/>
            <w:noWrap/>
            <w:vAlign w:val="bottom"/>
            <w:hideMark/>
          </w:tcPr>
          <w:p w:rsidR="00EB53EC" w:rsidRPr="001F3D8A" w:rsidRDefault="00EB53EC" w:rsidP="003F1507">
            <w:pPr>
              <w:jc w:val="right"/>
              <w:rPr>
                <w:rFonts w:ascii="Arial" w:hAnsi="Arial" w:cs="Arial"/>
                <w:sz w:val="22"/>
                <w:szCs w:val="22"/>
              </w:rPr>
            </w:pPr>
            <w:r>
              <w:rPr>
                <w:rFonts w:ascii="Arial" w:hAnsi="Arial"/>
                <w:sz w:val="22"/>
                <w:szCs w:val="22"/>
              </w:rPr>
              <w:t xml:space="preserve">15,389,511 </w:t>
            </w:r>
          </w:p>
        </w:tc>
      </w:tr>
      <w:tr w:rsidR="00EB53EC" w:rsidRPr="001F3D8A" w:rsidTr="003F1507">
        <w:trPr>
          <w:trHeight w:val="103"/>
        </w:trPr>
        <w:tc>
          <w:tcPr>
            <w:tcW w:w="4590" w:type="dxa"/>
            <w:shd w:val="clear" w:color="auto" w:fill="FFFFFF" w:themeFill="background1"/>
            <w:noWrap/>
            <w:vAlign w:val="center"/>
          </w:tcPr>
          <w:p w:rsidR="00EB53EC" w:rsidRPr="001F3D8A" w:rsidRDefault="00EB53EC" w:rsidP="003F1507">
            <w:pPr>
              <w:rPr>
                <w:rFonts w:ascii="Arial" w:hAnsi="Arial" w:cs="Arial"/>
                <w:sz w:val="22"/>
                <w:szCs w:val="22"/>
              </w:rPr>
            </w:pPr>
            <w:r>
              <w:rPr>
                <w:rFonts w:ascii="Arial" w:hAnsi="Arial"/>
                <w:sz w:val="22"/>
                <w:szCs w:val="22"/>
              </w:rPr>
              <w:t>Earnings from disposal of assets</w:t>
            </w:r>
          </w:p>
        </w:tc>
        <w:tc>
          <w:tcPr>
            <w:tcW w:w="1995" w:type="dxa"/>
            <w:tcBorders>
              <w:bottom w:val="single" w:sz="4" w:space="0" w:color="auto"/>
            </w:tcBorders>
            <w:shd w:val="clear" w:color="auto" w:fill="FFFFFF" w:themeFill="background1"/>
            <w:noWrap/>
            <w:vAlign w:val="bottom"/>
          </w:tcPr>
          <w:p w:rsidR="00EB53EC" w:rsidRPr="001F3D8A" w:rsidRDefault="00EB53EC" w:rsidP="003F1507">
            <w:pPr>
              <w:jc w:val="right"/>
              <w:rPr>
                <w:rFonts w:ascii="Arial" w:hAnsi="Arial" w:cs="Arial"/>
                <w:sz w:val="22"/>
                <w:szCs w:val="22"/>
              </w:rPr>
            </w:pPr>
            <w:r>
              <w:rPr>
                <w:rFonts w:ascii="Arial" w:hAnsi="Arial"/>
                <w:sz w:val="22"/>
                <w:szCs w:val="22"/>
              </w:rPr>
              <w:t xml:space="preserve">- </w:t>
            </w:r>
          </w:p>
        </w:tc>
        <w:tc>
          <w:tcPr>
            <w:tcW w:w="2070" w:type="dxa"/>
            <w:tcBorders>
              <w:bottom w:val="single" w:sz="4" w:space="0" w:color="auto"/>
            </w:tcBorders>
            <w:shd w:val="clear" w:color="auto" w:fill="FFFFFF" w:themeFill="background1"/>
            <w:noWrap/>
            <w:vAlign w:val="bottom"/>
          </w:tcPr>
          <w:p w:rsidR="00EB53EC" w:rsidRPr="001F3D8A" w:rsidRDefault="00EB53EC" w:rsidP="003F1507">
            <w:pPr>
              <w:jc w:val="right"/>
              <w:rPr>
                <w:rFonts w:ascii="Arial" w:hAnsi="Arial" w:cs="Arial"/>
                <w:sz w:val="22"/>
                <w:szCs w:val="22"/>
              </w:rPr>
            </w:pPr>
            <w:r>
              <w:rPr>
                <w:rFonts w:ascii="Arial" w:hAnsi="Arial"/>
                <w:sz w:val="22"/>
                <w:szCs w:val="22"/>
              </w:rPr>
              <w:t xml:space="preserve">899,618 </w:t>
            </w:r>
          </w:p>
        </w:tc>
      </w:tr>
      <w:tr w:rsidR="00EB53EC" w:rsidRPr="001F3D8A" w:rsidTr="003F1507">
        <w:trPr>
          <w:trHeight w:val="211"/>
        </w:trPr>
        <w:tc>
          <w:tcPr>
            <w:tcW w:w="4590" w:type="dxa"/>
            <w:shd w:val="clear" w:color="auto" w:fill="FFFFFF" w:themeFill="background1"/>
            <w:noWrap/>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Total operating revenues</w:t>
            </w:r>
          </w:p>
        </w:tc>
        <w:tc>
          <w:tcPr>
            <w:tcW w:w="1995" w:type="dxa"/>
            <w:tcBorders>
              <w:top w:val="single" w:sz="4" w:space="0" w:color="auto"/>
              <w:bottom w:val="single" w:sz="4" w:space="0" w:color="auto"/>
            </w:tcBorders>
            <w:shd w:val="clear" w:color="auto" w:fill="FFFFFF" w:themeFill="background1"/>
            <w:noWrap/>
            <w:vAlign w:val="bottom"/>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199,976,884 </w:t>
            </w:r>
          </w:p>
        </w:tc>
        <w:tc>
          <w:tcPr>
            <w:tcW w:w="2070" w:type="dxa"/>
            <w:tcBorders>
              <w:top w:val="single" w:sz="4" w:space="0" w:color="auto"/>
              <w:bottom w:val="single" w:sz="4" w:space="0" w:color="auto"/>
            </w:tcBorders>
            <w:shd w:val="clear" w:color="auto" w:fill="FFFFFF" w:themeFill="background1"/>
            <w:noWrap/>
            <w:vAlign w:val="bottom"/>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202,603,524 </w:t>
            </w:r>
          </w:p>
        </w:tc>
      </w:tr>
      <w:tr w:rsidR="00EB53EC" w:rsidRPr="001F3D8A" w:rsidTr="003F1507">
        <w:trPr>
          <w:trHeight w:val="288"/>
        </w:trPr>
        <w:tc>
          <w:tcPr>
            <w:tcW w:w="4590" w:type="dxa"/>
            <w:shd w:val="clear" w:color="auto" w:fill="FFFFFF" w:themeFill="background1"/>
            <w:noWrap/>
            <w:vAlign w:val="bottom"/>
            <w:hideMark/>
          </w:tcPr>
          <w:p w:rsidR="00EB53EC" w:rsidRPr="001F3D8A" w:rsidRDefault="00EB53EC" w:rsidP="003F1507">
            <w:pPr>
              <w:jc w:val="right"/>
              <w:rPr>
                <w:rFonts w:ascii="Arial" w:hAnsi="Arial" w:cs="Arial"/>
                <w:b/>
                <w:bCs/>
                <w:sz w:val="22"/>
                <w:szCs w:val="22"/>
              </w:rPr>
            </w:pPr>
          </w:p>
        </w:tc>
        <w:tc>
          <w:tcPr>
            <w:tcW w:w="1995" w:type="dxa"/>
            <w:tcBorders>
              <w:top w:val="single" w:sz="4" w:space="0" w:color="auto"/>
            </w:tcBorders>
            <w:shd w:val="clear" w:color="auto" w:fill="FFFFFF" w:themeFill="background1"/>
            <w:noWrap/>
            <w:vAlign w:val="bottom"/>
            <w:hideMark/>
          </w:tcPr>
          <w:p w:rsidR="00EB53EC" w:rsidRPr="001F3D8A" w:rsidRDefault="00EB53EC" w:rsidP="003F1507">
            <w:r>
              <w:t> </w:t>
            </w:r>
          </w:p>
        </w:tc>
        <w:tc>
          <w:tcPr>
            <w:tcW w:w="2070" w:type="dxa"/>
            <w:tcBorders>
              <w:top w:val="single" w:sz="4" w:space="0" w:color="auto"/>
            </w:tcBorders>
            <w:shd w:val="clear" w:color="auto" w:fill="FFFFFF" w:themeFill="background1"/>
            <w:noWrap/>
            <w:vAlign w:val="bottom"/>
            <w:hideMark/>
          </w:tcPr>
          <w:p w:rsidR="00EB53EC" w:rsidRPr="001F3D8A" w:rsidRDefault="00EB53EC" w:rsidP="003F1507"/>
        </w:tc>
      </w:tr>
      <w:tr w:rsidR="00EB53EC" w:rsidRPr="001F3D8A" w:rsidTr="003F1507">
        <w:trPr>
          <w:trHeight w:val="73"/>
        </w:trPr>
        <w:tc>
          <w:tcPr>
            <w:tcW w:w="4590" w:type="dxa"/>
            <w:shd w:val="clear" w:color="auto" w:fill="FFFFFF" w:themeFill="background1"/>
            <w:noWrap/>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 xml:space="preserve">Operating Expenses                                        </w:t>
            </w:r>
          </w:p>
        </w:tc>
        <w:tc>
          <w:tcPr>
            <w:tcW w:w="1995" w:type="dxa"/>
            <w:shd w:val="clear" w:color="auto" w:fill="FFFFFF" w:themeFill="background1"/>
            <w:noWrap/>
            <w:vAlign w:val="bottom"/>
            <w:hideMark/>
          </w:tcPr>
          <w:p w:rsidR="00EB53EC" w:rsidRPr="001F3D8A" w:rsidRDefault="00EB53EC" w:rsidP="003F1507">
            <w:pPr>
              <w:jc w:val="center"/>
              <w:rPr>
                <w:rFonts w:ascii="Arial" w:hAnsi="Arial" w:cs="Arial"/>
                <w:sz w:val="22"/>
                <w:szCs w:val="22"/>
              </w:rPr>
            </w:pPr>
          </w:p>
        </w:tc>
        <w:tc>
          <w:tcPr>
            <w:tcW w:w="2070" w:type="dxa"/>
            <w:shd w:val="clear" w:color="auto" w:fill="FFFFFF" w:themeFill="background1"/>
            <w:noWrap/>
            <w:vAlign w:val="bottom"/>
            <w:hideMark/>
          </w:tcPr>
          <w:p w:rsidR="00EB53EC" w:rsidRPr="001F3D8A" w:rsidRDefault="00EB53EC" w:rsidP="003F1507"/>
        </w:tc>
      </w:tr>
      <w:tr w:rsidR="00EB53EC" w:rsidRPr="001F3D8A" w:rsidTr="003F1507">
        <w:trPr>
          <w:trHeight w:val="288"/>
        </w:trPr>
        <w:tc>
          <w:tcPr>
            <w:tcW w:w="4590" w:type="dxa"/>
            <w:shd w:val="clear" w:color="auto" w:fill="FFFFFF" w:themeFill="background1"/>
            <w:vAlign w:val="center"/>
            <w:hideMark/>
          </w:tcPr>
          <w:p w:rsidR="00EB53EC" w:rsidRPr="001F3D8A" w:rsidRDefault="00EB53EC" w:rsidP="003F1507">
            <w:pPr>
              <w:rPr>
                <w:rFonts w:ascii="Arial" w:hAnsi="Arial" w:cs="Arial"/>
                <w:sz w:val="22"/>
                <w:szCs w:val="22"/>
              </w:rPr>
            </w:pPr>
            <w:r>
              <w:rPr>
                <w:rFonts w:ascii="Arial" w:hAnsi="Arial"/>
                <w:sz w:val="22"/>
                <w:szCs w:val="22"/>
              </w:rPr>
              <w:t>Inventory related expenses</w:t>
            </w:r>
          </w:p>
        </w:tc>
        <w:tc>
          <w:tcPr>
            <w:tcW w:w="1995"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3,269,384 </w:t>
            </w:r>
          </w:p>
        </w:tc>
        <w:tc>
          <w:tcPr>
            <w:tcW w:w="2070"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3,229,734 </w:t>
            </w:r>
          </w:p>
        </w:tc>
      </w:tr>
      <w:tr w:rsidR="00EB53EC" w:rsidRPr="001F3D8A" w:rsidTr="003F1507">
        <w:trPr>
          <w:trHeight w:val="288"/>
        </w:trPr>
        <w:tc>
          <w:tcPr>
            <w:tcW w:w="4590" w:type="dxa"/>
            <w:shd w:val="clear" w:color="auto" w:fill="FFFFFF" w:themeFill="background1"/>
            <w:noWrap/>
            <w:vAlign w:val="center"/>
          </w:tcPr>
          <w:p w:rsidR="00EB53EC" w:rsidRPr="001F3D8A" w:rsidRDefault="00EB53EC" w:rsidP="003F1507">
            <w:pPr>
              <w:rPr>
                <w:rFonts w:ascii="Arial" w:hAnsi="Arial" w:cs="Arial"/>
                <w:sz w:val="22"/>
                <w:szCs w:val="22"/>
              </w:rPr>
            </w:pPr>
            <w:r>
              <w:rPr>
                <w:rFonts w:ascii="Arial" w:hAnsi="Arial"/>
                <w:sz w:val="22"/>
                <w:szCs w:val="22"/>
              </w:rPr>
              <w:t>Expenses with energy and water</w:t>
            </w:r>
          </w:p>
        </w:tc>
        <w:tc>
          <w:tcPr>
            <w:tcW w:w="1995" w:type="dxa"/>
            <w:shd w:val="clear" w:color="auto" w:fill="FFFFFF" w:themeFill="background1"/>
            <w:noWrap/>
            <w:vAlign w:val="center"/>
          </w:tcPr>
          <w:p w:rsidR="00EB53EC" w:rsidRPr="001F3D8A" w:rsidRDefault="00EB53EC" w:rsidP="003F1507">
            <w:pPr>
              <w:jc w:val="right"/>
              <w:rPr>
                <w:rFonts w:ascii="Arial" w:hAnsi="Arial" w:cs="Arial"/>
                <w:sz w:val="22"/>
                <w:szCs w:val="22"/>
              </w:rPr>
            </w:pPr>
            <w:r>
              <w:rPr>
                <w:rFonts w:ascii="Arial" w:hAnsi="Arial"/>
                <w:sz w:val="22"/>
                <w:szCs w:val="22"/>
              </w:rPr>
              <w:t xml:space="preserve">5,948,665 </w:t>
            </w:r>
          </w:p>
        </w:tc>
        <w:tc>
          <w:tcPr>
            <w:tcW w:w="2070" w:type="dxa"/>
            <w:shd w:val="clear" w:color="auto" w:fill="FFFFFF" w:themeFill="background1"/>
            <w:noWrap/>
            <w:vAlign w:val="center"/>
          </w:tcPr>
          <w:p w:rsidR="00EB53EC" w:rsidRPr="001F3D8A" w:rsidRDefault="00EB53EC" w:rsidP="003F1507">
            <w:pPr>
              <w:jc w:val="right"/>
              <w:rPr>
                <w:rFonts w:ascii="Arial" w:hAnsi="Arial" w:cs="Arial"/>
                <w:sz w:val="22"/>
                <w:szCs w:val="22"/>
              </w:rPr>
            </w:pPr>
            <w:r>
              <w:rPr>
                <w:rFonts w:ascii="Arial" w:hAnsi="Arial"/>
                <w:sz w:val="22"/>
                <w:szCs w:val="22"/>
              </w:rPr>
              <w:t xml:space="preserve">5,172,245 </w:t>
            </w:r>
          </w:p>
        </w:tc>
      </w:tr>
      <w:tr w:rsidR="00EB53EC" w:rsidRPr="001F3D8A" w:rsidTr="003F1507">
        <w:trPr>
          <w:trHeight w:val="288"/>
        </w:trPr>
        <w:tc>
          <w:tcPr>
            <w:tcW w:w="4590" w:type="dxa"/>
            <w:shd w:val="clear" w:color="auto" w:fill="FFFFFF" w:themeFill="background1"/>
            <w:noWrap/>
            <w:vAlign w:val="center"/>
            <w:hideMark/>
          </w:tcPr>
          <w:p w:rsidR="00EB53EC" w:rsidRPr="001F3D8A" w:rsidRDefault="00EB53EC" w:rsidP="003F1507">
            <w:pPr>
              <w:rPr>
                <w:rFonts w:ascii="Arial" w:hAnsi="Arial" w:cs="Arial"/>
                <w:sz w:val="22"/>
                <w:szCs w:val="22"/>
              </w:rPr>
            </w:pPr>
            <w:r>
              <w:rPr>
                <w:rFonts w:ascii="Arial" w:hAnsi="Arial"/>
                <w:sz w:val="22"/>
                <w:szCs w:val="22"/>
              </w:rPr>
              <w:t>Personnel expenses</w:t>
            </w:r>
          </w:p>
        </w:tc>
        <w:tc>
          <w:tcPr>
            <w:tcW w:w="1995"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65,958,492 </w:t>
            </w:r>
          </w:p>
        </w:tc>
        <w:tc>
          <w:tcPr>
            <w:tcW w:w="2070" w:type="dxa"/>
            <w:shd w:val="clear" w:color="auto" w:fill="FFFFFF" w:themeFill="background1"/>
            <w:noWrap/>
            <w:vAlign w:val="center"/>
            <w:hideMark/>
          </w:tcPr>
          <w:p w:rsidR="00EB53EC" w:rsidRPr="001F3D8A" w:rsidRDefault="00EB53EC" w:rsidP="003F1507">
            <w:pPr>
              <w:jc w:val="right"/>
              <w:rPr>
                <w:rFonts w:ascii="Arial" w:hAnsi="Arial" w:cs="Arial"/>
                <w:color w:val="FF0000"/>
                <w:sz w:val="22"/>
                <w:szCs w:val="22"/>
              </w:rPr>
            </w:pPr>
            <w:r>
              <w:rPr>
                <w:rFonts w:ascii="Arial" w:hAnsi="Arial"/>
                <w:sz w:val="22"/>
                <w:szCs w:val="22"/>
              </w:rPr>
              <w:t xml:space="preserve">57,854,364 </w:t>
            </w:r>
          </w:p>
        </w:tc>
      </w:tr>
      <w:tr w:rsidR="00EB53EC" w:rsidRPr="001F3D8A" w:rsidTr="003F1507">
        <w:trPr>
          <w:trHeight w:val="552"/>
        </w:trPr>
        <w:tc>
          <w:tcPr>
            <w:tcW w:w="4590" w:type="dxa"/>
            <w:shd w:val="clear" w:color="auto" w:fill="FFFFFF" w:themeFill="background1"/>
            <w:vAlign w:val="center"/>
            <w:hideMark/>
          </w:tcPr>
          <w:p w:rsidR="00EB53EC" w:rsidRPr="001F3D8A" w:rsidRDefault="00EB53EC" w:rsidP="003F1507">
            <w:pPr>
              <w:rPr>
                <w:rFonts w:ascii="Arial" w:hAnsi="Arial" w:cs="Arial"/>
                <w:sz w:val="22"/>
                <w:szCs w:val="22"/>
              </w:rPr>
            </w:pPr>
            <w:r>
              <w:rPr>
                <w:rFonts w:ascii="Arial" w:hAnsi="Arial"/>
                <w:sz w:val="22"/>
                <w:szCs w:val="22"/>
              </w:rPr>
              <w:t xml:space="preserve">Value adjustments on current, non-current assets </w:t>
            </w:r>
          </w:p>
        </w:tc>
        <w:tc>
          <w:tcPr>
            <w:tcW w:w="1995"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22,242,246 </w:t>
            </w:r>
          </w:p>
        </w:tc>
        <w:tc>
          <w:tcPr>
            <w:tcW w:w="2070"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22,280,158 </w:t>
            </w:r>
          </w:p>
        </w:tc>
      </w:tr>
      <w:tr w:rsidR="00EB53EC" w:rsidRPr="001F3D8A" w:rsidTr="003F1507">
        <w:trPr>
          <w:trHeight w:val="288"/>
        </w:trPr>
        <w:tc>
          <w:tcPr>
            <w:tcW w:w="4590" w:type="dxa"/>
            <w:shd w:val="clear" w:color="auto" w:fill="FFFFFF" w:themeFill="background1"/>
            <w:noWrap/>
            <w:vAlign w:val="center"/>
            <w:hideMark/>
          </w:tcPr>
          <w:p w:rsidR="00EB53EC" w:rsidRPr="001F3D8A" w:rsidRDefault="00EB53EC" w:rsidP="003F1507">
            <w:pPr>
              <w:rPr>
                <w:rFonts w:ascii="Arial" w:hAnsi="Arial" w:cs="Arial"/>
                <w:sz w:val="22"/>
                <w:szCs w:val="22"/>
              </w:rPr>
            </w:pPr>
            <w:r>
              <w:rPr>
                <w:rFonts w:ascii="Arial" w:hAnsi="Arial"/>
                <w:sz w:val="22"/>
                <w:szCs w:val="22"/>
              </w:rPr>
              <w:t xml:space="preserve">Value adjustments on the current assets </w:t>
            </w:r>
          </w:p>
        </w:tc>
        <w:tc>
          <w:tcPr>
            <w:tcW w:w="1995"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(96,920)</w:t>
            </w:r>
          </w:p>
        </w:tc>
        <w:tc>
          <w:tcPr>
            <w:tcW w:w="2070"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(1,063,173) </w:t>
            </w:r>
          </w:p>
        </w:tc>
      </w:tr>
      <w:tr w:rsidR="00EB53EC" w:rsidRPr="001F3D8A" w:rsidTr="003F1507">
        <w:trPr>
          <w:trHeight w:val="288"/>
        </w:trPr>
        <w:tc>
          <w:tcPr>
            <w:tcW w:w="4590" w:type="dxa"/>
            <w:shd w:val="clear" w:color="auto" w:fill="FFFFFF" w:themeFill="background1"/>
            <w:noWrap/>
            <w:vAlign w:val="center"/>
            <w:hideMark/>
          </w:tcPr>
          <w:p w:rsidR="00EB53EC" w:rsidRPr="001F3D8A" w:rsidRDefault="00EB53EC" w:rsidP="003F1507">
            <w:pPr>
              <w:rPr>
                <w:rFonts w:ascii="Arial" w:hAnsi="Arial" w:cs="Arial"/>
                <w:sz w:val="22"/>
                <w:szCs w:val="22"/>
              </w:rPr>
            </w:pPr>
            <w:r>
              <w:rPr>
                <w:rFonts w:ascii="Arial" w:hAnsi="Arial"/>
                <w:sz w:val="22"/>
                <w:szCs w:val="22"/>
              </w:rPr>
              <w:t>Expenses related to external services</w:t>
            </w:r>
          </w:p>
        </w:tc>
        <w:tc>
          <w:tcPr>
            <w:tcW w:w="1995"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48,817,415 </w:t>
            </w:r>
          </w:p>
        </w:tc>
        <w:tc>
          <w:tcPr>
            <w:tcW w:w="2070"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49,074,190 </w:t>
            </w:r>
          </w:p>
        </w:tc>
      </w:tr>
      <w:tr w:rsidR="00EB53EC" w:rsidRPr="001F3D8A" w:rsidTr="003F1507">
        <w:trPr>
          <w:trHeight w:val="288"/>
        </w:trPr>
        <w:tc>
          <w:tcPr>
            <w:tcW w:w="4590" w:type="dxa"/>
            <w:shd w:val="clear" w:color="auto" w:fill="FFFFFF" w:themeFill="background1"/>
            <w:noWrap/>
            <w:vAlign w:val="center"/>
            <w:hideMark/>
          </w:tcPr>
          <w:p w:rsidR="00EB53EC" w:rsidRPr="001F3D8A" w:rsidRDefault="00EB53EC" w:rsidP="003F1507">
            <w:pPr>
              <w:rPr>
                <w:rFonts w:ascii="Arial" w:hAnsi="Arial" w:cs="Arial"/>
                <w:sz w:val="22"/>
                <w:szCs w:val="22"/>
              </w:rPr>
            </w:pPr>
            <w:r>
              <w:rPr>
                <w:rFonts w:ascii="Arial" w:hAnsi="Arial"/>
                <w:sz w:val="22"/>
                <w:szCs w:val="22"/>
              </w:rPr>
              <w:t xml:space="preserve">Other expenses </w:t>
            </w:r>
          </w:p>
        </w:tc>
        <w:tc>
          <w:tcPr>
            <w:tcW w:w="1995"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26,650,529 </w:t>
            </w:r>
          </w:p>
        </w:tc>
        <w:tc>
          <w:tcPr>
            <w:tcW w:w="2070"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27,819,699 </w:t>
            </w:r>
          </w:p>
        </w:tc>
      </w:tr>
      <w:tr w:rsidR="00EB53EC" w:rsidRPr="001F3D8A" w:rsidTr="003F1507">
        <w:trPr>
          <w:trHeight w:val="300"/>
        </w:trPr>
        <w:tc>
          <w:tcPr>
            <w:tcW w:w="4590" w:type="dxa"/>
            <w:shd w:val="clear" w:color="auto" w:fill="FFFFFF" w:themeFill="background1"/>
            <w:noWrap/>
            <w:vAlign w:val="center"/>
          </w:tcPr>
          <w:p w:rsidR="00EB53EC" w:rsidRPr="001F3D8A" w:rsidRDefault="00EB53EC" w:rsidP="003F1507">
            <w:pPr>
              <w:rPr>
                <w:rFonts w:ascii="Arial" w:hAnsi="Arial" w:cs="Arial"/>
                <w:sz w:val="22"/>
                <w:szCs w:val="22"/>
              </w:rPr>
            </w:pPr>
            <w:r>
              <w:rPr>
                <w:rFonts w:ascii="Arial" w:hAnsi="Arial"/>
                <w:sz w:val="22"/>
                <w:szCs w:val="22"/>
              </w:rPr>
              <w:t>Loss from disposal of assets</w:t>
            </w:r>
          </w:p>
        </w:tc>
        <w:tc>
          <w:tcPr>
            <w:tcW w:w="1995" w:type="dxa"/>
            <w:shd w:val="clear" w:color="auto" w:fill="FFFFFF" w:themeFill="background1"/>
            <w:noWrap/>
            <w:vAlign w:val="center"/>
          </w:tcPr>
          <w:p w:rsidR="00EB53EC" w:rsidRPr="001F3D8A" w:rsidRDefault="00EB53EC" w:rsidP="003F1507">
            <w:pPr>
              <w:jc w:val="right"/>
              <w:rPr>
                <w:rFonts w:ascii="Arial" w:hAnsi="Arial" w:cs="Arial"/>
                <w:sz w:val="22"/>
                <w:szCs w:val="22"/>
              </w:rPr>
            </w:pPr>
            <w:r>
              <w:rPr>
                <w:rFonts w:ascii="Arial" w:hAnsi="Arial"/>
                <w:sz w:val="22"/>
                <w:szCs w:val="22"/>
              </w:rPr>
              <w:t>50,665</w:t>
            </w:r>
          </w:p>
        </w:tc>
        <w:tc>
          <w:tcPr>
            <w:tcW w:w="2070" w:type="dxa"/>
            <w:shd w:val="clear" w:color="auto" w:fill="FFFFFF" w:themeFill="background1"/>
            <w:noWrap/>
            <w:vAlign w:val="center"/>
          </w:tcPr>
          <w:p w:rsidR="00EB53EC" w:rsidRPr="001F3D8A" w:rsidRDefault="00EB53EC" w:rsidP="003F1507">
            <w:pPr>
              <w:jc w:val="right"/>
              <w:rPr>
                <w:rFonts w:ascii="Arial" w:hAnsi="Arial" w:cs="Arial"/>
                <w:sz w:val="22"/>
                <w:szCs w:val="22"/>
              </w:rPr>
            </w:pPr>
            <w:r>
              <w:rPr>
                <w:rFonts w:ascii="Arial" w:hAnsi="Arial"/>
                <w:sz w:val="22"/>
                <w:szCs w:val="22"/>
              </w:rPr>
              <w:t>-</w:t>
            </w:r>
          </w:p>
        </w:tc>
      </w:tr>
      <w:tr w:rsidR="00EB53EC" w:rsidRPr="001F3D8A" w:rsidTr="003F1507">
        <w:trPr>
          <w:trHeight w:val="300"/>
        </w:trPr>
        <w:tc>
          <w:tcPr>
            <w:tcW w:w="4590" w:type="dxa"/>
            <w:shd w:val="clear" w:color="auto" w:fill="FFFFFF" w:themeFill="background1"/>
            <w:noWrap/>
            <w:vAlign w:val="center"/>
            <w:hideMark/>
          </w:tcPr>
          <w:p w:rsidR="00EB53EC" w:rsidRPr="001F3D8A" w:rsidRDefault="00EB53EC" w:rsidP="003F1507">
            <w:pPr>
              <w:rPr>
                <w:rFonts w:ascii="Arial" w:hAnsi="Arial" w:cs="Arial"/>
                <w:sz w:val="22"/>
                <w:szCs w:val="22"/>
              </w:rPr>
            </w:pPr>
            <w:r>
              <w:rPr>
                <w:rFonts w:ascii="Arial" w:hAnsi="Arial"/>
                <w:sz w:val="22"/>
              </w:rPr>
              <w:t>Provision adjustments</w:t>
            </w:r>
          </w:p>
        </w:tc>
        <w:tc>
          <w:tcPr>
            <w:tcW w:w="1995"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3,881,331 </w:t>
            </w:r>
          </w:p>
        </w:tc>
        <w:tc>
          <w:tcPr>
            <w:tcW w:w="2070" w:type="dxa"/>
            <w:shd w:val="clear" w:color="auto" w:fill="FFFFFF" w:themeFill="background1"/>
            <w:noWrap/>
            <w:vAlign w:val="center"/>
            <w:hideMark/>
          </w:tcPr>
          <w:p w:rsidR="00EB53EC" w:rsidRPr="001F3D8A" w:rsidRDefault="00EB53EC" w:rsidP="003F1507">
            <w:pPr>
              <w:jc w:val="right"/>
              <w:rPr>
                <w:rFonts w:ascii="Arial" w:hAnsi="Arial"/>
                <w:sz w:val="22"/>
              </w:rPr>
            </w:pPr>
            <w:r>
              <w:rPr>
                <w:rFonts w:ascii="Arial" w:hAnsi="Arial"/>
                <w:sz w:val="22"/>
              </w:rPr>
              <w:t>(2,192,051)</w:t>
            </w:r>
          </w:p>
        </w:tc>
      </w:tr>
      <w:tr w:rsidR="00EB53EC" w:rsidRPr="001F3D8A" w:rsidTr="003F1507">
        <w:trPr>
          <w:trHeight w:val="166"/>
        </w:trPr>
        <w:tc>
          <w:tcPr>
            <w:tcW w:w="4590" w:type="dxa"/>
            <w:shd w:val="clear" w:color="auto" w:fill="FFFFFF" w:themeFill="background1"/>
            <w:noWrap/>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Total operating expenses</w:t>
            </w:r>
          </w:p>
        </w:tc>
        <w:tc>
          <w:tcPr>
            <w:tcW w:w="1995" w:type="dxa"/>
            <w:tcBorders>
              <w:top w:val="single" w:sz="4" w:space="0" w:color="auto"/>
              <w:bottom w:val="single" w:sz="4" w:space="0" w:color="auto"/>
            </w:tcBorders>
            <w:shd w:val="clear" w:color="auto" w:fill="FFFFFF" w:themeFill="background1"/>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176,721,807</w:t>
            </w:r>
          </w:p>
        </w:tc>
        <w:tc>
          <w:tcPr>
            <w:tcW w:w="2070" w:type="dxa"/>
            <w:tcBorders>
              <w:top w:val="single" w:sz="4" w:space="0" w:color="auto"/>
              <w:bottom w:val="single" w:sz="4" w:space="0" w:color="auto"/>
            </w:tcBorders>
            <w:shd w:val="clear" w:color="auto" w:fill="FFFFFF" w:themeFill="background1"/>
            <w:noWrap/>
            <w:vAlign w:val="center"/>
            <w:hideMark/>
          </w:tcPr>
          <w:p w:rsidR="00EB53EC" w:rsidRPr="001F3D8A" w:rsidRDefault="00EB53EC" w:rsidP="003F1507">
            <w:pPr>
              <w:jc w:val="right"/>
              <w:rPr>
                <w:rFonts w:ascii="Arial" w:hAnsi="Arial"/>
                <w:b/>
                <w:sz w:val="22"/>
              </w:rPr>
            </w:pPr>
            <w:r>
              <w:rPr>
                <w:rFonts w:ascii="Arial" w:hAnsi="Arial"/>
                <w:b/>
                <w:sz w:val="22"/>
              </w:rPr>
              <w:t>162,175,166</w:t>
            </w:r>
          </w:p>
        </w:tc>
      </w:tr>
      <w:tr w:rsidR="00EB53EC" w:rsidRPr="001F3D8A" w:rsidTr="003F1507">
        <w:trPr>
          <w:trHeight w:val="300"/>
        </w:trPr>
        <w:tc>
          <w:tcPr>
            <w:tcW w:w="4590" w:type="dxa"/>
            <w:shd w:val="clear" w:color="auto" w:fill="FFFFFF" w:themeFill="background1"/>
            <w:noWrap/>
            <w:vAlign w:val="bottom"/>
            <w:hideMark/>
          </w:tcPr>
          <w:p w:rsidR="00EB53EC" w:rsidRPr="001F3D8A" w:rsidRDefault="00EB53EC" w:rsidP="003F1507">
            <w:pPr>
              <w:jc w:val="right"/>
              <w:rPr>
                <w:rFonts w:ascii="Arial" w:hAnsi="Arial" w:cs="Arial"/>
                <w:b/>
                <w:bCs/>
                <w:sz w:val="22"/>
                <w:szCs w:val="22"/>
              </w:rPr>
            </w:pPr>
          </w:p>
        </w:tc>
        <w:tc>
          <w:tcPr>
            <w:tcW w:w="1995" w:type="dxa"/>
            <w:tcBorders>
              <w:top w:val="single" w:sz="4" w:space="0" w:color="auto"/>
              <w:bottom w:val="single" w:sz="4" w:space="0" w:color="auto"/>
            </w:tcBorders>
            <w:shd w:val="clear" w:color="auto" w:fill="FFFFFF" w:themeFill="background1"/>
            <w:noWrap/>
            <w:vAlign w:val="bottom"/>
            <w:hideMark/>
          </w:tcPr>
          <w:p w:rsidR="00EB53EC" w:rsidRPr="001F3D8A" w:rsidRDefault="00EB53EC" w:rsidP="003F1507">
            <w:r>
              <w:t> </w:t>
            </w:r>
          </w:p>
        </w:tc>
        <w:tc>
          <w:tcPr>
            <w:tcW w:w="2070" w:type="dxa"/>
            <w:tcBorders>
              <w:top w:val="single" w:sz="4" w:space="0" w:color="auto"/>
              <w:bottom w:val="single" w:sz="4" w:space="0" w:color="auto"/>
            </w:tcBorders>
            <w:shd w:val="clear" w:color="auto" w:fill="FFFFFF" w:themeFill="background1"/>
            <w:noWrap/>
            <w:vAlign w:val="bottom"/>
            <w:hideMark/>
          </w:tcPr>
          <w:p w:rsidR="00EB53EC" w:rsidRPr="001F3D8A" w:rsidRDefault="00EB53EC" w:rsidP="003F1507"/>
        </w:tc>
      </w:tr>
      <w:tr w:rsidR="00EB53EC" w:rsidRPr="001F3D8A" w:rsidTr="003F1507">
        <w:trPr>
          <w:trHeight w:val="229"/>
        </w:trPr>
        <w:tc>
          <w:tcPr>
            <w:tcW w:w="4590" w:type="dxa"/>
            <w:shd w:val="clear" w:color="auto" w:fill="FFFFFF" w:themeFill="background1"/>
            <w:noWrap/>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Operating profit</w:t>
            </w:r>
          </w:p>
        </w:tc>
        <w:tc>
          <w:tcPr>
            <w:tcW w:w="1995" w:type="dxa"/>
            <w:tcBorders>
              <w:top w:val="single" w:sz="4" w:space="0" w:color="auto"/>
              <w:bottom w:val="single" w:sz="4" w:space="0" w:color="auto"/>
            </w:tcBorders>
            <w:shd w:val="clear" w:color="auto" w:fill="FFFFFF" w:themeFill="background1"/>
            <w:noWrap/>
            <w:vAlign w:val="bottom"/>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23,255,077 </w:t>
            </w:r>
          </w:p>
        </w:tc>
        <w:tc>
          <w:tcPr>
            <w:tcW w:w="2070" w:type="dxa"/>
            <w:tcBorders>
              <w:top w:val="single" w:sz="4" w:space="0" w:color="auto"/>
              <w:bottom w:val="single" w:sz="4" w:space="0" w:color="auto"/>
            </w:tcBorders>
            <w:shd w:val="clear" w:color="auto" w:fill="FFFFFF" w:themeFill="background1"/>
            <w:noWrap/>
            <w:vAlign w:val="bottom"/>
            <w:hideMark/>
          </w:tcPr>
          <w:p w:rsidR="00EB53EC" w:rsidRPr="001F3D8A" w:rsidRDefault="00EB53EC" w:rsidP="003F1507">
            <w:pPr>
              <w:jc w:val="right"/>
              <w:rPr>
                <w:rFonts w:ascii="Arial" w:hAnsi="Arial"/>
                <w:b/>
                <w:sz w:val="22"/>
              </w:rPr>
            </w:pPr>
            <w:r>
              <w:rPr>
                <w:rFonts w:ascii="Arial" w:hAnsi="Arial"/>
                <w:b/>
                <w:sz w:val="22"/>
              </w:rPr>
              <w:t>40,428,358</w:t>
            </w:r>
          </w:p>
        </w:tc>
      </w:tr>
      <w:tr w:rsidR="00EB53EC" w:rsidRPr="001F3D8A" w:rsidTr="003F1507">
        <w:trPr>
          <w:trHeight w:val="103"/>
        </w:trPr>
        <w:tc>
          <w:tcPr>
            <w:tcW w:w="4590" w:type="dxa"/>
            <w:shd w:val="clear" w:color="auto" w:fill="FFFFFF" w:themeFill="background1"/>
            <w:noWrap/>
            <w:vAlign w:val="bottom"/>
            <w:hideMark/>
          </w:tcPr>
          <w:p w:rsidR="00EB53EC" w:rsidRPr="001F3D8A" w:rsidRDefault="00EB53EC" w:rsidP="003F1507">
            <w:pPr>
              <w:jc w:val="right"/>
              <w:rPr>
                <w:rFonts w:ascii="Arial" w:hAnsi="Arial" w:cs="Arial"/>
                <w:b/>
                <w:bCs/>
                <w:sz w:val="22"/>
                <w:szCs w:val="22"/>
              </w:rPr>
            </w:pPr>
          </w:p>
        </w:tc>
        <w:tc>
          <w:tcPr>
            <w:tcW w:w="1995" w:type="dxa"/>
            <w:tcBorders>
              <w:top w:val="single" w:sz="4" w:space="0" w:color="auto"/>
            </w:tcBorders>
            <w:shd w:val="clear" w:color="auto" w:fill="FFFFFF" w:themeFill="background1"/>
            <w:noWrap/>
            <w:vAlign w:val="bottom"/>
            <w:hideMark/>
          </w:tcPr>
          <w:p w:rsidR="00EB53EC" w:rsidRPr="001F3D8A" w:rsidRDefault="00EB53EC" w:rsidP="003F1507">
            <w:r>
              <w:t> </w:t>
            </w:r>
          </w:p>
        </w:tc>
        <w:tc>
          <w:tcPr>
            <w:tcW w:w="2070" w:type="dxa"/>
            <w:tcBorders>
              <w:top w:val="single" w:sz="4" w:space="0" w:color="auto"/>
            </w:tcBorders>
            <w:shd w:val="clear" w:color="auto" w:fill="FFFFFF" w:themeFill="background1"/>
            <w:noWrap/>
            <w:vAlign w:val="bottom"/>
            <w:hideMark/>
          </w:tcPr>
          <w:p w:rsidR="00EB53EC" w:rsidRPr="001F3D8A" w:rsidRDefault="00EB53EC" w:rsidP="003F1507"/>
        </w:tc>
      </w:tr>
      <w:tr w:rsidR="00EB53EC" w:rsidRPr="001F3D8A" w:rsidTr="003F1507">
        <w:trPr>
          <w:trHeight w:val="288"/>
        </w:trPr>
        <w:tc>
          <w:tcPr>
            <w:tcW w:w="4590" w:type="dxa"/>
            <w:shd w:val="clear" w:color="auto" w:fill="FFFFFF" w:themeFill="background1"/>
            <w:noWrap/>
            <w:vAlign w:val="center"/>
            <w:hideMark/>
          </w:tcPr>
          <w:p w:rsidR="00EB53EC" w:rsidRPr="001F3D8A" w:rsidRDefault="00EB53EC" w:rsidP="003F1507">
            <w:pPr>
              <w:rPr>
                <w:rFonts w:ascii="Arial" w:hAnsi="Arial" w:cs="Arial"/>
                <w:sz w:val="22"/>
                <w:szCs w:val="22"/>
              </w:rPr>
            </w:pPr>
            <w:r>
              <w:rPr>
                <w:rFonts w:ascii="Arial" w:hAnsi="Arial"/>
                <w:sz w:val="22"/>
                <w:szCs w:val="22"/>
              </w:rPr>
              <w:t xml:space="preserve">Financial revenues                          </w:t>
            </w:r>
          </w:p>
        </w:tc>
        <w:tc>
          <w:tcPr>
            <w:tcW w:w="1995"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2,373,563 </w:t>
            </w:r>
          </w:p>
        </w:tc>
        <w:tc>
          <w:tcPr>
            <w:tcW w:w="2070" w:type="dxa"/>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 xml:space="preserve">1,920,176 </w:t>
            </w:r>
          </w:p>
        </w:tc>
      </w:tr>
      <w:tr w:rsidR="00EB53EC" w:rsidRPr="001F3D8A" w:rsidTr="003F1507">
        <w:trPr>
          <w:trHeight w:val="140"/>
        </w:trPr>
        <w:tc>
          <w:tcPr>
            <w:tcW w:w="4590" w:type="dxa"/>
            <w:shd w:val="clear" w:color="auto" w:fill="FFFFFF" w:themeFill="background1"/>
            <w:noWrap/>
            <w:vAlign w:val="center"/>
            <w:hideMark/>
          </w:tcPr>
          <w:p w:rsidR="00EB53EC" w:rsidRPr="001F3D8A" w:rsidRDefault="00EB53EC" w:rsidP="003F1507">
            <w:pPr>
              <w:rPr>
                <w:rFonts w:ascii="Arial" w:hAnsi="Arial" w:cs="Arial"/>
                <w:sz w:val="22"/>
                <w:szCs w:val="22"/>
              </w:rPr>
            </w:pPr>
            <w:r>
              <w:rPr>
                <w:rFonts w:ascii="Arial" w:hAnsi="Arial"/>
                <w:sz w:val="22"/>
                <w:szCs w:val="22"/>
              </w:rPr>
              <w:t>Financial expenses</w:t>
            </w:r>
          </w:p>
        </w:tc>
        <w:tc>
          <w:tcPr>
            <w:tcW w:w="1995" w:type="dxa"/>
            <w:tcBorders>
              <w:bottom w:val="single" w:sz="4" w:space="0" w:color="auto"/>
            </w:tcBorders>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4,333</w:t>
            </w:r>
          </w:p>
        </w:tc>
        <w:tc>
          <w:tcPr>
            <w:tcW w:w="2070" w:type="dxa"/>
            <w:tcBorders>
              <w:bottom w:val="single" w:sz="4" w:space="0" w:color="auto"/>
            </w:tcBorders>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19,658</w:t>
            </w:r>
          </w:p>
        </w:tc>
      </w:tr>
      <w:tr w:rsidR="00EB53EC" w:rsidRPr="001F3D8A" w:rsidTr="003F1507">
        <w:trPr>
          <w:trHeight w:val="148"/>
        </w:trPr>
        <w:tc>
          <w:tcPr>
            <w:tcW w:w="4590" w:type="dxa"/>
            <w:shd w:val="clear" w:color="auto" w:fill="FFFFFF" w:themeFill="background1"/>
            <w:noWrap/>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 xml:space="preserve">Financial profit                            </w:t>
            </w:r>
            <w:r>
              <w:rPr>
                <w:rFonts w:ascii="Arial" w:hAnsi="Arial"/>
                <w:sz w:val="22"/>
                <w:szCs w:val="22"/>
              </w:rPr>
              <w:t xml:space="preserve"> </w:t>
            </w:r>
          </w:p>
        </w:tc>
        <w:tc>
          <w:tcPr>
            <w:tcW w:w="1995" w:type="dxa"/>
            <w:tcBorders>
              <w:top w:val="single" w:sz="4" w:space="0" w:color="auto"/>
              <w:bottom w:val="single" w:sz="4" w:space="0" w:color="auto"/>
            </w:tcBorders>
            <w:shd w:val="clear" w:color="auto" w:fill="FFFFFF" w:themeFill="background1"/>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2,369,230 </w:t>
            </w:r>
          </w:p>
        </w:tc>
        <w:tc>
          <w:tcPr>
            <w:tcW w:w="2070" w:type="dxa"/>
            <w:tcBorders>
              <w:top w:val="single" w:sz="4" w:space="0" w:color="auto"/>
              <w:bottom w:val="single" w:sz="4" w:space="0" w:color="auto"/>
            </w:tcBorders>
            <w:shd w:val="clear" w:color="auto" w:fill="FFFFFF" w:themeFill="background1"/>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1,900,518</w:t>
            </w:r>
          </w:p>
        </w:tc>
      </w:tr>
      <w:tr w:rsidR="00EB53EC" w:rsidRPr="001F3D8A" w:rsidTr="003F1507">
        <w:trPr>
          <w:trHeight w:val="211"/>
        </w:trPr>
        <w:tc>
          <w:tcPr>
            <w:tcW w:w="4590" w:type="dxa"/>
            <w:shd w:val="clear" w:color="auto" w:fill="FFFFFF" w:themeFill="background1"/>
            <w:noWrap/>
            <w:vAlign w:val="bottom"/>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  </w:t>
            </w:r>
          </w:p>
        </w:tc>
        <w:tc>
          <w:tcPr>
            <w:tcW w:w="1995" w:type="dxa"/>
            <w:tcBorders>
              <w:top w:val="single" w:sz="4" w:space="0" w:color="auto"/>
              <w:bottom w:val="single" w:sz="4" w:space="0" w:color="auto"/>
            </w:tcBorders>
            <w:shd w:val="clear" w:color="auto" w:fill="FFFFFF" w:themeFill="background1"/>
            <w:noWrap/>
            <w:vAlign w:val="bottom"/>
            <w:hideMark/>
          </w:tcPr>
          <w:p w:rsidR="00EB53EC" w:rsidRPr="001F3D8A" w:rsidRDefault="00EB53EC" w:rsidP="003F1507">
            <w:r>
              <w:t> </w:t>
            </w:r>
          </w:p>
        </w:tc>
        <w:tc>
          <w:tcPr>
            <w:tcW w:w="2070" w:type="dxa"/>
            <w:tcBorders>
              <w:top w:val="single" w:sz="4" w:space="0" w:color="auto"/>
              <w:bottom w:val="single" w:sz="4" w:space="0" w:color="auto"/>
            </w:tcBorders>
            <w:shd w:val="clear" w:color="auto" w:fill="FFFFFF" w:themeFill="background1"/>
            <w:noWrap/>
            <w:vAlign w:val="bottom"/>
            <w:hideMark/>
          </w:tcPr>
          <w:p w:rsidR="00EB53EC" w:rsidRPr="001F3D8A" w:rsidRDefault="00EB53EC" w:rsidP="003F1507"/>
        </w:tc>
      </w:tr>
      <w:tr w:rsidR="00EB53EC" w:rsidRPr="001F3D8A" w:rsidTr="003F1507">
        <w:trPr>
          <w:trHeight w:val="166"/>
        </w:trPr>
        <w:tc>
          <w:tcPr>
            <w:tcW w:w="4590" w:type="dxa"/>
            <w:shd w:val="clear" w:color="auto" w:fill="FFFFFF" w:themeFill="background1"/>
            <w:noWrap/>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 xml:space="preserve">Profit before income tax </w:t>
            </w:r>
          </w:p>
        </w:tc>
        <w:tc>
          <w:tcPr>
            <w:tcW w:w="1995" w:type="dxa"/>
            <w:tcBorders>
              <w:top w:val="single" w:sz="4" w:space="0" w:color="auto"/>
              <w:bottom w:val="single" w:sz="4" w:space="0" w:color="auto"/>
            </w:tcBorders>
            <w:shd w:val="clear" w:color="auto" w:fill="FFFFFF" w:themeFill="background1"/>
            <w:noWrap/>
            <w:vAlign w:val="bottom"/>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25,624,307 </w:t>
            </w:r>
          </w:p>
        </w:tc>
        <w:tc>
          <w:tcPr>
            <w:tcW w:w="2070" w:type="dxa"/>
            <w:tcBorders>
              <w:top w:val="single" w:sz="4" w:space="0" w:color="auto"/>
              <w:bottom w:val="single" w:sz="4" w:space="0" w:color="auto"/>
            </w:tcBorders>
            <w:shd w:val="clear" w:color="auto" w:fill="FFFFFF" w:themeFill="background1"/>
            <w:noWrap/>
            <w:vAlign w:val="bottom"/>
            <w:hideMark/>
          </w:tcPr>
          <w:p w:rsidR="00EB53EC" w:rsidRPr="001F3D8A" w:rsidRDefault="00EB53EC" w:rsidP="003F1507">
            <w:pPr>
              <w:jc w:val="right"/>
              <w:rPr>
                <w:rFonts w:ascii="Arial" w:hAnsi="Arial" w:cs="Arial"/>
                <w:b/>
                <w:bCs/>
                <w:sz w:val="22"/>
                <w:szCs w:val="22"/>
              </w:rPr>
            </w:pPr>
            <w:r>
              <w:rPr>
                <w:rFonts w:ascii="Arial" w:hAnsi="Arial"/>
                <w:b/>
                <w:sz w:val="22"/>
              </w:rPr>
              <w:t>42,328,</w:t>
            </w:r>
            <w:r>
              <w:rPr>
                <w:rFonts w:ascii="Arial" w:hAnsi="Arial"/>
                <w:b/>
                <w:bCs/>
                <w:sz w:val="22"/>
                <w:szCs w:val="22"/>
              </w:rPr>
              <w:t>876</w:t>
            </w:r>
          </w:p>
        </w:tc>
      </w:tr>
      <w:tr w:rsidR="00EB53EC" w:rsidRPr="001F3D8A" w:rsidTr="003F1507">
        <w:trPr>
          <w:trHeight w:val="288"/>
        </w:trPr>
        <w:tc>
          <w:tcPr>
            <w:tcW w:w="4590" w:type="dxa"/>
            <w:shd w:val="clear" w:color="auto" w:fill="FFFFFF" w:themeFill="background1"/>
            <w:noWrap/>
            <w:vAlign w:val="center"/>
            <w:hideMark/>
          </w:tcPr>
          <w:p w:rsidR="00EB53EC" w:rsidRPr="001F3D8A" w:rsidRDefault="00EB53EC" w:rsidP="003F1507">
            <w:pPr>
              <w:rPr>
                <w:rFonts w:ascii="Arial" w:hAnsi="Arial" w:cs="Arial"/>
                <w:sz w:val="22"/>
                <w:szCs w:val="22"/>
              </w:rPr>
            </w:pPr>
            <w:r>
              <w:rPr>
                <w:rFonts w:ascii="Arial" w:hAnsi="Arial"/>
                <w:sz w:val="22"/>
                <w:szCs w:val="22"/>
              </w:rPr>
              <w:t>Expenses with the current income tax</w:t>
            </w:r>
          </w:p>
        </w:tc>
        <w:tc>
          <w:tcPr>
            <w:tcW w:w="1995" w:type="dxa"/>
            <w:shd w:val="clear" w:color="auto" w:fill="FFFFFF" w:themeFill="background1"/>
            <w:noWrap/>
            <w:vAlign w:val="bottom"/>
            <w:hideMark/>
          </w:tcPr>
          <w:p w:rsidR="00EB53EC" w:rsidRPr="001F3D8A" w:rsidRDefault="00EB53EC" w:rsidP="003F1507">
            <w:pPr>
              <w:jc w:val="right"/>
              <w:rPr>
                <w:rFonts w:ascii="Arial" w:hAnsi="Arial" w:cs="Arial"/>
                <w:sz w:val="22"/>
                <w:szCs w:val="22"/>
              </w:rPr>
            </w:pPr>
            <w:r>
              <w:rPr>
                <w:rFonts w:ascii="Arial" w:hAnsi="Arial"/>
                <w:sz w:val="22"/>
                <w:szCs w:val="22"/>
              </w:rPr>
              <w:t xml:space="preserve">5,146,786 </w:t>
            </w:r>
          </w:p>
        </w:tc>
        <w:tc>
          <w:tcPr>
            <w:tcW w:w="2070" w:type="dxa"/>
            <w:shd w:val="clear" w:color="auto" w:fill="FFFFFF" w:themeFill="background1"/>
            <w:noWrap/>
            <w:vAlign w:val="bottom"/>
            <w:hideMark/>
          </w:tcPr>
          <w:p w:rsidR="00EB53EC" w:rsidRPr="001F3D8A" w:rsidRDefault="00EB53EC" w:rsidP="003F1507">
            <w:pPr>
              <w:jc w:val="right"/>
              <w:rPr>
                <w:rFonts w:ascii="Arial" w:hAnsi="Arial" w:cs="Arial"/>
                <w:sz w:val="22"/>
                <w:szCs w:val="22"/>
              </w:rPr>
            </w:pPr>
            <w:r>
              <w:rPr>
                <w:rFonts w:ascii="Arial" w:hAnsi="Arial"/>
                <w:sz w:val="22"/>
                <w:szCs w:val="22"/>
              </w:rPr>
              <w:t xml:space="preserve">6,116,363 </w:t>
            </w:r>
          </w:p>
        </w:tc>
      </w:tr>
      <w:tr w:rsidR="00EB53EC" w:rsidRPr="001F3D8A" w:rsidTr="003F1507">
        <w:trPr>
          <w:trHeight w:val="300"/>
        </w:trPr>
        <w:tc>
          <w:tcPr>
            <w:tcW w:w="4590" w:type="dxa"/>
            <w:shd w:val="clear" w:color="auto" w:fill="FFFFFF" w:themeFill="background1"/>
            <w:noWrap/>
            <w:vAlign w:val="center"/>
            <w:hideMark/>
          </w:tcPr>
          <w:p w:rsidR="00EB53EC" w:rsidRPr="001F3D8A" w:rsidRDefault="00EB53EC" w:rsidP="003F1507">
            <w:pPr>
              <w:rPr>
                <w:rFonts w:ascii="Arial" w:hAnsi="Arial" w:cs="Arial"/>
                <w:sz w:val="22"/>
                <w:szCs w:val="22"/>
              </w:rPr>
            </w:pPr>
            <w:r>
              <w:rPr>
                <w:rFonts w:ascii="Arial" w:hAnsi="Arial"/>
                <w:sz w:val="22"/>
                <w:szCs w:val="22"/>
              </w:rPr>
              <w:t>Expenses with (revenues coming from) deferred income tax</w:t>
            </w:r>
          </w:p>
        </w:tc>
        <w:tc>
          <w:tcPr>
            <w:tcW w:w="1995" w:type="dxa"/>
            <w:tcBorders>
              <w:bottom w:val="single" w:sz="4" w:space="0" w:color="auto"/>
            </w:tcBorders>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(1,148,091)</w:t>
            </w:r>
          </w:p>
        </w:tc>
        <w:tc>
          <w:tcPr>
            <w:tcW w:w="2070" w:type="dxa"/>
            <w:tcBorders>
              <w:bottom w:val="single" w:sz="4" w:space="0" w:color="auto"/>
            </w:tcBorders>
            <w:shd w:val="clear" w:color="auto" w:fill="FFFFFF" w:themeFill="background1"/>
            <w:noWrap/>
            <w:vAlign w:val="center"/>
            <w:hideMark/>
          </w:tcPr>
          <w:p w:rsidR="00EB53EC" w:rsidRPr="001F3D8A" w:rsidRDefault="00EB53EC" w:rsidP="003F1507">
            <w:pPr>
              <w:jc w:val="right"/>
              <w:rPr>
                <w:rFonts w:ascii="Arial" w:hAnsi="Arial" w:cs="Arial"/>
                <w:sz w:val="22"/>
                <w:szCs w:val="22"/>
              </w:rPr>
            </w:pPr>
            <w:r>
              <w:rPr>
                <w:rFonts w:ascii="Arial" w:hAnsi="Arial"/>
                <w:sz w:val="22"/>
                <w:szCs w:val="22"/>
              </w:rPr>
              <w:t>445,033</w:t>
            </w:r>
          </w:p>
        </w:tc>
      </w:tr>
      <w:tr w:rsidR="00EB53EC" w:rsidRPr="001F3D8A" w:rsidTr="003F1507">
        <w:trPr>
          <w:trHeight w:val="184"/>
        </w:trPr>
        <w:tc>
          <w:tcPr>
            <w:tcW w:w="4590" w:type="dxa"/>
            <w:shd w:val="clear" w:color="auto" w:fill="FFFFFF" w:themeFill="background1"/>
            <w:noWrap/>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 xml:space="preserve">Profit of the period                      </w:t>
            </w:r>
          </w:p>
        </w:tc>
        <w:tc>
          <w:tcPr>
            <w:tcW w:w="1995" w:type="dxa"/>
            <w:tcBorders>
              <w:top w:val="single" w:sz="4" w:space="0" w:color="auto"/>
              <w:bottom w:val="double" w:sz="4" w:space="0" w:color="auto"/>
            </w:tcBorders>
            <w:shd w:val="clear" w:color="auto" w:fill="FFFFFF" w:themeFill="background1"/>
            <w:noWrap/>
            <w:vAlign w:val="bottom"/>
            <w:hideMark/>
          </w:tcPr>
          <w:p w:rsidR="00EB53EC" w:rsidRPr="001F3D8A" w:rsidRDefault="00EB53EC" w:rsidP="003F1507">
            <w:pPr>
              <w:jc w:val="right"/>
              <w:rPr>
                <w:rFonts w:ascii="Arial" w:hAnsi="Arial" w:cs="Arial"/>
                <w:b/>
                <w:bCs/>
                <w:sz w:val="22"/>
                <w:szCs w:val="22"/>
              </w:rPr>
            </w:pPr>
            <w:r>
              <w:rPr>
                <w:rFonts w:ascii="Arial" w:hAnsi="Arial"/>
                <w:b/>
                <w:bCs/>
                <w:sz w:val="22"/>
                <w:szCs w:val="22"/>
              </w:rPr>
              <w:t xml:space="preserve">21,625,612 </w:t>
            </w:r>
          </w:p>
        </w:tc>
        <w:tc>
          <w:tcPr>
            <w:tcW w:w="2070" w:type="dxa"/>
            <w:tcBorders>
              <w:top w:val="single" w:sz="4" w:space="0" w:color="auto"/>
              <w:bottom w:val="double" w:sz="4" w:space="0" w:color="auto"/>
            </w:tcBorders>
            <w:shd w:val="clear" w:color="auto" w:fill="FFFFFF" w:themeFill="background1"/>
            <w:noWrap/>
            <w:vAlign w:val="bottom"/>
          </w:tcPr>
          <w:p w:rsidR="00EB53EC" w:rsidRPr="001F3D8A" w:rsidRDefault="00EB53EC" w:rsidP="003F1507">
            <w:pPr>
              <w:jc w:val="right"/>
              <w:rPr>
                <w:rFonts w:ascii="Arial" w:hAnsi="Arial"/>
                <w:b/>
                <w:sz w:val="22"/>
              </w:rPr>
            </w:pPr>
            <w:r>
              <w:rPr>
                <w:rFonts w:ascii="Arial" w:hAnsi="Arial"/>
                <w:b/>
                <w:sz w:val="22"/>
              </w:rPr>
              <w:t>35,767,480</w:t>
            </w:r>
          </w:p>
        </w:tc>
      </w:tr>
      <w:tr w:rsidR="00EB53EC" w:rsidRPr="001F3D8A" w:rsidTr="003F1507">
        <w:trPr>
          <w:trHeight w:val="184"/>
        </w:trPr>
        <w:tc>
          <w:tcPr>
            <w:tcW w:w="4590" w:type="dxa"/>
            <w:shd w:val="clear" w:color="auto" w:fill="FFFFFF" w:themeFill="background1"/>
            <w:noWrap/>
            <w:vAlign w:val="center"/>
          </w:tcPr>
          <w:p w:rsidR="00EB53EC" w:rsidRPr="001F3D8A" w:rsidRDefault="00EB53EC" w:rsidP="003F1507">
            <w:pPr>
              <w:rPr>
                <w:rFonts w:ascii="Arial" w:hAnsi="Arial" w:cs="Arial"/>
                <w:b/>
                <w:bCs/>
                <w:sz w:val="22"/>
                <w:szCs w:val="22"/>
              </w:rPr>
            </w:pPr>
            <w:r>
              <w:rPr>
                <w:rFonts w:ascii="Arial" w:hAnsi="Arial"/>
                <w:b/>
                <w:bCs/>
                <w:sz w:val="22"/>
                <w:szCs w:val="22"/>
              </w:rPr>
              <w:t>Other global result elements</w:t>
            </w:r>
          </w:p>
        </w:tc>
        <w:tc>
          <w:tcPr>
            <w:tcW w:w="1995" w:type="dxa"/>
            <w:tcBorders>
              <w:top w:val="single" w:sz="4" w:space="0" w:color="auto"/>
              <w:bottom w:val="double" w:sz="4" w:space="0" w:color="auto"/>
            </w:tcBorders>
            <w:shd w:val="clear" w:color="auto" w:fill="FFFFFF" w:themeFill="background1"/>
            <w:noWrap/>
            <w:vAlign w:val="center"/>
          </w:tcPr>
          <w:p w:rsidR="00EB53EC" w:rsidRPr="001F3D8A" w:rsidRDefault="00EB53EC" w:rsidP="003F1507">
            <w:pPr>
              <w:jc w:val="right"/>
              <w:rPr>
                <w:rFonts w:ascii="Arial" w:hAnsi="Arial" w:cs="Arial"/>
                <w:b/>
                <w:bCs/>
                <w:sz w:val="22"/>
                <w:szCs w:val="22"/>
              </w:rPr>
            </w:pPr>
            <w:r>
              <w:rPr>
                <w:rFonts w:ascii="Arial" w:hAnsi="Arial"/>
                <w:b/>
                <w:bCs/>
                <w:sz w:val="22"/>
                <w:szCs w:val="22"/>
              </w:rPr>
              <w:t>-</w:t>
            </w:r>
          </w:p>
        </w:tc>
        <w:tc>
          <w:tcPr>
            <w:tcW w:w="2070" w:type="dxa"/>
            <w:tcBorders>
              <w:top w:val="single" w:sz="4" w:space="0" w:color="auto"/>
              <w:bottom w:val="double" w:sz="4" w:space="0" w:color="auto"/>
            </w:tcBorders>
            <w:shd w:val="clear" w:color="auto" w:fill="FFFFFF" w:themeFill="background1"/>
            <w:noWrap/>
            <w:vAlign w:val="center"/>
          </w:tcPr>
          <w:p w:rsidR="00EB53EC" w:rsidRPr="001F3D8A" w:rsidRDefault="00EB53EC" w:rsidP="003F1507">
            <w:pPr>
              <w:jc w:val="right"/>
              <w:rPr>
                <w:rFonts w:ascii="Arial" w:hAnsi="Arial"/>
                <w:b/>
                <w:sz w:val="22"/>
              </w:rPr>
            </w:pPr>
            <w:r>
              <w:rPr>
                <w:rFonts w:ascii="Arial" w:hAnsi="Arial"/>
                <w:b/>
                <w:sz w:val="22"/>
              </w:rPr>
              <w:t>(4,928,491)</w:t>
            </w:r>
          </w:p>
        </w:tc>
      </w:tr>
      <w:tr w:rsidR="00EB53EC" w:rsidRPr="001F3D8A" w:rsidTr="003F1507">
        <w:trPr>
          <w:trHeight w:val="288"/>
        </w:trPr>
        <w:tc>
          <w:tcPr>
            <w:tcW w:w="4590" w:type="dxa"/>
            <w:shd w:val="clear" w:color="auto" w:fill="FFFFFF" w:themeFill="background1"/>
            <w:noWrap/>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 xml:space="preserve">TOTAL GLOBAL RESULT </w:t>
            </w:r>
          </w:p>
        </w:tc>
        <w:tc>
          <w:tcPr>
            <w:tcW w:w="1995" w:type="dxa"/>
            <w:tcBorders>
              <w:top w:val="double" w:sz="4" w:space="0" w:color="auto"/>
              <w:bottom w:val="single" w:sz="4" w:space="0" w:color="auto"/>
            </w:tcBorders>
            <w:shd w:val="clear" w:color="auto" w:fill="FFFFFF" w:themeFill="background1"/>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21,625,612</w:t>
            </w:r>
          </w:p>
        </w:tc>
        <w:tc>
          <w:tcPr>
            <w:tcW w:w="2070" w:type="dxa"/>
            <w:tcBorders>
              <w:top w:val="double" w:sz="4" w:space="0" w:color="auto"/>
              <w:bottom w:val="single" w:sz="4" w:space="0" w:color="auto"/>
            </w:tcBorders>
            <w:shd w:val="clear" w:color="auto" w:fill="FFFFFF" w:themeFill="background1"/>
            <w:noWrap/>
            <w:vAlign w:val="center"/>
            <w:hideMark/>
          </w:tcPr>
          <w:p w:rsidR="00EB53EC" w:rsidRPr="001F3D8A" w:rsidRDefault="00EB53EC" w:rsidP="003F1507">
            <w:pPr>
              <w:jc w:val="right"/>
              <w:rPr>
                <w:rFonts w:ascii="Arial" w:hAnsi="Arial"/>
                <w:b/>
                <w:sz w:val="22"/>
              </w:rPr>
            </w:pPr>
            <w:r>
              <w:rPr>
                <w:rFonts w:ascii="Arial" w:hAnsi="Arial"/>
                <w:b/>
                <w:sz w:val="22"/>
              </w:rPr>
              <w:t>30,838,989</w:t>
            </w:r>
          </w:p>
        </w:tc>
      </w:tr>
      <w:tr w:rsidR="00EB53EC" w:rsidRPr="001F3D8A" w:rsidTr="003F1507">
        <w:trPr>
          <w:trHeight w:val="288"/>
        </w:trPr>
        <w:tc>
          <w:tcPr>
            <w:tcW w:w="4590" w:type="dxa"/>
            <w:shd w:val="clear" w:color="auto" w:fill="FFFFFF" w:themeFill="background1"/>
            <w:noWrap/>
            <w:vAlign w:val="center"/>
            <w:hideMark/>
          </w:tcPr>
          <w:p w:rsidR="00EB53EC" w:rsidRPr="001F3D8A" w:rsidRDefault="00EB53EC" w:rsidP="003F1507">
            <w:pPr>
              <w:rPr>
                <w:rFonts w:ascii="Arial" w:hAnsi="Arial" w:cs="Arial"/>
                <w:b/>
                <w:bCs/>
                <w:sz w:val="22"/>
                <w:szCs w:val="22"/>
              </w:rPr>
            </w:pPr>
            <w:r>
              <w:rPr>
                <w:rFonts w:ascii="Arial" w:hAnsi="Arial"/>
                <w:b/>
                <w:bCs/>
                <w:sz w:val="22"/>
                <w:szCs w:val="22"/>
              </w:rPr>
              <w:t>Earnings per share</w:t>
            </w:r>
          </w:p>
        </w:tc>
        <w:tc>
          <w:tcPr>
            <w:tcW w:w="1995" w:type="dxa"/>
            <w:tcBorders>
              <w:top w:val="single" w:sz="4" w:space="0" w:color="auto"/>
              <w:bottom w:val="double" w:sz="4" w:space="0" w:color="auto"/>
            </w:tcBorders>
            <w:shd w:val="clear" w:color="auto" w:fill="FFFFFF" w:themeFill="background1"/>
            <w:noWrap/>
            <w:vAlign w:val="center"/>
            <w:hideMark/>
          </w:tcPr>
          <w:p w:rsidR="00EB53EC" w:rsidRPr="001F3D8A" w:rsidRDefault="00EB53EC" w:rsidP="003F1507">
            <w:pPr>
              <w:jc w:val="right"/>
              <w:rPr>
                <w:rFonts w:ascii="Arial" w:hAnsi="Arial" w:cs="Arial"/>
                <w:b/>
                <w:bCs/>
                <w:sz w:val="22"/>
                <w:szCs w:val="22"/>
              </w:rPr>
            </w:pPr>
            <w:r>
              <w:rPr>
                <w:rFonts w:ascii="Arial" w:hAnsi="Arial"/>
                <w:b/>
                <w:bCs/>
                <w:sz w:val="22"/>
                <w:szCs w:val="22"/>
              </w:rPr>
              <w:t>2.50</w:t>
            </w:r>
          </w:p>
        </w:tc>
        <w:tc>
          <w:tcPr>
            <w:tcW w:w="2070" w:type="dxa"/>
            <w:tcBorders>
              <w:top w:val="single" w:sz="4" w:space="0" w:color="auto"/>
              <w:bottom w:val="double" w:sz="4" w:space="0" w:color="auto"/>
            </w:tcBorders>
            <w:shd w:val="clear" w:color="auto" w:fill="FFFFFF" w:themeFill="background1"/>
            <w:noWrap/>
            <w:vAlign w:val="center"/>
            <w:hideMark/>
          </w:tcPr>
          <w:p w:rsidR="00EB53EC" w:rsidRPr="001F3D8A" w:rsidRDefault="00EB53EC" w:rsidP="003F1507">
            <w:pPr>
              <w:jc w:val="right"/>
              <w:rPr>
                <w:rFonts w:ascii="Arial" w:hAnsi="Arial"/>
                <w:b/>
                <w:sz w:val="22"/>
              </w:rPr>
            </w:pPr>
            <w:r>
              <w:rPr>
                <w:rFonts w:ascii="Arial" w:hAnsi="Arial"/>
                <w:b/>
                <w:sz w:val="22"/>
              </w:rPr>
              <w:t>4.13</w:t>
            </w:r>
          </w:p>
        </w:tc>
      </w:tr>
    </w:tbl>
    <w:p w:rsidR="00EB53EC" w:rsidRDefault="00EB53EC" w:rsidP="00EB53EC">
      <w:pPr>
        <w:rPr>
          <w:rFonts w:ascii="Arial" w:hAnsi="Arial" w:cs="Arial"/>
          <w:b/>
          <w:sz w:val="22"/>
          <w:szCs w:val="22"/>
          <w:lang w:val="fr-FR" w:eastAsia="en-US"/>
        </w:rPr>
      </w:pPr>
    </w:p>
    <w:p w:rsidR="00EB53EC" w:rsidRDefault="00EB53EC" w:rsidP="00EB53EC">
      <w:pPr>
        <w:rPr>
          <w:rFonts w:ascii="Arial" w:hAnsi="Arial" w:cs="Arial"/>
          <w:b/>
          <w:sz w:val="22"/>
          <w:szCs w:val="22"/>
          <w:lang w:val="fr-FR" w:eastAsia="en-US"/>
        </w:rPr>
      </w:pPr>
    </w:p>
    <w:p w:rsidR="00EB53EC" w:rsidRDefault="00EB53EC" w:rsidP="00EB53EC">
      <w:pPr>
        <w:rPr>
          <w:rFonts w:ascii="Arial" w:hAnsi="Arial" w:cs="Arial"/>
          <w:b/>
          <w:sz w:val="22"/>
          <w:szCs w:val="22"/>
          <w:lang w:val="fr-FR" w:eastAsia="en-US"/>
        </w:rPr>
      </w:pPr>
    </w:p>
    <w:p w:rsidR="00EB53EC" w:rsidRPr="00A74CF5" w:rsidRDefault="00EB53EC" w:rsidP="00EB53EC">
      <w:pPr>
        <w:rPr>
          <w:rFonts w:ascii="Arial" w:hAnsi="Arial" w:cs="Arial"/>
          <w:b/>
          <w:sz w:val="22"/>
          <w:szCs w:val="22"/>
          <w:lang w:val="fr-FR" w:eastAsia="en-US"/>
        </w:rPr>
      </w:pPr>
    </w:p>
    <w:p w:rsidR="00EB53EC" w:rsidRDefault="00EB53EC" w:rsidP="00EB53EC">
      <w:pPr>
        <w:rPr>
          <w:rFonts w:ascii="Arial" w:hAnsi="Arial" w:cs="Arial"/>
          <w:sz w:val="22"/>
          <w:szCs w:val="22"/>
        </w:rPr>
      </w:pPr>
    </w:p>
    <w:p w:rsidR="00EB53EC" w:rsidRDefault="00EB53EC" w:rsidP="00EB53EC">
      <w:pPr>
        <w:rPr>
          <w:rFonts w:ascii="Arial" w:hAnsi="Arial" w:cs="Arial"/>
          <w:sz w:val="22"/>
          <w:szCs w:val="22"/>
        </w:rPr>
      </w:pPr>
    </w:p>
    <w:p w:rsidR="00EB53EC" w:rsidRPr="00A74CF5" w:rsidRDefault="00EB53EC" w:rsidP="00EB53EC">
      <w:pPr>
        <w:widowControl/>
        <w:tabs>
          <w:tab w:val="left" w:pos="2190"/>
        </w:tabs>
        <w:autoSpaceDE/>
        <w:autoSpaceDN/>
        <w:adjustRightInd/>
        <w:rPr>
          <w:rFonts w:ascii="Arial" w:hAnsi="Arial" w:cs="Arial"/>
          <w:b/>
          <w:i/>
          <w:iCs/>
          <w:color w:val="FF0000"/>
          <w:sz w:val="22"/>
          <w:szCs w:val="22"/>
          <w:lang w:val="fr-FR"/>
        </w:rPr>
      </w:pPr>
    </w:p>
    <w:p w:rsidR="00E76B83" w:rsidRDefault="00E76B83" w:rsidP="00E76B83">
      <w:pPr>
        <w:widowControl/>
        <w:overflowPunct w:val="0"/>
        <w:spacing w:line="276" w:lineRule="auto"/>
        <w:jc w:val="both"/>
        <w:textAlignment w:val="baseline"/>
        <w:rPr>
          <w:rFonts w:ascii="Arial" w:hAnsi="Arial"/>
          <w:b/>
          <w:bCs/>
          <w:color w:val="1F4E79" w:themeColor="accent1" w:themeShade="80"/>
          <w:sz w:val="22"/>
          <w:szCs w:val="22"/>
        </w:rPr>
      </w:pPr>
    </w:p>
    <w:p w:rsidR="00EB53EC" w:rsidRDefault="00EB53EC" w:rsidP="00E76B83">
      <w:pPr>
        <w:widowControl/>
        <w:overflowPunct w:val="0"/>
        <w:spacing w:line="276" w:lineRule="auto"/>
        <w:jc w:val="both"/>
        <w:textAlignment w:val="baseline"/>
        <w:rPr>
          <w:rFonts w:ascii="Arial" w:hAnsi="Arial"/>
          <w:b/>
          <w:bCs/>
          <w:color w:val="1F4E79" w:themeColor="accent1" w:themeShade="80"/>
          <w:sz w:val="22"/>
          <w:szCs w:val="22"/>
        </w:rPr>
      </w:pPr>
    </w:p>
    <w:p w:rsidR="00EB53EC" w:rsidRPr="00CA3CF8" w:rsidRDefault="00EB53EC" w:rsidP="00EB53EC">
      <w:pPr>
        <w:widowControl/>
        <w:tabs>
          <w:tab w:val="left" w:pos="2190"/>
        </w:tabs>
        <w:autoSpaceDE/>
        <w:autoSpaceDN/>
        <w:adjustRightInd/>
        <w:rPr>
          <w:rFonts w:ascii="Arial" w:hAnsi="Arial" w:cs="Arial"/>
          <w:b/>
          <w:iCs/>
          <w:color w:val="1F4E79" w:themeColor="accent1" w:themeShade="80"/>
          <w:sz w:val="22"/>
          <w:szCs w:val="22"/>
        </w:rPr>
      </w:pPr>
      <w:r>
        <w:rPr>
          <w:rFonts w:ascii="Arial" w:hAnsi="Arial"/>
          <w:b/>
          <w:iCs/>
          <w:color w:val="1F4E79" w:themeColor="accent1" w:themeShade="80"/>
          <w:sz w:val="22"/>
          <w:szCs w:val="22"/>
        </w:rPr>
        <w:lastRenderedPageBreak/>
        <w:t>Annex no. 3</w:t>
      </w:r>
    </w:p>
    <w:p w:rsidR="00EB53EC" w:rsidRPr="00CA3CF8" w:rsidRDefault="00EB53EC" w:rsidP="00EB53EC">
      <w:pPr>
        <w:tabs>
          <w:tab w:val="left" w:pos="450"/>
        </w:tabs>
        <w:rPr>
          <w:rFonts w:ascii="Arial" w:hAnsi="Arial" w:cs="Arial"/>
          <w:color w:val="1F4E79" w:themeColor="accent1" w:themeShade="80"/>
          <w:spacing w:val="3"/>
          <w:sz w:val="22"/>
          <w:szCs w:val="22"/>
        </w:rPr>
      </w:pPr>
    </w:p>
    <w:p w:rsidR="00EB53EC" w:rsidRPr="00CA3CF8" w:rsidRDefault="00EB53EC" w:rsidP="00EB53EC">
      <w:pPr>
        <w:widowControl/>
        <w:tabs>
          <w:tab w:val="left" w:pos="450"/>
        </w:tabs>
        <w:autoSpaceDE/>
        <w:autoSpaceDN/>
        <w:adjustRightInd/>
        <w:jc w:val="center"/>
        <w:rPr>
          <w:rFonts w:ascii="Arial" w:hAnsi="Arial" w:cs="Arial"/>
          <w:b/>
          <w:color w:val="1F4E79" w:themeColor="accent1" w:themeShade="80"/>
          <w:spacing w:val="3"/>
          <w:sz w:val="22"/>
          <w:szCs w:val="22"/>
        </w:rPr>
      </w:pPr>
      <w:r>
        <w:rPr>
          <w:rFonts w:ascii="Arial" w:hAnsi="Arial"/>
          <w:b/>
          <w:color w:val="1F4E79" w:themeColor="accent1" w:themeShade="80"/>
          <w:sz w:val="22"/>
          <w:szCs w:val="22"/>
        </w:rPr>
        <w:t>INTERIM CASH-FLOW STATEMENT FOR THE SIX MONTHS PERIOD ENDED JUNE 30, 2018 (revised)</w:t>
      </w:r>
    </w:p>
    <w:p w:rsidR="00EB53EC" w:rsidRPr="00E31579" w:rsidRDefault="00EB53EC" w:rsidP="00EB53EC">
      <w:pPr>
        <w:widowControl/>
        <w:tabs>
          <w:tab w:val="left" w:pos="450"/>
        </w:tabs>
        <w:autoSpaceDE/>
        <w:autoSpaceDN/>
        <w:adjustRightInd/>
        <w:rPr>
          <w:rFonts w:ascii="Arial" w:hAnsi="Arial" w:cs="Arial"/>
          <w:b/>
          <w:spacing w:val="3"/>
          <w:sz w:val="10"/>
          <w:szCs w:val="10"/>
          <w:lang w:eastAsia="en-US"/>
        </w:rPr>
      </w:pPr>
    </w:p>
    <w:tbl>
      <w:tblPr>
        <w:tblW w:w="9305" w:type="dxa"/>
        <w:tblLook w:val="04A0" w:firstRow="1" w:lastRow="0" w:firstColumn="1" w:lastColumn="0" w:noHBand="0" w:noVBand="1"/>
      </w:tblPr>
      <w:tblGrid>
        <w:gridCol w:w="498"/>
        <w:gridCol w:w="4902"/>
        <w:gridCol w:w="2070"/>
        <w:gridCol w:w="1835"/>
      </w:tblGrid>
      <w:tr w:rsidR="00EB53EC" w:rsidRPr="00E31579" w:rsidTr="003F1507">
        <w:trPr>
          <w:trHeight w:val="300"/>
        </w:trPr>
        <w:tc>
          <w:tcPr>
            <w:tcW w:w="5400" w:type="dxa"/>
            <w:gridSpan w:val="2"/>
            <w:tcBorders>
              <w:top w:val="nil"/>
              <w:left w:val="nil"/>
              <w:bottom w:val="nil"/>
              <w:right w:val="nil"/>
            </w:tcBorders>
            <w:shd w:val="clear" w:color="auto" w:fill="auto"/>
            <w:noWrap/>
            <w:vAlign w:val="bottom"/>
            <w:hideMark/>
          </w:tcPr>
          <w:p w:rsidR="00EB53EC" w:rsidRPr="00E31579" w:rsidRDefault="00EB53EC" w:rsidP="003F1507">
            <w:pPr>
              <w:widowControl/>
              <w:autoSpaceDE/>
              <w:autoSpaceDN/>
              <w:adjustRightInd/>
              <w:rPr>
                <w:rFonts w:ascii="Arial" w:hAnsi="Arial" w:cs="Arial"/>
                <w:b/>
                <w:bCs/>
                <w:sz w:val="22"/>
                <w:szCs w:val="22"/>
              </w:rPr>
            </w:pPr>
            <w:r>
              <w:rPr>
                <w:rFonts w:ascii="Arial" w:hAnsi="Arial"/>
                <w:b/>
                <w:bCs/>
                <w:sz w:val="22"/>
                <w:szCs w:val="22"/>
              </w:rPr>
              <w:t>(DIRECT METHOD)</w:t>
            </w:r>
          </w:p>
        </w:tc>
        <w:tc>
          <w:tcPr>
            <w:tcW w:w="2070" w:type="dxa"/>
            <w:tcBorders>
              <w:top w:val="nil"/>
              <w:left w:val="nil"/>
              <w:bottom w:val="nil"/>
              <w:right w:val="nil"/>
            </w:tcBorders>
            <w:shd w:val="clear" w:color="auto" w:fill="auto"/>
            <w:noWrap/>
            <w:vAlign w:val="bottom"/>
            <w:hideMark/>
          </w:tcPr>
          <w:p w:rsidR="00EB53EC" w:rsidRPr="00E31579" w:rsidRDefault="00EB53EC" w:rsidP="003F1507">
            <w:pPr>
              <w:widowControl/>
              <w:autoSpaceDE/>
              <w:autoSpaceDN/>
              <w:adjustRightInd/>
              <w:rPr>
                <w:rFonts w:ascii="Arial" w:hAnsi="Arial" w:cs="Arial"/>
                <w:sz w:val="22"/>
                <w:szCs w:val="22"/>
                <w:lang w:eastAsia="en-US"/>
              </w:rPr>
            </w:pPr>
          </w:p>
        </w:tc>
        <w:tc>
          <w:tcPr>
            <w:tcW w:w="1835" w:type="dxa"/>
            <w:tcBorders>
              <w:top w:val="nil"/>
              <w:left w:val="nil"/>
              <w:bottom w:val="nil"/>
              <w:right w:val="nil"/>
            </w:tcBorders>
            <w:shd w:val="clear" w:color="auto" w:fill="auto"/>
            <w:noWrap/>
            <w:vAlign w:val="bottom"/>
            <w:hideMark/>
          </w:tcPr>
          <w:p w:rsidR="00EB53EC" w:rsidRPr="00E31579" w:rsidRDefault="00EB53EC" w:rsidP="003F1507">
            <w:pPr>
              <w:widowControl/>
              <w:autoSpaceDE/>
              <w:autoSpaceDN/>
              <w:adjustRightInd/>
              <w:jc w:val="right"/>
              <w:rPr>
                <w:rFonts w:ascii="Arial" w:hAnsi="Arial" w:cs="Arial"/>
                <w:b/>
                <w:bCs/>
                <w:sz w:val="22"/>
                <w:szCs w:val="22"/>
              </w:rPr>
            </w:pPr>
          </w:p>
        </w:tc>
      </w:tr>
      <w:tr w:rsidR="00EB53EC" w:rsidRPr="00E31579" w:rsidTr="003F1507">
        <w:trPr>
          <w:trHeight w:val="472"/>
        </w:trPr>
        <w:tc>
          <w:tcPr>
            <w:tcW w:w="49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EB53EC" w:rsidRPr="00E31579" w:rsidRDefault="00EB53EC" w:rsidP="003F1507">
            <w:pPr>
              <w:widowControl/>
              <w:autoSpaceDE/>
              <w:autoSpaceDN/>
              <w:adjustRightInd/>
              <w:jc w:val="center"/>
              <w:rPr>
                <w:rFonts w:ascii="Arial" w:hAnsi="Arial" w:cs="Arial"/>
                <w:b/>
                <w:bCs/>
                <w:sz w:val="22"/>
                <w:szCs w:val="22"/>
                <w:lang w:eastAsia="en-US"/>
              </w:rPr>
            </w:pPr>
          </w:p>
        </w:tc>
        <w:tc>
          <w:tcPr>
            <w:tcW w:w="490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EB53EC" w:rsidRPr="00E31579" w:rsidRDefault="00EB53EC" w:rsidP="003F1507">
            <w:pPr>
              <w:widowControl/>
              <w:autoSpaceDE/>
              <w:autoSpaceDN/>
              <w:adjustRightInd/>
              <w:rPr>
                <w:rFonts w:ascii="Arial" w:hAnsi="Arial" w:cs="Arial"/>
                <w:b/>
                <w:bCs/>
                <w:sz w:val="22"/>
                <w:szCs w:val="22"/>
              </w:rPr>
            </w:pPr>
            <w:r>
              <w:rPr>
                <w:rFonts w:ascii="Arial" w:hAnsi="Arial"/>
                <w:b/>
                <w:bCs/>
                <w:sz w:val="22"/>
                <w:szCs w:val="22"/>
              </w:rPr>
              <w:t>Name of the Element</w:t>
            </w:r>
          </w:p>
        </w:tc>
        <w:tc>
          <w:tcPr>
            <w:tcW w:w="2070"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EB53EC" w:rsidRPr="00E31579" w:rsidRDefault="00EB53EC" w:rsidP="003F1507">
            <w:pPr>
              <w:widowControl/>
              <w:autoSpaceDE/>
              <w:autoSpaceDN/>
              <w:adjustRightInd/>
              <w:jc w:val="center"/>
              <w:rPr>
                <w:rFonts w:ascii="Arial" w:hAnsi="Arial" w:cs="Arial"/>
                <w:b/>
                <w:bCs/>
                <w:sz w:val="22"/>
                <w:szCs w:val="22"/>
              </w:rPr>
            </w:pPr>
            <w:r>
              <w:rPr>
                <w:rFonts w:ascii="Arial" w:hAnsi="Arial"/>
                <w:b/>
                <w:bCs/>
                <w:sz w:val="22"/>
                <w:szCs w:val="22"/>
              </w:rPr>
              <w:t>6 months ended at</w:t>
            </w:r>
          </w:p>
          <w:p w:rsidR="00EB53EC" w:rsidRPr="00E31579" w:rsidRDefault="00EB53EC" w:rsidP="003F1507">
            <w:pPr>
              <w:widowControl/>
              <w:autoSpaceDE/>
              <w:autoSpaceDN/>
              <w:adjustRightInd/>
              <w:jc w:val="center"/>
              <w:rPr>
                <w:rFonts w:ascii="Arial" w:hAnsi="Arial" w:cs="Arial"/>
                <w:b/>
                <w:bCs/>
                <w:sz w:val="22"/>
                <w:szCs w:val="22"/>
              </w:rPr>
            </w:pPr>
            <w:r>
              <w:rPr>
                <w:rFonts w:ascii="Arial" w:hAnsi="Arial"/>
                <w:b/>
                <w:bCs/>
                <w:sz w:val="22"/>
                <w:szCs w:val="22"/>
              </w:rPr>
              <w:t>June 30, 2018</w:t>
            </w:r>
          </w:p>
        </w:tc>
        <w:tc>
          <w:tcPr>
            <w:tcW w:w="1835"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EB53EC" w:rsidRPr="00E31579" w:rsidRDefault="00EB53EC" w:rsidP="003F1507">
            <w:pPr>
              <w:widowControl/>
              <w:autoSpaceDE/>
              <w:autoSpaceDN/>
              <w:adjustRightInd/>
              <w:jc w:val="center"/>
              <w:rPr>
                <w:rFonts w:ascii="Arial" w:hAnsi="Arial" w:cs="Arial"/>
                <w:b/>
                <w:bCs/>
                <w:sz w:val="22"/>
                <w:szCs w:val="22"/>
              </w:rPr>
            </w:pPr>
            <w:r>
              <w:rPr>
                <w:rFonts w:ascii="Arial" w:hAnsi="Arial"/>
                <w:b/>
                <w:bCs/>
                <w:sz w:val="22"/>
                <w:szCs w:val="22"/>
              </w:rPr>
              <w:t>6 months ended at June 30, 2017</w:t>
            </w:r>
          </w:p>
        </w:tc>
      </w:tr>
      <w:tr w:rsidR="00EB53EC" w:rsidRPr="00E31579" w:rsidTr="003F1507">
        <w:trPr>
          <w:trHeight w:val="4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b/>
                <w:bCs/>
                <w:sz w:val="22"/>
                <w:szCs w:val="22"/>
                <w:lang w:eastAsia="en-US"/>
              </w:rPr>
            </w:pP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b/>
                <w:bCs/>
                <w:sz w:val="22"/>
                <w:szCs w:val="22"/>
              </w:rPr>
            </w:pPr>
            <w:r>
              <w:rPr>
                <w:rFonts w:ascii="Arial" w:hAnsi="Arial"/>
                <w:b/>
                <w:bCs/>
                <w:sz w:val="22"/>
                <w:szCs w:val="22"/>
              </w:rPr>
              <w:t>Cash flows from operating activities:</w:t>
            </w:r>
          </w:p>
        </w:tc>
        <w:tc>
          <w:tcPr>
            <w:tcW w:w="2070"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rPr>
                <w:rFonts w:ascii="Arial" w:hAnsi="Arial" w:cs="Arial"/>
                <w:b/>
                <w:bCs/>
                <w:sz w:val="22"/>
                <w:szCs w:val="22"/>
              </w:rPr>
            </w:pPr>
            <w:r>
              <w:rPr>
                <w:rFonts w:ascii="Arial" w:hAnsi="Arial"/>
                <w:b/>
                <w:bCs/>
                <w:sz w:val="22"/>
                <w:szCs w:val="22"/>
              </w:rPr>
              <w:t> </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rPr>
                <w:rFonts w:ascii="Arial" w:hAnsi="Arial" w:cs="Arial"/>
                <w:b/>
                <w:bCs/>
                <w:sz w:val="22"/>
                <w:szCs w:val="22"/>
              </w:rPr>
            </w:pPr>
            <w:r>
              <w:rPr>
                <w:rFonts w:ascii="Arial" w:hAnsi="Arial"/>
                <w:b/>
                <w:bCs/>
                <w:sz w:val="22"/>
                <w:szCs w:val="22"/>
              </w:rPr>
              <w:t> </w:t>
            </w:r>
          </w:p>
        </w:tc>
      </w:tr>
      <w:tr w:rsidR="00EB53EC" w:rsidRPr="00E31579" w:rsidTr="003F1507">
        <w:trPr>
          <w:trHeight w:val="14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Proceeds from services supply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193,137,048</w:t>
            </w:r>
          </w:p>
        </w:tc>
        <w:tc>
          <w:tcPr>
            <w:tcW w:w="1835" w:type="dxa"/>
            <w:tcBorders>
              <w:top w:val="single" w:sz="4" w:space="0" w:color="auto"/>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199,692,134</w:t>
            </w:r>
          </w:p>
        </w:tc>
      </w:tr>
      <w:tr w:rsidR="00EB53EC" w:rsidRPr="00E31579" w:rsidTr="003F1507">
        <w:trPr>
          <w:trHeight w:val="3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Proceeds from interests related to banking investments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1,957,740</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1,221,583</w:t>
            </w:r>
          </w:p>
        </w:tc>
      </w:tr>
      <w:tr w:rsidR="00EB53EC" w:rsidRPr="00E31579" w:rsidTr="003F1507">
        <w:trPr>
          <w:trHeight w:val="139"/>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Other proceeds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2,131,735</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2,401,295</w:t>
            </w:r>
          </w:p>
        </w:tc>
      </w:tr>
      <w:tr w:rsidR="00EB53EC" w:rsidRPr="00E31579" w:rsidTr="003F1507">
        <w:trPr>
          <w:trHeight w:val="229"/>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Payments to the suppliers of goods and services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53,182,508</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55,285,084</w:t>
            </w:r>
          </w:p>
        </w:tc>
      </w:tr>
      <w:tr w:rsidR="00EB53EC" w:rsidRPr="00E31579" w:rsidTr="003F1507">
        <w:trPr>
          <w:trHeight w:val="274"/>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Payments to and on behalf of the employees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64,185,854</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56,188,567</w:t>
            </w:r>
          </w:p>
        </w:tc>
      </w:tr>
      <w:tr w:rsidR="00EB53EC" w:rsidRPr="00E31579" w:rsidTr="003F1507">
        <w:trPr>
          <w:trHeight w:val="175"/>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VAT Payments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20,434,472</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24,969,109</w:t>
            </w:r>
          </w:p>
        </w:tc>
      </w:tr>
      <w:tr w:rsidR="00EB53EC" w:rsidRPr="00E31579" w:rsidTr="003F1507">
        <w:trPr>
          <w:trHeight w:val="184"/>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Corporate tax payments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6,315,952</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7,743,195</w:t>
            </w:r>
          </w:p>
        </w:tc>
      </w:tr>
      <w:tr w:rsidR="00EB53EC" w:rsidRPr="00E31579" w:rsidTr="003F1507">
        <w:trPr>
          <w:trHeight w:val="184"/>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Other payments regarding the operating activities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981E64" w:rsidP="003F1507">
            <w:pPr>
              <w:widowControl/>
              <w:autoSpaceDE/>
              <w:autoSpaceDN/>
              <w:adjustRightInd/>
              <w:jc w:val="right"/>
              <w:rPr>
                <w:rFonts w:ascii="Arial" w:hAnsi="Arial" w:cs="Arial"/>
                <w:sz w:val="22"/>
                <w:szCs w:val="22"/>
              </w:rPr>
            </w:pPr>
            <w:r>
              <w:rPr>
                <w:rFonts w:ascii="Arial" w:hAnsi="Arial"/>
                <w:sz w:val="22"/>
                <w:szCs w:val="22"/>
              </w:rPr>
              <w:t>20,218,298</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17,699,616</w:t>
            </w:r>
          </w:p>
        </w:tc>
      </w:tr>
      <w:tr w:rsidR="00EB53EC" w:rsidRPr="00E31579" w:rsidTr="003F1507">
        <w:trPr>
          <w:trHeight w:val="202"/>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b/>
                <w:bCs/>
                <w:i/>
                <w:iCs/>
                <w:sz w:val="22"/>
                <w:szCs w:val="22"/>
              </w:rPr>
            </w:pPr>
            <w:r>
              <w:rPr>
                <w:rFonts w:ascii="Arial" w:hAnsi="Arial"/>
                <w:b/>
                <w:bCs/>
                <w:i/>
                <w:iCs/>
                <w:sz w:val="22"/>
                <w:szCs w:val="22"/>
              </w:rPr>
              <w:t>A</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b/>
                <w:bCs/>
                <w:i/>
                <w:iCs/>
                <w:sz w:val="22"/>
                <w:szCs w:val="22"/>
              </w:rPr>
            </w:pPr>
            <w:r>
              <w:rPr>
                <w:rFonts w:ascii="Arial" w:hAnsi="Arial"/>
                <w:b/>
                <w:bCs/>
                <w:i/>
                <w:iCs/>
                <w:sz w:val="22"/>
                <w:szCs w:val="22"/>
              </w:rPr>
              <w:t>Net cash from operating activities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1974E1" w:rsidP="003F1507">
            <w:pPr>
              <w:widowControl/>
              <w:autoSpaceDE/>
              <w:autoSpaceDN/>
              <w:adjustRightInd/>
              <w:jc w:val="right"/>
              <w:rPr>
                <w:rFonts w:ascii="Arial" w:hAnsi="Arial" w:cs="Arial"/>
                <w:b/>
                <w:bCs/>
                <w:i/>
                <w:iCs/>
                <w:sz w:val="22"/>
                <w:szCs w:val="22"/>
              </w:rPr>
            </w:pPr>
            <w:r>
              <w:rPr>
                <w:rFonts w:ascii="Arial" w:hAnsi="Arial"/>
                <w:b/>
                <w:bCs/>
                <w:i/>
                <w:iCs/>
                <w:sz w:val="22"/>
                <w:szCs w:val="22"/>
              </w:rPr>
              <w:t>32,889,439</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b/>
                <w:bCs/>
                <w:i/>
                <w:iCs/>
                <w:sz w:val="22"/>
                <w:szCs w:val="22"/>
              </w:rPr>
            </w:pPr>
            <w:r>
              <w:rPr>
                <w:rFonts w:ascii="Arial" w:hAnsi="Arial"/>
                <w:b/>
                <w:bCs/>
                <w:i/>
                <w:iCs/>
                <w:sz w:val="22"/>
                <w:szCs w:val="22"/>
              </w:rPr>
              <w:t>41,429,441</w:t>
            </w:r>
          </w:p>
        </w:tc>
      </w:tr>
      <w:tr w:rsidR="00EB53EC" w:rsidRPr="00E31579" w:rsidTr="003F1507">
        <w:trPr>
          <w:trHeight w:val="3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lang w:eastAsia="en-US"/>
              </w:rPr>
            </w:pP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b/>
                <w:bCs/>
                <w:sz w:val="22"/>
                <w:szCs w:val="22"/>
              </w:rPr>
            </w:pPr>
            <w:r>
              <w:rPr>
                <w:rFonts w:ascii="Arial" w:hAnsi="Arial"/>
                <w:b/>
                <w:bCs/>
                <w:sz w:val="22"/>
                <w:szCs w:val="22"/>
              </w:rPr>
              <w:t>Cash flows from investment activities:</w:t>
            </w:r>
          </w:p>
        </w:tc>
        <w:tc>
          <w:tcPr>
            <w:tcW w:w="2070"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 </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 </w:t>
            </w:r>
          </w:p>
        </w:tc>
      </w:tr>
      <w:tr w:rsidR="00EB53EC" w:rsidRPr="00E31579" w:rsidTr="003F1507">
        <w:trPr>
          <w:trHeight w:val="229"/>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Proceeds from sale of tangible assets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6,570</w:t>
            </w:r>
          </w:p>
        </w:tc>
        <w:tc>
          <w:tcPr>
            <w:tcW w:w="1835" w:type="dxa"/>
            <w:tcBorders>
              <w:top w:val="single" w:sz="4" w:space="0" w:color="auto"/>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1,424,124</w:t>
            </w:r>
          </w:p>
        </w:tc>
      </w:tr>
      <w:tr w:rsidR="00EB53EC" w:rsidRPr="00E31579" w:rsidTr="003F1507">
        <w:trPr>
          <w:trHeight w:val="14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Proceeds from modernization quota</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25,326,114</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25,963,435</w:t>
            </w:r>
          </w:p>
        </w:tc>
      </w:tr>
      <w:tr w:rsidR="00EB53EC" w:rsidRPr="00E31579" w:rsidTr="003F1507">
        <w:trPr>
          <w:trHeight w:val="157"/>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 xml:space="preserve">Proceeds from short-term financial investments </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142,959,952</w:t>
            </w:r>
          </w:p>
        </w:tc>
      </w:tr>
      <w:tr w:rsidR="00EB53EC" w:rsidRPr="00E31579" w:rsidTr="003F1507">
        <w:trPr>
          <w:trHeight w:val="157"/>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Proceeds from interests related to government securities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1,622,248</w:t>
            </w:r>
          </w:p>
        </w:tc>
      </w:tr>
      <w:tr w:rsidR="00EB53EC" w:rsidRPr="00E31579" w:rsidTr="003F1507">
        <w:trPr>
          <w:trHeight w:val="76"/>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Payments for purchase of tangible assets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40,502,097</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19,110,522</w:t>
            </w:r>
          </w:p>
        </w:tc>
      </w:tr>
      <w:tr w:rsidR="00EB53EC" w:rsidRPr="00E31579" w:rsidTr="003F1507">
        <w:trPr>
          <w:trHeight w:val="5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b/>
                <w:bCs/>
                <w:i/>
                <w:iCs/>
                <w:sz w:val="22"/>
                <w:szCs w:val="22"/>
              </w:rPr>
            </w:pPr>
            <w:r>
              <w:rPr>
                <w:rFonts w:ascii="Arial" w:hAnsi="Arial"/>
                <w:b/>
                <w:bCs/>
                <w:i/>
                <w:iCs/>
                <w:sz w:val="22"/>
                <w:szCs w:val="22"/>
              </w:rPr>
              <w:t>B</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b/>
                <w:bCs/>
                <w:i/>
                <w:iCs/>
                <w:sz w:val="22"/>
                <w:szCs w:val="22"/>
              </w:rPr>
            </w:pPr>
            <w:r>
              <w:rPr>
                <w:rFonts w:ascii="Arial" w:hAnsi="Arial"/>
                <w:b/>
                <w:bCs/>
                <w:i/>
                <w:iCs/>
                <w:sz w:val="22"/>
                <w:szCs w:val="22"/>
              </w:rPr>
              <w:t>Net cash from investment activities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b/>
                <w:bCs/>
                <w:i/>
                <w:iCs/>
                <w:sz w:val="22"/>
                <w:szCs w:val="22"/>
              </w:rPr>
            </w:pPr>
            <w:r>
              <w:rPr>
                <w:rFonts w:ascii="Arial" w:hAnsi="Arial"/>
                <w:b/>
                <w:bCs/>
                <w:i/>
                <w:iCs/>
                <w:sz w:val="22"/>
                <w:szCs w:val="22"/>
              </w:rPr>
              <w:t>(15,169,413)</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b/>
                <w:bCs/>
                <w:i/>
                <w:iCs/>
                <w:sz w:val="22"/>
                <w:szCs w:val="22"/>
              </w:rPr>
            </w:pPr>
            <w:r>
              <w:rPr>
                <w:rFonts w:ascii="Arial" w:hAnsi="Arial"/>
                <w:b/>
                <w:bCs/>
                <w:i/>
                <w:iCs/>
                <w:sz w:val="22"/>
                <w:szCs w:val="22"/>
              </w:rPr>
              <w:t>152,859,237</w:t>
            </w:r>
          </w:p>
        </w:tc>
      </w:tr>
      <w:tr w:rsidR="00EB53EC" w:rsidRPr="00E31579" w:rsidTr="003F1507">
        <w:trPr>
          <w:trHeight w:val="3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lang w:eastAsia="en-US"/>
              </w:rPr>
            </w:pP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b/>
                <w:bCs/>
                <w:sz w:val="22"/>
                <w:szCs w:val="22"/>
              </w:rPr>
            </w:pPr>
            <w:r>
              <w:rPr>
                <w:rFonts w:ascii="Arial" w:hAnsi="Arial"/>
                <w:b/>
                <w:bCs/>
                <w:sz w:val="22"/>
                <w:szCs w:val="22"/>
              </w:rPr>
              <w:t>Cash flows from financing activities:</w:t>
            </w:r>
          </w:p>
        </w:tc>
        <w:tc>
          <w:tcPr>
            <w:tcW w:w="2070"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 </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 </w:t>
            </w:r>
          </w:p>
        </w:tc>
      </w:tr>
      <w:tr w:rsidR="00EB53EC" w:rsidRPr="00E31579" w:rsidTr="003F1507">
        <w:trPr>
          <w:trHeight w:val="3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Proceeds dividends transferred to Depozitarul Central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5,891,170</w:t>
            </w:r>
          </w:p>
        </w:tc>
        <w:tc>
          <w:tcPr>
            <w:tcW w:w="1835" w:type="dxa"/>
            <w:tcBorders>
              <w:top w:val="single" w:sz="4" w:space="0" w:color="auto"/>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2,709,838</w:t>
            </w:r>
          </w:p>
        </w:tc>
      </w:tr>
      <w:tr w:rsidR="00EB53EC" w:rsidRPr="00E31579" w:rsidTr="003F1507">
        <w:trPr>
          <w:trHeight w:val="184"/>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sz w:val="22"/>
                <w:szCs w:val="22"/>
              </w:rPr>
            </w:pPr>
            <w:r>
              <w:rPr>
                <w:rFonts w:ascii="Arial" w:hAnsi="Arial"/>
                <w:sz w:val="22"/>
                <w:szCs w:val="22"/>
              </w:rPr>
              <w:t>-</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sz w:val="22"/>
                <w:szCs w:val="22"/>
              </w:rPr>
            </w:pPr>
            <w:r>
              <w:rPr>
                <w:rFonts w:ascii="Arial" w:hAnsi="Arial"/>
                <w:sz w:val="22"/>
                <w:szCs w:val="22"/>
              </w:rPr>
              <w:t>Paid dividends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67,005,869</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rPr>
            </w:pPr>
            <w:r>
              <w:rPr>
                <w:rFonts w:ascii="Arial" w:hAnsi="Arial"/>
                <w:sz w:val="22"/>
                <w:szCs w:val="22"/>
              </w:rPr>
              <w:t>143,058</w:t>
            </w:r>
          </w:p>
        </w:tc>
      </w:tr>
      <w:tr w:rsidR="00EB53EC" w:rsidRPr="00E31579" w:rsidTr="003F1507">
        <w:trPr>
          <w:trHeight w:val="238"/>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b/>
                <w:bCs/>
                <w:i/>
                <w:iCs/>
                <w:sz w:val="22"/>
                <w:szCs w:val="22"/>
              </w:rPr>
            </w:pPr>
            <w:r>
              <w:rPr>
                <w:rFonts w:ascii="Arial" w:hAnsi="Arial"/>
                <w:b/>
                <w:bCs/>
                <w:i/>
                <w:iCs/>
                <w:sz w:val="22"/>
                <w:szCs w:val="22"/>
              </w:rPr>
              <w:t>C</w:t>
            </w:r>
          </w:p>
        </w:tc>
        <w:tc>
          <w:tcPr>
            <w:tcW w:w="4902" w:type="dxa"/>
            <w:tcBorders>
              <w:top w:val="nil"/>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b/>
                <w:bCs/>
                <w:i/>
                <w:iCs/>
                <w:sz w:val="22"/>
                <w:szCs w:val="22"/>
              </w:rPr>
            </w:pPr>
            <w:r>
              <w:rPr>
                <w:rFonts w:ascii="Arial" w:hAnsi="Arial"/>
                <w:b/>
                <w:bCs/>
                <w:i/>
                <w:iCs/>
                <w:sz w:val="22"/>
                <w:szCs w:val="22"/>
              </w:rPr>
              <w:t>Net cash from financing activities</w:t>
            </w:r>
          </w:p>
        </w:tc>
        <w:tc>
          <w:tcPr>
            <w:tcW w:w="2070" w:type="dxa"/>
            <w:tcBorders>
              <w:top w:val="nil"/>
              <w:left w:val="single" w:sz="4" w:space="0" w:color="auto"/>
              <w:bottom w:val="single" w:sz="4" w:space="0" w:color="auto"/>
              <w:right w:val="single" w:sz="4" w:space="0" w:color="auto"/>
            </w:tcBorders>
            <w:shd w:val="clear" w:color="auto" w:fill="auto"/>
            <w:noWrap/>
            <w:vAlign w:val="center"/>
          </w:tcPr>
          <w:p w:rsidR="00EB53EC" w:rsidRPr="00E31579" w:rsidRDefault="005A6620" w:rsidP="003F1507">
            <w:pPr>
              <w:widowControl/>
              <w:autoSpaceDE/>
              <w:autoSpaceDN/>
              <w:adjustRightInd/>
              <w:jc w:val="right"/>
              <w:rPr>
                <w:rFonts w:ascii="Arial" w:hAnsi="Arial" w:cs="Arial"/>
                <w:b/>
                <w:bCs/>
                <w:i/>
                <w:iCs/>
                <w:sz w:val="22"/>
                <w:szCs w:val="22"/>
              </w:rPr>
            </w:pPr>
            <w:r>
              <w:rPr>
                <w:rFonts w:ascii="Arial" w:hAnsi="Arial"/>
                <w:b/>
                <w:bCs/>
                <w:i/>
                <w:iCs/>
                <w:sz w:val="22"/>
                <w:szCs w:val="22"/>
              </w:rPr>
              <w:t>(61,114,699</w:t>
            </w:r>
            <w:r w:rsidR="00EB53EC">
              <w:rPr>
                <w:rFonts w:ascii="Arial" w:hAnsi="Arial"/>
                <w:b/>
                <w:bCs/>
                <w:i/>
                <w:iCs/>
                <w:sz w:val="22"/>
                <w:szCs w:val="22"/>
              </w:rPr>
              <w:t>)</w:t>
            </w:r>
          </w:p>
        </w:tc>
        <w:tc>
          <w:tcPr>
            <w:tcW w:w="1835" w:type="dxa"/>
            <w:tcBorders>
              <w:top w:val="nil"/>
              <w:left w:val="nil"/>
              <w:bottom w:val="single" w:sz="4" w:space="0" w:color="auto"/>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b/>
                <w:bCs/>
                <w:i/>
                <w:iCs/>
                <w:sz w:val="22"/>
                <w:szCs w:val="22"/>
              </w:rPr>
            </w:pPr>
            <w:r>
              <w:rPr>
                <w:rFonts w:ascii="Arial" w:hAnsi="Arial"/>
                <w:b/>
                <w:bCs/>
                <w:i/>
                <w:iCs/>
                <w:sz w:val="22"/>
                <w:szCs w:val="22"/>
              </w:rPr>
              <w:t>2,566,780</w:t>
            </w:r>
          </w:p>
        </w:tc>
      </w:tr>
      <w:tr w:rsidR="00EB53EC" w:rsidRPr="00E31579" w:rsidTr="003F1507">
        <w:trPr>
          <w:trHeight w:val="30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b/>
                <w:bCs/>
                <w:i/>
                <w:iCs/>
                <w:sz w:val="22"/>
                <w:szCs w:val="22"/>
              </w:rPr>
            </w:pPr>
            <w:r>
              <w:rPr>
                <w:rFonts w:ascii="Arial" w:hAnsi="Arial"/>
                <w:b/>
                <w:bCs/>
                <w:i/>
                <w:iCs/>
                <w:sz w:val="22"/>
                <w:szCs w:val="22"/>
              </w:rPr>
              <w:t>=</w:t>
            </w:r>
          </w:p>
        </w:tc>
        <w:tc>
          <w:tcPr>
            <w:tcW w:w="4902" w:type="dxa"/>
            <w:tcBorders>
              <w:top w:val="single" w:sz="4" w:space="0" w:color="auto"/>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b/>
                <w:bCs/>
                <w:i/>
                <w:iCs/>
                <w:sz w:val="22"/>
                <w:szCs w:val="22"/>
              </w:rPr>
            </w:pPr>
            <w:r>
              <w:rPr>
                <w:rFonts w:ascii="Arial" w:hAnsi="Arial"/>
                <w:b/>
                <w:bCs/>
                <w:i/>
                <w:iCs/>
                <w:sz w:val="22"/>
                <w:szCs w:val="22"/>
              </w:rPr>
              <w:t>Net increase of the cash and cash equivalents=A+B+C=D2-D1</w:t>
            </w:r>
          </w:p>
        </w:tc>
        <w:tc>
          <w:tcPr>
            <w:tcW w:w="2070" w:type="dxa"/>
            <w:tcBorders>
              <w:top w:val="nil"/>
              <w:left w:val="single" w:sz="4" w:space="0" w:color="auto"/>
              <w:bottom w:val="nil"/>
              <w:right w:val="single" w:sz="4" w:space="0" w:color="auto"/>
            </w:tcBorders>
            <w:shd w:val="clear" w:color="auto" w:fill="auto"/>
            <w:noWrap/>
            <w:vAlign w:val="center"/>
          </w:tcPr>
          <w:p w:rsidR="00EB53EC" w:rsidRPr="00E31579" w:rsidRDefault="005A6620" w:rsidP="003F1507">
            <w:pPr>
              <w:widowControl/>
              <w:autoSpaceDE/>
              <w:autoSpaceDN/>
              <w:adjustRightInd/>
              <w:jc w:val="right"/>
              <w:rPr>
                <w:rFonts w:ascii="Arial" w:hAnsi="Arial" w:cs="Arial"/>
                <w:b/>
                <w:bCs/>
                <w:i/>
                <w:iCs/>
                <w:sz w:val="22"/>
                <w:szCs w:val="22"/>
              </w:rPr>
            </w:pPr>
            <w:r>
              <w:rPr>
                <w:rFonts w:ascii="Arial" w:hAnsi="Arial"/>
                <w:b/>
                <w:bCs/>
                <w:i/>
                <w:iCs/>
                <w:sz w:val="22"/>
                <w:szCs w:val="22"/>
              </w:rPr>
              <w:t>(43,394,673</w:t>
            </w:r>
            <w:r w:rsidR="00EB53EC">
              <w:rPr>
                <w:rFonts w:ascii="Arial" w:hAnsi="Arial"/>
                <w:b/>
                <w:bCs/>
                <w:i/>
                <w:iCs/>
                <w:sz w:val="22"/>
                <w:szCs w:val="22"/>
              </w:rPr>
              <w:t>)</w:t>
            </w:r>
          </w:p>
        </w:tc>
        <w:tc>
          <w:tcPr>
            <w:tcW w:w="1835" w:type="dxa"/>
            <w:tcBorders>
              <w:top w:val="nil"/>
              <w:left w:val="nil"/>
              <w:bottom w:val="nil"/>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b/>
                <w:bCs/>
                <w:i/>
                <w:iCs/>
                <w:sz w:val="22"/>
                <w:szCs w:val="22"/>
              </w:rPr>
            </w:pPr>
            <w:r>
              <w:rPr>
                <w:rFonts w:ascii="Arial" w:hAnsi="Arial"/>
                <w:b/>
                <w:bCs/>
                <w:i/>
                <w:iCs/>
                <w:sz w:val="22"/>
                <w:szCs w:val="22"/>
              </w:rPr>
              <w:t>196,855,458</w:t>
            </w:r>
          </w:p>
        </w:tc>
      </w:tr>
      <w:tr w:rsidR="00EB53EC" w:rsidRPr="00E31579" w:rsidTr="003F1507">
        <w:trPr>
          <w:trHeight w:val="30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b/>
                <w:bCs/>
                <w:i/>
                <w:iCs/>
                <w:sz w:val="22"/>
                <w:szCs w:val="22"/>
              </w:rPr>
            </w:pPr>
            <w:r>
              <w:rPr>
                <w:rFonts w:ascii="Arial" w:hAnsi="Arial"/>
                <w:b/>
                <w:bCs/>
                <w:i/>
                <w:iCs/>
                <w:sz w:val="22"/>
                <w:szCs w:val="22"/>
              </w:rPr>
              <w:t>D1</w:t>
            </w:r>
          </w:p>
        </w:tc>
        <w:tc>
          <w:tcPr>
            <w:tcW w:w="4902" w:type="dxa"/>
            <w:tcBorders>
              <w:top w:val="single" w:sz="4" w:space="0" w:color="auto"/>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b/>
                <w:bCs/>
                <w:i/>
                <w:iCs/>
                <w:sz w:val="22"/>
                <w:szCs w:val="22"/>
              </w:rPr>
            </w:pPr>
            <w:r>
              <w:rPr>
                <w:rFonts w:ascii="Arial" w:hAnsi="Arial"/>
                <w:b/>
                <w:bCs/>
                <w:i/>
                <w:iCs/>
                <w:sz w:val="22"/>
                <w:szCs w:val="22"/>
              </w:rPr>
              <w:t>Cash and cash equivalents at the beginning of the period</w:t>
            </w:r>
          </w:p>
        </w:tc>
        <w:tc>
          <w:tcPr>
            <w:tcW w:w="2070" w:type="dxa"/>
            <w:tcBorders>
              <w:top w:val="single" w:sz="4" w:space="0" w:color="auto"/>
              <w:left w:val="single" w:sz="4" w:space="0" w:color="auto"/>
              <w:bottom w:val="nil"/>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b/>
                <w:bCs/>
                <w:i/>
                <w:iCs/>
                <w:sz w:val="22"/>
                <w:szCs w:val="22"/>
              </w:rPr>
            </w:pPr>
            <w:r>
              <w:rPr>
                <w:rFonts w:ascii="Arial" w:hAnsi="Arial"/>
                <w:b/>
                <w:bCs/>
                <w:i/>
                <w:iCs/>
                <w:sz w:val="22"/>
                <w:szCs w:val="22"/>
              </w:rPr>
              <w:t>209,845,721</w:t>
            </w:r>
          </w:p>
        </w:tc>
        <w:tc>
          <w:tcPr>
            <w:tcW w:w="1835" w:type="dxa"/>
            <w:tcBorders>
              <w:top w:val="single" w:sz="4" w:space="0" w:color="auto"/>
              <w:left w:val="nil"/>
              <w:bottom w:val="nil"/>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b/>
                <w:bCs/>
                <w:i/>
                <w:iCs/>
                <w:sz w:val="22"/>
                <w:szCs w:val="22"/>
              </w:rPr>
            </w:pPr>
            <w:r>
              <w:rPr>
                <w:rFonts w:ascii="Arial" w:hAnsi="Arial"/>
                <w:b/>
                <w:bCs/>
                <w:i/>
                <w:iCs/>
                <w:sz w:val="22"/>
                <w:szCs w:val="22"/>
              </w:rPr>
              <w:t>244,597,901</w:t>
            </w:r>
          </w:p>
        </w:tc>
      </w:tr>
      <w:tr w:rsidR="00EB53EC" w:rsidRPr="00E31579" w:rsidTr="003F1507">
        <w:trPr>
          <w:trHeight w:val="30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jc w:val="center"/>
              <w:rPr>
                <w:rFonts w:ascii="Arial" w:hAnsi="Arial" w:cs="Arial"/>
                <w:b/>
                <w:bCs/>
                <w:i/>
                <w:iCs/>
                <w:sz w:val="22"/>
                <w:szCs w:val="22"/>
              </w:rPr>
            </w:pPr>
            <w:r>
              <w:rPr>
                <w:rFonts w:ascii="Arial" w:hAnsi="Arial"/>
                <w:b/>
                <w:bCs/>
                <w:i/>
                <w:iCs/>
                <w:sz w:val="22"/>
                <w:szCs w:val="22"/>
              </w:rPr>
              <w:t>D2</w:t>
            </w:r>
          </w:p>
        </w:tc>
        <w:tc>
          <w:tcPr>
            <w:tcW w:w="4902" w:type="dxa"/>
            <w:tcBorders>
              <w:top w:val="single" w:sz="4" w:space="0" w:color="auto"/>
              <w:left w:val="nil"/>
              <w:bottom w:val="single" w:sz="4" w:space="0" w:color="auto"/>
              <w:right w:val="single" w:sz="4" w:space="0" w:color="auto"/>
            </w:tcBorders>
            <w:shd w:val="clear" w:color="auto" w:fill="auto"/>
            <w:noWrap/>
            <w:vAlign w:val="center"/>
            <w:hideMark/>
          </w:tcPr>
          <w:p w:rsidR="00EB53EC" w:rsidRPr="00E31579" w:rsidRDefault="00EB53EC" w:rsidP="003F1507">
            <w:pPr>
              <w:widowControl/>
              <w:autoSpaceDE/>
              <w:autoSpaceDN/>
              <w:adjustRightInd/>
              <w:rPr>
                <w:rFonts w:ascii="Arial" w:hAnsi="Arial" w:cs="Arial"/>
                <w:b/>
                <w:bCs/>
                <w:i/>
                <w:iCs/>
                <w:sz w:val="22"/>
                <w:szCs w:val="22"/>
              </w:rPr>
            </w:pPr>
            <w:r>
              <w:rPr>
                <w:rFonts w:ascii="Arial" w:hAnsi="Arial"/>
                <w:b/>
                <w:bCs/>
                <w:i/>
                <w:iCs/>
                <w:sz w:val="22"/>
                <w:szCs w:val="22"/>
              </w:rPr>
              <w:t>Cash and cash equivalents at the end of the period</w:t>
            </w:r>
          </w:p>
        </w:tc>
        <w:tc>
          <w:tcPr>
            <w:tcW w:w="2070" w:type="dxa"/>
            <w:tcBorders>
              <w:top w:val="single" w:sz="4" w:space="0" w:color="auto"/>
              <w:left w:val="single" w:sz="4" w:space="0" w:color="auto"/>
              <w:bottom w:val="nil"/>
              <w:right w:val="single" w:sz="4" w:space="0" w:color="auto"/>
            </w:tcBorders>
            <w:shd w:val="clear" w:color="auto" w:fill="auto"/>
            <w:noWrap/>
            <w:vAlign w:val="center"/>
          </w:tcPr>
          <w:p w:rsidR="00EB53EC" w:rsidRPr="00E31579" w:rsidRDefault="00C37EFE" w:rsidP="003F1507">
            <w:pPr>
              <w:widowControl/>
              <w:autoSpaceDE/>
              <w:autoSpaceDN/>
              <w:adjustRightInd/>
              <w:jc w:val="right"/>
              <w:rPr>
                <w:rFonts w:ascii="Arial" w:hAnsi="Arial" w:cs="Arial"/>
                <w:b/>
                <w:bCs/>
                <w:i/>
                <w:iCs/>
                <w:sz w:val="22"/>
                <w:szCs w:val="22"/>
              </w:rPr>
            </w:pPr>
            <w:r>
              <w:rPr>
                <w:rFonts w:ascii="Arial" w:hAnsi="Arial"/>
                <w:b/>
                <w:bCs/>
                <w:i/>
                <w:iCs/>
                <w:sz w:val="22"/>
                <w:szCs w:val="22"/>
              </w:rPr>
              <w:t>166,451,048</w:t>
            </w:r>
          </w:p>
        </w:tc>
        <w:tc>
          <w:tcPr>
            <w:tcW w:w="1835" w:type="dxa"/>
            <w:tcBorders>
              <w:top w:val="single" w:sz="4" w:space="0" w:color="auto"/>
              <w:left w:val="nil"/>
              <w:bottom w:val="nil"/>
              <w:right w:val="single" w:sz="4" w:space="0" w:color="auto"/>
            </w:tcBorders>
            <w:shd w:val="clear" w:color="auto" w:fill="auto"/>
            <w:noWrap/>
            <w:vAlign w:val="center"/>
          </w:tcPr>
          <w:p w:rsidR="00EB53EC" w:rsidRPr="00E31579" w:rsidRDefault="00EB53EC" w:rsidP="003F1507">
            <w:pPr>
              <w:widowControl/>
              <w:autoSpaceDE/>
              <w:autoSpaceDN/>
              <w:adjustRightInd/>
              <w:jc w:val="right"/>
              <w:rPr>
                <w:rFonts w:ascii="Arial" w:hAnsi="Arial" w:cs="Arial"/>
                <w:b/>
                <w:bCs/>
                <w:i/>
                <w:iCs/>
                <w:sz w:val="22"/>
                <w:szCs w:val="22"/>
              </w:rPr>
            </w:pPr>
            <w:r>
              <w:rPr>
                <w:rFonts w:ascii="Arial" w:hAnsi="Arial"/>
                <w:b/>
                <w:bCs/>
                <w:i/>
                <w:iCs/>
                <w:sz w:val="22"/>
                <w:szCs w:val="22"/>
              </w:rPr>
              <w:t>441,453,359</w:t>
            </w:r>
          </w:p>
        </w:tc>
      </w:tr>
      <w:tr w:rsidR="00EB53EC" w:rsidRPr="00E31579" w:rsidTr="003F1507">
        <w:trPr>
          <w:trHeight w:val="300"/>
        </w:trPr>
        <w:tc>
          <w:tcPr>
            <w:tcW w:w="498" w:type="dxa"/>
            <w:tcBorders>
              <w:top w:val="single" w:sz="4" w:space="0" w:color="auto"/>
              <w:left w:val="nil"/>
              <w:bottom w:val="nil"/>
              <w:right w:val="nil"/>
            </w:tcBorders>
            <w:shd w:val="clear" w:color="auto" w:fill="auto"/>
            <w:noWrap/>
            <w:vAlign w:val="bottom"/>
            <w:hideMark/>
          </w:tcPr>
          <w:p w:rsidR="00EB53EC" w:rsidRPr="00E31579" w:rsidRDefault="00EB53EC" w:rsidP="003F1507">
            <w:pPr>
              <w:widowControl/>
              <w:autoSpaceDE/>
              <w:autoSpaceDN/>
              <w:adjustRightInd/>
              <w:rPr>
                <w:rFonts w:ascii="Arial" w:hAnsi="Arial" w:cs="Arial"/>
                <w:b/>
                <w:bCs/>
                <w:i/>
                <w:iCs/>
                <w:sz w:val="22"/>
                <w:szCs w:val="22"/>
                <w:lang w:eastAsia="en-US"/>
              </w:rPr>
            </w:pPr>
          </w:p>
        </w:tc>
        <w:tc>
          <w:tcPr>
            <w:tcW w:w="4902" w:type="dxa"/>
            <w:tcBorders>
              <w:top w:val="single" w:sz="4" w:space="0" w:color="auto"/>
              <w:left w:val="nil"/>
              <w:bottom w:val="nil"/>
              <w:right w:val="nil"/>
            </w:tcBorders>
            <w:shd w:val="clear" w:color="auto" w:fill="auto"/>
            <w:noWrap/>
            <w:vAlign w:val="center"/>
            <w:hideMark/>
          </w:tcPr>
          <w:p w:rsidR="00EB53EC" w:rsidRPr="00E31579" w:rsidRDefault="00EB53EC" w:rsidP="003F1507">
            <w:pPr>
              <w:widowControl/>
              <w:autoSpaceDE/>
              <w:autoSpaceDN/>
              <w:adjustRightInd/>
              <w:rPr>
                <w:rFonts w:ascii="Arial" w:hAnsi="Arial" w:cs="Arial"/>
                <w:i/>
                <w:iCs/>
                <w:sz w:val="22"/>
                <w:szCs w:val="22"/>
              </w:rPr>
            </w:pPr>
            <w:r>
              <w:rPr>
                <w:rFonts w:ascii="Arial" w:hAnsi="Arial"/>
                <w:i/>
                <w:iCs/>
                <w:sz w:val="22"/>
                <w:szCs w:val="22"/>
              </w:rPr>
              <w:t>To which is being added:</w:t>
            </w:r>
          </w:p>
        </w:tc>
        <w:tc>
          <w:tcPr>
            <w:tcW w:w="2070" w:type="dxa"/>
            <w:tcBorders>
              <w:top w:val="single" w:sz="4" w:space="0" w:color="auto"/>
              <w:left w:val="nil"/>
              <w:bottom w:val="nil"/>
              <w:right w:val="nil"/>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lang w:eastAsia="en-US"/>
              </w:rPr>
            </w:pPr>
          </w:p>
        </w:tc>
        <w:tc>
          <w:tcPr>
            <w:tcW w:w="1835" w:type="dxa"/>
            <w:tcBorders>
              <w:top w:val="single" w:sz="4" w:space="0" w:color="auto"/>
              <w:left w:val="nil"/>
              <w:bottom w:val="nil"/>
              <w:right w:val="nil"/>
            </w:tcBorders>
            <w:shd w:val="clear" w:color="auto" w:fill="auto"/>
            <w:noWrap/>
            <w:vAlign w:val="center"/>
          </w:tcPr>
          <w:p w:rsidR="00EB53EC" w:rsidRPr="00E31579" w:rsidRDefault="00EB53EC" w:rsidP="003F1507">
            <w:pPr>
              <w:widowControl/>
              <w:autoSpaceDE/>
              <w:autoSpaceDN/>
              <w:adjustRightInd/>
              <w:jc w:val="right"/>
              <w:rPr>
                <w:rFonts w:ascii="Arial" w:hAnsi="Arial" w:cs="Arial"/>
                <w:sz w:val="22"/>
                <w:szCs w:val="22"/>
                <w:lang w:eastAsia="en-US"/>
              </w:rPr>
            </w:pPr>
          </w:p>
        </w:tc>
      </w:tr>
      <w:tr w:rsidR="00EB53EC" w:rsidRPr="00E31579" w:rsidTr="003F1507">
        <w:trPr>
          <w:trHeight w:val="300"/>
        </w:trPr>
        <w:tc>
          <w:tcPr>
            <w:tcW w:w="498" w:type="dxa"/>
            <w:tcBorders>
              <w:top w:val="nil"/>
              <w:left w:val="nil"/>
              <w:bottom w:val="nil"/>
              <w:right w:val="nil"/>
            </w:tcBorders>
            <w:shd w:val="clear" w:color="auto" w:fill="auto"/>
            <w:noWrap/>
            <w:vAlign w:val="bottom"/>
            <w:hideMark/>
          </w:tcPr>
          <w:p w:rsidR="00EB53EC" w:rsidRPr="00E31579" w:rsidRDefault="00EB53EC" w:rsidP="003F1507">
            <w:pPr>
              <w:widowControl/>
              <w:autoSpaceDE/>
              <w:autoSpaceDN/>
              <w:adjustRightInd/>
              <w:rPr>
                <w:rFonts w:ascii="Arial" w:hAnsi="Arial" w:cs="Arial"/>
                <w:sz w:val="22"/>
                <w:szCs w:val="22"/>
                <w:lang w:eastAsia="en-US"/>
              </w:rPr>
            </w:pPr>
          </w:p>
        </w:tc>
        <w:tc>
          <w:tcPr>
            <w:tcW w:w="4902" w:type="dxa"/>
            <w:tcBorders>
              <w:top w:val="nil"/>
              <w:left w:val="nil"/>
              <w:bottom w:val="single" w:sz="4" w:space="0" w:color="auto"/>
              <w:right w:val="nil"/>
            </w:tcBorders>
            <w:shd w:val="clear" w:color="auto" w:fill="auto"/>
            <w:noWrap/>
            <w:vAlign w:val="center"/>
            <w:hideMark/>
          </w:tcPr>
          <w:p w:rsidR="00EB53EC" w:rsidRPr="00E31579" w:rsidRDefault="00EB53EC" w:rsidP="003F1507">
            <w:pPr>
              <w:widowControl/>
              <w:autoSpaceDE/>
              <w:autoSpaceDN/>
              <w:adjustRightInd/>
              <w:rPr>
                <w:rFonts w:ascii="Arial" w:hAnsi="Arial" w:cs="Arial"/>
                <w:i/>
                <w:iCs/>
                <w:sz w:val="22"/>
                <w:szCs w:val="22"/>
              </w:rPr>
            </w:pPr>
            <w:r>
              <w:rPr>
                <w:rFonts w:ascii="Arial" w:hAnsi="Arial"/>
                <w:i/>
                <w:iCs/>
                <w:sz w:val="22"/>
                <w:szCs w:val="22"/>
              </w:rPr>
              <w:t>Government securities as government bonds and treasury bills</w:t>
            </w:r>
          </w:p>
        </w:tc>
        <w:tc>
          <w:tcPr>
            <w:tcW w:w="2070" w:type="dxa"/>
            <w:tcBorders>
              <w:top w:val="nil"/>
              <w:left w:val="nil"/>
              <w:bottom w:val="single" w:sz="4" w:space="0" w:color="auto"/>
              <w:right w:val="nil"/>
            </w:tcBorders>
            <w:shd w:val="clear" w:color="auto" w:fill="auto"/>
            <w:noWrap/>
            <w:vAlign w:val="center"/>
          </w:tcPr>
          <w:p w:rsidR="00EB53EC" w:rsidRPr="00E31579" w:rsidRDefault="00EB53EC" w:rsidP="003F1507">
            <w:pPr>
              <w:widowControl/>
              <w:autoSpaceDE/>
              <w:autoSpaceDN/>
              <w:adjustRightInd/>
              <w:jc w:val="right"/>
              <w:rPr>
                <w:rFonts w:ascii="Arial" w:hAnsi="Arial" w:cs="Arial"/>
                <w:i/>
                <w:iCs/>
                <w:sz w:val="22"/>
                <w:szCs w:val="22"/>
              </w:rPr>
            </w:pPr>
            <w:r>
              <w:rPr>
                <w:rFonts w:ascii="Arial" w:hAnsi="Arial"/>
                <w:i/>
                <w:iCs/>
                <w:sz w:val="22"/>
                <w:szCs w:val="22"/>
              </w:rPr>
              <w:t>70,309,618</w:t>
            </w:r>
          </w:p>
        </w:tc>
        <w:tc>
          <w:tcPr>
            <w:tcW w:w="1835" w:type="dxa"/>
            <w:tcBorders>
              <w:top w:val="nil"/>
              <w:left w:val="nil"/>
              <w:bottom w:val="single" w:sz="4" w:space="0" w:color="auto"/>
              <w:right w:val="nil"/>
            </w:tcBorders>
            <w:shd w:val="clear" w:color="auto" w:fill="auto"/>
            <w:noWrap/>
            <w:vAlign w:val="center"/>
          </w:tcPr>
          <w:p w:rsidR="00EB53EC" w:rsidRPr="00E31579" w:rsidRDefault="00EB53EC" w:rsidP="003F1507">
            <w:pPr>
              <w:widowControl/>
              <w:autoSpaceDE/>
              <w:autoSpaceDN/>
              <w:adjustRightInd/>
              <w:jc w:val="right"/>
              <w:rPr>
                <w:rFonts w:ascii="Arial" w:hAnsi="Arial" w:cs="Arial"/>
                <w:i/>
                <w:iCs/>
                <w:sz w:val="22"/>
                <w:szCs w:val="22"/>
              </w:rPr>
            </w:pPr>
            <w:r>
              <w:rPr>
                <w:rFonts w:ascii="Arial" w:hAnsi="Arial"/>
                <w:i/>
                <w:iCs/>
                <w:sz w:val="22"/>
                <w:szCs w:val="22"/>
              </w:rPr>
              <w:t>18,928,815</w:t>
            </w:r>
          </w:p>
        </w:tc>
      </w:tr>
      <w:tr w:rsidR="00EB53EC" w:rsidRPr="00E31579" w:rsidTr="003F1507">
        <w:trPr>
          <w:trHeight w:val="218"/>
        </w:trPr>
        <w:tc>
          <w:tcPr>
            <w:tcW w:w="498" w:type="dxa"/>
            <w:tcBorders>
              <w:top w:val="nil"/>
              <w:left w:val="nil"/>
              <w:bottom w:val="nil"/>
              <w:right w:val="nil"/>
            </w:tcBorders>
            <w:shd w:val="clear" w:color="auto" w:fill="auto"/>
            <w:noWrap/>
            <w:vAlign w:val="bottom"/>
            <w:hideMark/>
          </w:tcPr>
          <w:p w:rsidR="00EB53EC" w:rsidRPr="00E31579" w:rsidRDefault="00EB53EC" w:rsidP="003F1507">
            <w:pPr>
              <w:widowControl/>
              <w:autoSpaceDE/>
              <w:autoSpaceDN/>
              <w:adjustRightInd/>
              <w:rPr>
                <w:rFonts w:ascii="Arial" w:hAnsi="Arial" w:cs="Arial"/>
                <w:i/>
                <w:iCs/>
                <w:sz w:val="22"/>
                <w:szCs w:val="22"/>
                <w:lang w:eastAsia="en-US"/>
              </w:rPr>
            </w:pPr>
          </w:p>
        </w:tc>
        <w:tc>
          <w:tcPr>
            <w:tcW w:w="4902" w:type="dxa"/>
            <w:tcBorders>
              <w:top w:val="nil"/>
              <w:left w:val="nil"/>
              <w:bottom w:val="double" w:sz="4" w:space="0" w:color="auto"/>
              <w:right w:val="nil"/>
            </w:tcBorders>
            <w:shd w:val="clear" w:color="auto" w:fill="auto"/>
            <w:noWrap/>
            <w:vAlign w:val="center"/>
            <w:hideMark/>
          </w:tcPr>
          <w:p w:rsidR="00EB53EC" w:rsidRPr="00E31579" w:rsidRDefault="00EB53EC" w:rsidP="003F1507">
            <w:pPr>
              <w:widowControl/>
              <w:autoSpaceDE/>
              <w:autoSpaceDN/>
              <w:adjustRightInd/>
              <w:rPr>
                <w:rFonts w:ascii="Arial" w:hAnsi="Arial" w:cs="Arial"/>
                <w:b/>
                <w:bCs/>
                <w:i/>
                <w:iCs/>
                <w:sz w:val="22"/>
                <w:szCs w:val="22"/>
              </w:rPr>
            </w:pPr>
            <w:r>
              <w:rPr>
                <w:rFonts w:ascii="Arial" w:hAnsi="Arial"/>
                <w:b/>
                <w:bCs/>
                <w:i/>
                <w:iCs/>
                <w:sz w:val="22"/>
                <w:szCs w:val="22"/>
              </w:rPr>
              <w:t>Total availabilities  and financial investments at the end of the period</w:t>
            </w:r>
          </w:p>
        </w:tc>
        <w:tc>
          <w:tcPr>
            <w:tcW w:w="2070" w:type="dxa"/>
            <w:tcBorders>
              <w:top w:val="nil"/>
              <w:left w:val="nil"/>
              <w:bottom w:val="double" w:sz="4" w:space="0" w:color="auto"/>
              <w:right w:val="nil"/>
            </w:tcBorders>
            <w:shd w:val="clear" w:color="auto" w:fill="auto"/>
            <w:noWrap/>
            <w:vAlign w:val="center"/>
          </w:tcPr>
          <w:p w:rsidR="00EB53EC" w:rsidRPr="00E31579" w:rsidRDefault="00C37EFE" w:rsidP="003F1507">
            <w:pPr>
              <w:widowControl/>
              <w:autoSpaceDE/>
              <w:autoSpaceDN/>
              <w:adjustRightInd/>
              <w:jc w:val="right"/>
              <w:rPr>
                <w:rFonts w:ascii="Arial" w:hAnsi="Arial" w:cs="Arial"/>
                <w:b/>
                <w:bCs/>
                <w:i/>
                <w:iCs/>
                <w:sz w:val="22"/>
                <w:szCs w:val="22"/>
              </w:rPr>
            </w:pPr>
            <w:r>
              <w:rPr>
                <w:rFonts w:ascii="Arial" w:hAnsi="Arial"/>
                <w:b/>
                <w:bCs/>
                <w:i/>
                <w:iCs/>
                <w:sz w:val="22"/>
                <w:szCs w:val="22"/>
              </w:rPr>
              <w:t>236,760,666</w:t>
            </w:r>
          </w:p>
        </w:tc>
        <w:tc>
          <w:tcPr>
            <w:tcW w:w="1835" w:type="dxa"/>
            <w:tcBorders>
              <w:top w:val="nil"/>
              <w:left w:val="nil"/>
              <w:bottom w:val="double" w:sz="4" w:space="0" w:color="auto"/>
              <w:right w:val="nil"/>
            </w:tcBorders>
            <w:shd w:val="clear" w:color="auto" w:fill="auto"/>
            <w:noWrap/>
            <w:vAlign w:val="center"/>
          </w:tcPr>
          <w:p w:rsidR="00EB53EC" w:rsidRPr="00E31579" w:rsidRDefault="00EB53EC" w:rsidP="003F1507">
            <w:pPr>
              <w:widowControl/>
              <w:autoSpaceDE/>
              <w:autoSpaceDN/>
              <w:adjustRightInd/>
              <w:jc w:val="right"/>
              <w:rPr>
                <w:rFonts w:ascii="Arial" w:hAnsi="Arial" w:cs="Arial"/>
                <w:b/>
                <w:bCs/>
                <w:i/>
                <w:iCs/>
                <w:sz w:val="22"/>
                <w:szCs w:val="22"/>
              </w:rPr>
            </w:pPr>
            <w:r>
              <w:rPr>
                <w:rFonts w:ascii="Arial" w:hAnsi="Arial"/>
                <w:b/>
                <w:bCs/>
                <w:i/>
                <w:iCs/>
                <w:sz w:val="22"/>
                <w:szCs w:val="22"/>
              </w:rPr>
              <w:t>460,382,174</w:t>
            </w:r>
          </w:p>
        </w:tc>
      </w:tr>
    </w:tbl>
    <w:p w:rsidR="00EB53EC" w:rsidRPr="00A74CF5" w:rsidRDefault="00EB53EC" w:rsidP="00EB53EC">
      <w:pPr>
        <w:widowControl/>
        <w:tabs>
          <w:tab w:val="left" w:pos="2190"/>
        </w:tabs>
        <w:autoSpaceDE/>
        <w:autoSpaceDN/>
        <w:adjustRightInd/>
        <w:rPr>
          <w:rFonts w:ascii="Arial" w:hAnsi="Arial" w:cs="Arial"/>
          <w:b/>
          <w:iCs/>
          <w:sz w:val="22"/>
          <w:szCs w:val="22"/>
          <w:lang w:val="fr-FR"/>
        </w:rPr>
      </w:pPr>
    </w:p>
    <w:p w:rsidR="00EB53EC" w:rsidRDefault="00EB53EC" w:rsidP="00EB53EC">
      <w:pPr>
        <w:widowControl/>
        <w:autoSpaceDE/>
        <w:autoSpaceDN/>
        <w:adjustRightInd/>
        <w:rPr>
          <w:rFonts w:ascii="Arial" w:hAnsi="Arial" w:cs="Arial"/>
          <w:b/>
          <w:iCs/>
          <w:sz w:val="22"/>
          <w:szCs w:val="22"/>
          <w:lang w:val="fr-FR"/>
        </w:rPr>
      </w:pPr>
    </w:p>
    <w:p w:rsidR="00EB53EC" w:rsidRDefault="00EB53EC" w:rsidP="00EB53EC">
      <w:pPr>
        <w:widowControl/>
        <w:autoSpaceDE/>
        <w:autoSpaceDN/>
        <w:adjustRightInd/>
        <w:rPr>
          <w:rFonts w:ascii="Arial" w:hAnsi="Arial" w:cs="Arial"/>
          <w:b/>
          <w:iCs/>
          <w:sz w:val="22"/>
          <w:szCs w:val="22"/>
          <w:lang w:val="fr-FR"/>
        </w:rPr>
      </w:pPr>
    </w:p>
    <w:p w:rsidR="00EB53EC" w:rsidRPr="00A74CF5" w:rsidRDefault="00EB53EC" w:rsidP="00EB53EC">
      <w:pPr>
        <w:widowControl/>
        <w:autoSpaceDE/>
        <w:autoSpaceDN/>
        <w:adjustRightInd/>
        <w:rPr>
          <w:rFonts w:ascii="Arial" w:hAnsi="Arial" w:cs="Arial"/>
          <w:b/>
          <w:iCs/>
          <w:sz w:val="22"/>
          <w:szCs w:val="22"/>
          <w:lang w:val="fr-FR"/>
        </w:rPr>
      </w:pPr>
    </w:p>
    <w:p w:rsidR="00EB53EC" w:rsidRDefault="00EB53EC" w:rsidP="00EB53EC">
      <w:pPr>
        <w:widowControl/>
        <w:tabs>
          <w:tab w:val="left" w:pos="2190"/>
        </w:tabs>
        <w:autoSpaceDE/>
        <w:autoSpaceDN/>
        <w:adjustRightInd/>
        <w:rPr>
          <w:rFonts w:ascii="Arial" w:hAnsi="Arial" w:cs="Arial"/>
          <w:b/>
          <w:iCs/>
          <w:sz w:val="22"/>
          <w:szCs w:val="22"/>
          <w:lang w:val="fr-FR"/>
        </w:rPr>
      </w:pPr>
    </w:p>
    <w:p w:rsidR="00EB53EC" w:rsidRPr="00C37BEC" w:rsidRDefault="00EB53EC" w:rsidP="00EB53EC">
      <w:pPr>
        <w:widowControl/>
        <w:tabs>
          <w:tab w:val="left" w:pos="2190"/>
        </w:tabs>
        <w:autoSpaceDE/>
        <w:autoSpaceDN/>
        <w:adjustRightInd/>
        <w:rPr>
          <w:rFonts w:ascii="Arial" w:hAnsi="Arial" w:cs="Arial"/>
          <w:b/>
          <w:iCs/>
          <w:sz w:val="22"/>
          <w:szCs w:val="22"/>
          <w:lang w:val="fr-FR"/>
        </w:rPr>
      </w:pPr>
    </w:p>
    <w:p w:rsidR="00EB53EC" w:rsidRDefault="00EB53EC" w:rsidP="00EB53EC">
      <w:pPr>
        <w:rPr>
          <w:rFonts w:ascii="Arial" w:hAnsi="Arial" w:cs="Arial"/>
          <w:sz w:val="22"/>
          <w:szCs w:val="22"/>
          <w:lang w:val="fr-FR"/>
        </w:rPr>
      </w:pPr>
    </w:p>
    <w:p w:rsidR="00EB53EC" w:rsidRPr="00C37BEC" w:rsidRDefault="00EB53EC" w:rsidP="00EB53EC">
      <w:pPr>
        <w:rPr>
          <w:rFonts w:ascii="Arial" w:hAnsi="Arial" w:cs="Arial"/>
          <w:sz w:val="22"/>
          <w:szCs w:val="22"/>
          <w:lang w:val="fr-FR"/>
        </w:rPr>
      </w:pPr>
    </w:p>
    <w:p w:rsidR="00EB53EC" w:rsidRDefault="00EB53EC" w:rsidP="00EB53EC">
      <w:pPr>
        <w:tabs>
          <w:tab w:val="left" w:pos="2699"/>
        </w:tabs>
        <w:rPr>
          <w:rFonts w:ascii="Arial" w:hAnsi="Arial" w:cs="Arial"/>
          <w:sz w:val="22"/>
          <w:szCs w:val="22"/>
        </w:rPr>
      </w:pPr>
      <w:r>
        <w:rPr>
          <w:rFonts w:ascii="Arial" w:hAnsi="Arial"/>
          <w:sz w:val="22"/>
          <w:szCs w:val="22"/>
        </w:rPr>
        <w:lastRenderedPageBreak/>
        <w:tab/>
      </w:r>
    </w:p>
    <w:p w:rsidR="00EB53EC" w:rsidRPr="00CA3CF8" w:rsidRDefault="00EB53EC" w:rsidP="00EB53EC">
      <w:pPr>
        <w:widowControl/>
        <w:tabs>
          <w:tab w:val="left" w:pos="2190"/>
        </w:tabs>
        <w:autoSpaceDE/>
        <w:autoSpaceDN/>
        <w:adjustRightInd/>
        <w:rPr>
          <w:rFonts w:ascii="Arial" w:hAnsi="Arial" w:cs="Arial"/>
          <w:b/>
          <w:iCs/>
          <w:color w:val="1F4E79" w:themeColor="accent1" w:themeShade="80"/>
          <w:sz w:val="22"/>
          <w:szCs w:val="22"/>
        </w:rPr>
      </w:pPr>
      <w:r>
        <w:rPr>
          <w:rFonts w:ascii="Arial" w:hAnsi="Arial"/>
          <w:b/>
          <w:iCs/>
          <w:color w:val="1F4E79" w:themeColor="accent1" w:themeShade="80"/>
          <w:sz w:val="22"/>
          <w:szCs w:val="22"/>
        </w:rPr>
        <w:t>Annex no. 4</w:t>
      </w:r>
    </w:p>
    <w:p w:rsidR="00EB53EC" w:rsidRPr="00CA3CF8" w:rsidRDefault="00EB53EC" w:rsidP="00EB53EC">
      <w:pPr>
        <w:tabs>
          <w:tab w:val="left" w:pos="2699"/>
        </w:tabs>
        <w:rPr>
          <w:rFonts w:ascii="Arial" w:hAnsi="Arial" w:cs="Arial"/>
          <w:color w:val="1F4E79" w:themeColor="accent1" w:themeShade="80"/>
          <w:sz w:val="22"/>
          <w:szCs w:val="22"/>
          <w:lang w:val="fr-FR"/>
        </w:rPr>
      </w:pPr>
    </w:p>
    <w:p w:rsidR="00EB53EC" w:rsidRPr="00CA3CF8" w:rsidRDefault="00EB53EC" w:rsidP="00EB53EC">
      <w:pPr>
        <w:tabs>
          <w:tab w:val="left" w:pos="2699"/>
        </w:tabs>
        <w:jc w:val="center"/>
        <w:rPr>
          <w:rFonts w:ascii="Arial" w:hAnsi="Arial" w:cs="Arial"/>
          <w:b/>
          <w:color w:val="1F4E79" w:themeColor="accent1" w:themeShade="80"/>
          <w:sz w:val="22"/>
          <w:szCs w:val="22"/>
        </w:rPr>
      </w:pPr>
      <w:r>
        <w:rPr>
          <w:rFonts w:ascii="Arial" w:hAnsi="Arial"/>
          <w:b/>
          <w:color w:val="1F4E79" w:themeColor="accent1" w:themeShade="80"/>
          <w:sz w:val="22"/>
          <w:szCs w:val="22"/>
        </w:rPr>
        <w:t>EXECUTION OF THE REVENUES AND EXPENDITURE BUDGET AT JUNE 30, 2018</w:t>
      </w:r>
    </w:p>
    <w:p w:rsidR="00EB53EC" w:rsidRPr="00CA3CF8" w:rsidRDefault="00EB53EC" w:rsidP="00EB53EC">
      <w:pPr>
        <w:tabs>
          <w:tab w:val="left" w:pos="2699"/>
        </w:tabs>
        <w:rPr>
          <w:rFonts w:ascii="Arial" w:hAnsi="Arial" w:cs="Arial"/>
          <w:color w:val="1F4E79" w:themeColor="accent1" w:themeShade="80"/>
          <w:sz w:val="22"/>
          <w:szCs w:val="22"/>
          <w:lang w:val="fr-FR"/>
        </w:rPr>
      </w:pP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1371"/>
        <w:gridCol w:w="1371"/>
        <w:gridCol w:w="1549"/>
      </w:tblGrid>
      <w:tr w:rsidR="00EB53EC" w:rsidRPr="004914B1" w:rsidTr="003F1507">
        <w:trPr>
          <w:trHeight w:val="228"/>
          <w:jc w:val="center"/>
        </w:trPr>
        <w:tc>
          <w:tcPr>
            <w:tcW w:w="4552" w:type="dxa"/>
            <w:shd w:val="clear" w:color="auto" w:fill="DEEAF6" w:themeFill="accent1" w:themeFillTint="33"/>
            <w:vAlign w:val="center"/>
          </w:tcPr>
          <w:p w:rsidR="00EB53EC" w:rsidRPr="004914B1" w:rsidRDefault="00AC3D73" w:rsidP="003F1507">
            <w:pPr>
              <w:widowControl/>
              <w:autoSpaceDE/>
              <w:autoSpaceDN/>
              <w:adjustRightInd/>
              <w:jc w:val="center"/>
              <w:rPr>
                <w:rFonts w:ascii="Arial" w:hAnsi="Arial" w:cs="Arial"/>
                <w:b/>
                <w:bCs/>
                <w:color w:val="000000"/>
                <w:sz w:val="22"/>
                <w:szCs w:val="22"/>
              </w:rPr>
            </w:pPr>
            <w:r>
              <w:rPr>
                <w:rFonts w:ascii="Arial" w:hAnsi="Arial"/>
                <w:b/>
                <w:bCs/>
                <w:color w:val="000000"/>
                <w:sz w:val="22"/>
                <w:szCs w:val="22"/>
              </w:rPr>
              <w:t>INDICATORS</w:t>
            </w:r>
            <w:r w:rsidR="00EB53EC">
              <w:rPr>
                <w:rFonts w:ascii="Arial" w:hAnsi="Arial"/>
                <w:b/>
                <w:bCs/>
                <w:color w:val="000000"/>
                <w:sz w:val="22"/>
                <w:szCs w:val="22"/>
              </w:rPr>
              <w:t xml:space="preserve"> (thousand RON)</w:t>
            </w:r>
          </w:p>
        </w:tc>
        <w:tc>
          <w:tcPr>
            <w:tcW w:w="1371" w:type="dxa"/>
            <w:tcBorders>
              <w:bottom w:val="single" w:sz="4" w:space="0" w:color="auto"/>
            </w:tcBorders>
            <w:shd w:val="clear" w:color="auto" w:fill="DEEAF6" w:themeFill="accent1" w:themeFillTint="33"/>
            <w:noWrap/>
            <w:vAlign w:val="center"/>
          </w:tcPr>
          <w:p w:rsidR="00EB53EC" w:rsidRPr="004914B1" w:rsidRDefault="00EB53EC" w:rsidP="003F1507">
            <w:pPr>
              <w:widowControl/>
              <w:autoSpaceDE/>
              <w:autoSpaceDN/>
              <w:adjustRightInd/>
              <w:jc w:val="center"/>
              <w:rPr>
                <w:rFonts w:ascii="Arial" w:hAnsi="Arial" w:cs="Arial"/>
                <w:b/>
                <w:color w:val="000000"/>
                <w:sz w:val="22"/>
                <w:szCs w:val="22"/>
              </w:rPr>
            </w:pPr>
            <w:r>
              <w:rPr>
                <w:rFonts w:ascii="Arial" w:hAnsi="Arial"/>
                <w:b/>
                <w:color w:val="000000"/>
                <w:sz w:val="22"/>
                <w:szCs w:val="22"/>
              </w:rPr>
              <w:t>Achieved Semester I 2018</w:t>
            </w:r>
          </w:p>
        </w:tc>
        <w:tc>
          <w:tcPr>
            <w:tcW w:w="1371" w:type="dxa"/>
            <w:tcBorders>
              <w:bottom w:val="single" w:sz="4" w:space="0" w:color="auto"/>
            </w:tcBorders>
            <w:shd w:val="clear" w:color="auto" w:fill="DEEAF6" w:themeFill="accent1" w:themeFillTint="33"/>
            <w:noWrap/>
            <w:vAlign w:val="center"/>
          </w:tcPr>
          <w:p w:rsidR="00EB53EC" w:rsidRPr="004914B1" w:rsidRDefault="00EB53EC" w:rsidP="003F1507">
            <w:pPr>
              <w:widowControl/>
              <w:autoSpaceDE/>
              <w:autoSpaceDN/>
              <w:adjustRightInd/>
              <w:jc w:val="center"/>
              <w:rPr>
                <w:rFonts w:ascii="Arial" w:hAnsi="Arial" w:cs="Arial"/>
                <w:b/>
                <w:color w:val="000000"/>
                <w:sz w:val="22"/>
                <w:szCs w:val="22"/>
              </w:rPr>
            </w:pPr>
            <w:r>
              <w:rPr>
                <w:rFonts w:ascii="Arial" w:hAnsi="Arial"/>
                <w:b/>
                <w:color w:val="000000"/>
                <w:sz w:val="22"/>
                <w:szCs w:val="22"/>
              </w:rPr>
              <w:t>Budget</w:t>
            </w:r>
          </w:p>
          <w:p w:rsidR="00EB53EC" w:rsidRPr="004914B1" w:rsidRDefault="00EB53EC" w:rsidP="003F1507">
            <w:pPr>
              <w:widowControl/>
              <w:autoSpaceDE/>
              <w:autoSpaceDN/>
              <w:adjustRightInd/>
              <w:jc w:val="center"/>
              <w:rPr>
                <w:rFonts w:ascii="Arial" w:hAnsi="Arial" w:cs="Arial"/>
                <w:b/>
                <w:color w:val="000000"/>
                <w:sz w:val="22"/>
                <w:szCs w:val="22"/>
              </w:rPr>
            </w:pPr>
            <w:r>
              <w:rPr>
                <w:rFonts w:ascii="Arial" w:hAnsi="Arial"/>
                <w:b/>
                <w:color w:val="000000"/>
                <w:sz w:val="22"/>
                <w:szCs w:val="22"/>
              </w:rPr>
              <w:t xml:space="preserve"> Semester I 2018</w:t>
            </w:r>
          </w:p>
        </w:tc>
        <w:tc>
          <w:tcPr>
            <w:tcW w:w="1251" w:type="dxa"/>
            <w:tcBorders>
              <w:bottom w:val="single" w:sz="4" w:space="0" w:color="auto"/>
            </w:tcBorders>
            <w:shd w:val="clear" w:color="auto" w:fill="DEEAF6" w:themeFill="accent1" w:themeFillTint="33"/>
            <w:noWrap/>
            <w:vAlign w:val="center"/>
          </w:tcPr>
          <w:p w:rsidR="00EB53EC" w:rsidRDefault="00EB53EC" w:rsidP="003F1507">
            <w:pPr>
              <w:widowControl/>
              <w:autoSpaceDE/>
              <w:autoSpaceDN/>
              <w:adjustRightInd/>
              <w:jc w:val="center"/>
              <w:rPr>
                <w:rFonts w:ascii="Arial" w:hAnsi="Arial" w:cs="Arial"/>
                <w:b/>
                <w:color w:val="000000"/>
                <w:sz w:val="22"/>
                <w:szCs w:val="22"/>
              </w:rPr>
            </w:pPr>
            <w:r>
              <w:rPr>
                <w:rFonts w:ascii="Arial" w:hAnsi="Arial"/>
                <w:b/>
                <w:color w:val="000000"/>
                <w:sz w:val="22"/>
                <w:szCs w:val="22"/>
              </w:rPr>
              <w:t>Degree of achievement</w:t>
            </w:r>
          </w:p>
          <w:p w:rsidR="00EB53EC" w:rsidRPr="004914B1" w:rsidRDefault="00EB53EC" w:rsidP="003F1507">
            <w:pPr>
              <w:widowControl/>
              <w:autoSpaceDE/>
              <w:autoSpaceDN/>
              <w:adjustRightInd/>
              <w:jc w:val="center"/>
              <w:rPr>
                <w:rFonts w:ascii="Arial" w:hAnsi="Arial" w:cs="Arial"/>
                <w:b/>
                <w:color w:val="000000"/>
                <w:sz w:val="22"/>
                <w:szCs w:val="22"/>
              </w:rPr>
            </w:pPr>
            <w:r>
              <w:rPr>
                <w:rFonts w:ascii="Arial" w:hAnsi="Arial"/>
                <w:b/>
                <w:color w:val="000000"/>
                <w:sz w:val="22"/>
                <w:szCs w:val="22"/>
              </w:rPr>
              <w:t>%</w:t>
            </w:r>
          </w:p>
        </w:tc>
      </w:tr>
      <w:tr w:rsidR="00EB53EC" w:rsidRPr="004914B1" w:rsidTr="003F1507">
        <w:trPr>
          <w:trHeight w:val="262"/>
          <w:jc w:val="center"/>
        </w:trPr>
        <w:tc>
          <w:tcPr>
            <w:tcW w:w="4552" w:type="dxa"/>
            <w:shd w:val="clear" w:color="auto" w:fill="auto"/>
            <w:vAlign w:val="center"/>
            <w:hideMark/>
          </w:tcPr>
          <w:p w:rsidR="00EB53EC" w:rsidRPr="00501B00" w:rsidRDefault="00EB53EC" w:rsidP="003F1507">
            <w:pPr>
              <w:widowControl/>
              <w:autoSpaceDE/>
              <w:autoSpaceDN/>
              <w:adjustRightInd/>
              <w:rPr>
                <w:rFonts w:ascii="Arial" w:hAnsi="Arial" w:cs="Arial"/>
                <w:b/>
                <w:bCs/>
                <w:color w:val="000000"/>
                <w:sz w:val="22"/>
                <w:szCs w:val="22"/>
              </w:rPr>
            </w:pPr>
            <w:r>
              <w:rPr>
                <w:rFonts w:ascii="Arial" w:hAnsi="Arial"/>
                <w:b/>
                <w:bCs/>
                <w:color w:val="000000"/>
                <w:sz w:val="22"/>
                <w:szCs w:val="22"/>
              </w:rPr>
              <w:t xml:space="preserve">I. TOTAL REVENUES  </w:t>
            </w:r>
          </w:p>
        </w:tc>
        <w:tc>
          <w:tcPr>
            <w:tcW w:w="1371" w:type="dxa"/>
            <w:tcBorders>
              <w:top w:val="single" w:sz="4" w:space="0" w:color="auto"/>
              <w:bottom w:val="single" w:sz="4" w:space="0" w:color="auto"/>
            </w:tcBorders>
            <w:shd w:val="clear" w:color="FFFFFF" w:fill="FFFFFF"/>
            <w:noWrap/>
            <w:vAlign w:val="center"/>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202,357</w:t>
            </w:r>
          </w:p>
        </w:tc>
        <w:tc>
          <w:tcPr>
            <w:tcW w:w="1371" w:type="dxa"/>
            <w:tcBorders>
              <w:top w:val="single" w:sz="4" w:space="0" w:color="auto"/>
              <w:left w:val="nil"/>
              <w:bottom w:val="single" w:sz="4" w:space="0" w:color="auto"/>
              <w:right w:val="nil"/>
            </w:tcBorders>
            <w:shd w:val="clear" w:color="auto" w:fill="auto"/>
            <w:noWrap/>
            <w:vAlign w:val="center"/>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197,962</w:t>
            </w:r>
          </w:p>
        </w:tc>
        <w:tc>
          <w:tcPr>
            <w:tcW w:w="1251" w:type="dxa"/>
            <w:tcBorders>
              <w:top w:val="single" w:sz="4" w:space="0" w:color="auto"/>
              <w:bottom w:val="single" w:sz="4" w:space="0" w:color="auto"/>
            </w:tcBorders>
            <w:shd w:val="clear" w:color="FFFFFF" w:fill="FFFFFF"/>
            <w:noWrap/>
            <w:vAlign w:val="center"/>
            <w:hideMark/>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102.2%</w:t>
            </w:r>
          </w:p>
        </w:tc>
      </w:tr>
      <w:tr w:rsidR="00EB53EC" w:rsidRPr="004914B1" w:rsidTr="003F1507">
        <w:trPr>
          <w:trHeight w:val="262"/>
          <w:jc w:val="center"/>
        </w:trPr>
        <w:tc>
          <w:tcPr>
            <w:tcW w:w="4552" w:type="dxa"/>
            <w:shd w:val="clear" w:color="auto" w:fill="auto"/>
            <w:hideMark/>
          </w:tcPr>
          <w:p w:rsidR="00EB53EC" w:rsidRPr="004914B1" w:rsidRDefault="00EB53EC" w:rsidP="003F1507">
            <w:pPr>
              <w:widowControl/>
              <w:autoSpaceDE/>
              <w:autoSpaceDN/>
              <w:adjustRightInd/>
              <w:rPr>
                <w:rFonts w:ascii="Arial" w:hAnsi="Arial" w:cs="Arial"/>
                <w:bCs/>
                <w:color w:val="000000"/>
                <w:sz w:val="22"/>
                <w:szCs w:val="22"/>
              </w:rPr>
            </w:pPr>
            <w:r>
              <w:rPr>
                <w:rFonts w:ascii="Arial" w:hAnsi="Arial"/>
                <w:bCs/>
                <w:color w:val="000000"/>
                <w:sz w:val="22"/>
                <w:szCs w:val="22"/>
              </w:rPr>
              <w:t xml:space="preserve"> 1.1 Total Operating Revenues</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199,983</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197,153</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101.4%</w:t>
            </w:r>
          </w:p>
        </w:tc>
      </w:tr>
      <w:tr w:rsidR="00EB53EC" w:rsidRPr="004914B1" w:rsidTr="003F1507">
        <w:trPr>
          <w:trHeight w:val="262"/>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Cs/>
                <w:color w:val="000000"/>
                <w:sz w:val="22"/>
                <w:szCs w:val="22"/>
              </w:rPr>
            </w:pPr>
            <w:r>
              <w:rPr>
                <w:rFonts w:ascii="Arial" w:hAnsi="Arial"/>
                <w:bCs/>
                <w:color w:val="000000"/>
                <w:sz w:val="22"/>
                <w:szCs w:val="22"/>
              </w:rPr>
              <w:t xml:space="preserve"> 1.2 Financial revenues</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2,374</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809</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293.4%</w:t>
            </w:r>
          </w:p>
        </w:tc>
      </w:tr>
      <w:tr w:rsidR="00EB53EC" w:rsidRPr="004914B1" w:rsidTr="003F1507">
        <w:trPr>
          <w:trHeight w:val="253"/>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
                <w:bCs/>
                <w:color w:val="000000"/>
                <w:sz w:val="22"/>
                <w:szCs w:val="22"/>
              </w:rPr>
            </w:pPr>
            <w:r>
              <w:rPr>
                <w:rFonts w:ascii="Arial" w:hAnsi="Arial"/>
                <w:b/>
                <w:bCs/>
                <w:color w:val="000000"/>
                <w:sz w:val="22"/>
                <w:szCs w:val="22"/>
              </w:rPr>
              <w:t>II TOTAL EXPENSES</w:t>
            </w:r>
          </w:p>
        </w:tc>
        <w:tc>
          <w:tcPr>
            <w:tcW w:w="1371" w:type="dxa"/>
            <w:tcBorders>
              <w:top w:val="single" w:sz="4" w:space="0" w:color="auto"/>
              <w:bottom w:val="single" w:sz="4" w:space="0" w:color="auto"/>
            </w:tcBorders>
            <w:shd w:val="clear" w:color="FFFFFF" w:fill="FFFFFF"/>
            <w:noWrap/>
            <w:vAlign w:val="center"/>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176,733</w:t>
            </w:r>
          </w:p>
        </w:tc>
        <w:tc>
          <w:tcPr>
            <w:tcW w:w="1371" w:type="dxa"/>
            <w:tcBorders>
              <w:top w:val="single" w:sz="4" w:space="0" w:color="auto"/>
              <w:left w:val="nil"/>
              <w:bottom w:val="single" w:sz="4" w:space="0" w:color="auto"/>
              <w:right w:val="nil"/>
            </w:tcBorders>
            <w:shd w:val="clear" w:color="auto" w:fill="auto"/>
            <w:noWrap/>
            <w:vAlign w:val="center"/>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173,337</w:t>
            </w:r>
          </w:p>
        </w:tc>
        <w:tc>
          <w:tcPr>
            <w:tcW w:w="1251" w:type="dxa"/>
            <w:tcBorders>
              <w:top w:val="single" w:sz="4" w:space="0" w:color="auto"/>
              <w:bottom w:val="single" w:sz="4" w:space="0" w:color="auto"/>
            </w:tcBorders>
            <w:shd w:val="clear" w:color="FFFFFF" w:fill="FFFFFF"/>
            <w:noWrap/>
            <w:vAlign w:val="center"/>
            <w:hideMark/>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102.0%</w:t>
            </w:r>
          </w:p>
        </w:tc>
      </w:tr>
      <w:tr w:rsidR="00EB53EC" w:rsidRPr="004914B1" w:rsidTr="003F1507">
        <w:trPr>
          <w:trHeight w:val="352"/>
          <w:jc w:val="center"/>
        </w:trPr>
        <w:tc>
          <w:tcPr>
            <w:tcW w:w="4552" w:type="dxa"/>
            <w:shd w:val="clear" w:color="auto" w:fill="auto"/>
            <w:vAlign w:val="center"/>
            <w:hideMark/>
          </w:tcPr>
          <w:p w:rsidR="00EB53EC" w:rsidRPr="004914B1" w:rsidRDefault="00FA14DC" w:rsidP="003F1507">
            <w:pPr>
              <w:widowControl/>
              <w:autoSpaceDE/>
              <w:autoSpaceDN/>
              <w:adjustRightInd/>
              <w:rPr>
                <w:rFonts w:ascii="Arial" w:hAnsi="Arial" w:cs="Arial"/>
                <w:bCs/>
                <w:color w:val="000000"/>
                <w:sz w:val="22"/>
                <w:szCs w:val="22"/>
              </w:rPr>
            </w:pPr>
            <w:r>
              <w:rPr>
                <w:rFonts w:ascii="Arial" w:hAnsi="Arial"/>
                <w:bCs/>
                <w:color w:val="000000"/>
                <w:sz w:val="22"/>
                <w:szCs w:val="22"/>
              </w:rPr>
              <w:t xml:space="preserve"> 2.1 O</w:t>
            </w:r>
            <w:r w:rsidR="00EB53EC">
              <w:rPr>
                <w:rFonts w:ascii="Arial" w:hAnsi="Arial"/>
                <w:bCs/>
                <w:color w:val="000000"/>
                <w:sz w:val="22"/>
                <w:szCs w:val="22"/>
              </w:rPr>
              <w:t>perating expenses</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176,728</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173,287</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102.0%</w:t>
            </w:r>
          </w:p>
        </w:tc>
      </w:tr>
      <w:tr w:rsidR="00EB53EC" w:rsidRPr="004914B1" w:rsidTr="003F1507">
        <w:trPr>
          <w:trHeight w:val="285"/>
          <w:jc w:val="center"/>
        </w:trPr>
        <w:tc>
          <w:tcPr>
            <w:tcW w:w="4552" w:type="dxa"/>
            <w:shd w:val="clear" w:color="auto" w:fill="auto"/>
            <w:vAlign w:val="center"/>
            <w:hideMark/>
          </w:tcPr>
          <w:p w:rsidR="00EB53EC" w:rsidRPr="004914B1" w:rsidRDefault="00EB53EC" w:rsidP="003F1507">
            <w:pPr>
              <w:widowControl/>
              <w:autoSpaceDE/>
              <w:autoSpaceDN/>
              <w:adjustRightInd/>
              <w:spacing w:after="200" w:line="276" w:lineRule="auto"/>
              <w:contextualSpacing/>
              <w:rPr>
                <w:rFonts w:ascii="Arial" w:eastAsia="Calibri" w:hAnsi="Arial" w:cs="Arial"/>
                <w:bCs/>
                <w:color w:val="000000"/>
                <w:sz w:val="22"/>
                <w:szCs w:val="22"/>
              </w:rPr>
            </w:pPr>
            <w:r>
              <w:rPr>
                <w:rFonts w:ascii="Arial" w:hAnsi="Arial"/>
                <w:bCs/>
                <w:color w:val="000000"/>
                <w:sz w:val="22"/>
                <w:szCs w:val="22"/>
              </w:rPr>
              <w:t>Goods and Services Expenses</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44,061</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FA14DC" w:rsidP="003F1507">
            <w:pPr>
              <w:widowControl/>
              <w:autoSpaceDE/>
              <w:autoSpaceDN/>
              <w:adjustRightInd/>
              <w:jc w:val="right"/>
              <w:rPr>
                <w:rFonts w:ascii="Arial" w:hAnsi="Arial" w:cs="Arial"/>
                <w:color w:val="000000"/>
                <w:sz w:val="22"/>
                <w:szCs w:val="22"/>
              </w:rPr>
            </w:pPr>
            <w:r>
              <w:rPr>
                <w:rFonts w:ascii="Arial" w:hAnsi="Arial"/>
                <w:color w:val="000000"/>
                <w:sz w:val="22"/>
                <w:szCs w:val="22"/>
              </w:rPr>
              <w:t>46,947</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93.9%</w:t>
            </w:r>
          </w:p>
        </w:tc>
      </w:tr>
      <w:tr w:rsidR="00EB53EC" w:rsidRPr="004914B1" w:rsidTr="003F1507">
        <w:trPr>
          <w:trHeight w:val="278"/>
          <w:jc w:val="center"/>
        </w:trPr>
        <w:tc>
          <w:tcPr>
            <w:tcW w:w="4552" w:type="dxa"/>
            <w:shd w:val="clear" w:color="auto" w:fill="auto"/>
            <w:vAlign w:val="center"/>
            <w:hideMark/>
          </w:tcPr>
          <w:p w:rsidR="00EB53EC" w:rsidRPr="004914B1" w:rsidRDefault="00EB53EC" w:rsidP="003F1507">
            <w:pPr>
              <w:widowControl/>
              <w:autoSpaceDE/>
              <w:autoSpaceDN/>
              <w:adjustRightInd/>
              <w:spacing w:after="200" w:line="276" w:lineRule="auto"/>
              <w:contextualSpacing/>
              <w:rPr>
                <w:rFonts w:ascii="Arial" w:eastAsia="Calibri" w:hAnsi="Arial" w:cs="Arial"/>
                <w:bCs/>
                <w:color w:val="000000"/>
                <w:sz w:val="22"/>
                <w:szCs w:val="22"/>
              </w:rPr>
            </w:pPr>
            <w:r>
              <w:rPr>
                <w:rFonts w:ascii="Arial" w:hAnsi="Arial"/>
                <w:bCs/>
                <w:color w:val="000000"/>
                <w:sz w:val="22"/>
                <w:szCs w:val="22"/>
              </w:rPr>
              <w:t>Taxes, fees and similar levies related expenses</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15,135</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15,160</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99.8%</w:t>
            </w:r>
          </w:p>
        </w:tc>
      </w:tr>
      <w:tr w:rsidR="00EB53EC" w:rsidRPr="004914B1" w:rsidTr="003F1507">
        <w:trPr>
          <w:trHeight w:val="291"/>
          <w:jc w:val="center"/>
        </w:trPr>
        <w:tc>
          <w:tcPr>
            <w:tcW w:w="4552" w:type="dxa"/>
            <w:shd w:val="clear" w:color="auto" w:fill="auto"/>
            <w:vAlign w:val="center"/>
            <w:hideMark/>
          </w:tcPr>
          <w:p w:rsidR="00EB53EC" w:rsidRPr="004914B1" w:rsidRDefault="00EB53EC" w:rsidP="003F1507">
            <w:pPr>
              <w:widowControl/>
              <w:autoSpaceDE/>
              <w:autoSpaceDN/>
              <w:adjustRightInd/>
              <w:spacing w:after="200" w:line="276" w:lineRule="auto"/>
              <w:contextualSpacing/>
              <w:rPr>
                <w:rFonts w:ascii="Arial" w:eastAsia="Calibri" w:hAnsi="Arial" w:cs="Arial"/>
                <w:bCs/>
                <w:color w:val="000000"/>
                <w:sz w:val="22"/>
                <w:szCs w:val="22"/>
              </w:rPr>
            </w:pPr>
            <w:r>
              <w:rPr>
                <w:rFonts w:ascii="Arial" w:hAnsi="Arial"/>
                <w:bCs/>
                <w:color w:val="000000"/>
                <w:sz w:val="22"/>
                <w:szCs w:val="22"/>
              </w:rPr>
              <w:t>Personnel expenses, out of which:</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65,958</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FA14DC" w:rsidP="003F1507">
            <w:pPr>
              <w:widowControl/>
              <w:autoSpaceDE/>
              <w:autoSpaceDN/>
              <w:adjustRightInd/>
              <w:jc w:val="right"/>
              <w:rPr>
                <w:rFonts w:ascii="Arial" w:hAnsi="Arial" w:cs="Arial"/>
                <w:color w:val="000000"/>
                <w:sz w:val="22"/>
                <w:szCs w:val="22"/>
              </w:rPr>
            </w:pPr>
            <w:r>
              <w:rPr>
                <w:rFonts w:ascii="Arial" w:hAnsi="Arial"/>
                <w:color w:val="000000"/>
                <w:sz w:val="22"/>
                <w:szCs w:val="22"/>
              </w:rPr>
              <w:t>67,593</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97.6%</w:t>
            </w:r>
          </w:p>
        </w:tc>
      </w:tr>
      <w:tr w:rsidR="00EB53EC" w:rsidRPr="004914B1" w:rsidTr="003F1507">
        <w:trPr>
          <w:trHeight w:val="291"/>
          <w:jc w:val="center"/>
        </w:trPr>
        <w:tc>
          <w:tcPr>
            <w:tcW w:w="4552" w:type="dxa"/>
            <w:shd w:val="clear" w:color="auto" w:fill="auto"/>
            <w:noWrap/>
            <w:vAlign w:val="center"/>
          </w:tcPr>
          <w:p w:rsidR="00EB53EC" w:rsidRPr="004914B1" w:rsidRDefault="00EB53EC" w:rsidP="003F1507">
            <w:pPr>
              <w:widowControl/>
              <w:autoSpaceDE/>
              <w:autoSpaceDN/>
              <w:adjustRightInd/>
              <w:spacing w:after="200" w:line="276" w:lineRule="auto"/>
              <w:contextualSpacing/>
              <w:rPr>
                <w:rFonts w:ascii="Arial" w:eastAsia="Calibri" w:hAnsi="Arial" w:cs="Arial"/>
                <w:bCs/>
                <w:color w:val="000000"/>
                <w:sz w:val="22"/>
                <w:szCs w:val="22"/>
              </w:rPr>
            </w:pPr>
            <w:r>
              <w:rPr>
                <w:rFonts w:ascii="Arial" w:hAnsi="Arial"/>
                <w:bCs/>
                <w:color w:val="000000"/>
                <w:sz w:val="22"/>
                <w:szCs w:val="22"/>
              </w:rPr>
              <w:t>Salary related expenses:</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61,561</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62,910</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97.9%</w:t>
            </w:r>
          </w:p>
        </w:tc>
      </w:tr>
      <w:tr w:rsidR="00EB53EC" w:rsidRPr="004914B1" w:rsidTr="003F1507">
        <w:trPr>
          <w:trHeight w:val="278"/>
          <w:jc w:val="center"/>
        </w:trPr>
        <w:tc>
          <w:tcPr>
            <w:tcW w:w="4552" w:type="dxa"/>
            <w:shd w:val="clear" w:color="auto" w:fill="auto"/>
            <w:vAlign w:val="center"/>
          </w:tcPr>
          <w:p w:rsidR="00EB53EC" w:rsidRPr="004914B1" w:rsidRDefault="00EB53EC" w:rsidP="003F1507">
            <w:pPr>
              <w:widowControl/>
              <w:autoSpaceDE/>
              <w:autoSpaceDN/>
              <w:adjustRightInd/>
              <w:spacing w:after="200" w:line="276" w:lineRule="auto"/>
              <w:contextualSpacing/>
              <w:rPr>
                <w:rFonts w:ascii="Arial" w:eastAsia="Calibri" w:hAnsi="Arial" w:cs="Arial"/>
                <w:bCs/>
                <w:color w:val="000000"/>
                <w:sz w:val="22"/>
                <w:szCs w:val="22"/>
              </w:rPr>
            </w:pPr>
            <w:r>
              <w:rPr>
                <w:rFonts w:ascii="Arial" w:hAnsi="Arial"/>
                <w:bCs/>
                <w:color w:val="000000"/>
                <w:sz w:val="22"/>
                <w:szCs w:val="22"/>
              </w:rPr>
              <w:t>- salaries expenses</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56,316</w:t>
            </w:r>
          </w:p>
        </w:tc>
        <w:tc>
          <w:tcPr>
            <w:tcW w:w="1371" w:type="dxa"/>
            <w:tcBorders>
              <w:top w:val="single" w:sz="4" w:space="0" w:color="auto"/>
              <w:bottom w:val="single" w:sz="4" w:space="0" w:color="auto"/>
            </w:tcBorders>
            <w:shd w:val="clear" w:color="FFFFFF" w:fill="FFFFFF"/>
            <w:noWrap/>
            <w:vAlign w:val="center"/>
          </w:tcPr>
          <w:p w:rsidR="00EB53EC" w:rsidRPr="004914B1" w:rsidRDefault="00FA14DC" w:rsidP="003F1507">
            <w:pPr>
              <w:widowControl/>
              <w:autoSpaceDE/>
              <w:autoSpaceDN/>
              <w:adjustRightInd/>
              <w:jc w:val="right"/>
              <w:rPr>
                <w:rFonts w:ascii="Arial" w:hAnsi="Arial" w:cs="Arial"/>
                <w:color w:val="000000"/>
                <w:sz w:val="22"/>
                <w:szCs w:val="22"/>
              </w:rPr>
            </w:pPr>
            <w:r>
              <w:rPr>
                <w:rFonts w:ascii="Arial" w:hAnsi="Arial"/>
                <w:color w:val="000000"/>
                <w:sz w:val="22"/>
                <w:szCs w:val="22"/>
              </w:rPr>
              <w:t>57,771</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97.5%</w:t>
            </w:r>
          </w:p>
        </w:tc>
      </w:tr>
      <w:tr w:rsidR="00EB53EC" w:rsidRPr="004914B1" w:rsidTr="003F1507">
        <w:trPr>
          <w:trHeight w:val="278"/>
          <w:jc w:val="center"/>
        </w:trPr>
        <w:tc>
          <w:tcPr>
            <w:tcW w:w="4552" w:type="dxa"/>
            <w:shd w:val="clear" w:color="auto" w:fill="auto"/>
            <w:vAlign w:val="center"/>
          </w:tcPr>
          <w:p w:rsidR="00EB53EC" w:rsidRPr="004914B1" w:rsidRDefault="00EB53EC" w:rsidP="003F1507">
            <w:pPr>
              <w:widowControl/>
              <w:autoSpaceDE/>
              <w:autoSpaceDN/>
              <w:adjustRightInd/>
              <w:spacing w:after="200" w:line="276" w:lineRule="auto"/>
              <w:contextualSpacing/>
              <w:rPr>
                <w:rFonts w:ascii="Arial" w:eastAsia="Calibri" w:hAnsi="Arial" w:cs="Arial"/>
                <w:bCs/>
                <w:color w:val="000000"/>
                <w:sz w:val="22"/>
                <w:szCs w:val="22"/>
              </w:rPr>
            </w:pPr>
            <w:r>
              <w:rPr>
                <w:rFonts w:ascii="Arial" w:hAnsi="Arial"/>
                <w:bCs/>
                <w:color w:val="000000"/>
                <w:sz w:val="22"/>
                <w:szCs w:val="22"/>
              </w:rPr>
              <w:t>- Bonuses</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5,245</w:t>
            </w:r>
          </w:p>
        </w:tc>
        <w:tc>
          <w:tcPr>
            <w:tcW w:w="1371" w:type="dxa"/>
            <w:tcBorders>
              <w:top w:val="single" w:sz="4" w:space="0" w:color="auto"/>
              <w:bottom w:val="single" w:sz="4" w:space="0" w:color="auto"/>
            </w:tcBorders>
            <w:shd w:val="clear" w:color="FFFFFF" w:fill="FFFFFF"/>
            <w:noWrap/>
            <w:vAlign w:val="center"/>
          </w:tcPr>
          <w:p w:rsidR="00EB53EC" w:rsidRPr="004914B1" w:rsidRDefault="001D76F7" w:rsidP="003F1507">
            <w:pPr>
              <w:widowControl/>
              <w:autoSpaceDE/>
              <w:autoSpaceDN/>
              <w:adjustRightInd/>
              <w:jc w:val="right"/>
              <w:rPr>
                <w:rFonts w:ascii="Arial" w:hAnsi="Arial" w:cs="Arial"/>
                <w:color w:val="000000"/>
                <w:sz w:val="22"/>
                <w:szCs w:val="22"/>
              </w:rPr>
            </w:pPr>
            <w:r>
              <w:rPr>
                <w:rFonts w:ascii="Arial" w:hAnsi="Arial"/>
                <w:color w:val="000000"/>
                <w:sz w:val="22"/>
                <w:szCs w:val="22"/>
              </w:rPr>
              <w:t>5,137</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102.1%</w:t>
            </w:r>
          </w:p>
        </w:tc>
      </w:tr>
      <w:tr w:rsidR="00EB53EC" w:rsidRPr="004914B1" w:rsidTr="003F1507">
        <w:trPr>
          <w:trHeight w:val="325"/>
          <w:jc w:val="center"/>
        </w:trPr>
        <w:tc>
          <w:tcPr>
            <w:tcW w:w="4552" w:type="dxa"/>
            <w:shd w:val="clear" w:color="auto" w:fill="auto"/>
            <w:vAlign w:val="center"/>
          </w:tcPr>
          <w:p w:rsidR="00EB53EC" w:rsidRPr="004914B1" w:rsidRDefault="00EB53EC" w:rsidP="003F1507">
            <w:pPr>
              <w:widowControl/>
              <w:autoSpaceDE/>
              <w:autoSpaceDN/>
              <w:adjustRightInd/>
              <w:spacing w:after="200" w:line="276" w:lineRule="auto"/>
              <w:contextualSpacing/>
              <w:rPr>
                <w:rFonts w:ascii="Arial" w:eastAsia="Calibri" w:hAnsi="Arial" w:cs="Arial"/>
                <w:bCs/>
                <w:color w:val="000000"/>
                <w:sz w:val="22"/>
                <w:szCs w:val="22"/>
              </w:rPr>
            </w:pPr>
            <w:r>
              <w:rPr>
                <w:rFonts w:ascii="Arial" w:hAnsi="Arial"/>
                <w:bCs/>
                <w:color w:val="000000"/>
                <w:sz w:val="22"/>
                <w:szCs w:val="22"/>
              </w:rPr>
              <w:t>Other personnel expenses, out of which:</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1,569</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1,517</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103.4%</w:t>
            </w:r>
          </w:p>
        </w:tc>
      </w:tr>
      <w:tr w:rsidR="00EB53EC" w:rsidRPr="004914B1" w:rsidTr="003F1507">
        <w:trPr>
          <w:trHeight w:val="240"/>
          <w:jc w:val="center"/>
        </w:trPr>
        <w:tc>
          <w:tcPr>
            <w:tcW w:w="4552" w:type="dxa"/>
            <w:shd w:val="clear" w:color="auto" w:fill="auto"/>
            <w:vAlign w:val="center"/>
          </w:tcPr>
          <w:p w:rsidR="00EB53EC" w:rsidRPr="004914B1" w:rsidRDefault="00EB53EC" w:rsidP="003F1507">
            <w:pPr>
              <w:widowControl/>
              <w:autoSpaceDE/>
              <w:autoSpaceDN/>
              <w:adjustRightInd/>
              <w:rPr>
                <w:rFonts w:ascii="Arial" w:hAnsi="Arial" w:cs="Arial"/>
                <w:color w:val="000000"/>
                <w:sz w:val="22"/>
                <w:szCs w:val="22"/>
              </w:rPr>
            </w:pPr>
            <w:r>
              <w:rPr>
                <w:rFonts w:ascii="Arial" w:hAnsi="Arial"/>
                <w:color w:val="000000"/>
                <w:sz w:val="22"/>
                <w:szCs w:val="22"/>
              </w:rPr>
              <w:t>- Severance payment expenses related to personnel layoffs</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1,569</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1,517</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103.4%</w:t>
            </w:r>
          </w:p>
        </w:tc>
      </w:tr>
      <w:tr w:rsidR="00EB53EC" w:rsidRPr="004914B1" w:rsidTr="003F1507">
        <w:trPr>
          <w:trHeight w:val="557"/>
          <w:jc w:val="center"/>
        </w:trPr>
        <w:tc>
          <w:tcPr>
            <w:tcW w:w="4552" w:type="dxa"/>
            <w:shd w:val="clear" w:color="auto" w:fill="auto"/>
            <w:vAlign w:val="center"/>
          </w:tcPr>
          <w:p w:rsidR="00EB53EC" w:rsidRPr="00C10AF7" w:rsidRDefault="00EB53EC" w:rsidP="003F1507">
            <w:pPr>
              <w:rPr>
                <w:rFonts w:ascii="Arial" w:hAnsi="Arial" w:cs="Arial"/>
                <w:bCs/>
                <w:color w:val="000000"/>
                <w:sz w:val="22"/>
                <w:szCs w:val="22"/>
              </w:rPr>
            </w:pPr>
            <w:r>
              <w:rPr>
                <w:rFonts w:ascii="Arial" w:hAnsi="Arial"/>
                <w:bCs/>
                <w:color w:val="000000"/>
                <w:sz w:val="22"/>
                <w:szCs w:val="22"/>
              </w:rPr>
              <w:t>Expenses related to management and audit bodies, BoA and GMS</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741</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1,035</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71.6%</w:t>
            </w:r>
          </w:p>
        </w:tc>
      </w:tr>
      <w:tr w:rsidR="00EB53EC" w:rsidRPr="004914B1" w:rsidTr="003F1507">
        <w:trPr>
          <w:trHeight w:val="431"/>
          <w:jc w:val="center"/>
        </w:trPr>
        <w:tc>
          <w:tcPr>
            <w:tcW w:w="4552" w:type="dxa"/>
            <w:shd w:val="clear" w:color="auto" w:fill="auto"/>
            <w:vAlign w:val="center"/>
          </w:tcPr>
          <w:p w:rsidR="00EB53EC" w:rsidRPr="004914B1" w:rsidRDefault="00EB53EC" w:rsidP="003F1507">
            <w:pPr>
              <w:widowControl/>
              <w:autoSpaceDE/>
              <w:autoSpaceDN/>
              <w:adjustRightInd/>
              <w:spacing w:after="200" w:line="276" w:lineRule="auto"/>
              <w:contextualSpacing/>
              <w:rPr>
                <w:rFonts w:ascii="Arial" w:eastAsia="Calibri" w:hAnsi="Arial" w:cs="Arial"/>
                <w:bCs/>
                <w:color w:val="000000"/>
                <w:sz w:val="22"/>
                <w:szCs w:val="22"/>
              </w:rPr>
            </w:pPr>
            <w:r>
              <w:rPr>
                <w:rFonts w:ascii="Arial" w:hAnsi="Arial"/>
                <w:bCs/>
                <w:color w:val="000000"/>
                <w:sz w:val="22"/>
                <w:szCs w:val="22"/>
              </w:rPr>
              <w:t>Expenses with contributions due by the Employer</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2,088</w:t>
            </w:r>
          </w:p>
        </w:tc>
        <w:tc>
          <w:tcPr>
            <w:tcW w:w="1371" w:type="dxa"/>
            <w:tcBorders>
              <w:top w:val="single" w:sz="4" w:space="0" w:color="auto"/>
              <w:bottom w:val="single" w:sz="4" w:space="0" w:color="auto"/>
            </w:tcBorders>
            <w:shd w:val="clear" w:color="FFFFFF" w:fill="FFFFFF"/>
            <w:noWrap/>
            <w:vAlign w:val="center"/>
          </w:tcPr>
          <w:p w:rsidR="00EB53EC" w:rsidRPr="004914B1" w:rsidRDefault="001D76F7" w:rsidP="003F1507">
            <w:pPr>
              <w:widowControl/>
              <w:autoSpaceDE/>
              <w:autoSpaceDN/>
              <w:adjustRightInd/>
              <w:jc w:val="right"/>
              <w:rPr>
                <w:rFonts w:ascii="Arial" w:hAnsi="Arial" w:cs="Arial"/>
                <w:color w:val="000000"/>
                <w:sz w:val="22"/>
                <w:szCs w:val="22"/>
              </w:rPr>
            </w:pPr>
            <w:r>
              <w:rPr>
                <w:rFonts w:ascii="Arial" w:hAnsi="Arial"/>
                <w:color w:val="000000"/>
                <w:sz w:val="22"/>
                <w:szCs w:val="22"/>
              </w:rPr>
              <w:t>2,132</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97.9%</w:t>
            </w:r>
          </w:p>
        </w:tc>
      </w:tr>
      <w:tr w:rsidR="00EB53EC" w:rsidRPr="004914B1" w:rsidTr="003F1507">
        <w:trPr>
          <w:trHeight w:val="253"/>
          <w:jc w:val="center"/>
        </w:trPr>
        <w:tc>
          <w:tcPr>
            <w:tcW w:w="4552" w:type="dxa"/>
            <w:shd w:val="clear" w:color="auto" w:fill="auto"/>
            <w:vAlign w:val="center"/>
            <w:hideMark/>
          </w:tcPr>
          <w:p w:rsidR="00EB53EC" w:rsidRPr="004914B1" w:rsidRDefault="00EB53EC" w:rsidP="003F1507">
            <w:pPr>
              <w:widowControl/>
              <w:autoSpaceDE/>
              <w:autoSpaceDN/>
              <w:adjustRightInd/>
              <w:spacing w:after="200" w:line="276" w:lineRule="auto"/>
              <w:contextualSpacing/>
              <w:rPr>
                <w:rFonts w:ascii="Arial" w:eastAsia="Calibri" w:hAnsi="Arial" w:cs="Arial"/>
                <w:bCs/>
                <w:color w:val="000000"/>
                <w:sz w:val="22"/>
                <w:szCs w:val="22"/>
              </w:rPr>
            </w:pPr>
            <w:r>
              <w:rPr>
                <w:rFonts w:ascii="Arial" w:hAnsi="Arial"/>
                <w:bCs/>
                <w:color w:val="000000"/>
                <w:sz w:val="22"/>
                <w:szCs w:val="22"/>
              </w:rPr>
              <w:t>Other operating expenses</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51,574</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43,587</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118.3%</w:t>
            </w:r>
          </w:p>
        </w:tc>
      </w:tr>
      <w:tr w:rsidR="00EB53EC" w:rsidRPr="004914B1" w:rsidTr="003F1507">
        <w:trPr>
          <w:trHeight w:val="352"/>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Cs/>
                <w:color w:val="000000"/>
                <w:sz w:val="22"/>
                <w:szCs w:val="22"/>
              </w:rPr>
            </w:pPr>
            <w:r>
              <w:rPr>
                <w:rFonts w:ascii="Arial" w:hAnsi="Arial"/>
                <w:bCs/>
                <w:color w:val="000000"/>
                <w:sz w:val="22"/>
                <w:szCs w:val="22"/>
              </w:rPr>
              <w:t xml:space="preserve"> 2.2 Financial expenses</w:t>
            </w:r>
          </w:p>
        </w:tc>
        <w:tc>
          <w:tcPr>
            <w:tcW w:w="1371" w:type="dxa"/>
            <w:tcBorders>
              <w:top w:val="single" w:sz="4" w:space="0" w:color="auto"/>
              <w:bottom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4</w:t>
            </w:r>
          </w:p>
        </w:tc>
        <w:tc>
          <w:tcPr>
            <w:tcW w:w="1371" w:type="dxa"/>
            <w:tcBorders>
              <w:top w:val="single" w:sz="4" w:space="0" w:color="auto"/>
              <w:left w:val="nil"/>
              <w:bottom w:val="single" w:sz="4" w:space="0" w:color="auto"/>
              <w:right w:val="nil"/>
            </w:tcBorders>
            <w:shd w:val="clear" w:color="auto" w:fill="auto"/>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50</w:t>
            </w:r>
          </w:p>
        </w:tc>
        <w:tc>
          <w:tcPr>
            <w:tcW w:w="1251" w:type="dxa"/>
            <w:tcBorders>
              <w:top w:val="single" w:sz="4" w:space="0" w:color="auto"/>
              <w:bottom w:val="single" w:sz="4" w:space="0" w:color="auto"/>
            </w:tcBorders>
            <w:shd w:val="clear" w:color="FFFFFF" w:fill="FFFFFF"/>
            <w:noWrap/>
            <w:vAlign w:val="center"/>
            <w:hideMark/>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8.7%</w:t>
            </w:r>
          </w:p>
        </w:tc>
      </w:tr>
      <w:tr w:rsidR="00EB53EC" w:rsidRPr="004914B1" w:rsidTr="003F1507">
        <w:trPr>
          <w:trHeight w:val="343"/>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
                <w:bCs/>
                <w:color w:val="000000"/>
                <w:sz w:val="22"/>
                <w:szCs w:val="22"/>
              </w:rPr>
            </w:pPr>
            <w:r>
              <w:rPr>
                <w:rFonts w:ascii="Arial" w:hAnsi="Arial"/>
                <w:b/>
                <w:bCs/>
                <w:color w:val="000000"/>
                <w:sz w:val="22"/>
                <w:szCs w:val="22"/>
              </w:rPr>
              <w:t>GROSS RESULT (profit/loss)</w:t>
            </w:r>
          </w:p>
        </w:tc>
        <w:tc>
          <w:tcPr>
            <w:tcW w:w="1371" w:type="dxa"/>
            <w:tcBorders>
              <w:top w:val="single" w:sz="4" w:space="0" w:color="auto"/>
              <w:bottom w:val="single" w:sz="4" w:space="0" w:color="auto"/>
            </w:tcBorders>
            <w:shd w:val="clear" w:color="FFFFFF" w:fill="FFFFFF"/>
            <w:noWrap/>
            <w:vAlign w:val="center"/>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25,624</w:t>
            </w:r>
          </w:p>
        </w:tc>
        <w:tc>
          <w:tcPr>
            <w:tcW w:w="1371" w:type="dxa"/>
            <w:tcBorders>
              <w:top w:val="single" w:sz="4" w:space="0" w:color="auto"/>
              <w:left w:val="nil"/>
              <w:bottom w:val="single" w:sz="4" w:space="0" w:color="auto"/>
              <w:right w:val="nil"/>
            </w:tcBorders>
            <w:shd w:val="clear" w:color="auto" w:fill="auto"/>
            <w:noWrap/>
            <w:vAlign w:val="center"/>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24,625</w:t>
            </w:r>
          </w:p>
        </w:tc>
        <w:tc>
          <w:tcPr>
            <w:tcW w:w="1251" w:type="dxa"/>
            <w:tcBorders>
              <w:top w:val="single" w:sz="4" w:space="0" w:color="auto"/>
              <w:bottom w:val="single" w:sz="4" w:space="0" w:color="auto"/>
            </w:tcBorders>
            <w:shd w:val="clear" w:color="FFFFFF" w:fill="FFFFFF"/>
            <w:noWrap/>
            <w:vAlign w:val="center"/>
            <w:hideMark/>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104.1%</w:t>
            </w:r>
          </w:p>
        </w:tc>
      </w:tr>
      <w:tr w:rsidR="00EB53EC" w:rsidRPr="004914B1" w:rsidTr="003F1507">
        <w:trPr>
          <w:trHeight w:val="262"/>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
                <w:bCs/>
                <w:color w:val="000000"/>
                <w:sz w:val="22"/>
                <w:szCs w:val="22"/>
              </w:rPr>
            </w:pPr>
            <w:r>
              <w:rPr>
                <w:rFonts w:ascii="Arial" w:hAnsi="Arial"/>
                <w:b/>
                <w:bCs/>
                <w:color w:val="000000"/>
                <w:sz w:val="22"/>
                <w:szCs w:val="22"/>
              </w:rPr>
              <w:t>INCOME TAX</w:t>
            </w:r>
          </w:p>
        </w:tc>
        <w:tc>
          <w:tcPr>
            <w:tcW w:w="1371" w:type="dxa"/>
            <w:tcBorders>
              <w:top w:val="single" w:sz="4" w:space="0" w:color="auto"/>
              <w:bottom w:val="single" w:sz="4" w:space="0" w:color="auto"/>
            </w:tcBorders>
            <w:shd w:val="clear" w:color="FFFFFF" w:fill="FFFFFF"/>
            <w:noWrap/>
            <w:vAlign w:val="center"/>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3,998</w:t>
            </w:r>
          </w:p>
        </w:tc>
        <w:tc>
          <w:tcPr>
            <w:tcW w:w="1371" w:type="dxa"/>
            <w:tcBorders>
              <w:top w:val="single" w:sz="4" w:space="0" w:color="auto"/>
              <w:left w:val="nil"/>
              <w:bottom w:val="single" w:sz="4" w:space="0" w:color="auto"/>
              <w:right w:val="nil"/>
            </w:tcBorders>
            <w:shd w:val="clear" w:color="auto" w:fill="auto"/>
            <w:noWrap/>
            <w:vAlign w:val="center"/>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4,104</w:t>
            </w:r>
          </w:p>
        </w:tc>
        <w:tc>
          <w:tcPr>
            <w:tcW w:w="1251" w:type="dxa"/>
            <w:tcBorders>
              <w:top w:val="single" w:sz="4" w:space="0" w:color="auto"/>
              <w:bottom w:val="single" w:sz="4" w:space="0" w:color="auto"/>
            </w:tcBorders>
            <w:shd w:val="clear" w:color="FFFFFF" w:fill="FFFFFF"/>
            <w:noWrap/>
            <w:vAlign w:val="center"/>
            <w:hideMark/>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97.4%</w:t>
            </w:r>
          </w:p>
        </w:tc>
      </w:tr>
      <w:tr w:rsidR="00EB53EC" w:rsidRPr="004914B1" w:rsidTr="003F1507">
        <w:trPr>
          <w:trHeight w:val="453"/>
          <w:jc w:val="center"/>
        </w:trPr>
        <w:tc>
          <w:tcPr>
            <w:tcW w:w="4552" w:type="dxa"/>
            <w:shd w:val="clear" w:color="auto" w:fill="auto"/>
            <w:hideMark/>
          </w:tcPr>
          <w:p w:rsidR="00EB53EC" w:rsidRPr="004914B1" w:rsidRDefault="00EB53EC" w:rsidP="003F1507">
            <w:pPr>
              <w:widowControl/>
              <w:autoSpaceDE/>
              <w:autoSpaceDN/>
              <w:adjustRightInd/>
              <w:rPr>
                <w:rFonts w:ascii="Arial" w:hAnsi="Arial" w:cs="Arial"/>
                <w:b/>
                <w:bCs/>
                <w:color w:val="000000"/>
                <w:sz w:val="22"/>
                <w:szCs w:val="22"/>
              </w:rPr>
            </w:pPr>
            <w:r>
              <w:rPr>
                <w:rFonts w:ascii="Arial" w:hAnsi="Arial"/>
                <w:b/>
                <w:bCs/>
                <w:color w:val="000000"/>
                <w:sz w:val="22"/>
                <w:szCs w:val="22"/>
              </w:rPr>
              <w:t>ACCOUNTING PROFIT REMAINING AFTER THE DEDUCTION OF THE INCOME TAX</w:t>
            </w:r>
          </w:p>
        </w:tc>
        <w:tc>
          <w:tcPr>
            <w:tcW w:w="1371" w:type="dxa"/>
            <w:tcBorders>
              <w:top w:val="single" w:sz="4" w:space="0" w:color="auto"/>
              <w:bottom w:val="single" w:sz="4" w:space="0" w:color="auto"/>
            </w:tcBorders>
            <w:shd w:val="clear" w:color="FFFFFF" w:fill="FFFFFF"/>
            <w:noWrap/>
            <w:vAlign w:val="center"/>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21,626</w:t>
            </w:r>
          </w:p>
        </w:tc>
        <w:tc>
          <w:tcPr>
            <w:tcW w:w="1371" w:type="dxa"/>
            <w:tcBorders>
              <w:top w:val="single" w:sz="4" w:space="0" w:color="auto"/>
              <w:left w:val="nil"/>
              <w:bottom w:val="single" w:sz="4" w:space="0" w:color="auto"/>
              <w:right w:val="nil"/>
            </w:tcBorders>
            <w:shd w:val="clear" w:color="auto" w:fill="auto"/>
            <w:noWrap/>
            <w:vAlign w:val="center"/>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20,521</w:t>
            </w:r>
          </w:p>
        </w:tc>
        <w:tc>
          <w:tcPr>
            <w:tcW w:w="1251" w:type="dxa"/>
            <w:tcBorders>
              <w:top w:val="single" w:sz="4" w:space="0" w:color="auto"/>
              <w:bottom w:val="single" w:sz="4" w:space="0" w:color="auto"/>
            </w:tcBorders>
            <w:shd w:val="clear" w:color="FFFFFF" w:fill="FFFFFF"/>
            <w:noWrap/>
            <w:vAlign w:val="center"/>
            <w:hideMark/>
          </w:tcPr>
          <w:p w:rsidR="00EB53EC" w:rsidRPr="00501B00" w:rsidRDefault="00EB53EC" w:rsidP="003F1507">
            <w:pPr>
              <w:widowControl/>
              <w:autoSpaceDE/>
              <w:autoSpaceDN/>
              <w:adjustRightInd/>
              <w:jc w:val="right"/>
              <w:rPr>
                <w:rFonts w:ascii="Arial" w:hAnsi="Arial" w:cs="Arial"/>
                <w:b/>
                <w:color w:val="000000"/>
                <w:sz w:val="22"/>
                <w:szCs w:val="22"/>
              </w:rPr>
            </w:pPr>
            <w:r>
              <w:rPr>
                <w:rFonts w:ascii="Arial" w:hAnsi="Arial"/>
                <w:b/>
                <w:color w:val="000000"/>
                <w:sz w:val="22"/>
                <w:szCs w:val="22"/>
              </w:rPr>
              <w:t>105.4%</w:t>
            </w:r>
          </w:p>
        </w:tc>
      </w:tr>
      <w:tr w:rsidR="00EB53EC" w:rsidRPr="004914B1" w:rsidTr="003F1507">
        <w:trPr>
          <w:trHeight w:val="333"/>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Cs/>
                <w:color w:val="000000"/>
                <w:sz w:val="22"/>
                <w:szCs w:val="22"/>
              </w:rPr>
            </w:pPr>
            <w:r>
              <w:rPr>
                <w:rFonts w:ascii="Arial" w:hAnsi="Arial"/>
                <w:bCs/>
                <w:color w:val="000000"/>
                <w:sz w:val="22"/>
                <w:szCs w:val="22"/>
              </w:rPr>
              <w:t>INVESTMENT FINANCING SOURCES</w:t>
            </w:r>
          </w:p>
        </w:tc>
        <w:tc>
          <w:tcPr>
            <w:tcW w:w="1371" w:type="dxa"/>
            <w:tcBorders>
              <w:top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32,317</w:t>
            </w:r>
          </w:p>
        </w:tc>
        <w:tc>
          <w:tcPr>
            <w:tcW w:w="1371" w:type="dxa"/>
            <w:tcBorders>
              <w:top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35,495</w:t>
            </w:r>
          </w:p>
        </w:tc>
        <w:tc>
          <w:tcPr>
            <w:tcW w:w="1251" w:type="dxa"/>
            <w:tcBorders>
              <w:top w:val="single" w:sz="4" w:space="0" w:color="auto"/>
            </w:tcBorders>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91.0%</w:t>
            </w:r>
          </w:p>
        </w:tc>
      </w:tr>
      <w:tr w:rsidR="00EB53EC" w:rsidRPr="004914B1" w:rsidTr="003F1507">
        <w:trPr>
          <w:trHeight w:val="217"/>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Cs/>
                <w:color w:val="000000"/>
                <w:sz w:val="22"/>
                <w:szCs w:val="22"/>
              </w:rPr>
            </w:pPr>
            <w:r>
              <w:rPr>
                <w:rFonts w:ascii="Arial" w:hAnsi="Arial"/>
                <w:bCs/>
                <w:color w:val="000000"/>
                <w:sz w:val="22"/>
                <w:szCs w:val="22"/>
              </w:rPr>
              <w:t>INVESTMENT RELATED EXPENSES</w:t>
            </w: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32,317</w:t>
            </w: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35,495</w:t>
            </w:r>
          </w:p>
        </w:tc>
        <w:tc>
          <w:tcPr>
            <w:tcW w:w="125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91.0%</w:t>
            </w:r>
          </w:p>
        </w:tc>
      </w:tr>
      <w:tr w:rsidR="00EB53EC" w:rsidRPr="004914B1" w:rsidTr="003F1507">
        <w:trPr>
          <w:trHeight w:val="240"/>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
                <w:bCs/>
                <w:color w:val="000000"/>
                <w:sz w:val="22"/>
                <w:szCs w:val="22"/>
              </w:rPr>
            </w:pPr>
            <w:r>
              <w:rPr>
                <w:rFonts w:ascii="Arial" w:hAnsi="Arial"/>
                <w:b/>
                <w:bCs/>
                <w:color w:val="000000"/>
                <w:sz w:val="22"/>
                <w:szCs w:val="22"/>
              </w:rPr>
              <w:t>SUBSTANTIATION DATA</w:t>
            </w: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lang w:eastAsia="en-US"/>
              </w:rPr>
            </w:pP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lang w:eastAsia="en-US"/>
              </w:rPr>
            </w:pPr>
          </w:p>
        </w:tc>
        <w:tc>
          <w:tcPr>
            <w:tcW w:w="125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lang w:eastAsia="en-US"/>
              </w:rPr>
            </w:pPr>
          </w:p>
        </w:tc>
      </w:tr>
      <w:tr w:rsidR="00EB53EC" w:rsidRPr="004914B1" w:rsidTr="003F1507">
        <w:trPr>
          <w:trHeight w:val="240"/>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Cs/>
                <w:color w:val="000000"/>
                <w:sz w:val="22"/>
                <w:szCs w:val="22"/>
              </w:rPr>
            </w:pPr>
            <w:r>
              <w:rPr>
                <w:rFonts w:ascii="Arial" w:hAnsi="Arial"/>
                <w:bCs/>
                <w:color w:val="000000"/>
                <w:sz w:val="22"/>
                <w:szCs w:val="22"/>
              </w:rPr>
              <w:t xml:space="preserve">Number of personnel </w:t>
            </w: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1,680</w:t>
            </w: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1,686</w:t>
            </w:r>
          </w:p>
        </w:tc>
        <w:tc>
          <w:tcPr>
            <w:tcW w:w="125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99.6%</w:t>
            </w:r>
          </w:p>
        </w:tc>
      </w:tr>
      <w:tr w:rsidR="00EB53EC" w:rsidRPr="004914B1" w:rsidTr="003F1507">
        <w:trPr>
          <w:trHeight w:val="240"/>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Cs/>
                <w:color w:val="000000"/>
                <w:sz w:val="22"/>
                <w:szCs w:val="22"/>
              </w:rPr>
            </w:pPr>
            <w:r>
              <w:rPr>
                <w:rFonts w:ascii="Arial" w:hAnsi="Arial"/>
                <w:bCs/>
                <w:color w:val="000000"/>
                <w:sz w:val="22"/>
                <w:szCs w:val="22"/>
              </w:rPr>
              <w:t>Total average number of employees</w:t>
            </w: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1,660</w:t>
            </w: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1,670</w:t>
            </w:r>
          </w:p>
        </w:tc>
        <w:tc>
          <w:tcPr>
            <w:tcW w:w="125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99.4%</w:t>
            </w:r>
          </w:p>
        </w:tc>
      </w:tr>
      <w:tr w:rsidR="00EB53EC" w:rsidRPr="004914B1" w:rsidTr="003F1507">
        <w:trPr>
          <w:trHeight w:val="240"/>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Cs/>
                <w:color w:val="000000"/>
                <w:sz w:val="22"/>
                <w:szCs w:val="22"/>
              </w:rPr>
            </w:pPr>
            <w:r>
              <w:rPr>
                <w:rFonts w:ascii="Arial" w:hAnsi="Arial"/>
                <w:bCs/>
                <w:color w:val="000000"/>
                <w:sz w:val="22"/>
                <w:szCs w:val="22"/>
              </w:rPr>
              <w:t>Outstanding payments</w:t>
            </w: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0</w:t>
            </w: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0</w:t>
            </w:r>
          </w:p>
        </w:tc>
        <w:tc>
          <w:tcPr>
            <w:tcW w:w="125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lang w:eastAsia="en-US"/>
              </w:rPr>
            </w:pPr>
          </w:p>
        </w:tc>
      </w:tr>
      <w:tr w:rsidR="00EB53EC" w:rsidRPr="004914B1" w:rsidTr="003F1507">
        <w:trPr>
          <w:trHeight w:val="240"/>
          <w:jc w:val="center"/>
        </w:trPr>
        <w:tc>
          <w:tcPr>
            <w:tcW w:w="4552" w:type="dxa"/>
            <w:shd w:val="clear" w:color="auto" w:fill="auto"/>
            <w:vAlign w:val="center"/>
            <w:hideMark/>
          </w:tcPr>
          <w:p w:rsidR="00EB53EC" w:rsidRPr="004914B1" w:rsidRDefault="00EB53EC" w:rsidP="003F1507">
            <w:pPr>
              <w:widowControl/>
              <w:autoSpaceDE/>
              <w:autoSpaceDN/>
              <w:adjustRightInd/>
              <w:rPr>
                <w:rFonts w:ascii="Arial" w:hAnsi="Arial" w:cs="Arial"/>
                <w:bCs/>
                <w:color w:val="000000"/>
                <w:sz w:val="22"/>
                <w:szCs w:val="22"/>
              </w:rPr>
            </w:pPr>
            <w:r>
              <w:rPr>
                <w:rFonts w:ascii="Arial" w:hAnsi="Arial"/>
                <w:bCs/>
                <w:color w:val="000000"/>
                <w:sz w:val="22"/>
                <w:szCs w:val="22"/>
              </w:rPr>
              <w:t>Outstanding receivables</w:t>
            </w: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131</w:t>
            </w:r>
          </w:p>
        </w:tc>
        <w:tc>
          <w:tcPr>
            <w:tcW w:w="137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300</w:t>
            </w:r>
          </w:p>
        </w:tc>
        <w:tc>
          <w:tcPr>
            <w:tcW w:w="1251" w:type="dxa"/>
            <w:shd w:val="clear" w:color="FFFFFF" w:fill="FFFFFF"/>
            <w:noWrap/>
            <w:vAlign w:val="center"/>
          </w:tcPr>
          <w:p w:rsidR="00EB53EC" w:rsidRPr="004914B1" w:rsidRDefault="00EB53EC" w:rsidP="003F1507">
            <w:pPr>
              <w:widowControl/>
              <w:autoSpaceDE/>
              <w:autoSpaceDN/>
              <w:adjustRightInd/>
              <w:jc w:val="right"/>
              <w:rPr>
                <w:rFonts w:ascii="Arial" w:hAnsi="Arial" w:cs="Arial"/>
                <w:color w:val="000000"/>
                <w:sz w:val="22"/>
                <w:szCs w:val="22"/>
              </w:rPr>
            </w:pPr>
            <w:r>
              <w:rPr>
                <w:rFonts w:ascii="Arial" w:hAnsi="Arial"/>
                <w:color w:val="000000"/>
                <w:sz w:val="22"/>
                <w:szCs w:val="22"/>
              </w:rPr>
              <w:t>43.7%</w:t>
            </w:r>
          </w:p>
        </w:tc>
      </w:tr>
    </w:tbl>
    <w:p w:rsidR="00EB53EC" w:rsidRDefault="00EB53EC" w:rsidP="00EB53EC">
      <w:pPr>
        <w:jc w:val="both"/>
        <w:rPr>
          <w:rFonts w:ascii="Arial" w:hAnsi="Arial" w:cs="Arial"/>
          <w:lang w:val="fr-FR"/>
        </w:rPr>
      </w:pPr>
    </w:p>
    <w:p w:rsidR="00EB53EC" w:rsidRPr="004914B1" w:rsidRDefault="00EB53EC" w:rsidP="00EB53EC">
      <w:pPr>
        <w:ind w:left="450" w:right="437"/>
        <w:jc w:val="both"/>
        <w:rPr>
          <w:rFonts w:ascii="Arial" w:hAnsi="Arial" w:cs="Arial"/>
        </w:rPr>
      </w:pPr>
      <w:r>
        <w:rPr>
          <w:rFonts w:ascii="Arial" w:hAnsi="Arial"/>
        </w:rPr>
        <w:t>The information included in the budget execution at June 30, 2018 are presented in the structure provided in Annex 1, set pursuant to the Order 3145/2017 regarding the approval of the layout and structure of the Revenues and Expenditure Budget, as well as the substantiating annexes thereof.</w:t>
      </w:r>
    </w:p>
    <w:p w:rsidR="00EB53EC" w:rsidRDefault="00EB53EC" w:rsidP="00EB53EC">
      <w:pPr>
        <w:tabs>
          <w:tab w:val="left" w:pos="2699"/>
        </w:tabs>
        <w:rPr>
          <w:rFonts w:ascii="Arial" w:hAnsi="Arial" w:cs="Arial"/>
          <w:sz w:val="22"/>
          <w:szCs w:val="22"/>
          <w:lang w:val="fr-FR"/>
        </w:rPr>
      </w:pPr>
    </w:p>
    <w:p w:rsidR="00EB53EC" w:rsidRPr="00C37BEC" w:rsidRDefault="00EB53EC" w:rsidP="00EB53EC">
      <w:pPr>
        <w:tabs>
          <w:tab w:val="left" w:pos="2699"/>
        </w:tabs>
        <w:rPr>
          <w:rFonts w:ascii="Arial" w:hAnsi="Arial" w:cs="Arial"/>
          <w:sz w:val="22"/>
          <w:szCs w:val="22"/>
          <w:lang w:val="fr-FR"/>
        </w:rPr>
        <w:sectPr w:rsidR="00EB53EC" w:rsidRPr="00C37BEC" w:rsidSect="00740567">
          <w:headerReference w:type="default" r:id="rId30"/>
          <w:footerReference w:type="even" r:id="rId31"/>
          <w:footerReference w:type="default" r:id="rId32"/>
          <w:headerReference w:type="first" r:id="rId33"/>
          <w:footerReference w:type="first" r:id="rId34"/>
          <w:pgSz w:w="11909" w:h="16834" w:code="9"/>
          <w:pgMar w:top="709" w:right="1281" w:bottom="1134" w:left="1281" w:header="709" w:footer="567" w:gutter="0"/>
          <w:pgNumType w:start="1" w:chapStyle="2"/>
          <w:cols w:space="60"/>
          <w:noEndnote/>
          <w:titlePg/>
          <w:docGrid w:linePitch="272"/>
        </w:sectPr>
      </w:pPr>
    </w:p>
    <w:p w:rsidR="00EB53EC" w:rsidRDefault="00EB53EC" w:rsidP="00EB53EC">
      <w:pPr>
        <w:widowControl/>
        <w:tabs>
          <w:tab w:val="left" w:pos="2190"/>
        </w:tabs>
        <w:autoSpaceDE/>
        <w:autoSpaceDN/>
        <w:adjustRightInd/>
        <w:rPr>
          <w:rFonts w:ascii="Arial" w:hAnsi="Arial" w:cs="Arial"/>
          <w:b/>
          <w:iCs/>
          <w:color w:val="1F4E79" w:themeColor="accent1" w:themeShade="80"/>
          <w:sz w:val="22"/>
          <w:szCs w:val="22"/>
        </w:rPr>
      </w:pPr>
      <w:r>
        <w:rPr>
          <w:rFonts w:ascii="Arial" w:hAnsi="Arial"/>
          <w:b/>
          <w:iCs/>
          <w:color w:val="1F4E79" w:themeColor="accent1" w:themeShade="80"/>
          <w:sz w:val="22"/>
          <w:szCs w:val="22"/>
        </w:rPr>
        <w:lastRenderedPageBreak/>
        <w:t>Annex no. 5</w:t>
      </w:r>
    </w:p>
    <w:p w:rsidR="00EB53EC" w:rsidRPr="00CA3CF8" w:rsidRDefault="00EB53EC" w:rsidP="00EB53EC">
      <w:pPr>
        <w:widowControl/>
        <w:tabs>
          <w:tab w:val="left" w:pos="2190"/>
        </w:tabs>
        <w:autoSpaceDE/>
        <w:autoSpaceDN/>
        <w:adjustRightInd/>
        <w:rPr>
          <w:rFonts w:ascii="Arial" w:hAnsi="Arial" w:cs="Arial"/>
          <w:b/>
          <w:iCs/>
          <w:color w:val="1F4E79" w:themeColor="accent1" w:themeShade="80"/>
          <w:sz w:val="22"/>
          <w:szCs w:val="22"/>
          <w:lang w:val="fr-FR"/>
        </w:rPr>
      </w:pPr>
    </w:p>
    <w:tbl>
      <w:tblPr>
        <w:tblW w:w="5000" w:type="pct"/>
        <w:tblCellMar>
          <w:left w:w="0" w:type="dxa"/>
          <w:right w:w="0" w:type="dxa"/>
        </w:tblCellMar>
        <w:tblLook w:val="04A0" w:firstRow="1" w:lastRow="0" w:firstColumn="1" w:lastColumn="0" w:noHBand="0" w:noVBand="1"/>
      </w:tblPr>
      <w:tblGrid>
        <w:gridCol w:w="340"/>
        <w:gridCol w:w="1357"/>
        <w:gridCol w:w="2871"/>
        <w:gridCol w:w="1282"/>
        <w:gridCol w:w="1291"/>
        <w:gridCol w:w="1157"/>
        <w:gridCol w:w="1577"/>
        <w:gridCol w:w="1081"/>
        <w:gridCol w:w="1081"/>
        <w:gridCol w:w="931"/>
        <w:gridCol w:w="1013"/>
        <w:gridCol w:w="1010"/>
      </w:tblGrid>
      <w:tr w:rsidR="00EB53EC" w:rsidRPr="00685BD2" w:rsidTr="003F1507">
        <w:trPr>
          <w:trHeight w:val="300"/>
        </w:trPr>
        <w:tc>
          <w:tcPr>
            <w:tcW w:w="5000" w:type="pct"/>
            <w:gridSpan w:val="12"/>
            <w:tcBorders>
              <w:top w:val="nil"/>
              <w:left w:val="nil"/>
              <w:bottom w:val="nil"/>
              <w:right w:val="nil"/>
            </w:tcBorders>
            <w:shd w:val="clear" w:color="auto" w:fill="auto"/>
            <w:tcMar>
              <w:top w:w="15" w:type="dxa"/>
              <w:left w:w="15" w:type="dxa"/>
              <w:bottom w:w="0" w:type="dxa"/>
              <w:right w:w="15" w:type="dxa"/>
            </w:tcMar>
            <w:vAlign w:val="center"/>
            <w:hideMark/>
          </w:tcPr>
          <w:p w:rsidR="00EB53EC" w:rsidRPr="00D719BF" w:rsidRDefault="00D719BF" w:rsidP="003F1507">
            <w:pPr>
              <w:widowControl/>
              <w:autoSpaceDE/>
              <w:autoSpaceDN/>
              <w:adjustRightInd/>
              <w:spacing w:after="160" w:line="259" w:lineRule="auto"/>
              <w:jc w:val="center"/>
              <w:rPr>
                <w:rFonts w:ascii="Arial" w:eastAsiaTheme="minorHAnsi" w:hAnsi="Arial" w:cs="Arial"/>
                <w:b/>
                <w:bCs/>
                <w:color w:val="000000"/>
                <w:sz w:val="24"/>
                <w:szCs w:val="24"/>
              </w:rPr>
            </w:pPr>
            <w:r w:rsidRPr="00D719BF">
              <w:rPr>
                <w:rFonts w:ascii="Arial" w:hAnsi="Arial"/>
                <w:b/>
                <w:bCs/>
                <w:color w:val="1F4E79" w:themeColor="accent1" w:themeShade="80"/>
                <w:sz w:val="24"/>
                <w:szCs w:val="24"/>
              </w:rPr>
              <w:t>STATEMENT OF WORKS AND PRODUCTS PROCUREMENT CONTRACTS WITH VALUES HIGHER THAN 500.000 EURO, CONCLUDED DURING 01.01.2018-30.06.2018</w:t>
            </w:r>
          </w:p>
        </w:tc>
      </w:tr>
      <w:tr w:rsidR="00EB53EC" w:rsidRPr="00685BD2" w:rsidTr="003F1507">
        <w:trPr>
          <w:trHeight w:val="300"/>
        </w:trPr>
        <w:tc>
          <w:tcPr>
            <w:tcW w:w="5000" w:type="pct"/>
            <w:gridSpan w:val="12"/>
            <w:tcBorders>
              <w:top w:val="nil"/>
              <w:left w:val="nil"/>
              <w:bottom w:val="nil"/>
              <w:right w:val="nil"/>
            </w:tcBorders>
            <w:shd w:val="clear" w:color="auto" w:fill="auto"/>
            <w:tcMar>
              <w:top w:w="15" w:type="dxa"/>
              <w:left w:w="15" w:type="dxa"/>
              <w:bottom w:w="0" w:type="dxa"/>
              <w:right w:w="15" w:type="dxa"/>
            </w:tcMar>
            <w:vAlign w:val="center"/>
          </w:tcPr>
          <w:p w:rsidR="00EB53EC" w:rsidRPr="00CA3CF8" w:rsidRDefault="00EB53EC" w:rsidP="003F1507">
            <w:pPr>
              <w:widowControl/>
              <w:autoSpaceDE/>
              <w:autoSpaceDN/>
              <w:adjustRightInd/>
              <w:spacing w:after="160" w:line="259" w:lineRule="auto"/>
              <w:jc w:val="center"/>
              <w:rPr>
                <w:rFonts w:ascii="Arial" w:eastAsiaTheme="minorHAnsi" w:hAnsi="Arial" w:cs="Arial"/>
                <w:b/>
                <w:bCs/>
                <w:color w:val="1F4E79" w:themeColor="accent1" w:themeShade="80"/>
                <w:sz w:val="18"/>
                <w:szCs w:val="18"/>
                <w:lang w:eastAsia="en-US"/>
              </w:rPr>
            </w:pPr>
          </w:p>
        </w:tc>
      </w:tr>
      <w:tr w:rsidR="00EB53EC" w:rsidRPr="00685BD2" w:rsidTr="003F1507">
        <w:trPr>
          <w:trHeight w:val="1465"/>
        </w:trPr>
        <w:tc>
          <w:tcPr>
            <w:tcW w:w="104" w:type="pct"/>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Crt. no.</w:t>
            </w:r>
          </w:p>
        </w:tc>
        <w:tc>
          <w:tcPr>
            <w:tcW w:w="468"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Name of  Contractor</w:t>
            </w:r>
          </w:p>
        </w:tc>
        <w:tc>
          <w:tcPr>
            <w:tcW w:w="973"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Scope of Contract</w:t>
            </w:r>
          </w:p>
        </w:tc>
        <w:tc>
          <w:tcPr>
            <w:tcW w:w="354"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Title of contract</w:t>
            </w:r>
          </w:p>
        </w:tc>
        <w:tc>
          <w:tcPr>
            <w:tcW w:w="377"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Applied procurement procedure</w:t>
            </w:r>
          </w:p>
        </w:tc>
        <w:tc>
          <w:tcPr>
            <w:tcW w:w="40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Name of Beneficiary (if different from the contracting authority)</w:t>
            </w:r>
          </w:p>
        </w:tc>
        <w:tc>
          <w:tcPr>
            <w:tcW w:w="54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Contract notice number</w:t>
            </w:r>
            <w:r w:rsidR="00D719BF">
              <w:rPr>
                <w:rFonts w:ascii="Arial" w:hAnsi="Arial"/>
                <w:b/>
                <w:bCs/>
                <w:color w:val="000000"/>
                <w:sz w:val="18"/>
                <w:szCs w:val="18"/>
              </w:rPr>
              <w:t>/invitation to tender</w:t>
            </w:r>
          </w:p>
        </w:tc>
        <w:tc>
          <w:tcPr>
            <w:tcW w:w="36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1D76F7"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 xml:space="preserve">Initial contract value  </w:t>
            </w:r>
            <w:r w:rsidR="00EB53EC">
              <w:rPr>
                <w:rFonts w:ascii="Arial" w:hAnsi="Arial"/>
                <w:b/>
                <w:bCs/>
                <w:color w:val="000000"/>
                <w:sz w:val="18"/>
                <w:szCs w:val="18"/>
              </w:rPr>
              <w:br/>
              <w:t>(RON)</w:t>
            </w:r>
          </w:p>
        </w:tc>
        <w:tc>
          <w:tcPr>
            <w:tcW w:w="36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 xml:space="preserve">Contract </w:t>
            </w:r>
            <w:r w:rsidR="001D76F7">
              <w:rPr>
                <w:rFonts w:ascii="Arial" w:hAnsi="Arial"/>
                <w:b/>
                <w:bCs/>
                <w:color w:val="000000"/>
                <w:sz w:val="18"/>
                <w:szCs w:val="18"/>
              </w:rPr>
              <w:t xml:space="preserve">value after potential addenda  </w:t>
            </w:r>
            <w:r>
              <w:rPr>
                <w:rFonts w:ascii="Arial" w:hAnsi="Arial"/>
                <w:b/>
                <w:bCs/>
                <w:color w:val="000000"/>
                <w:sz w:val="18"/>
                <w:szCs w:val="18"/>
              </w:rPr>
              <w:br/>
              <w:t>(RON)</w:t>
            </w:r>
          </w:p>
        </w:tc>
        <w:tc>
          <w:tcPr>
            <w:tcW w:w="354"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Start of the contract</w:t>
            </w:r>
          </w:p>
        </w:tc>
        <w:tc>
          <w:tcPr>
            <w:tcW w:w="354"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I</w:t>
            </w:r>
            <w:r w:rsidR="001D76F7">
              <w:rPr>
                <w:rFonts w:ascii="Arial" w:hAnsi="Arial"/>
                <w:b/>
                <w:bCs/>
                <w:color w:val="000000"/>
                <w:sz w:val="18"/>
                <w:szCs w:val="18"/>
              </w:rPr>
              <w:t xml:space="preserve">nitially set contract duration </w:t>
            </w:r>
            <w:r>
              <w:rPr>
                <w:rFonts w:ascii="Arial" w:hAnsi="Arial"/>
                <w:b/>
                <w:bCs/>
                <w:color w:val="000000"/>
                <w:sz w:val="18"/>
                <w:szCs w:val="18"/>
              </w:rPr>
              <w:br/>
              <w:t>(in months).</w:t>
            </w:r>
          </w:p>
        </w:tc>
        <w:tc>
          <w:tcPr>
            <w:tcW w:w="354"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EB53EC" w:rsidRPr="00685BD2" w:rsidRDefault="001D76F7"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 xml:space="preserve">Final contract duration </w:t>
            </w:r>
            <w:r w:rsidR="00EB53EC">
              <w:rPr>
                <w:rFonts w:ascii="Arial" w:hAnsi="Arial"/>
                <w:b/>
                <w:bCs/>
                <w:color w:val="000000"/>
                <w:sz w:val="18"/>
                <w:szCs w:val="18"/>
              </w:rPr>
              <w:br/>
              <w:t>(in months)</w:t>
            </w:r>
          </w:p>
        </w:tc>
      </w:tr>
      <w:tr w:rsidR="00EB53EC" w:rsidRPr="00685BD2" w:rsidTr="003F1507">
        <w:trPr>
          <w:trHeight w:val="1641"/>
        </w:trPr>
        <w:tc>
          <w:tcPr>
            <w:tcW w:w="10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color w:val="000000"/>
                <w:sz w:val="18"/>
                <w:szCs w:val="18"/>
              </w:rPr>
            </w:pPr>
            <w:r>
              <w:rPr>
                <w:rFonts w:ascii="Arial" w:hAnsi="Arial"/>
                <w:color w:val="000000"/>
                <w:sz w:val="18"/>
                <w:szCs w:val="18"/>
              </w:rPr>
              <w:t>1</w:t>
            </w:r>
          </w:p>
        </w:tc>
        <w:tc>
          <w:tcPr>
            <w:tcW w:w="4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CONSTRUCȚII FEROVIARE DRUMURI ȘI PODURI</w:t>
            </w:r>
          </w:p>
        </w:tc>
        <w:tc>
          <w:tcPr>
            <w:tcW w:w="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Execution of hydro technical works in order to safely dispose the aerial crossing of Prahova river by the crude oil transport pipelines belonging to CONPET SA –extremely urgent works for the safe disposal of the metal piles supporting the aerial crossing of Prahova river, in Stejaru area</w:t>
            </w:r>
            <w:proofErr w:type="gramStart"/>
            <w:r>
              <w:rPr>
                <w:rFonts w:ascii="Arial" w:hAnsi="Arial"/>
                <w:sz w:val="18"/>
                <w:szCs w:val="18"/>
              </w:rPr>
              <w:t>,  Brazi</w:t>
            </w:r>
            <w:proofErr w:type="gramEnd"/>
            <w:r>
              <w:rPr>
                <w:rFonts w:ascii="Arial" w:hAnsi="Arial"/>
                <w:sz w:val="18"/>
                <w:szCs w:val="18"/>
              </w:rPr>
              <w:t xml:space="preserve"> commune. </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color w:val="000000"/>
                <w:sz w:val="18"/>
                <w:szCs w:val="18"/>
              </w:rPr>
            </w:pPr>
            <w:r>
              <w:rPr>
                <w:rFonts w:ascii="Arial" w:hAnsi="Arial"/>
                <w:color w:val="000000"/>
                <w:sz w:val="18"/>
                <w:szCs w:val="18"/>
              </w:rPr>
              <w:t>L-CA 171/27.03.2018</w:t>
            </w:r>
          </w:p>
        </w:tc>
        <w:tc>
          <w:tcPr>
            <w:tcW w:w="37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NEGOCIATION WITHOUT PRIOR PUBLIC NOTICE</w:t>
            </w:r>
          </w:p>
        </w:tc>
        <w:tc>
          <w:tcPr>
            <w:tcW w:w="4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w:t>
            </w:r>
          </w:p>
        </w:tc>
        <w:tc>
          <w:tcPr>
            <w:tcW w:w="5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14660/19.04.2018</w:t>
            </w:r>
          </w:p>
        </w:tc>
        <w:tc>
          <w:tcPr>
            <w:tcW w:w="3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2,447,421.06</w:t>
            </w:r>
          </w:p>
        </w:tc>
        <w:tc>
          <w:tcPr>
            <w:tcW w:w="3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2,447,421.06</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30.03.2018</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6</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6</w:t>
            </w:r>
          </w:p>
        </w:tc>
      </w:tr>
      <w:tr w:rsidR="00EB53EC" w:rsidRPr="00685BD2" w:rsidTr="003F1507">
        <w:trPr>
          <w:trHeight w:val="600"/>
        </w:trPr>
        <w:tc>
          <w:tcPr>
            <w:tcW w:w="10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color w:val="000000"/>
                <w:sz w:val="18"/>
                <w:szCs w:val="18"/>
              </w:rPr>
            </w:pPr>
            <w:r>
              <w:rPr>
                <w:rFonts w:ascii="Arial" w:hAnsi="Arial"/>
                <w:color w:val="000000"/>
                <w:sz w:val="18"/>
                <w:szCs w:val="18"/>
              </w:rPr>
              <w:t>2</w:t>
            </w:r>
          </w:p>
        </w:tc>
        <w:tc>
          <w:tcPr>
            <w:tcW w:w="4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color w:val="000000"/>
                <w:sz w:val="18"/>
                <w:szCs w:val="18"/>
              </w:rPr>
            </w:pPr>
            <w:r>
              <w:rPr>
                <w:rFonts w:ascii="Arial" w:hAnsi="Arial"/>
                <w:color w:val="000000"/>
                <w:sz w:val="18"/>
                <w:szCs w:val="18"/>
              </w:rPr>
              <w:t>OMV PETROM MARKETING</w:t>
            </w:r>
          </w:p>
        </w:tc>
        <w:tc>
          <w:tcPr>
            <w:tcW w:w="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color w:val="000000"/>
                <w:sz w:val="18"/>
                <w:szCs w:val="18"/>
              </w:rPr>
            </w:pPr>
            <w:r>
              <w:rPr>
                <w:rFonts w:ascii="Arial" w:hAnsi="Arial"/>
                <w:color w:val="000000"/>
                <w:sz w:val="18"/>
                <w:szCs w:val="18"/>
              </w:rPr>
              <w:t>Fuel supply by Card system</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color w:val="000000"/>
                <w:sz w:val="18"/>
                <w:szCs w:val="18"/>
              </w:rPr>
            </w:pPr>
            <w:r>
              <w:rPr>
                <w:rFonts w:ascii="Arial" w:hAnsi="Arial"/>
                <w:color w:val="000000"/>
                <w:sz w:val="18"/>
                <w:szCs w:val="18"/>
              </w:rPr>
              <w:t>P-CA 176 / 30.03.2018</w:t>
            </w:r>
          </w:p>
        </w:tc>
        <w:tc>
          <w:tcPr>
            <w:tcW w:w="37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Tender</w:t>
            </w:r>
          </w:p>
        </w:tc>
        <w:tc>
          <w:tcPr>
            <w:tcW w:w="4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w:t>
            </w:r>
          </w:p>
        </w:tc>
        <w:tc>
          <w:tcPr>
            <w:tcW w:w="54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5066/08.02.2018</w:t>
            </w:r>
          </w:p>
        </w:tc>
        <w:tc>
          <w:tcPr>
            <w:tcW w:w="3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3,925,600.00</w:t>
            </w:r>
          </w:p>
        </w:tc>
        <w:tc>
          <w:tcPr>
            <w:tcW w:w="3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3,925,600.00</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30.03.2018</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36</w:t>
            </w:r>
          </w:p>
        </w:tc>
        <w:tc>
          <w:tcPr>
            <w:tcW w:w="3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B53EC" w:rsidRPr="00685BD2" w:rsidRDefault="00EB53EC"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36</w:t>
            </w:r>
          </w:p>
        </w:tc>
      </w:tr>
      <w:tr w:rsidR="00EB53EC" w:rsidRPr="00685BD2" w:rsidTr="003F1507">
        <w:trPr>
          <w:trHeight w:val="502"/>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EB53EC" w:rsidRPr="00685BD2" w:rsidRDefault="001D76F7" w:rsidP="003F1507">
            <w:pPr>
              <w:widowControl/>
              <w:autoSpaceDE/>
              <w:autoSpaceDN/>
              <w:adjustRightInd/>
              <w:spacing w:after="160" w:line="259" w:lineRule="auto"/>
              <w:jc w:val="center"/>
              <w:rPr>
                <w:rFonts w:ascii="Arial" w:eastAsiaTheme="minorHAnsi" w:hAnsi="Arial" w:cs="Arial"/>
                <w:b/>
                <w:bCs/>
                <w:sz w:val="18"/>
                <w:szCs w:val="18"/>
              </w:rPr>
            </w:pPr>
            <w:r>
              <w:rPr>
                <w:rFonts w:ascii="Arial" w:hAnsi="Arial"/>
                <w:b/>
                <w:bCs/>
                <w:sz w:val="18"/>
                <w:szCs w:val="18"/>
              </w:rPr>
              <w:t>SEMESTER I - 2 CONTRACTS</w:t>
            </w:r>
            <w:r w:rsidR="00EB53EC">
              <w:rPr>
                <w:rFonts w:ascii="Arial" w:hAnsi="Arial"/>
                <w:b/>
                <w:bCs/>
                <w:sz w:val="18"/>
                <w:szCs w:val="18"/>
              </w:rPr>
              <w:br/>
              <w:t>VALUE SEMESTER  I = 6.373.021.06 RON</w:t>
            </w:r>
          </w:p>
        </w:tc>
      </w:tr>
    </w:tbl>
    <w:p w:rsidR="00EB53EC" w:rsidRDefault="00EB53EC" w:rsidP="00E76B83">
      <w:pPr>
        <w:widowControl/>
        <w:overflowPunct w:val="0"/>
        <w:spacing w:line="276" w:lineRule="auto"/>
        <w:jc w:val="both"/>
        <w:textAlignment w:val="baseline"/>
        <w:rPr>
          <w:rFonts w:ascii="Arial" w:hAnsi="Arial"/>
          <w:b/>
          <w:bCs/>
          <w:color w:val="1F4E79" w:themeColor="accent1" w:themeShade="80"/>
          <w:sz w:val="22"/>
          <w:szCs w:val="22"/>
        </w:rPr>
      </w:pPr>
    </w:p>
    <w:p w:rsidR="00AE6869" w:rsidRDefault="00AE6869" w:rsidP="00E76B83">
      <w:pPr>
        <w:widowControl/>
        <w:overflowPunct w:val="0"/>
        <w:spacing w:line="276" w:lineRule="auto"/>
        <w:jc w:val="both"/>
        <w:textAlignment w:val="baseline"/>
        <w:rPr>
          <w:rFonts w:ascii="Arial" w:hAnsi="Arial"/>
          <w:b/>
          <w:bCs/>
          <w:color w:val="1F4E79" w:themeColor="accent1" w:themeShade="80"/>
          <w:sz w:val="22"/>
          <w:szCs w:val="22"/>
        </w:rPr>
      </w:pPr>
    </w:p>
    <w:p w:rsidR="00AE6869" w:rsidRDefault="00AE6869" w:rsidP="00E76B83">
      <w:pPr>
        <w:widowControl/>
        <w:overflowPunct w:val="0"/>
        <w:spacing w:line="276" w:lineRule="auto"/>
        <w:jc w:val="both"/>
        <w:textAlignment w:val="baseline"/>
        <w:rPr>
          <w:rFonts w:ascii="Arial" w:hAnsi="Arial"/>
          <w:b/>
          <w:bCs/>
          <w:color w:val="1F4E79" w:themeColor="accent1" w:themeShade="80"/>
          <w:sz w:val="22"/>
          <w:szCs w:val="22"/>
        </w:rPr>
      </w:pPr>
    </w:p>
    <w:p w:rsidR="00AE6869" w:rsidRDefault="00AE6869" w:rsidP="00E76B83">
      <w:pPr>
        <w:widowControl/>
        <w:overflowPunct w:val="0"/>
        <w:spacing w:line="276" w:lineRule="auto"/>
        <w:jc w:val="both"/>
        <w:textAlignment w:val="baseline"/>
        <w:rPr>
          <w:rFonts w:ascii="Arial" w:hAnsi="Arial"/>
          <w:b/>
          <w:bCs/>
          <w:color w:val="1F4E79" w:themeColor="accent1" w:themeShade="80"/>
          <w:sz w:val="22"/>
          <w:szCs w:val="22"/>
        </w:rPr>
      </w:pPr>
    </w:p>
    <w:p w:rsidR="00AE6869" w:rsidRDefault="00AE6869" w:rsidP="00E76B83">
      <w:pPr>
        <w:widowControl/>
        <w:overflowPunct w:val="0"/>
        <w:spacing w:line="276" w:lineRule="auto"/>
        <w:jc w:val="both"/>
        <w:textAlignment w:val="baseline"/>
        <w:rPr>
          <w:rFonts w:ascii="Arial" w:hAnsi="Arial"/>
          <w:b/>
          <w:bCs/>
          <w:color w:val="1F4E79" w:themeColor="accent1" w:themeShade="80"/>
          <w:sz w:val="22"/>
          <w:szCs w:val="22"/>
        </w:rPr>
      </w:pPr>
    </w:p>
    <w:p w:rsidR="00AE6869" w:rsidRDefault="00AE6869" w:rsidP="00E76B83">
      <w:pPr>
        <w:widowControl/>
        <w:overflowPunct w:val="0"/>
        <w:spacing w:line="276" w:lineRule="auto"/>
        <w:jc w:val="both"/>
        <w:textAlignment w:val="baseline"/>
        <w:rPr>
          <w:rFonts w:ascii="Arial" w:hAnsi="Arial"/>
          <w:b/>
          <w:bCs/>
          <w:color w:val="1F4E79" w:themeColor="accent1" w:themeShade="80"/>
          <w:sz w:val="22"/>
          <w:szCs w:val="22"/>
        </w:rPr>
      </w:pPr>
    </w:p>
    <w:p w:rsidR="00AE6869" w:rsidRDefault="00AE6869" w:rsidP="00E76B83">
      <w:pPr>
        <w:widowControl/>
        <w:overflowPunct w:val="0"/>
        <w:spacing w:line="276" w:lineRule="auto"/>
        <w:jc w:val="both"/>
        <w:textAlignment w:val="baseline"/>
        <w:rPr>
          <w:rFonts w:ascii="Arial" w:hAnsi="Arial"/>
          <w:b/>
          <w:bCs/>
          <w:color w:val="1F4E79" w:themeColor="accent1" w:themeShade="80"/>
          <w:sz w:val="22"/>
          <w:szCs w:val="22"/>
        </w:rPr>
      </w:pPr>
    </w:p>
    <w:p w:rsidR="00AE6869" w:rsidRDefault="00AE6869" w:rsidP="00E76B83">
      <w:pPr>
        <w:widowControl/>
        <w:overflowPunct w:val="0"/>
        <w:spacing w:line="276" w:lineRule="auto"/>
        <w:jc w:val="both"/>
        <w:textAlignment w:val="baseline"/>
        <w:rPr>
          <w:rFonts w:ascii="Arial" w:hAnsi="Arial"/>
          <w:b/>
          <w:bCs/>
          <w:color w:val="1F4E79" w:themeColor="accent1" w:themeShade="80"/>
          <w:sz w:val="22"/>
          <w:szCs w:val="22"/>
        </w:rPr>
      </w:pPr>
    </w:p>
    <w:p w:rsidR="00AE6869" w:rsidRPr="00CA3CF8" w:rsidRDefault="00AE6869" w:rsidP="00AE6869">
      <w:pPr>
        <w:widowControl/>
        <w:tabs>
          <w:tab w:val="left" w:pos="1293"/>
        </w:tabs>
        <w:autoSpaceDE/>
        <w:autoSpaceDN/>
        <w:adjustRightInd/>
        <w:rPr>
          <w:rFonts w:ascii="Arial" w:hAnsi="Arial" w:cs="Arial"/>
          <w:b/>
          <w:bCs/>
          <w:color w:val="1F4E79" w:themeColor="accent1" w:themeShade="80"/>
          <w:szCs w:val="22"/>
        </w:rPr>
      </w:pPr>
      <w:r>
        <w:rPr>
          <w:rFonts w:ascii="Arial" w:hAnsi="Arial"/>
          <w:b/>
          <w:bCs/>
          <w:iCs/>
          <w:color w:val="1F4E79" w:themeColor="accent1" w:themeShade="80"/>
          <w:sz w:val="22"/>
          <w:szCs w:val="22"/>
        </w:rPr>
        <w:t xml:space="preserve">Annex no. 6 </w:t>
      </w:r>
    </w:p>
    <w:tbl>
      <w:tblPr>
        <w:tblW w:w="5406" w:type="pct"/>
        <w:jc w:val="center"/>
        <w:tblCellMar>
          <w:left w:w="0" w:type="dxa"/>
          <w:right w:w="0" w:type="dxa"/>
        </w:tblCellMar>
        <w:tblLook w:val="04A0" w:firstRow="1" w:lastRow="0" w:firstColumn="1" w:lastColumn="0" w:noHBand="0" w:noVBand="1"/>
      </w:tblPr>
      <w:tblGrid>
        <w:gridCol w:w="660"/>
        <w:gridCol w:w="2239"/>
        <w:gridCol w:w="3535"/>
        <w:gridCol w:w="1020"/>
        <w:gridCol w:w="1131"/>
        <w:gridCol w:w="1159"/>
        <w:gridCol w:w="1541"/>
        <w:gridCol w:w="1081"/>
        <w:gridCol w:w="1081"/>
        <w:gridCol w:w="990"/>
        <w:gridCol w:w="1021"/>
        <w:gridCol w:w="750"/>
      </w:tblGrid>
      <w:tr w:rsidR="00AE6869" w:rsidRPr="00CA3CF8" w:rsidTr="003F1507">
        <w:trPr>
          <w:trHeight w:val="289"/>
          <w:jc w:val="center"/>
        </w:trPr>
        <w:tc>
          <w:tcPr>
            <w:tcW w:w="5000" w:type="pct"/>
            <w:gridSpan w:val="12"/>
            <w:tcBorders>
              <w:top w:val="nil"/>
              <w:left w:val="nil"/>
              <w:bottom w:val="nil"/>
              <w:right w:val="nil"/>
            </w:tcBorders>
            <w:shd w:val="clear" w:color="auto" w:fill="auto"/>
            <w:tcMar>
              <w:top w:w="15" w:type="dxa"/>
              <w:left w:w="15" w:type="dxa"/>
              <w:bottom w:w="0" w:type="dxa"/>
              <w:right w:w="15" w:type="dxa"/>
            </w:tcMar>
            <w:vAlign w:val="center"/>
            <w:hideMark/>
          </w:tcPr>
          <w:p w:rsidR="00D719BF" w:rsidRDefault="00D719BF" w:rsidP="003F1507">
            <w:pPr>
              <w:widowControl/>
              <w:autoSpaceDE/>
              <w:autoSpaceDN/>
              <w:adjustRightInd/>
              <w:spacing w:after="160" w:line="259" w:lineRule="auto"/>
              <w:jc w:val="center"/>
              <w:rPr>
                <w:rFonts w:ascii="Arial" w:hAnsi="Arial"/>
                <w:b/>
                <w:bCs/>
                <w:color w:val="1F4E79" w:themeColor="accent1" w:themeShade="80"/>
                <w:sz w:val="24"/>
                <w:szCs w:val="24"/>
              </w:rPr>
            </w:pPr>
            <w:r w:rsidRPr="00D719BF">
              <w:rPr>
                <w:rFonts w:ascii="Arial" w:hAnsi="Arial"/>
                <w:b/>
                <w:bCs/>
                <w:color w:val="1F4E79" w:themeColor="accent1" w:themeShade="80"/>
                <w:sz w:val="24"/>
                <w:szCs w:val="24"/>
              </w:rPr>
              <w:t>STATEMENT OF SERVICES PROCUREMENT CONTRACTS WITH VALUES HIGHER THAN 100.000 EURO, CONCLUDED DURING</w:t>
            </w:r>
          </w:p>
          <w:p w:rsidR="00AE6869" w:rsidRPr="00D719BF" w:rsidRDefault="00D719BF" w:rsidP="003F1507">
            <w:pPr>
              <w:widowControl/>
              <w:autoSpaceDE/>
              <w:autoSpaceDN/>
              <w:adjustRightInd/>
              <w:spacing w:after="160" w:line="259" w:lineRule="auto"/>
              <w:jc w:val="center"/>
              <w:rPr>
                <w:rFonts w:ascii="Arial" w:eastAsiaTheme="minorHAnsi" w:hAnsi="Arial" w:cs="Arial"/>
                <w:b/>
                <w:bCs/>
                <w:color w:val="1F4E79" w:themeColor="accent1" w:themeShade="80"/>
                <w:sz w:val="24"/>
                <w:szCs w:val="24"/>
              </w:rPr>
            </w:pPr>
            <w:r w:rsidRPr="00D719BF">
              <w:rPr>
                <w:rFonts w:ascii="Arial" w:hAnsi="Arial"/>
                <w:b/>
                <w:bCs/>
                <w:color w:val="1F4E79" w:themeColor="accent1" w:themeShade="80"/>
                <w:sz w:val="24"/>
                <w:szCs w:val="24"/>
              </w:rPr>
              <w:t xml:space="preserve"> 01.01.2018-30.06.2018</w:t>
            </w:r>
          </w:p>
        </w:tc>
      </w:tr>
      <w:tr w:rsidR="00AE6869" w:rsidRPr="00C95BCC" w:rsidTr="003F1507">
        <w:trPr>
          <w:trHeight w:val="289"/>
          <w:jc w:val="center"/>
        </w:trPr>
        <w:tc>
          <w:tcPr>
            <w:tcW w:w="188"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jc w:val="center"/>
              <w:rPr>
                <w:rFonts w:ascii="Arial" w:eastAsiaTheme="minorHAnsi" w:hAnsi="Arial" w:cs="Arial"/>
                <w:b/>
                <w:bCs/>
                <w:color w:val="000000"/>
                <w:sz w:val="18"/>
                <w:szCs w:val="18"/>
                <w:lang w:eastAsia="en-US"/>
              </w:rPr>
            </w:pPr>
          </w:p>
        </w:tc>
        <w:tc>
          <w:tcPr>
            <w:tcW w:w="703"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rPr>
                <w:rFonts w:ascii="Arial" w:eastAsiaTheme="minorHAnsi" w:hAnsi="Arial" w:cs="Arial"/>
                <w:sz w:val="18"/>
                <w:szCs w:val="18"/>
                <w:lang w:eastAsia="en-US"/>
              </w:rPr>
            </w:pPr>
          </w:p>
        </w:tc>
        <w:tc>
          <w:tcPr>
            <w:tcW w:w="1103"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rPr>
                <w:rFonts w:ascii="Arial" w:eastAsiaTheme="minorHAnsi" w:hAnsi="Arial" w:cs="Arial"/>
                <w:sz w:val="18"/>
                <w:szCs w:val="18"/>
                <w:lang w:eastAsia="en-US"/>
              </w:rPr>
            </w:pPr>
          </w:p>
        </w:tc>
        <w:tc>
          <w:tcPr>
            <w:tcW w:w="327"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rPr>
                <w:rFonts w:ascii="Arial" w:eastAsiaTheme="minorHAnsi" w:hAnsi="Arial" w:cs="Arial"/>
                <w:sz w:val="18"/>
                <w:szCs w:val="18"/>
                <w:lang w:eastAsia="en-US"/>
              </w:rPr>
            </w:pPr>
          </w:p>
        </w:tc>
        <w:tc>
          <w:tcPr>
            <w:tcW w:w="312"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rPr>
                <w:rFonts w:ascii="Arial" w:eastAsiaTheme="minorHAnsi" w:hAnsi="Arial" w:cs="Arial"/>
                <w:sz w:val="18"/>
                <w:szCs w:val="18"/>
                <w:lang w:eastAsia="en-US"/>
              </w:rPr>
            </w:pPr>
          </w:p>
        </w:tc>
        <w:tc>
          <w:tcPr>
            <w:tcW w:w="370"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rPr>
                <w:rFonts w:ascii="Arial" w:eastAsiaTheme="minorHAnsi" w:hAnsi="Arial" w:cs="Arial"/>
                <w:sz w:val="18"/>
                <w:szCs w:val="18"/>
                <w:lang w:eastAsia="en-US"/>
              </w:rPr>
            </w:pPr>
          </w:p>
        </w:tc>
        <w:tc>
          <w:tcPr>
            <w:tcW w:w="459"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rPr>
                <w:rFonts w:ascii="Arial" w:eastAsiaTheme="minorHAnsi" w:hAnsi="Arial" w:cs="Arial"/>
                <w:sz w:val="18"/>
                <w:szCs w:val="18"/>
                <w:lang w:eastAsia="en-US"/>
              </w:rPr>
            </w:pPr>
          </w:p>
        </w:tc>
        <w:tc>
          <w:tcPr>
            <w:tcW w:w="341"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rPr>
                <w:rFonts w:ascii="Arial" w:eastAsiaTheme="minorHAnsi" w:hAnsi="Arial" w:cs="Arial"/>
                <w:sz w:val="18"/>
                <w:szCs w:val="18"/>
                <w:lang w:eastAsia="en-US"/>
              </w:rPr>
            </w:pPr>
          </w:p>
        </w:tc>
        <w:tc>
          <w:tcPr>
            <w:tcW w:w="341"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rPr>
                <w:rFonts w:ascii="Arial" w:eastAsiaTheme="minorHAnsi" w:hAnsi="Arial" w:cs="Arial"/>
                <w:sz w:val="18"/>
                <w:szCs w:val="18"/>
                <w:lang w:eastAsia="en-US"/>
              </w:rPr>
            </w:pPr>
          </w:p>
        </w:tc>
        <w:tc>
          <w:tcPr>
            <w:tcW w:w="327"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rPr>
                <w:rFonts w:ascii="Arial" w:eastAsiaTheme="minorHAnsi" w:hAnsi="Arial" w:cs="Arial"/>
                <w:sz w:val="18"/>
                <w:szCs w:val="18"/>
                <w:lang w:eastAsia="en-US"/>
              </w:rPr>
            </w:pPr>
          </w:p>
        </w:tc>
        <w:tc>
          <w:tcPr>
            <w:tcW w:w="327"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rPr>
                <w:rFonts w:ascii="Arial" w:eastAsiaTheme="minorHAnsi" w:hAnsi="Arial" w:cs="Arial"/>
                <w:sz w:val="18"/>
                <w:szCs w:val="18"/>
                <w:lang w:eastAsia="en-US"/>
              </w:rPr>
            </w:pPr>
          </w:p>
        </w:tc>
        <w:tc>
          <w:tcPr>
            <w:tcW w:w="199" w:type="pct"/>
            <w:tcBorders>
              <w:top w:val="nil"/>
              <w:left w:val="nil"/>
              <w:bottom w:val="nil"/>
              <w:right w:val="nil"/>
            </w:tcBorders>
            <w:shd w:val="clear" w:color="auto" w:fill="auto"/>
            <w:noWrap/>
            <w:tcMar>
              <w:top w:w="15" w:type="dxa"/>
              <w:left w:w="15" w:type="dxa"/>
              <w:bottom w:w="0" w:type="dxa"/>
              <w:right w:w="15" w:type="dxa"/>
            </w:tcMar>
            <w:vAlign w:val="bottom"/>
            <w:hideMark/>
          </w:tcPr>
          <w:p w:rsidR="00AE6869" w:rsidRPr="00C95BCC" w:rsidRDefault="00AE6869" w:rsidP="003F1507">
            <w:pPr>
              <w:widowControl/>
              <w:autoSpaceDE/>
              <w:autoSpaceDN/>
              <w:adjustRightInd/>
              <w:spacing w:after="160" w:line="259" w:lineRule="auto"/>
              <w:rPr>
                <w:rFonts w:ascii="Arial" w:eastAsiaTheme="minorHAnsi" w:hAnsi="Arial" w:cs="Arial"/>
                <w:sz w:val="18"/>
                <w:szCs w:val="18"/>
                <w:lang w:eastAsia="en-US"/>
              </w:rPr>
            </w:pPr>
          </w:p>
        </w:tc>
      </w:tr>
      <w:tr w:rsidR="00AE6869" w:rsidRPr="00C95BCC" w:rsidTr="003F1507">
        <w:trPr>
          <w:trHeight w:val="1477"/>
          <w:jc w:val="center"/>
        </w:trPr>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Crt. no.</w:t>
            </w:r>
          </w:p>
        </w:tc>
        <w:tc>
          <w:tcPr>
            <w:tcW w:w="703"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Name of  Contractor</w:t>
            </w:r>
          </w:p>
        </w:tc>
        <w:tc>
          <w:tcPr>
            <w:tcW w:w="1103"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Scope of Contract</w:t>
            </w:r>
          </w:p>
        </w:tc>
        <w:tc>
          <w:tcPr>
            <w:tcW w:w="327"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Title of contract</w:t>
            </w:r>
          </w:p>
        </w:tc>
        <w:tc>
          <w:tcPr>
            <w:tcW w:w="312"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Applied procurement procedure</w:t>
            </w:r>
          </w:p>
        </w:tc>
        <w:tc>
          <w:tcPr>
            <w:tcW w:w="370"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Name of Beneficiary (if different from the contracting authority)</w:t>
            </w:r>
          </w:p>
        </w:tc>
        <w:tc>
          <w:tcPr>
            <w:tcW w:w="459"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Contract notice number</w:t>
            </w:r>
            <w:r w:rsidR="00D719BF">
              <w:rPr>
                <w:rFonts w:ascii="Arial" w:hAnsi="Arial"/>
                <w:b/>
                <w:bCs/>
                <w:color w:val="000000"/>
                <w:sz w:val="18"/>
                <w:szCs w:val="18"/>
              </w:rPr>
              <w:t>/invitation to tender</w:t>
            </w:r>
          </w:p>
        </w:tc>
        <w:tc>
          <w:tcPr>
            <w:tcW w:w="34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AE6869" w:rsidRPr="00C95BCC" w:rsidRDefault="00815300"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 xml:space="preserve">Initial contract value  </w:t>
            </w:r>
            <w:r w:rsidR="00AE6869">
              <w:rPr>
                <w:rFonts w:ascii="Arial" w:hAnsi="Arial"/>
                <w:b/>
                <w:bCs/>
                <w:color w:val="000000"/>
                <w:sz w:val="18"/>
                <w:szCs w:val="18"/>
              </w:rPr>
              <w:br/>
              <w:t>(RON)</w:t>
            </w:r>
          </w:p>
        </w:tc>
        <w:tc>
          <w:tcPr>
            <w:tcW w:w="341"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 xml:space="preserve">Contract </w:t>
            </w:r>
            <w:r w:rsidR="00815300">
              <w:rPr>
                <w:rFonts w:ascii="Arial" w:hAnsi="Arial"/>
                <w:b/>
                <w:bCs/>
                <w:color w:val="000000"/>
                <w:sz w:val="18"/>
                <w:szCs w:val="18"/>
              </w:rPr>
              <w:t xml:space="preserve">value after potential addenda  </w:t>
            </w:r>
            <w:r>
              <w:rPr>
                <w:rFonts w:ascii="Arial" w:hAnsi="Arial"/>
                <w:b/>
                <w:bCs/>
                <w:color w:val="000000"/>
                <w:sz w:val="18"/>
                <w:szCs w:val="18"/>
              </w:rPr>
              <w:br/>
              <w:t>(RON)</w:t>
            </w:r>
          </w:p>
        </w:tc>
        <w:tc>
          <w:tcPr>
            <w:tcW w:w="327"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Start of the contract</w:t>
            </w:r>
          </w:p>
        </w:tc>
        <w:tc>
          <w:tcPr>
            <w:tcW w:w="327"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I</w:t>
            </w:r>
            <w:r w:rsidR="00815300">
              <w:rPr>
                <w:rFonts w:ascii="Arial" w:hAnsi="Arial"/>
                <w:b/>
                <w:bCs/>
                <w:color w:val="000000"/>
                <w:sz w:val="18"/>
                <w:szCs w:val="18"/>
              </w:rPr>
              <w:t xml:space="preserve">nitially set contract duration </w:t>
            </w:r>
            <w:r>
              <w:rPr>
                <w:rFonts w:ascii="Arial" w:hAnsi="Arial"/>
                <w:b/>
                <w:bCs/>
                <w:color w:val="000000"/>
                <w:sz w:val="18"/>
                <w:szCs w:val="18"/>
              </w:rPr>
              <w:br/>
              <w:t>(in months)</w:t>
            </w:r>
          </w:p>
        </w:tc>
        <w:tc>
          <w:tcPr>
            <w:tcW w:w="199" w:type="pct"/>
            <w:tcBorders>
              <w:top w:val="single" w:sz="4" w:space="0" w:color="auto"/>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rsidR="00AE6869" w:rsidRPr="00C95BCC" w:rsidRDefault="00815300" w:rsidP="003F1507">
            <w:pPr>
              <w:widowControl/>
              <w:autoSpaceDE/>
              <w:autoSpaceDN/>
              <w:adjustRightInd/>
              <w:spacing w:after="160" w:line="259" w:lineRule="auto"/>
              <w:jc w:val="center"/>
              <w:rPr>
                <w:rFonts w:ascii="Arial" w:eastAsiaTheme="minorHAnsi" w:hAnsi="Arial" w:cs="Arial"/>
                <w:b/>
                <w:bCs/>
                <w:color w:val="000000"/>
                <w:sz w:val="18"/>
                <w:szCs w:val="18"/>
              </w:rPr>
            </w:pPr>
            <w:r>
              <w:rPr>
                <w:rFonts w:ascii="Arial" w:hAnsi="Arial"/>
                <w:b/>
                <w:bCs/>
                <w:color w:val="000000"/>
                <w:sz w:val="18"/>
                <w:szCs w:val="18"/>
              </w:rPr>
              <w:t xml:space="preserve">Final contract duration </w:t>
            </w:r>
            <w:r w:rsidR="00AE6869">
              <w:rPr>
                <w:rFonts w:ascii="Arial" w:hAnsi="Arial"/>
                <w:b/>
                <w:bCs/>
                <w:color w:val="000000"/>
                <w:sz w:val="18"/>
                <w:szCs w:val="18"/>
              </w:rPr>
              <w:br/>
              <w:t>(in months)</w:t>
            </w:r>
          </w:p>
        </w:tc>
      </w:tr>
      <w:tr w:rsidR="00AE6869" w:rsidRPr="00C95BCC" w:rsidTr="003F1507">
        <w:trPr>
          <w:trHeight w:val="1515"/>
          <w:jc w:val="center"/>
        </w:trPr>
        <w:tc>
          <w:tcPr>
            <w:tcW w:w="18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color w:val="000000"/>
                <w:sz w:val="18"/>
                <w:szCs w:val="18"/>
              </w:rPr>
            </w:pPr>
            <w:r>
              <w:rPr>
                <w:rFonts w:ascii="Arial" w:hAnsi="Arial"/>
                <w:color w:val="000000"/>
                <w:sz w:val="18"/>
                <w:szCs w:val="18"/>
              </w:rPr>
              <w:t>1</w:t>
            </w:r>
          </w:p>
        </w:tc>
        <w:tc>
          <w:tcPr>
            <w:tcW w:w="70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REVA SA SIMERIA THE TRADE C</w:t>
            </w:r>
            <w:r w:rsidR="00D719BF">
              <w:rPr>
                <w:rFonts w:ascii="Arial" w:hAnsi="Arial"/>
                <w:sz w:val="18"/>
                <w:szCs w:val="18"/>
              </w:rPr>
              <w:t>OMPANY FOR ROLLING STOCK REPAIR</w:t>
            </w:r>
            <w:r>
              <w:rPr>
                <w:rFonts w:ascii="Arial" w:hAnsi="Arial"/>
                <w:sz w:val="18"/>
                <w:szCs w:val="18"/>
              </w:rPr>
              <w:br/>
            </w:r>
          </w:p>
        </w:tc>
        <w:tc>
          <w:tcPr>
            <w:tcW w:w="110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Repairs and scheduled revisions RP-CIR (with intervention to container + CIR revision)  of 38 60 cubic meters rail tanks for crude oil transport, RP-FIR (with intervention to container) of 3 rich gas tank cars, ISCIR revision to 2 tank cars for crude oil transport and 1 tank car for rich gas transport and replacement of 88 used axles at the 41 tank-cars</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S-CA 29 / 31.01.2018</w:t>
            </w:r>
          </w:p>
        </w:tc>
        <w:tc>
          <w:tcPr>
            <w:tcW w:w="31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Tender</w:t>
            </w:r>
          </w:p>
        </w:tc>
        <w:tc>
          <w:tcPr>
            <w:tcW w:w="37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w:t>
            </w:r>
          </w:p>
        </w:tc>
        <w:tc>
          <w:tcPr>
            <w:tcW w:w="4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46623/16.11.2017</w:t>
            </w:r>
          </w:p>
        </w:tc>
        <w:tc>
          <w:tcPr>
            <w:tcW w:w="3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1,432,500.00</w:t>
            </w:r>
          </w:p>
        </w:tc>
        <w:tc>
          <w:tcPr>
            <w:tcW w:w="3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1,432,500.00</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31.01.2018</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12</w:t>
            </w:r>
          </w:p>
        </w:tc>
        <w:tc>
          <w:tcPr>
            <w:tcW w:w="19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12</w:t>
            </w:r>
          </w:p>
        </w:tc>
      </w:tr>
      <w:tr w:rsidR="00AE6869" w:rsidRPr="00C95BCC" w:rsidTr="003F1507">
        <w:trPr>
          <w:trHeight w:val="706"/>
          <w:jc w:val="center"/>
        </w:trPr>
        <w:tc>
          <w:tcPr>
            <w:tcW w:w="18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color w:val="000000"/>
                <w:sz w:val="18"/>
                <w:szCs w:val="18"/>
              </w:rPr>
            </w:pPr>
            <w:r>
              <w:rPr>
                <w:rFonts w:ascii="Arial" w:hAnsi="Arial"/>
                <w:color w:val="000000"/>
                <w:sz w:val="18"/>
                <w:szCs w:val="18"/>
              </w:rPr>
              <w:t>2</w:t>
            </w:r>
          </w:p>
        </w:tc>
        <w:tc>
          <w:tcPr>
            <w:tcW w:w="70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SERVICE IMPLEMENTARE PRODUCTIE SA</w:t>
            </w:r>
          </w:p>
        </w:tc>
        <w:tc>
          <w:tcPr>
            <w:tcW w:w="110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 xml:space="preserve">Certification/re-certification services for the preparation of the documentation for recurrent reexamination from Ex point of view </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S-CA 91 / 07.03.2018</w:t>
            </w:r>
          </w:p>
        </w:tc>
        <w:tc>
          <w:tcPr>
            <w:tcW w:w="31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Tender</w:t>
            </w:r>
          </w:p>
        </w:tc>
        <w:tc>
          <w:tcPr>
            <w:tcW w:w="37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w:t>
            </w:r>
          </w:p>
        </w:tc>
        <w:tc>
          <w:tcPr>
            <w:tcW w:w="4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1870/15.01.2018</w:t>
            </w:r>
          </w:p>
        </w:tc>
        <w:tc>
          <w:tcPr>
            <w:tcW w:w="3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479,380.00</w:t>
            </w:r>
          </w:p>
        </w:tc>
        <w:tc>
          <w:tcPr>
            <w:tcW w:w="34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479,380.00</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07.03.2018</w:t>
            </w:r>
          </w:p>
        </w:tc>
        <w:tc>
          <w:tcPr>
            <w:tcW w:w="32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12</w:t>
            </w:r>
          </w:p>
        </w:tc>
        <w:tc>
          <w:tcPr>
            <w:tcW w:w="19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E6869" w:rsidRPr="00C95BCC" w:rsidRDefault="00AE6869" w:rsidP="003F1507">
            <w:pPr>
              <w:widowControl/>
              <w:autoSpaceDE/>
              <w:autoSpaceDN/>
              <w:adjustRightInd/>
              <w:spacing w:after="160" w:line="259" w:lineRule="auto"/>
              <w:jc w:val="center"/>
              <w:rPr>
                <w:rFonts w:ascii="Arial" w:eastAsiaTheme="minorHAnsi" w:hAnsi="Arial" w:cs="Arial"/>
                <w:sz w:val="18"/>
                <w:szCs w:val="18"/>
              </w:rPr>
            </w:pPr>
            <w:r>
              <w:rPr>
                <w:rFonts w:ascii="Arial" w:hAnsi="Arial"/>
                <w:sz w:val="18"/>
                <w:szCs w:val="18"/>
              </w:rPr>
              <w:t>12</w:t>
            </w:r>
          </w:p>
        </w:tc>
      </w:tr>
      <w:tr w:rsidR="00AE6869" w:rsidRPr="00C95BCC" w:rsidTr="003F1507">
        <w:trPr>
          <w:trHeight w:val="493"/>
          <w:jc w:val="center"/>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AE6869" w:rsidRPr="00C95BCC" w:rsidRDefault="00815300" w:rsidP="003F1507">
            <w:pPr>
              <w:widowControl/>
              <w:autoSpaceDE/>
              <w:autoSpaceDN/>
              <w:adjustRightInd/>
              <w:spacing w:after="160" w:line="259" w:lineRule="auto"/>
              <w:jc w:val="center"/>
              <w:rPr>
                <w:rFonts w:ascii="Arial" w:eastAsiaTheme="minorHAnsi" w:hAnsi="Arial" w:cs="Arial"/>
                <w:b/>
                <w:bCs/>
                <w:sz w:val="18"/>
                <w:szCs w:val="18"/>
              </w:rPr>
            </w:pPr>
            <w:r>
              <w:rPr>
                <w:rFonts w:ascii="Arial" w:hAnsi="Arial"/>
                <w:b/>
                <w:bCs/>
                <w:sz w:val="18"/>
                <w:szCs w:val="18"/>
              </w:rPr>
              <w:t>SEMESTER I - 2 CONTRACTS</w:t>
            </w:r>
            <w:r w:rsidR="00AE6869">
              <w:rPr>
                <w:rFonts w:ascii="Arial" w:hAnsi="Arial"/>
                <w:b/>
                <w:bCs/>
                <w:sz w:val="18"/>
                <w:szCs w:val="18"/>
              </w:rPr>
              <w:br/>
              <w:t>VALUE SEMESTER  I = 1,911,880.00 RON</w:t>
            </w:r>
          </w:p>
        </w:tc>
      </w:tr>
    </w:tbl>
    <w:p w:rsidR="00452793" w:rsidRDefault="00452793" w:rsidP="00AE6869">
      <w:pPr>
        <w:widowControl/>
        <w:overflowPunct w:val="0"/>
        <w:spacing w:line="276" w:lineRule="auto"/>
        <w:jc w:val="both"/>
        <w:textAlignment w:val="baseline"/>
        <w:rPr>
          <w:rFonts w:ascii="Arial" w:hAnsi="Arial"/>
          <w:b/>
          <w:bCs/>
          <w:color w:val="1F4E79" w:themeColor="accent1" w:themeShade="80"/>
          <w:sz w:val="22"/>
          <w:szCs w:val="22"/>
        </w:rPr>
        <w:sectPr w:rsidR="00452793" w:rsidSect="00452793">
          <w:headerReference w:type="default" r:id="rId35"/>
          <w:footerReference w:type="even" r:id="rId36"/>
          <w:footerReference w:type="default" r:id="rId37"/>
          <w:headerReference w:type="first" r:id="rId38"/>
          <w:footerReference w:type="first" r:id="rId39"/>
          <w:pgSz w:w="16834" w:h="11909" w:orient="landscape" w:code="9"/>
          <w:pgMar w:top="1281" w:right="709" w:bottom="1281" w:left="1134" w:header="709" w:footer="567" w:gutter="0"/>
          <w:pgNumType w:chapStyle="2"/>
          <w:cols w:space="60"/>
          <w:noEndnote/>
          <w:titlePg/>
          <w:docGrid w:linePitch="272"/>
        </w:sectPr>
      </w:pPr>
    </w:p>
    <w:p w:rsidR="00452793" w:rsidRDefault="00452793" w:rsidP="00452793">
      <w:pPr>
        <w:rPr>
          <w:b/>
        </w:rPr>
      </w:pPr>
    </w:p>
    <w:p w:rsidR="00452793" w:rsidRDefault="00452793" w:rsidP="00452793">
      <w:pPr>
        <w:rPr>
          <w:b/>
        </w:rPr>
      </w:pPr>
    </w:p>
    <w:p w:rsidR="00452793" w:rsidRDefault="00740567" w:rsidP="00452793">
      <w:pPr>
        <w:rPr>
          <w:b/>
          <w:lang w:val="ro-RO"/>
        </w:rPr>
      </w:pPr>
      <w:r>
        <w:rPr>
          <w:b/>
        </w:rPr>
        <w:t xml:space="preserve">ANNEX NO. </w:t>
      </w:r>
      <w:proofErr w:type="gramStart"/>
      <w:r>
        <w:rPr>
          <w:b/>
        </w:rPr>
        <w:t>7</w:t>
      </w:r>
      <w:proofErr w:type="gramEnd"/>
      <w:r w:rsidR="00452793">
        <w:rPr>
          <w:b/>
          <w:lang w:val="ro-RO"/>
        </w:rPr>
        <w:t xml:space="preserve">: </w:t>
      </w:r>
      <w:r w:rsidR="00452793">
        <w:rPr>
          <w:b/>
        </w:rPr>
        <w:t>STATEMENT OF LITIGATION</w:t>
      </w:r>
      <w:r w:rsidR="00452793">
        <w:rPr>
          <w:b/>
          <w:lang w:val="ro-RO"/>
        </w:rPr>
        <w:t xml:space="preserve"> </w:t>
      </w:r>
      <w:r w:rsidR="00452793">
        <w:rPr>
          <w:b/>
        </w:rPr>
        <w:t>ON THE</w:t>
      </w:r>
      <w:r w:rsidR="00452793">
        <w:rPr>
          <w:b/>
          <w:lang w:val="ro-RO"/>
        </w:rPr>
        <w:t xml:space="preserve"> 30</w:t>
      </w:r>
      <w:r w:rsidR="00452793">
        <w:rPr>
          <w:b/>
          <w:vertAlign w:val="superscript"/>
        </w:rPr>
        <w:t>th</w:t>
      </w:r>
      <w:r w:rsidR="00452793">
        <w:rPr>
          <w:b/>
        </w:rPr>
        <w:t xml:space="preserve"> OF JUNE </w:t>
      </w:r>
      <w:r w:rsidR="00452793">
        <w:rPr>
          <w:b/>
          <w:lang w:val="ro-RO"/>
        </w:rPr>
        <w:t>2018</w:t>
      </w:r>
    </w:p>
    <w:p w:rsidR="00452793" w:rsidRDefault="00452793" w:rsidP="00452793">
      <w:pPr>
        <w:rPr>
          <w:b/>
          <w:lang w:val="ro-RO"/>
        </w:rPr>
      </w:pPr>
    </w:p>
    <w:p w:rsidR="00452793" w:rsidRDefault="00452793" w:rsidP="00452793">
      <w:pPr>
        <w:jc w:val="both"/>
        <w:rPr>
          <w:b/>
          <w:lang w:val="ro-RO"/>
        </w:rPr>
      </w:pPr>
    </w:p>
    <w:p w:rsidR="00452793" w:rsidRDefault="00452793" w:rsidP="00452793">
      <w:pPr>
        <w:spacing w:after="200" w:line="276" w:lineRule="auto"/>
        <w:rPr>
          <w:sz w:val="24"/>
          <w:szCs w:val="24"/>
        </w:rPr>
      </w:pPr>
      <w:r>
        <w:rPr>
          <w:b/>
          <w:lang w:val="ro-RO"/>
        </w:rPr>
        <w:t xml:space="preserve">A). </w:t>
      </w:r>
      <w:r w:rsidR="00740567">
        <w:rPr>
          <w:b/>
          <w:lang w:val="ro-RO"/>
        </w:rPr>
        <w:t xml:space="preserve">LITIGATIONS </w:t>
      </w:r>
      <w:bookmarkStart w:id="0" w:name="_GoBack"/>
      <w:bookmarkEnd w:id="0"/>
      <w:r>
        <w:rPr>
          <w:b/>
          <w:lang w:val="ro-RO"/>
        </w:rPr>
        <w:t xml:space="preserve"> </w:t>
      </w:r>
      <w:r>
        <w:rPr>
          <w:b/>
        </w:rPr>
        <w:t xml:space="preserve">IN WHICH </w:t>
      </w:r>
      <w:r>
        <w:rPr>
          <w:b/>
          <w:lang w:val="ro-RO"/>
        </w:rPr>
        <w:t xml:space="preserve">CONPET S.A. </w:t>
      </w:r>
      <w:r>
        <w:rPr>
          <w:b/>
        </w:rPr>
        <w:t>COMPANY HAS THE CAPACITY OF PLAINTIFF</w:t>
      </w:r>
      <w:r>
        <w:rPr>
          <w:b/>
          <w:lang w:val="ro-RO"/>
        </w:rPr>
        <w:t>:</w:t>
      </w:r>
    </w:p>
    <w:p w:rsidR="00452793" w:rsidRDefault="00452793" w:rsidP="00452793">
      <w:pPr>
        <w:jc w:val="both"/>
        <w:rPr>
          <w:sz w:val="24"/>
          <w:szCs w:val="24"/>
        </w:rPr>
      </w:pPr>
    </w:p>
    <w:p w:rsidR="00452793" w:rsidRDefault="00452793" w:rsidP="00452793">
      <w:pPr>
        <w:jc w:val="both"/>
        <w:rPr>
          <w:b/>
          <w:sz w:val="24"/>
          <w:szCs w:val="24"/>
          <w:lang w:val="pt-BR"/>
        </w:rPr>
      </w:pPr>
      <w:r>
        <w:rPr>
          <w:b/>
          <w:sz w:val="24"/>
          <w:szCs w:val="24"/>
          <w:lang w:val="pt-BR"/>
        </w:rPr>
        <w:t xml:space="preserve">1. </w:t>
      </w:r>
      <w:r>
        <w:rPr>
          <w:b/>
          <w:sz w:val="24"/>
          <w:szCs w:val="24"/>
        </w:rPr>
        <w:t xml:space="preserve">File </w:t>
      </w:r>
      <w:r>
        <w:rPr>
          <w:b/>
          <w:sz w:val="24"/>
          <w:szCs w:val="24"/>
          <w:lang w:val="pt-BR"/>
        </w:rPr>
        <w:t>n</w:t>
      </w:r>
      <w:r>
        <w:rPr>
          <w:b/>
          <w:sz w:val="24"/>
          <w:szCs w:val="24"/>
        </w:rPr>
        <w:t>o</w:t>
      </w:r>
      <w:r>
        <w:rPr>
          <w:b/>
          <w:sz w:val="24"/>
          <w:szCs w:val="24"/>
          <w:lang w:val="pt-BR"/>
        </w:rPr>
        <w:t>. 11921/105/2011 – Bacău</w:t>
      </w:r>
      <w:r>
        <w:rPr>
          <w:b/>
          <w:sz w:val="24"/>
          <w:szCs w:val="24"/>
        </w:rPr>
        <w:t xml:space="preserve"> Court</w:t>
      </w:r>
    </w:p>
    <w:p w:rsidR="00452793" w:rsidRDefault="00452793" w:rsidP="00452793">
      <w:pPr>
        <w:jc w:val="both"/>
        <w:rPr>
          <w:sz w:val="24"/>
          <w:szCs w:val="24"/>
          <w:lang w:val="pt-BR"/>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plaintiff</w:t>
      </w:r>
    </w:p>
    <w:p w:rsidR="00452793" w:rsidRDefault="00452793" w:rsidP="00452793">
      <w:pPr>
        <w:jc w:val="both"/>
        <w:rPr>
          <w:sz w:val="24"/>
          <w:szCs w:val="24"/>
          <w:lang w:val="pt-BR"/>
        </w:rPr>
      </w:pPr>
      <w:r>
        <w:rPr>
          <w:sz w:val="24"/>
          <w:szCs w:val="24"/>
          <w:lang w:val="pt-BR"/>
        </w:rPr>
        <w:t xml:space="preserve">            Biodiesel S.R.L. - </w:t>
      </w:r>
      <w:r>
        <w:rPr>
          <w:sz w:val="24"/>
          <w:szCs w:val="24"/>
        </w:rPr>
        <w:t>defendant</w:t>
      </w:r>
    </w:p>
    <w:p w:rsidR="00452793" w:rsidRDefault="00452793" w:rsidP="00452793">
      <w:pPr>
        <w:jc w:val="both"/>
        <w:rPr>
          <w:sz w:val="24"/>
          <w:szCs w:val="24"/>
          <w:lang w:val="pt-BR"/>
        </w:rPr>
      </w:pPr>
      <w:r>
        <w:rPr>
          <w:b/>
          <w:sz w:val="24"/>
          <w:szCs w:val="24"/>
        </w:rPr>
        <w:t>Subject</w:t>
      </w:r>
      <w:r>
        <w:rPr>
          <w:b/>
          <w:sz w:val="24"/>
          <w:szCs w:val="24"/>
          <w:lang w:val="pt-BR"/>
        </w:rPr>
        <w:t>:</w:t>
      </w:r>
      <w:r>
        <w:rPr>
          <w:sz w:val="24"/>
          <w:szCs w:val="24"/>
          <w:lang w:val="pt-BR"/>
        </w:rPr>
        <w:t xml:space="preserve">  </w:t>
      </w:r>
      <w:r>
        <w:rPr>
          <w:b/>
          <w:sz w:val="24"/>
          <w:szCs w:val="24"/>
        </w:rPr>
        <w:t>Claims</w:t>
      </w:r>
      <w:r>
        <w:rPr>
          <w:b/>
          <w:sz w:val="24"/>
          <w:szCs w:val="24"/>
          <w:lang w:val="pt-BR"/>
        </w:rPr>
        <w:t xml:space="preserve">. </w:t>
      </w:r>
      <w:r>
        <w:rPr>
          <w:sz w:val="24"/>
          <w:szCs w:val="24"/>
          <w:lang w:val="pt-BR"/>
        </w:rPr>
        <w:t xml:space="preserve">Conpet S.A. </w:t>
      </w:r>
      <w:r>
        <w:rPr>
          <w:sz w:val="24"/>
          <w:szCs w:val="24"/>
        </w:rPr>
        <w:t>files a lawsuit demanding</w:t>
      </w:r>
      <w:r>
        <w:rPr>
          <w:sz w:val="24"/>
          <w:szCs w:val="24"/>
          <w:lang w:val="pt-BR"/>
        </w:rPr>
        <w:t>:</w:t>
      </w:r>
    </w:p>
    <w:p w:rsidR="00452793" w:rsidRDefault="00452793" w:rsidP="00452793">
      <w:pPr>
        <w:jc w:val="both"/>
        <w:rPr>
          <w:sz w:val="24"/>
          <w:szCs w:val="24"/>
          <w:lang w:val="it-IT"/>
        </w:rPr>
      </w:pPr>
      <w:r>
        <w:rPr>
          <w:sz w:val="24"/>
          <w:szCs w:val="24"/>
          <w:lang w:val="it-IT"/>
        </w:rPr>
        <w:t xml:space="preserve">- </w:t>
      </w:r>
      <w:r>
        <w:rPr>
          <w:sz w:val="24"/>
          <w:szCs w:val="24"/>
        </w:rPr>
        <w:t>Order the defendant Biodiesel S.R.L to pay the amount of 2016. RON 821</w:t>
      </w:r>
      <w:proofErr w:type="gramStart"/>
      <w:r>
        <w:rPr>
          <w:sz w:val="24"/>
          <w:szCs w:val="24"/>
        </w:rPr>
        <w:t>,44</w:t>
      </w:r>
      <w:proofErr w:type="gramEnd"/>
      <w:r>
        <w:rPr>
          <w:sz w:val="24"/>
          <w:szCs w:val="24"/>
        </w:rPr>
        <w:t xml:space="preserve"> to Conpet S.A., representing the ground rent consideration between June </w:t>
      </w:r>
      <w:r>
        <w:rPr>
          <w:sz w:val="24"/>
          <w:szCs w:val="24"/>
          <w:lang w:val="it-IT"/>
        </w:rPr>
        <w:t xml:space="preserve">2009 – </w:t>
      </w:r>
      <w:r>
        <w:rPr>
          <w:sz w:val="24"/>
          <w:szCs w:val="24"/>
        </w:rPr>
        <w:t xml:space="preserve">April </w:t>
      </w:r>
      <w:r>
        <w:rPr>
          <w:sz w:val="24"/>
          <w:szCs w:val="24"/>
          <w:lang w:val="it-IT"/>
        </w:rPr>
        <w:t>2011;</w:t>
      </w:r>
    </w:p>
    <w:p w:rsidR="00452793" w:rsidRDefault="00452793" w:rsidP="00452793">
      <w:pPr>
        <w:jc w:val="both"/>
        <w:rPr>
          <w:sz w:val="24"/>
          <w:szCs w:val="24"/>
        </w:rPr>
      </w:pPr>
      <w:r>
        <w:rPr>
          <w:sz w:val="24"/>
          <w:szCs w:val="24"/>
          <w:lang w:val="it-IT"/>
        </w:rPr>
        <w:t xml:space="preserve">- </w:t>
      </w:r>
      <w:r>
        <w:rPr>
          <w:sz w:val="24"/>
          <w:szCs w:val="24"/>
        </w:rPr>
        <w:t xml:space="preserve">Order the defendant </w:t>
      </w:r>
      <w:r>
        <w:rPr>
          <w:sz w:val="24"/>
          <w:szCs w:val="24"/>
          <w:lang w:val="it-IT"/>
        </w:rPr>
        <w:t>Biodiesel S.R.L</w:t>
      </w:r>
      <w:r>
        <w:rPr>
          <w:sz w:val="24"/>
          <w:szCs w:val="24"/>
        </w:rPr>
        <w:t xml:space="preserve"> to</w:t>
      </w:r>
      <w:r>
        <w:rPr>
          <w:sz w:val="24"/>
          <w:szCs w:val="24"/>
          <w:lang w:val="it-IT"/>
        </w:rPr>
        <w:t xml:space="preserve"> </w:t>
      </w:r>
      <w:r>
        <w:rPr>
          <w:sz w:val="24"/>
          <w:szCs w:val="24"/>
        </w:rPr>
        <w:t xml:space="preserve">pay the delay penalties owed to Conpet S.A. by the defendant, according to art.11 from the agreement/contract no. </w:t>
      </w:r>
      <w:r>
        <w:rPr>
          <w:sz w:val="24"/>
          <w:szCs w:val="24"/>
          <w:lang w:val="it-IT"/>
        </w:rPr>
        <w:t xml:space="preserve">ADM 89/04.27.2009 </w:t>
      </w:r>
      <w:r>
        <w:rPr>
          <w:sz w:val="24"/>
          <w:szCs w:val="24"/>
        </w:rPr>
        <w:t>concluded between the parties as a result of the defendant’s failure to perform the rent payment obligation. Conpet demands an order that the defendant pay delay penalties owed from due date up to the actual payment (the date of the annulment of the payment obligation for the consideration of the main debtor, representing rent debt for the period May2009 - April 2011). Please note that up to the 11.11.2011 the amount owed by the defendant under the title of penalties reached 30.653</w:t>
      </w:r>
      <w:proofErr w:type="gramStart"/>
      <w:r>
        <w:rPr>
          <w:sz w:val="24"/>
          <w:szCs w:val="24"/>
        </w:rPr>
        <w:t>,77</w:t>
      </w:r>
      <w:proofErr w:type="gramEnd"/>
      <w:r>
        <w:rPr>
          <w:sz w:val="24"/>
          <w:szCs w:val="24"/>
        </w:rPr>
        <w:t>;</w:t>
      </w:r>
    </w:p>
    <w:p w:rsidR="00452793" w:rsidRDefault="00452793" w:rsidP="00452793">
      <w:pPr>
        <w:jc w:val="both"/>
        <w:rPr>
          <w:sz w:val="24"/>
          <w:szCs w:val="24"/>
        </w:rPr>
      </w:pPr>
      <w:r>
        <w:rPr>
          <w:sz w:val="24"/>
          <w:szCs w:val="24"/>
        </w:rPr>
        <w:t>- Order the defendant to pay the damage-interests for the lack of use of the ground since the expiry date of the agreement (</w:t>
      </w:r>
      <w:proofErr w:type="gramStart"/>
      <w:r>
        <w:rPr>
          <w:sz w:val="24"/>
          <w:szCs w:val="24"/>
        </w:rPr>
        <w:t>28</w:t>
      </w:r>
      <w:r>
        <w:rPr>
          <w:sz w:val="24"/>
          <w:szCs w:val="24"/>
          <w:vertAlign w:val="superscript"/>
        </w:rPr>
        <w:t>th</w:t>
      </w:r>
      <w:proofErr w:type="gramEnd"/>
      <w:r>
        <w:rPr>
          <w:sz w:val="24"/>
          <w:szCs w:val="24"/>
        </w:rPr>
        <w:t xml:space="preserve"> April 2011) up to the present date. In evaluating the </w:t>
      </w:r>
      <w:proofErr w:type="gramStart"/>
      <w:r>
        <w:rPr>
          <w:sz w:val="24"/>
          <w:szCs w:val="24"/>
        </w:rPr>
        <w:t>damage-interest</w:t>
      </w:r>
      <w:proofErr w:type="gramEnd"/>
      <w:r>
        <w:rPr>
          <w:sz w:val="24"/>
          <w:szCs w:val="24"/>
        </w:rPr>
        <w:t xml:space="preserve"> we considered the amount of rent agreed with the defendant under the rental agreement/contract no. </w:t>
      </w:r>
      <w:r>
        <w:rPr>
          <w:sz w:val="24"/>
          <w:szCs w:val="24"/>
          <w:lang w:val="it-IT"/>
        </w:rPr>
        <w:t>ADM 89/27.04.2009</w:t>
      </w:r>
      <w:r>
        <w:rPr>
          <w:sz w:val="24"/>
          <w:szCs w:val="24"/>
        </w:rPr>
        <w:t>.</w:t>
      </w:r>
    </w:p>
    <w:p w:rsidR="00452793" w:rsidRDefault="00452793" w:rsidP="00452793">
      <w:pPr>
        <w:jc w:val="both"/>
        <w:rPr>
          <w:sz w:val="24"/>
          <w:szCs w:val="24"/>
        </w:rPr>
      </w:pPr>
      <w:r>
        <w:rPr>
          <w:sz w:val="24"/>
          <w:szCs w:val="24"/>
        </w:rPr>
        <w:t xml:space="preserve">- Order the defendant </w:t>
      </w:r>
      <w:r>
        <w:rPr>
          <w:sz w:val="24"/>
          <w:szCs w:val="24"/>
          <w:lang w:val="it-IT"/>
        </w:rPr>
        <w:t>Biodiesel S.R.L</w:t>
      </w:r>
      <w:r>
        <w:rPr>
          <w:sz w:val="24"/>
          <w:szCs w:val="24"/>
        </w:rPr>
        <w:t xml:space="preserve"> to pay the trial fees issued in the present matter.</w:t>
      </w:r>
    </w:p>
    <w:p w:rsidR="00452793" w:rsidRDefault="00452793" w:rsidP="00452793">
      <w:pPr>
        <w:jc w:val="both"/>
        <w:rPr>
          <w:sz w:val="24"/>
          <w:szCs w:val="24"/>
        </w:rPr>
      </w:pPr>
      <w:r>
        <w:rPr>
          <w:b/>
          <w:bCs/>
          <w:sz w:val="24"/>
          <w:szCs w:val="24"/>
        </w:rPr>
        <w:t>Clarifications</w:t>
      </w:r>
      <w:r>
        <w:rPr>
          <w:sz w:val="24"/>
          <w:szCs w:val="24"/>
        </w:rPr>
        <w:t xml:space="preserve">: By the </w:t>
      </w:r>
      <w:r>
        <w:rPr>
          <w:b/>
          <w:bCs/>
          <w:sz w:val="24"/>
          <w:szCs w:val="24"/>
        </w:rPr>
        <w:t xml:space="preserve">sentence no. </w:t>
      </w:r>
      <w:proofErr w:type="gramStart"/>
      <w:r>
        <w:rPr>
          <w:b/>
          <w:bCs/>
          <w:sz w:val="24"/>
          <w:szCs w:val="24"/>
        </w:rPr>
        <w:t>445/03.04.2015</w:t>
      </w:r>
      <w:proofErr w:type="gramEnd"/>
      <w:r>
        <w:rPr>
          <w:sz w:val="24"/>
          <w:szCs w:val="24"/>
        </w:rPr>
        <w:t xml:space="preserve"> the Moinesti Court rejects the plea of contract failure. It partly admits the request issued by the plaintiff </w:t>
      </w:r>
      <w:r>
        <w:rPr>
          <w:sz w:val="24"/>
          <w:szCs w:val="24"/>
          <w:lang w:val="it-IT"/>
        </w:rPr>
        <w:t>Conpet SA Ploieşti</w:t>
      </w:r>
      <w:r>
        <w:rPr>
          <w:sz w:val="24"/>
          <w:szCs w:val="24"/>
        </w:rPr>
        <w:t xml:space="preserve"> opposing the defendant </w:t>
      </w:r>
      <w:r>
        <w:rPr>
          <w:sz w:val="24"/>
          <w:szCs w:val="24"/>
          <w:lang w:val="it-IT"/>
        </w:rPr>
        <w:t>Biodiesel SRL</w:t>
      </w:r>
      <w:r>
        <w:rPr>
          <w:sz w:val="24"/>
          <w:szCs w:val="24"/>
        </w:rPr>
        <w:t xml:space="preserve">. It issues an order for the defendant to pay the plaintiff the sum of RON 191.554,60, as a consideration for rent. It orders the defendant pay the plaintiff the sum of RON 106.026,58, a consideration for delay penalties, which </w:t>
      </w:r>
      <w:proofErr w:type="gramStart"/>
      <w:r>
        <w:rPr>
          <w:sz w:val="24"/>
          <w:szCs w:val="24"/>
        </w:rPr>
        <w:t>will still be owed</w:t>
      </w:r>
      <w:proofErr w:type="gramEnd"/>
      <w:r>
        <w:rPr>
          <w:sz w:val="24"/>
          <w:szCs w:val="24"/>
        </w:rPr>
        <w:t>, starting from the date of .20</w:t>
      </w:r>
      <w:r>
        <w:rPr>
          <w:sz w:val="24"/>
          <w:szCs w:val="24"/>
          <w:vertAlign w:val="superscript"/>
        </w:rPr>
        <w:t>th</w:t>
      </w:r>
      <w:r>
        <w:rPr>
          <w:sz w:val="24"/>
          <w:szCs w:val="24"/>
        </w:rPr>
        <w:t xml:space="preserve"> Nov 2014 until the actual payment of the consideration for rent. It rejects the matter regarding the damage-interest. It orders the defendant to pay the plaintiff the sum of RON </w:t>
      </w:r>
      <w:proofErr w:type="gramStart"/>
      <w:r>
        <w:rPr>
          <w:sz w:val="24"/>
          <w:szCs w:val="24"/>
        </w:rPr>
        <w:t>10.599,31 ,</w:t>
      </w:r>
      <w:proofErr w:type="gramEnd"/>
      <w:r>
        <w:rPr>
          <w:sz w:val="24"/>
          <w:szCs w:val="24"/>
        </w:rPr>
        <w:t xml:space="preserve"> a consideration for the judiciary fee for the matter admition and the expert fee. </w:t>
      </w:r>
      <w:proofErr w:type="gramStart"/>
      <w:r>
        <w:rPr>
          <w:sz w:val="24"/>
          <w:szCs w:val="24"/>
        </w:rPr>
        <w:t>The sentence was appealed by Conpet and Biodiesel</w:t>
      </w:r>
      <w:proofErr w:type="gramEnd"/>
      <w:r>
        <w:rPr>
          <w:sz w:val="24"/>
          <w:szCs w:val="24"/>
        </w:rPr>
        <w:t>.</w:t>
      </w:r>
    </w:p>
    <w:p w:rsidR="00452793" w:rsidRDefault="00452793" w:rsidP="00452793">
      <w:pPr>
        <w:jc w:val="both"/>
        <w:rPr>
          <w:sz w:val="24"/>
          <w:szCs w:val="24"/>
        </w:rPr>
      </w:pPr>
      <w:r>
        <w:rPr>
          <w:sz w:val="24"/>
          <w:szCs w:val="24"/>
        </w:rPr>
        <w:t>By the Conclusion from 08</w:t>
      </w:r>
      <w:r>
        <w:rPr>
          <w:sz w:val="24"/>
          <w:szCs w:val="24"/>
          <w:vertAlign w:val="superscript"/>
        </w:rPr>
        <w:t>th</w:t>
      </w:r>
      <w:r>
        <w:rPr>
          <w:sz w:val="24"/>
          <w:szCs w:val="24"/>
        </w:rPr>
        <w:t xml:space="preserve">March 2016 the Bacau Court orders suspending the appeal trial according to </w:t>
      </w:r>
      <w:proofErr w:type="gramStart"/>
      <w:r>
        <w:rPr>
          <w:sz w:val="24"/>
          <w:szCs w:val="24"/>
        </w:rPr>
        <w:t>art.244(</w:t>
      </w:r>
      <w:proofErr w:type="gramEnd"/>
      <w:r>
        <w:rPr>
          <w:sz w:val="24"/>
          <w:szCs w:val="24"/>
        </w:rPr>
        <w:t xml:space="preserve">1)1 from the Civil Law (old), until the definitive closure of the file no. 5119/260/2014. Conpet issued appeal to the suspending closure. This will be trialed in the Bacau Appeal Court. By the order from </w:t>
      </w:r>
      <w:proofErr w:type="gramStart"/>
      <w:r>
        <w:rPr>
          <w:sz w:val="24"/>
          <w:szCs w:val="24"/>
        </w:rPr>
        <w:t>07</w:t>
      </w:r>
      <w:r>
        <w:rPr>
          <w:sz w:val="24"/>
          <w:szCs w:val="24"/>
          <w:vertAlign w:val="superscript"/>
        </w:rPr>
        <w:t>th</w:t>
      </w:r>
      <w:proofErr w:type="gramEnd"/>
      <w:r>
        <w:rPr>
          <w:sz w:val="24"/>
          <w:szCs w:val="24"/>
        </w:rPr>
        <w:t xml:space="preserve"> Sept 2016, the appeal was rejected.</w:t>
      </w:r>
    </w:p>
    <w:p w:rsidR="00452793" w:rsidRDefault="00452793" w:rsidP="00452793">
      <w:pPr>
        <w:jc w:val="both"/>
        <w:rPr>
          <w:sz w:val="24"/>
          <w:szCs w:val="24"/>
        </w:rPr>
      </w:pPr>
      <w:r>
        <w:rPr>
          <w:sz w:val="24"/>
          <w:szCs w:val="24"/>
        </w:rPr>
        <w:t xml:space="preserve"> </w:t>
      </w:r>
      <w:r>
        <w:rPr>
          <w:b/>
          <w:bCs/>
          <w:sz w:val="24"/>
          <w:szCs w:val="24"/>
        </w:rPr>
        <w:t>Stage of the trial</w:t>
      </w:r>
      <w:r>
        <w:rPr>
          <w:sz w:val="24"/>
          <w:szCs w:val="24"/>
        </w:rPr>
        <w:t>: Appeal- Suspended</w:t>
      </w:r>
    </w:p>
    <w:p w:rsidR="00452793" w:rsidRDefault="00452793" w:rsidP="00452793">
      <w:pPr>
        <w:jc w:val="both"/>
        <w:rPr>
          <w:sz w:val="24"/>
          <w:szCs w:val="24"/>
        </w:rPr>
      </w:pPr>
      <w:r>
        <w:rPr>
          <w:sz w:val="24"/>
          <w:szCs w:val="24"/>
        </w:rPr>
        <w:t xml:space="preserve"> </w:t>
      </w:r>
      <w:r>
        <w:rPr>
          <w:b/>
          <w:bCs/>
          <w:sz w:val="24"/>
          <w:szCs w:val="24"/>
        </w:rPr>
        <w:t>Hearing</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lang w:val="pt-BR"/>
        </w:rPr>
      </w:pPr>
      <w:r>
        <w:rPr>
          <w:b/>
          <w:sz w:val="24"/>
          <w:szCs w:val="24"/>
          <w:lang w:val="pt-BR"/>
        </w:rPr>
        <w:t xml:space="preserve">2. </w:t>
      </w:r>
      <w:r>
        <w:rPr>
          <w:b/>
          <w:sz w:val="24"/>
          <w:szCs w:val="24"/>
        </w:rPr>
        <w:t xml:space="preserve">File </w:t>
      </w:r>
      <w:r>
        <w:rPr>
          <w:b/>
          <w:sz w:val="24"/>
          <w:szCs w:val="24"/>
          <w:lang w:val="pt-BR"/>
        </w:rPr>
        <w:t>n</w:t>
      </w:r>
      <w:r>
        <w:rPr>
          <w:b/>
          <w:sz w:val="24"/>
          <w:szCs w:val="24"/>
        </w:rPr>
        <w:t>o</w:t>
      </w:r>
      <w:r>
        <w:rPr>
          <w:b/>
          <w:sz w:val="24"/>
          <w:szCs w:val="24"/>
          <w:lang w:val="pt-BR"/>
        </w:rPr>
        <w:t>. 19</w:t>
      </w:r>
      <w:r>
        <w:rPr>
          <w:b/>
          <w:sz w:val="24"/>
          <w:szCs w:val="24"/>
        </w:rPr>
        <w:t>0</w:t>
      </w:r>
      <w:r>
        <w:rPr>
          <w:b/>
          <w:sz w:val="24"/>
          <w:szCs w:val="24"/>
          <w:lang w:val="pt-BR"/>
        </w:rPr>
        <w:t>2</w:t>
      </w:r>
      <w:r>
        <w:rPr>
          <w:b/>
          <w:sz w:val="24"/>
          <w:szCs w:val="24"/>
        </w:rPr>
        <w:t>4</w:t>
      </w:r>
      <w:r>
        <w:rPr>
          <w:b/>
          <w:sz w:val="24"/>
          <w:szCs w:val="24"/>
          <w:lang w:val="pt-BR"/>
        </w:rPr>
        <w:t>/</w:t>
      </w:r>
      <w:r>
        <w:rPr>
          <w:b/>
          <w:sz w:val="24"/>
          <w:szCs w:val="24"/>
        </w:rPr>
        <w:t>281</w:t>
      </w:r>
      <w:r>
        <w:rPr>
          <w:b/>
          <w:sz w:val="24"/>
          <w:szCs w:val="24"/>
          <w:lang w:val="pt-BR"/>
        </w:rPr>
        <w:t>/20</w:t>
      </w:r>
      <w:r>
        <w:rPr>
          <w:b/>
          <w:sz w:val="24"/>
          <w:szCs w:val="24"/>
        </w:rPr>
        <w:t>09</w:t>
      </w:r>
      <w:r>
        <w:rPr>
          <w:b/>
          <w:sz w:val="24"/>
          <w:szCs w:val="24"/>
          <w:lang w:val="pt-BR"/>
        </w:rPr>
        <w:t xml:space="preserve">– </w:t>
      </w:r>
      <w:r>
        <w:rPr>
          <w:b/>
          <w:sz w:val="24"/>
          <w:szCs w:val="24"/>
        </w:rPr>
        <w:t>Ploie</w:t>
      </w:r>
      <w:r>
        <w:rPr>
          <w:b/>
          <w:sz w:val="24"/>
          <w:szCs w:val="24"/>
          <w:lang w:val="ro-RO"/>
        </w:rPr>
        <w:t>ș</w:t>
      </w:r>
      <w:r>
        <w:rPr>
          <w:b/>
          <w:sz w:val="24"/>
          <w:szCs w:val="24"/>
        </w:rPr>
        <w:t>ti Court</w:t>
      </w:r>
    </w:p>
    <w:p w:rsidR="00452793" w:rsidRDefault="00452793" w:rsidP="00452793">
      <w:pPr>
        <w:jc w:val="both"/>
        <w:rPr>
          <w:sz w:val="24"/>
          <w:szCs w:val="24"/>
          <w:lang w:val="pt-BR"/>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plaintiff</w:t>
      </w:r>
    </w:p>
    <w:p w:rsidR="00452793" w:rsidRDefault="00452793" w:rsidP="00452793">
      <w:pPr>
        <w:jc w:val="both"/>
        <w:rPr>
          <w:sz w:val="24"/>
          <w:szCs w:val="24"/>
          <w:lang w:val="pt-BR"/>
        </w:rPr>
      </w:pPr>
      <w:r>
        <w:rPr>
          <w:sz w:val="24"/>
          <w:szCs w:val="24"/>
          <w:lang w:val="pt-BR"/>
        </w:rPr>
        <w:t xml:space="preserve">           Compania de Transport Feroviar S.A. Ploiești</w:t>
      </w:r>
      <w:r>
        <w:rPr>
          <w:sz w:val="24"/>
          <w:szCs w:val="24"/>
        </w:rPr>
        <w:t xml:space="preserve"> (The Railway Transport Company S.A. Ploie</w:t>
      </w:r>
      <w:r>
        <w:rPr>
          <w:sz w:val="24"/>
          <w:szCs w:val="24"/>
          <w:lang w:val="ro-RO"/>
        </w:rPr>
        <w:t>ș</w:t>
      </w:r>
      <w:r>
        <w:rPr>
          <w:sz w:val="24"/>
          <w:szCs w:val="24"/>
        </w:rPr>
        <w:t>ti)</w:t>
      </w:r>
      <w:r>
        <w:rPr>
          <w:sz w:val="24"/>
          <w:szCs w:val="24"/>
          <w:lang w:val="pt-BR"/>
        </w:rPr>
        <w:t xml:space="preserve">- </w:t>
      </w:r>
      <w:r>
        <w:rPr>
          <w:sz w:val="24"/>
          <w:szCs w:val="24"/>
        </w:rPr>
        <w:t>defendant</w:t>
      </w:r>
    </w:p>
    <w:p w:rsidR="00452793" w:rsidRDefault="00452793" w:rsidP="00452793">
      <w:pPr>
        <w:jc w:val="both"/>
        <w:rPr>
          <w:sz w:val="24"/>
          <w:szCs w:val="24"/>
        </w:rPr>
      </w:pPr>
      <w:r>
        <w:rPr>
          <w:b/>
          <w:sz w:val="24"/>
          <w:szCs w:val="24"/>
        </w:rPr>
        <w:t>Subject</w:t>
      </w:r>
      <w:r>
        <w:rPr>
          <w:b/>
          <w:sz w:val="24"/>
          <w:szCs w:val="24"/>
          <w:lang w:val="pt-BR"/>
        </w:rPr>
        <w:t>:</w:t>
      </w:r>
      <w:r>
        <w:rPr>
          <w:sz w:val="24"/>
          <w:szCs w:val="24"/>
          <w:lang w:val="pt-BR"/>
        </w:rPr>
        <w:t xml:space="preserve">  </w:t>
      </w:r>
      <w:r>
        <w:rPr>
          <w:b/>
          <w:sz w:val="24"/>
          <w:szCs w:val="24"/>
        </w:rPr>
        <w:t>Claims</w:t>
      </w:r>
      <w:r>
        <w:rPr>
          <w:b/>
          <w:sz w:val="24"/>
          <w:szCs w:val="24"/>
          <w:lang w:val="pt-BR"/>
        </w:rPr>
        <w:t xml:space="preserve">. </w:t>
      </w:r>
      <w:r>
        <w:rPr>
          <w:sz w:val="24"/>
          <w:szCs w:val="24"/>
          <w:lang w:val="pt-BR"/>
        </w:rPr>
        <w:t xml:space="preserve">Conpet S.A. </w:t>
      </w:r>
      <w:r>
        <w:rPr>
          <w:sz w:val="24"/>
          <w:szCs w:val="24"/>
        </w:rPr>
        <w:t>files a lawsuit demanding an order that the defendant pay the sum of 50.511,6 RON representing the payment difference for the LDH-70-675 engine repairing which costed an overall of 60.381,60 RON, and also for the trial fees.</w:t>
      </w:r>
    </w:p>
    <w:p w:rsidR="00452793" w:rsidRDefault="00452793" w:rsidP="00452793">
      <w:pPr>
        <w:jc w:val="both"/>
        <w:rPr>
          <w:sz w:val="24"/>
          <w:szCs w:val="24"/>
        </w:rPr>
      </w:pPr>
      <w:r>
        <w:rPr>
          <w:b/>
          <w:bCs/>
          <w:sz w:val="24"/>
          <w:szCs w:val="24"/>
        </w:rPr>
        <w:t xml:space="preserve">Clarifications: By </w:t>
      </w:r>
      <w:r>
        <w:rPr>
          <w:sz w:val="24"/>
          <w:szCs w:val="24"/>
        </w:rPr>
        <w:t xml:space="preserve">the conclusion from </w:t>
      </w:r>
      <w:proofErr w:type="gramStart"/>
      <w:r>
        <w:rPr>
          <w:sz w:val="24"/>
          <w:szCs w:val="24"/>
        </w:rPr>
        <w:t>02</w:t>
      </w:r>
      <w:r>
        <w:rPr>
          <w:sz w:val="24"/>
          <w:szCs w:val="24"/>
          <w:vertAlign w:val="superscript"/>
        </w:rPr>
        <w:t>nd</w:t>
      </w:r>
      <w:proofErr w:type="gramEnd"/>
      <w:r>
        <w:rPr>
          <w:sz w:val="24"/>
          <w:szCs w:val="24"/>
        </w:rPr>
        <w:t xml:space="preserve"> Sept 2011 the court suspended the matter based on art. </w:t>
      </w:r>
      <w:proofErr w:type="gramStart"/>
      <w:r>
        <w:rPr>
          <w:sz w:val="24"/>
          <w:szCs w:val="24"/>
        </w:rPr>
        <w:t>36</w:t>
      </w:r>
      <w:proofErr w:type="gramEnd"/>
      <w:r>
        <w:rPr>
          <w:sz w:val="24"/>
          <w:szCs w:val="24"/>
        </w:rPr>
        <w:t xml:space="preserve"> of the Law 85/2006.</w:t>
      </w:r>
    </w:p>
    <w:p w:rsidR="00452793" w:rsidRDefault="00452793" w:rsidP="00452793">
      <w:pPr>
        <w:jc w:val="both"/>
        <w:rPr>
          <w:sz w:val="24"/>
          <w:szCs w:val="24"/>
        </w:rPr>
      </w:pPr>
      <w:r>
        <w:rPr>
          <w:sz w:val="24"/>
          <w:szCs w:val="24"/>
        </w:rPr>
        <w:t xml:space="preserve"> </w:t>
      </w:r>
      <w:r>
        <w:rPr>
          <w:b/>
          <w:bCs/>
          <w:sz w:val="24"/>
          <w:szCs w:val="24"/>
        </w:rPr>
        <w:t>Stage of the trial</w:t>
      </w:r>
      <w:r>
        <w:rPr>
          <w:sz w:val="24"/>
          <w:szCs w:val="24"/>
        </w:rPr>
        <w:t>: First instance</w:t>
      </w:r>
    </w:p>
    <w:p w:rsidR="00452793" w:rsidRDefault="00452793" w:rsidP="00452793">
      <w:pPr>
        <w:jc w:val="both"/>
        <w:rPr>
          <w:sz w:val="24"/>
          <w:szCs w:val="24"/>
        </w:rPr>
      </w:pPr>
      <w:r>
        <w:rPr>
          <w:sz w:val="24"/>
          <w:szCs w:val="24"/>
        </w:rPr>
        <w:t xml:space="preserve"> </w:t>
      </w:r>
      <w:r>
        <w:rPr>
          <w:b/>
          <w:bCs/>
          <w:sz w:val="24"/>
          <w:szCs w:val="24"/>
        </w:rPr>
        <w:t>Hearing</w:t>
      </w:r>
      <w:r>
        <w:rPr>
          <w:sz w:val="24"/>
          <w:szCs w:val="24"/>
        </w:rPr>
        <w:t>: --</w:t>
      </w:r>
    </w:p>
    <w:p w:rsidR="00452793" w:rsidRDefault="00452793" w:rsidP="00452793">
      <w:pPr>
        <w:jc w:val="both"/>
        <w:rPr>
          <w:sz w:val="24"/>
          <w:szCs w:val="24"/>
          <w:lang w:val="pt-BR"/>
        </w:rPr>
      </w:pPr>
    </w:p>
    <w:p w:rsidR="00452793" w:rsidRDefault="00452793" w:rsidP="00452793">
      <w:pPr>
        <w:jc w:val="both"/>
        <w:rPr>
          <w:sz w:val="24"/>
          <w:szCs w:val="24"/>
          <w:lang w:val="pt-BR"/>
        </w:rPr>
      </w:pPr>
    </w:p>
    <w:p w:rsidR="00452793" w:rsidRDefault="00452793" w:rsidP="00452793">
      <w:pPr>
        <w:jc w:val="both"/>
        <w:rPr>
          <w:b/>
          <w:sz w:val="24"/>
          <w:szCs w:val="24"/>
          <w:lang w:val="pt-BR"/>
        </w:rPr>
      </w:pPr>
      <w:r>
        <w:rPr>
          <w:sz w:val="24"/>
          <w:szCs w:val="24"/>
        </w:rPr>
        <w:t xml:space="preserve">3. </w:t>
      </w:r>
      <w:r>
        <w:rPr>
          <w:b/>
          <w:sz w:val="24"/>
          <w:szCs w:val="24"/>
        </w:rPr>
        <w:t xml:space="preserve">File </w:t>
      </w:r>
      <w:r>
        <w:rPr>
          <w:b/>
          <w:sz w:val="24"/>
          <w:szCs w:val="24"/>
          <w:lang w:val="pt-BR"/>
        </w:rPr>
        <w:t>n</w:t>
      </w:r>
      <w:r>
        <w:rPr>
          <w:b/>
          <w:sz w:val="24"/>
          <w:szCs w:val="24"/>
        </w:rPr>
        <w:t>o</w:t>
      </w:r>
      <w:r>
        <w:rPr>
          <w:b/>
          <w:sz w:val="24"/>
          <w:szCs w:val="24"/>
          <w:lang w:val="pt-BR"/>
        </w:rPr>
        <w:t xml:space="preserve">. </w:t>
      </w:r>
      <w:r>
        <w:rPr>
          <w:b/>
          <w:sz w:val="24"/>
          <w:szCs w:val="24"/>
          <w:lang w:val="it-IT"/>
        </w:rPr>
        <w:t>6179/105/2009</w:t>
      </w:r>
      <w:r>
        <w:rPr>
          <w:b/>
          <w:sz w:val="24"/>
          <w:szCs w:val="24"/>
          <w:lang w:val="pt-BR"/>
        </w:rPr>
        <w:t xml:space="preserve">– </w:t>
      </w:r>
      <w:r>
        <w:rPr>
          <w:b/>
          <w:sz w:val="24"/>
          <w:szCs w:val="24"/>
        </w:rPr>
        <w:t>Prahova Court</w:t>
      </w:r>
    </w:p>
    <w:p w:rsidR="00452793" w:rsidRDefault="00452793" w:rsidP="00452793">
      <w:pPr>
        <w:jc w:val="both"/>
        <w:rPr>
          <w:sz w:val="24"/>
          <w:szCs w:val="24"/>
          <w:lang w:val="pt-BR"/>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creditor</w:t>
      </w:r>
    </w:p>
    <w:p w:rsidR="00452793" w:rsidRDefault="00452793" w:rsidP="00452793">
      <w:pPr>
        <w:jc w:val="both"/>
        <w:rPr>
          <w:sz w:val="24"/>
          <w:szCs w:val="24"/>
          <w:lang w:val="pt-BR"/>
        </w:rPr>
      </w:pPr>
      <w:r>
        <w:rPr>
          <w:sz w:val="24"/>
          <w:szCs w:val="24"/>
          <w:lang w:val="pt-BR"/>
        </w:rPr>
        <w:t xml:space="preserve">        </w:t>
      </w:r>
      <w:r>
        <w:rPr>
          <w:sz w:val="24"/>
          <w:szCs w:val="24"/>
        </w:rPr>
        <w:t xml:space="preserve"> </w:t>
      </w:r>
      <w:r>
        <w:rPr>
          <w:sz w:val="24"/>
          <w:szCs w:val="24"/>
          <w:lang w:val="it-IT"/>
        </w:rPr>
        <w:t>Petroconduct S.A.</w:t>
      </w:r>
      <w:r>
        <w:rPr>
          <w:sz w:val="24"/>
          <w:szCs w:val="24"/>
          <w:lang w:val="pt-BR"/>
        </w:rPr>
        <w:t xml:space="preserve">- </w:t>
      </w:r>
      <w:r>
        <w:rPr>
          <w:sz w:val="24"/>
          <w:szCs w:val="24"/>
          <w:lang w:val="it-IT"/>
        </w:rPr>
        <w:t>debtor</w:t>
      </w:r>
    </w:p>
    <w:p w:rsidR="00452793" w:rsidRDefault="00452793" w:rsidP="00452793">
      <w:pPr>
        <w:jc w:val="both"/>
        <w:rPr>
          <w:bCs/>
          <w:sz w:val="24"/>
          <w:szCs w:val="24"/>
        </w:rPr>
      </w:pPr>
      <w:r>
        <w:rPr>
          <w:b/>
          <w:sz w:val="24"/>
          <w:szCs w:val="24"/>
        </w:rPr>
        <w:t>Subject</w:t>
      </w:r>
      <w:r>
        <w:rPr>
          <w:b/>
          <w:sz w:val="24"/>
          <w:szCs w:val="24"/>
          <w:lang w:val="pt-BR"/>
        </w:rPr>
        <w:t>:</w:t>
      </w:r>
      <w:r>
        <w:rPr>
          <w:sz w:val="24"/>
          <w:szCs w:val="24"/>
          <w:lang w:val="pt-BR"/>
        </w:rPr>
        <w:t xml:space="preserve">  </w:t>
      </w:r>
      <w:r>
        <w:rPr>
          <w:b/>
          <w:sz w:val="24"/>
          <w:szCs w:val="24"/>
        </w:rPr>
        <w:t xml:space="preserve">Bankruptcy. </w:t>
      </w:r>
      <w:r>
        <w:rPr>
          <w:bCs/>
          <w:sz w:val="24"/>
          <w:szCs w:val="24"/>
        </w:rPr>
        <w:t xml:space="preserve">Conpet S.A demanded, by the Statement of claim no. </w:t>
      </w:r>
      <w:r>
        <w:rPr>
          <w:sz w:val="24"/>
          <w:szCs w:val="24"/>
          <w:lang w:val="it-IT"/>
        </w:rPr>
        <w:t>5949/23.02</w:t>
      </w:r>
      <w:r>
        <w:rPr>
          <w:sz w:val="24"/>
          <w:szCs w:val="24"/>
        </w:rPr>
        <w:t>.</w:t>
      </w:r>
      <w:r>
        <w:rPr>
          <w:sz w:val="24"/>
          <w:szCs w:val="24"/>
          <w:lang w:val="it-IT"/>
        </w:rPr>
        <w:t>2010</w:t>
      </w:r>
      <w:r>
        <w:rPr>
          <w:sz w:val="24"/>
          <w:szCs w:val="24"/>
        </w:rPr>
        <w:t>,</w:t>
      </w:r>
      <w:r>
        <w:rPr>
          <w:bCs/>
          <w:sz w:val="24"/>
          <w:szCs w:val="24"/>
        </w:rPr>
        <w:t xml:space="preserve"> the registration in the statement of affairs with the sum of 202.890,47 RON representing penalties for </w:t>
      </w:r>
      <w:r>
        <w:rPr>
          <w:sz w:val="24"/>
          <w:szCs w:val="24"/>
        </w:rPr>
        <w:t xml:space="preserve">failure to perform the obligations agreed upon in the contracts no. </w:t>
      </w:r>
      <w:r>
        <w:rPr>
          <w:sz w:val="24"/>
          <w:szCs w:val="24"/>
          <w:lang w:val="it-IT"/>
        </w:rPr>
        <w:t xml:space="preserve">L45/18.03.2004 </w:t>
      </w:r>
      <w:r>
        <w:rPr>
          <w:sz w:val="24"/>
          <w:szCs w:val="24"/>
        </w:rPr>
        <w:t>and</w:t>
      </w:r>
      <w:r>
        <w:rPr>
          <w:sz w:val="24"/>
          <w:szCs w:val="24"/>
          <w:lang w:val="it-IT"/>
        </w:rPr>
        <w:t xml:space="preserve"> MST9/09.06.2004</w:t>
      </w:r>
      <w:r>
        <w:rPr>
          <w:sz w:val="24"/>
          <w:szCs w:val="24"/>
        </w:rPr>
        <w:t xml:space="preserve">, consideration for tubular material, transport expenses, uploading and downloading the tubular material,trial fees. Conpet S.A. </w:t>
      </w:r>
      <w:proofErr w:type="gramStart"/>
      <w:r>
        <w:rPr>
          <w:sz w:val="24"/>
          <w:szCs w:val="24"/>
        </w:rPr>
        <w:t>was registered</w:t>
      </w:r>
      <w:proofErr w:type="gramEnd"/>
      <w:r>
        <w:rPr>
          <w:sz w:val="24"/>
          <w:szCs w:val="24"/>
        </w:rPr>
        <w:t xml:space="preserve"> on the creditors’ table of the debtor </w:t>
      </w:r>
      <w:r>
        <w:rPr>
          <w:sz w:val="24"/>
          <w:szCs w:val="24"/>
          <w:lang w:val="it-IT"/>
        </w:rPr>
        <w:t>S.C. Petroconduct S.A.</w:t>
      </w:r>
      <w:r>
        <w:rPr>
          <w:sz w:val="24"/>
          <w:szCs w:val="24"/>
        </w:rPr>
        <w:t xml:space="preserve"> with the sum of </w:t>
      </w:r>
      <w:r>
        <w:rPr>
          <w:sz w:val="24"/>
          <w:szCs w:val="24"/>
          <w:lang w:val="it-IT"/>
        </w:rPr>
        <w:t>62.739,06</w:t>
      </w:r>
      <w:r>
        <w:rPr>
          <w:sz w:val="24"/>
          <w:szCs w:val="24"/>
        </w:rPr>
        <w:t xml:space="preserve"> RON.</w:t>
      </w:r>
    </w:p>
    <w:p w:rsidR="00452793" w:rsidRDefault="00452793" w:rsidP="00452793">
      <w:pPr>
        <w:jc w:val="both"/>
        <w:rPr>
          <w:sz w:val="24"/>
          <w:szCs w:val="24"/>
        </w:rPr>
      </w:pPr>
      <w:r>
        <w:rPr>
          <w:b/>
          <w:bCs/>
          <w:sz w:val="24"/>
          <w:szCs w:val="24"/>
        </w:rPr>
        <w:t xml:space="preserve">Clarifications: </w:t>
      </w:r>
      <w:r>
        <w:rPr>
          <w:sz w:val="24"/>
          <w:szCs w:val="24"/>
        </w:rPr>
        <w:t xml:space="preserve">The official receiver of the debtor registered the company on the preliminary debt table with only a part of the debt claimed by Conpet, respectively </w:t>
      </w:r>
      <w:r>
        <w:rPr>
          <w:sz w:val="24"/>
          <w:szCs w:val="24"/>
          <w:lang w:val="it-IT"/>
        </w:rPr>
        <w:t>62.739,06</w:t>
      </w:r>
      <w:r>
        <w:rPr>
          <w:sz w:val="24"/>
          <w:szCs w:val="24"/>
        </w:rPr>
        <w:t xml:space="preserve"> RON of the total debt of </w:t>
      </w:r>
      <w:r>
        <w:rPr>
          <w:sz w:val="24"/>
          <w:szCs w:val="24"/>
          <w:lang w:val="it-IT"/>
        </w:rPr>
        <w:t>216.412</w:t>
      </w:r>
      <w:proofErr w:type="gramStart"/>
      <w:r>
        <w:rPr>
          <w:sz w:val="24"/>
          <w:szCs w:val="24"/>
          <w:lang w:val="it-IT"/>
        </w:rPr>
        <w:t>,56</w:t>
      </w:r>
      <w:r>
        <w:rPr>
          <w:sz w:val="24"/>
          <w:szCs w:val="24"/>
        </w:rPr>
        <w:t>RON</w:t>
      </w:r>
      <w:proofErr w:type="gramEnd"/>
      <w:r>
        <w:rPr>
          <w:sz w:val="24"/>
          <w:szCs w:val="24"/>
        </w:rPr>
        <w:t xml:space="preserve">, although our company used all the available judicial remedies. </w:t>
      </w:r>
    </w:p>
    <w:p w:rsidR="00452793" w:rsidRDefault="00452793" w:rsidP="00452793">
      <w:pPr>
        <w:jc w:val="both"/>
        <w:rPr>
          <w:sz w:val="24"/>
          <w:szCs w:val="24"/>
        </w:rPr>
      </w:pPr>
      <w:r>
        <w:rPr>
          <w:sz w:val="24"/>
          <w:szCs w:val="24"/>
        </w:rPr>
        <w:t xml:space="preserve"> </w:t>
      </w:r>
      <w:r>
        <w:rPr>
          <w:b/>
          <w:bCs/>
          <w:sz w:val="24"/>
          <w:szCs w:val="24"/>
        </w:rPr>
        <w:t>Hearing</w:t>
      </w:r>
      <w:r>
        <w:rPr>
          <w:sz w:val="24"/>
          <w:szCs w:val="24"/>
        </w:rPr>
        <w:t xml:space="preserve">: </w:t>
      </w:r>
      <w:proofErr w:type="gramStart"/>
      <w:r>
        <w:rPr>
          <w:sz w:val="24"/>
          <w:szCs w:val="24"/>
          <w:lang w:val="it-IT"/>
        </w:rPr>
        <w:t>10</w:t>
      </w:r>
      <w:r>
        <w:rPr>
          <w:sz w:val="24"/>
          <w:szCs w:val="24"/>
          <w:vertAlign w:val="superscript"/>
        </w:rPr>
        <w:t>th</w:t>
      </w:r>
      <w:proofErr w:type="gramEnd"/>
      <w:r>
        <w:rPr>
          <w:sz w:val="24"/>
          <w:szCs w:val="24"/>
        </w:rPr>
        <w:t xml:space="preserve"> Oct </w:t>
      </w:r>
      <w:r>
        <w:rPr>
          <w:sz w:val="24"/>
          <w:szCs w:val="24"/>
          <w:lang w:val="it-IT"/>
        </w:rPr>
        <w:t>2018</w:t>
      </w:r>
    </w:p>
    <w:p w:rsidR="00452793" w:rsidRDefault="00452793" w:rsidP="00452793">
      <w:pPr>
        <w:jc w:val="both"/>
        <w:rPr>
          <w:sz w:val="24"/>
          <w:szCs w:val="24"/>
          <w:lang w:val="pt-BR"/>
        </w:rPr>
      </w:pPr>
    </w:p>
    <w:p w:rsidR="00452793" w:rsidRDefault="00452793" w:rsidP="00452793">
      <w:pPr>
        <w:jc w:val="both"/>
        <w:rPr>
          <w:b/>
          <w:sz w:val="24"/>
          <w:szCs w:val="24"/>
          <w:lang w:val="pt-BR"/>
        </w:rPr>
      </w:pPr>
      <w:r>
        <w:rPr>
          <w:b/>
          <w:sz w:val="24"/>
          <w:szCs w:val="24"/>
          <w:lang w:val="it-IT"/>
        </w:rPr>
        <w:t>4</w:t>
      </w:r>
      <w:r>
        <w:rPr>
          <w:b/>
          <w:bCs/>
          <w:sz w:val="24"/>
          <w:szCs w:val="24"/>
          <w:lang w:val="it-IT"/>
        </w:rPr>
        <w:t xml:space="preserve">. </w:t>
      </w:r>
      <w:r>
        <w:rPr>
          <w:b/>
          <w:sz w:val="24"/>
          <w:szCs w:val="24"/>
        </w:rPr>
        <w:t xml:space="preserve">File </w:t>
      </w:r>
      <w:r>
        <w:rPr>
          <w:b/>
          <w:sz w:val="24"/>
          <w:szCs w:val="24"/>
          <w:lang w:val="pt-BR"/>
        </w:rPr>
        <w:t>n</w:t>
      </w:r>
      <w:r>
        <w:rPr>
          <w:b/>
          <w:sz w:val="24"/>
          <w:szCs w:val="24"/>
        </w:rPr>
        <w:t>o</w:t>
      </w:r>
      <w:r>
        <w:rPr>
          <w:b/>
          <w:sz w:val="24"/>
          <w:szCs w:val="24"/>
          <w:lang w:val="pt-BR"/>
        </w:rPr>
        <w:t xml:space="preserve">. </w:t>
      </w:r>
      <w:r>
        <w:rPr>
          <w:b/>
          <w:bCs/>
          <w:sz w:val="24"/>
          <w:szCs w:val="24"/>
          <w:lang w:val="it-IT"/>
        </w:rPr>
        <w:t>2811/105/2010*</w:t>
      </w:r>
      <w:r>
        <w:rPr>
          <w:b/>
          <w:sz w:val="24"/>
          <w:szCs w:val="24"/>
          <w:lang w:val="pt-BR"/>
        </w:rPr>
        <w:t xml:space="preserve">– </w:t>
      </w:r>
      <w:r>
        <w:rPr>
          <w:b/>
          <w:sz w:val="24"/>
          <w:szCs w:val="24"/>
        </w:rPr>
        <w:t>Ploie</w:t>
      </w:r>
      <w:r>
        <w:rPr>
          <w:b/>
          <w:sz w:val="24"/>
          <w:szCs w:val="24"/>
          <w:lang w:val="ro-RO"/>
        </w:rPr>
        <w:t>ș</w:t>
      </w:r>
      <w:r>
        <w:rPr>
          <w:b/>
          <w:sz w:val="24"/>
          <w:szCs w:val="24"/>
        </w:rPr>
        <w:t>ti Appeal Court</w:t>
      </w:r>
    </w:p>
    <w:p w:rsidR="00452793" w:rsidRDefault="00452793" w:rsidP="00452793">
      <w:pPr>
        <w:jc w:val="both"/>
        <w:rPr>
          <w:sz w:val="24"/>
          <w:szCs w:val="24"/>
          <w:lang w:val="pt-BR"/>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plaintiff</w:t>
      </w:r>
    </w:p>
    <w:p w:rsidR="00452793" w:rsidRDefault="00452793" w:rsidP="00452793">
      <w:pPr>
        <w:jc w:val="both"/>
        <w:rPr>
          <w:sz w:val="24"/>
          <w:szCs w:val="24"/>
          <w:lang w:val="pt-BR"/>
        </w:rPr>
      </w:pPr>
      <w:r>
        <w:rPr>
          <w:sz w:val="24"/>
          <w:szCs w:val="24"/>
          <w:lang w:val="pt-BR"/>
        </w:rPr>
        <w:t xml:space="preserve">        </w:t>
      </w:r>
      <w:r>
        <w:rPr>
          <w:sz w:val="24"/>
          <w:szCs w:val="24"/>
        </w:rPr>
        <w:t xml:space="preserve"> </w:t>
      </w:r>
      <w:r>
        <w:rPr>
          <w:bCs/>
          <w:sz w:val="24"/>
          <w:szCs w:val="24"/>
          <w:lang w:val="fr-FR"/>
        </w:rPr>
        <w:t>ICIM S.A</w:t>
      </w:r>
      <w:r>
        <w:rPr>
          <w:sz w:val="24"/>
          <w:szCs w:val="24"/>
          <w:lang w:val="pt-BR"/>
        </w:rPr>
        <w:t xml:space="preserve">- </w:t>
      </w:r>
      <w:r>
        <w:rPr>
          <w:sz w:val="24"/>
          <w:szCs w:val="24"/>
        </w:rPr>
        <w:t>defendant</w:t>
      </w:r>
    </w:p>
    <w:p w:rsidR="00452793" w:rsidRDefault="00452793" w:rsidP="00452793">
      <w:pPr>
        <w:jc w:val="both"/>
        <w:rPr>
          <w:b/>
          <w:bCs/>
          <w:sz w:val="24"/>
          <w:szCs w:val="24"/>
          <w:lang w:val="it-IT"/>
        </w:rPr>
      </w:pPr>
      <w:r>
        <w:rPr>
          <w:b/>
          <w:sz w:val="24"/>
          <w:szCs w:val="24"/>
        </w:rPr>
        <w:t>Subject</w:t>
      </w:r>
      <w:r>
        <w:rPr>
          <w:b/>
          <w:sz w:val="24"/>
          <w:szCs w:val="24"/>
          <w:lang w:val="pt-BR"/>
        </w:rPr>
        <w:t>:</w:t>
      </w:r>
      <w:r>
        <w:rPr>
          <w:sz w:val="24"/>
          <w:szCs w:val="24"/>
          <w:lang w:val="pt-BR"/>
        </w:rPr>
        <w:t xml:space="preserve">  </w:t>
      </w:r>
      <w:r>
        <w:rPr>
          <w:bCs/>
          <w:sz w:val="24"/>
          <w:szCs w:val="24"/>
        </w:rPr>
        <w:t>Conpet S.A f</w:t>
      </w:r>
      <w:r>
        <w:rPr>
          <w:sz w:val="24"/>
          <w:szCs w:val="24"/>
        </w:rPr>
        <w:t xml:space="preserve">iles a lawsuit demanding an order for ICIM to pay the sum of </w:t>
      </w:r>
      <w:r>
        <w:rPr>
          <w:bCs/>
          <w:sz w:val="24"/>
          <w:szCs w:val="24"/>
          <w:lang w:val="it-IT"/>
        </w:rPr>
        <w:t>338.144,32</w:t>
      </w:r>
      <w:r>
        <w:rPr>
          <w:sz w:val="24"/>
          <w:szCs w:val="24"/>
        </w:rPr>
        <w:t xml:space="preserve"> RON representing </w:t>
      </w:r>
      <w:r>
        <w:rPr>
          <w:bCs/>
          <w:sz w:val="24"/>
          <w:szCs w:val="24"/>
        </w:rPr>
        <w:t xml:space="preserve">penalties owed to our company, considering the delay in performing the work upon which the defendant agreed as stated in </w:t>
      </w:r>
      <w:r>
        <w:rPr>
          <w:sz w:val="24"/>
          <w:szCs w:val="24"/>
        </w:rPr>
        <w:t xml:space="preserve">the contract no. </w:t>
      </w:r>
      <w:r>
        <w:rPr>
          <w:bCs/>
          <w:sz w:val="24"/>
          <w:szCs w:val="24"/>
          <w:lang w:val="it-IT"/>
        </w:rPr>
        <w:t>0135/1995</w:t>
      </w:r>
      <w:r>
        <w:rPr>
          <w:bCs/>
          <w:sz w:val="24"/>
          <w:szCs w:val="24"/>
        </w:rPr>
        <w:t xml:space="preserve">, </w:t>
      </w:r>
      <w:r>
        <w:rPr>
          <w:sz w:val="24"/>
          <w:szCs w:val="24"/>
        </w:rPr>
        <w:t xml:space="preserve">concluded between the parties, </w:t>
      </w:r>
      <w:proofErr w:type="gramStart"/>
      <w:r>
        <w:rPr>
          <w:sz w:val="24"/>
          <w:szCs w:val="24"/>
        </w:rPr>
        <w:t>and also</w:t>
      </w:r>
      <w:proofErr w:type="gramEnd"/>
      <w:r>
        <w:rPr>
          <w:sz w:val="24"/>
          <w:szCs w:val="24"/>
        </w:rPr>
        <w:t xml:space="preserve"> pay the trial fees.</w:t>
      </w:r>
      <w:r>
        <w:rPr>
          <w:bCs/>
          <w:sz w:val="24"/>
          <w:szCs w:val="24"/>
        </w:rPr>
        <w:t xml:space="preserve"> </w:t>
      </w:r>
      <w:r>
        <w:rPr>
          <w:sz w:val="24"/>
          <w:szCs w:val="24"/>
        </w:rPr>
        <w:t xml:space="preserve"> </w:t>
      </w:r>
    </w:p>
    <w:p w:rsidR="00452793" w:rsidRDefault="00452793" w:rsidP="00452793">
      <w:pPr>
        <w:jc w:val="both"/>
        <w:rPr>
          <w:b/>
          <w:bCs/>
          <w:sz w:val="24"/>
          <w:szCs w:val="24"/>
          <w:lang w:val="it-IT"/>
        </w:rPr>
      </w:pPr>
      <w:r>
        <w:rPr>
          <w:b/>
          <w:bCs/>
          <w:sz w:val="24"/>
          <w:szCs w:val="24"/>
        </w:rPr>
        <w:t xml:space="preserve">Clarifications: </w:t>
      </w:r>
      <w:r>
        <w:rPr>
          <w:sz w:val="24"/>
          <w:szCs w:val="24"/>
        </w:rPr>
        <w:t xml:space="preserve">by the </w:t>
      </w:r>
      <w:r>
        <w:rPr>
          <w:b/>
          <w:bCs/>
          <w:sz w:val="24"/>
          <w:szCs w:val="24"/>
        </w:rPr>
        <w:t>sentence no.594/05.03.2014</w:t>
      </w:r>
      <w:r>
        <w:rPr>
          <w:sz w:val="24"/>
          <w:szCs w:val="24"/>
        </w:rPr>
        <w:t xml:space="preserve"> the Prahova Court rejects the exception plead. It rejects the matter as unfounded. </w:t>
      </w:r>
      <w:proofErr w:type="gramStart"/>
      <w:r>
        <w:rPr>
          <w:sz w:val="24"/>
          <w:szCs w:val="24"/>
        </w:rPr>
        <w:t>The sentence was appealed by Conpet</w:t>
      </w:r>
      <w:proofErr w:type="gramEnd"/>
      <w:r>
        <w:rPr>
          <w:sz w:val="24"/>
          <w:szCs w:val="24"/>
        </w:rPr>
        <w:t xml:space="preserve">. </w:t>
      </w:r>
    </w:p>
    <w:p w:rsidR="00452793" w:rsidRDefault="00452793" w:rsidP="00452793">
      <w:pPr>
        <w:jc w:val="both"/>
        <w:rPr>
          <w:sz w:val="24"/>
          <w:szCs w:val="24"/>
        </w:rPr>
      </w:pPr>
      <w:r>
        <w:rPr>
          <w:sz w:val="24"/>
          <w:szCs w:val="24"/>
        </w:rPr>
        <w:t>By the</w:t>
      </w:r>
      <w:r>
        <w:rPr>
          <w:b/>
          <w:bCs/>
          <w:sz w:val="24"/>
          <w:szCs w:val="24"/>
        </w:rPr>
        <w:t xml:space="preserve"> order </w:t>
      </w:r>
      <w:proofErr w:type="gramStart"/>
      <w:r>
        <w:rPr>
          <w:b/>
          <w:bCs/>
          <w:sz w:val="24"/>
          <w:szCs w:val="24"/>
        </w:rPr>
        <w:t>no.73/04.02.2015</w:t>
      </w:r>
      <w:proofErr w:type="gramEnd"/>
      <w:r>
        <w:rPr>
          <w:b/>
          <w:bCs/>
          <w:sz w:val="24"/>
          <w:szCs w:val="24"/>
        </w:rPr>
        <w:t xml:space="preserve"> </w:t>
      </w:r>
      <w:r>
        <w:rPr>
          <w:sz w:val="24"/>
          <w:szCs w:val="24"/>
        </w:rPr>
        <w:t>the Appeal Court Ploie</w:t>
      </w:r>
      <w:r>
        <w:rPr>
          <w:sz w:val="24"/>
          <w:szCs w:val="24"/>
          <w:lang w:val="ro-RO"/>
        </w:rPr>
        <w:t>ș</w:t>
      </w:r>
      <w:r>
        <w:rPr>
          <w:sz w:val="24"/>
          <w:szCs w:val="24"/>
        </w:rPr>
        <w:t xml:space="preserve">ti admits the plaintiff’s appeal. It dissolves the appealed sentence and redirects the matter to the first instance court for retrial. </w:t>
      </w:r>
    </w:p>
    <w:p w:rsidR="00452793" w:rsidRDefault="00452793" w:rsidP="00452793">
      <w:pPr>
        <w:jc w:val="both"/>
        <w:rPr>
          <w:b/>
          <w:bCs/>
          <w:sz w:val="24"/>
          <w:szCs w:val="24"/>
          <w:lang w:val="it-IT"/>
        </w:rPr>
      </w:pPr>
      <w:r>
        <w:rPr>
          <w:sz w:val="24"/>
          <w:szCs w:val="24"/>
        </w:rPr>
        <w:t>By the</w:t>
      </w:r>
      <w:r>
        <w:rPr>
          <w:b/>
          <w:bCs/>
          <w:sz w:val="24"/>
          <w:szCs w:val="24"/>
        </w:rPr>
        <w:t xml:space="preserve"> order no. </w:t>
      </w:r>
      <w:proofErr w:type="gramStart"/>
      <w:r>
        <w:rPr>
          <w:b/>
          <w:bCs/>
          <w:sz w:val="24"/>
          <w:szCs w:val="24"/>
          <w:lang w:val="it-IT"/>
        </w:rPr>
        <w:t>1447/22.06.2015</w:t>
      </w:r>
      <w:proofErr w:type="gramEnd"/>
      <w:r>
        <w:rPr>
          <w:b/>
          <w:bCs/>
          <w:sz w:val="24"/>
          <w:szCs w:val="24"/>
        </w:rPr>
        <w:t xml:space="preserve"> </w:t>
      </w:r>
      <w:r>
        <w:rPr>
          <w:sz w:val="24"/>
          <w:szCs w:val="24"/>
        </w:rPr>
        <w:t xml:space="preserve">the Prahova Court rejects the plea of substantive law limitation for the matter. It admits the matter. It orders the defendant to pay the plaintiff the sum of </w:t>
      </w:r>
      <w:r>
        <w:rPr>
          <w:bCs/>
          <w:sz w:val="24"/>
          <w:szCs w:val="24"/>
          <w:lang w:val="it-IT"/>
        </w:rPr>
        <w:t>292.754</w:t>
      </w:r>
      <w:proofErr w:type="gramStart"/>
      <w:r>
        <w:rPr>
          <w:bCs/>
          <w:sz w:val="24"/>
          <w:szCs w:val="24"/>
          <w:lang w:val="it-IT"/>
        </w:rPr>
        <w:t>,68</w:t>
      </w:r>
      <w:r>
        <w:rPr>
          <w:bCs/>
          <w:sz w:val="24"/>
          <w:szCs w:val="24"/>
        </w:rPr>
        <w:t>RON</w:t>
      </w:r>
      <w:proofErr w:type="gramEnd"/>
      <w:r>
        <w:rPr>
          <w:bCs/>
          <w:sz w:val="24"/>
          <w:szCs w:val="24"/>
        </w:rPr>
        <w:t xml:space="preserve">, </w:t>
      </w:r>
      <w:r>
        <w:rPr>
          <w:sz w:val="24"/>
          <w:szCs w:val="24"/>
        </w:rPr>
        <w:t xml:space="preserve">representing delay </w:t>
      </w:r>
      <w:r>
        <w:rPr>
          <w:bCs/>
          <w:sz w:val="24"/>
          <w:szCs w:val="24"/>
        </w:rPr>
        <w:t xml:space="preserve">penalties and also to pay the sum of </w:t>
      </w:r>
      <w:r>
        <w:rPr>
          <w:bCs/>
          <w:sz w:val="24"/>
          <w:szCs w:val="24"/>
          <w:lang w:val="it-IT"/>
        </w:rPr>
        <w:t>12.568</w:t>
      </w:r>
      <w:r>
        <w:rPr>
          <w:bCs/>
          <w:sz w:val="24"/>
          <w:szCs w:val="24"/>
        </w:rPr>
        <w:t xml:space="preserve"> RON trial fees in the first instance and appeal, representing the judicial stamp </w:t>
      </w:r>
      <w:r>
        <w:rPr>
          <w:bCs/>
          <w:sz w:val="24"/>
          <w:szCs w:val="24"/>
        </w:rPr>
        <w:lastRenderedPageBreak/>
        <w:t xml:space="preserve">tax, judicial stamp and expertise fee. </w:t>
      </w:r>
      <w:proofErr w:type="gramStart"/>
      <w:r>
        <w:rPr>
          <w:bCs/>
          <w:sz w:val="24"/>
          <w:szCs w:val="24"/>
        </w:rPr>
        <w:t>The order was appealed by ICIM S.A</w:t>
      </w:r>
      <w:proofErr w:type="gramEnd"/>
      <w:r>
        <w:rPr>
          <w:bCs/>
          <w:sz w:val="24"/>
          <w:szCs w:val="24"/>
        </w:rPr>
        <w:t xml:space="preserve">. </w:t>
      </w:r>
    </w:p>
    <w:p w:rsidR="00452793" w:rsidRDefault="00452793" w:rsidP="00452793">
      <w:pPr>
        <w:jc w:val="both"/>
        <w:rPr>
          <w:sz w:val="24"/>
          <w:szCs w:val="24"/>
        </w:rPr>
      </w:pPr>
      <w:r>
        <w:rPr>
          <w:sz w:val="24"/>
          <w:szCs w:val="24"/>
        </w:rPr>
        <w:t>By the</w:t>
      </w:r>
      <w:r>
        <w:rPr>
          <w:b/>
          <w:bCs/>
          <w:sz w:val="24"/>
          <w:szCs w:val="24"/>
        </w:rPr>
        <w:t xml:space="preserve"> sentence </w:t>
      </w:r>
      <w:proofErr w:type="gramStart"/>
      <w:r>
        <w:rPr>
          <w:b/>
          <w:bCs/>
          <w:sz w:val="24"/>
          <w:szCs w:val="24"/>
        </w:rPr>
        <w:t>no.223/04.05.2018</w:t>
      </w:r>
      <w:proofErr w:type="gramEnd"/>
      <w:r>
        <w:rPr>
          <w:b/>
          <w:bCs/>
          <w:sz w:val="24"/>
          <w:szCs w:val="24"/>
        </w:rPr>
        <w:t xml:space="preserve"> </w:t>
      </w:r>
      <w:r>
        <w:rPr>
          <w:sz w:val="24"/>
          <w:szCs w:val="24"/>
        </w:rPr>
        <w:t xml:space="preserve">the Ploiesti Appeal Court rejects the appeal as unfounded. The sentence </w:t>
      </w:r>
      <w:proofErr w:type="gramStart"/>
      <w:r>
        <w:rPr>
          <w:sz w:val="24"/>
          <w:szCs w:val="24"/>
        </w:rPr>
        <w:t>can be appealed</w:t>
      </w:r>
      <w:proofErr w:type="gramEnd"/>
      <w:r>
        <w:rPr>
          <w:sz w:val="24"/>
          <w:szCs w:val="24"/>
        </w:rPr>
        <w:t xml:space="preserve"> after communication. </w:t>
      </w:r>
    </w:p>
    <w:p w:rsidR="00452793" w:rsidRDefault="00452793" w:rsidP="00452793">
      <w:pPr>
        <w:jc w:val="both"/>
        <w:rPr>
          <w:sz w:val="24"/>
          <w:szCs w:val="24"/>
        </w:rPr>
      </w:pPr>
      <w:r>
        <w:rPr>
          <w:b/>
          <w:bCs/>
          <w:sz w:val="24"/>
          <w:szCs w:val="24"/>
        </w:rPr>
        <w:t>Stage of the trial</w:t>
      </w:r>
      <w:r>
        <w:rPr>
          <w:sz w:val="24"/>
          <w:szCs w:val="24"/>
        </w:rPr>
        <w:t>: --</w:t>
      </w:r>
    </w:p>
    <w:p w:rsidR="00452793" w:rsidRDefault="00452793" w:rsidP="00452793">
      <w:pPr>
        <w:jc w:val="both"/>
        <w:rPr>
          <w:sz w:val="24"/>
          <w:szCs w:val="24"/>
        </w:rPr>
      </w:pPr>
      <w:r>
        <w:rPr>
          <w:sz w:val="24"/>
          <w:szCs w:val="24"/>
        </w:rPr>
        <w:t xml:space="preserve"> </w:t>
      </w:r>
      <w:r>
        <w:rPr>
          <w:b/>
          <w:bCs/>
          <w:sz w:val="24"/>
          <w:szCs w:val="24"/>
        </w:rPr>
        <w:t>Hearing</w:t>
      </w:r>
      <w:r>
        <w:rPr>
          <w:sz w:val="24"/>
          <w:szCs w:val="24"/>
        </w:rPr>
        <w:t>: --</w:t>
      </w:r>
    </w:p>
    <w:p w:rsidR="00452793" w:rsidRDefault="00452793" w:rsidP="00452793">
      <w:pPr>
        <w:jc w:val="both"/>
        <w:rPr>
          <w:sz w:val="24"/>
          <w:szCs w:val="24"/>
        </w:rPr>
      </w:pPr>
    </w:p>
    <w:p w:rsidR="00452793" w:rsidRDefault="00452793" w:rsidP="00452793">
      <w:pPr>
        <w:jc w:val="both"/>
        <w:rPr>
          <w:b/>
          <w:bCs/>
          <w:sz w:val="24"/>
          <w:szCs w:val="24"/>
          <w:lang w:val="it-IT"/>
        </w:rPr>
      </w:pPr>
    </w:p>
    <w:p w:rsidR="00452793" w:rsidRDefault="00452793" w:rsidP="00452793">
      <w:pPr>
        <w:jc w:val="both"/>
        <w:rPr>
          <w:b/>
          <w:sz w:val="24"/>
          <w:szCs w:val="24"/>
          <w:lang w:val="pt-BR"/>
        </w:rPr>
      </w:pPr>
      <w:r>
        <w:rPr>
          <w:bCs/>
          <w:sz w:val="24"/>
          <w:szCs w:val="24"/>
        </w:rPr>
        <w:t xml:space="preserve"> </w:t>
      </w:r>
      <w:r>
        <w:rPr>
          <w:b/>
          <w:sz w:val="24"/>
          <w:szCs w:val="24"/>
          <w:lang w:val="it-IT"/>
        </w:rPr>
        <w:t xml:space="preserve">5. </w:t>
      </w:r>
      <w:r>
        <w:rPr>
          <w:b/>
          <w:sz w:val="24"/>
          <w:szCs w:val="24"/>
        </w:rPr>
        <w:t xml:space="preserve">File </w:t>
      </w:r>
      <w:r>
        <w:rPr>
          <w:b/>
          <w:sz w:val="24"/>
          <w:szCs w:val="24"/>
          <w:lang w:val="pt-BR"/>
        </w:rPr>
        <w:t>n</w:t>
      </w:r>
      <w:r>
        <w:rPr>
          <w:b/>
          <w:sz w:val="24"/>
          <w:szCs w:val="24"/>
        </w:rPr>
        <w:t>o</w:t>
      </w:r>
      <w:r>
        <w:rPr>
          <w:b/>
          <w:sz w:val="24"/>
          <w:szCs w:val="24"/>
          <w:lang w:val="pt-BR"/>
        </w:rPr>
        <w:t xml:space="preserve">. </w:t>
      </w:r>
      <w:r>
        <w:rPr>
          <w:b/>
          <w:sz w:val="24"/>
          <w:szCs w:val="24"/>
        </w:rPr>
        <w:t>29201/3/2012*</w:t>
      </w:r>
      <w:r>
        <w:rPr>
          <w:b/>
          <w:sz w:val="24"/>
          <w:szCs w:val="24"/>
          <w:lang w:val="pt-BR"/>
        </w:rPr>
        <w:t xml:space="preserve">– </w:t>
      </w:r>
      <w:r>
        <w:rPr>
          <w:b/>
          <w:sz w:val="24"/>
          <w:szCs w:val="24"/>
        </w:rPr>
        <w:t>Bucure</w:t>
      </w:r>
      <w:r>
        <w:rPr>
          <w:b/>
          <w:sz w:val="24"/>
          <w:szCs w:val="24"/>
          <w:lang w:val="ro-RO"/>
        </w:rPr>
        <w:t>ș</w:t>
      </w:r>
      <w:r>
        <w:rPr>
          <w:b/>
          <w:sz w:val="24"/>
          <w:szCs w:val="24"/>
        </w:rPr>
        <w:t>ti Appeal Court</w:t>
      </w:r>
    </w:p>
    <w:p w:rsidR="00452793" w:rsidRDefault="00452793" w:rsidP="00452793">
      <w:pPr>
        <w:jc w:val="both"/>
        <w:rPr>
          <w:sz w:val="24"/>
          <w:szCs w:val="24"/>
          <w:lang w:val="pt-BR"/>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plaintiff</w:t>
      </w:r>
    </w:p>
    <w:p w:rsidR="00452793" w:rsidRDefault="00452793" w:rsidP="00452793">
      <w:pPr>
        <w:jc w:val="both"/>
        <w:rPr>
          <w:sz w:val="24"/>
          <w:szCs w:val="24"/>
          <w:lang w:val="pt-BR"/>
        </w:rPr>
      </w:pPr>
      <w:r>
        <w:rPr>
          <w:sz w:val="24"/>
          <w:szCs w:val="24"/>
          <w:lang w:val="pt-BR"/>
        </w:rPr>
        <w:t xml:space="preserve">        </w:t>
      </w:r>
      <w:r>
        <w:rPr>
          <w:sz w:val="24"/>
          <w:szCs w:val="24"/>
        </w:rPr>
        <w:t xml:space="preserve"> Dinu Ion, Petrișor Marius Sever, Petrișor Dumitru Valeriu, Pavel Vasile, Benim Nicolae, Dumitru Gabriel, Tinca Florinel Mircea, Costachi Constantin, Spirea Geon, Dragut Marian, Cobzaru Eugen Constantin, Niță Sorin, Constantin George Alin, Marin Georgian Ciprian, Chelaru Ioan Iulian, Dumitru Constantin, Sandu Marian, Toncu Ștefan – defendants</w:t>
      </w:r>
    </w:p>
    <w:p w:rsidR="00452793" w:rsidRDefault="00452793" w:rsidP="00452793">
      <w:pPr>
        <w:jc w:val="both"/>
        <w:rPr>
          <w:b/>
          <w:sz w:val="24"/>
          <w:szCs w:val="24"/>
          <w:lang w:val="it-IT"/>
        </w:rPr>
      </w:pPr>
      <w:r>
        <w:rPr>
          <w:b/>
          <w:sz w:val="24"/>
          <w:szCs w:val="24"/>
        </w:rPr>
        <w:t>Subject</w:t>
      </w:r>
      <w:r>
        <w:rPr>
          <w:b/>
          <w:sz w:val="24"/>
          <w:szCs w:val="24"/>
          <w:lang w:val="pt-BR"/>
        </w:rPr>
        <w:t>:</w:t>
      </w:r>
      <w:r>
        <w:rPr>
          <w:sz w:val="24"/>
          <w:szCs w:val="24"/>
          <w:lang w:val="pt-BR"/>
        </w:rPr>
        <w:t xml:space="preserve"> </w:t>
      </w:r>
      <w:r>
        <w:rPr>
          <w:sz w:val="24"/>
          <w:szCs w:val="24"/>
        </w:rPr>
        <w:t xml:space="preserve">Theft. Bribery. Use of forgery, under the Law 78/2000. </w:t>
      </w:r>
      <w:r>
        <w:rPr>
          <w:bCs/>
          <w:sz w:val="24"/>
          <w:szCs w:val="24"/>
        </w:rPr>
        <w:t>Association in committing crimes</w:t>
      </w:r>
      <w:r>
        <w:rPr>
          <w:b/>
          <w:sz w:val="24"/>
          <w:szCs w:val="24"/>
        </w:rPr>
        <w:t xml:space="preserve">. </w:t>
      </w:r>
      <w:r>
        <w:rPr>
          <w:bCs/>
          <w:sz w:val="24"/>
          <w:szCs w:val="24"/>
        </w:rPr>
        <w:t xml:space="preserve">Conpet S.A brought a civil action in court for the sum of </w:t>
      </w:r>
      <w:r>
        <w:rPr>
          <w:sz w:val="24"/>
          <w:szCs w:val="24"/>
          <w:lang w:val="pt-BR"/>
        </w:rPr>
        <w:t>6.267.625</w:t>
      </w:r>
      <w:proofErr w:type="gramStart"/>
      <w:r>
        <w:rPr>
          <w:sz w:val="24"/>
          <w:szCs w:val="24"/>
          <w:lang w:val="pt-BR"/>
        </w:rPr>
        <w:t>,71</w:t>
      </w:r>
      <w:proofErr w:type="gramEnd"/>
      <w:r>
        <w:rPr>
          <w:sz w:val="24"/>
          <w:szCs w:val="24"/>
        </w:rPr>
        <w:t xml:space="preserve"> RON representing </w:t>
      </w:r>
      <w:r>
        <w:rPr>
          <w:bCs/>
          <w:sz w:val="24"/>
          <w:szCs w:val="24"/>
        </w:rPr>
        <w:t>consideration for the lifted crude oil.</w:t>
      </w:r>
    </w:p>
    <w:p w:rsidR="00452793" w:rsidRDefault="00452793" w:rsidP="00452793">
      <w:pPr>
        <w:jc w:val="both"/>
        <w:rPr>
          <w:sz w:val="24"/>
          <w:szCs w:val="24"/>
        </w:rPr>
      </w:pPr>
      <w:r>
        <w:rPr>
          <w:b/>
          <w:bCs/>
          <w:sz w:val="24"/>
          <w:szCs w:val="24"/>
        </w:rPr>
        <w:t xml:space="preserve">Clarifications: </w:t>
      </w:r>
      <w:proofErr w:type="gramStart"/>
      <w:r>
        <w:rPr>
          <w:sz w:val="24"/>
          <w:szCs w:val="24"/>
        </w:rPr>
        <w:t>by the sentence no.1072/25.05.2017</w:t>
      </w:r>
      <w:proofErr w:type="gramEnd"/>
      <w:r>
        <w:rPr>
          <w:sz w:val="24"/>
          <w:szCs w:val="24"/>
        </w:rPr>
        <w:t xml:space="preserve"> the Bucure</w:t>
      </w:r>
      <w:r>
        <w:rPr>
          <w:sz w:val="24"/>
          <w:szCs w:val="24"/>
          <w:lang w:val="ro-RO"/>
        </w:rPr>
        <w:t>ș</w:t>
      </w:r>
      <w:r>
        <w:rPr>
          <w:sz w:val="24"/>
          <w:szCs w:val="24"/>
        </w:rPr>
        <w:t>ti Court admits the civil action and orders the defendants to:</w:t>
      </w:r>
    </w:p>
    <w:p w:rsidR="00452793" w:rsidRDefault="00452793" w:rsidP="00D87DA4">
      <w:pPr>
        <w:widowControl/>
        <w:numPr>
          <w:ilvl w:val="0"/>
          <w:numId w:val="46"/>
        </w:numPr>
        <w:autoSpaceDE/>
        <w:autoSpaceDN/>
        <w:adjustRightInd/>
        <w:jc w:val="both"/>
        <w:rPr>
          <w:sz w:val="24"/>
          <w:szCs w:val="24"/>
        </w:rPr>
      </w:pPr>
      <w:r>
        <w:rPr>
          <w:sz w:val="24"/>
          <w:szCs w:val="24"/>
        </w:rPr>
        <w:t>Pay the sum of 3.962.725</w:t>
      </w:r>
      <w:proofErr w:type="gramStart"/>
      <w:r>
        <w:rPr>
          <w:sz w:val="24"/>
          <w:szCs w:val="24"/>
        </w:rPr>
        <w:t>,98</w:t>
      </w:r>
      <w:proofErr w:type="gramEnd"/>
      <w:r>
        <w:rPr>
          <w:sz w:val="24"/>
          <w:szCs w:val="24"/>
        </w:rPr>
        <w:t xml:space="preserve"> RON representing consideration for the 2.420,595 tones of lifted crude oil, adding the legal interest from the date of each individual  fact, up to the full payment of the prejudice. </w:t>
      </w:r>
    </w:p>
    <w:p w:rsidR="00452793" w:rsidRDefault="00452793" w:rsidP="00D87DA4">
      <w:pPr>
        <w:widowControl/>
        <w:numPr>
          <w:ilvl w:val="0"/>
          <w:numId w:val="46"/>
        </w:numPr>
        <w:autoSpaceDE/>
        <w:autoSpaceDN/>
        <w:adjustRightInd/>
        <w:jc w:val="both"/>
        <w:rPr>
          <w:sz w:val="24"/>
          <w:szCs w:val="24"/>
          <w:lang w:val="it-IT"/>
        </w:rPr>
      </w:pPr>
      <w:r>
        <w:rPr>
          <w:sz w:val="24"/>
          <w:szCs w:val="24"/>
        </w:rPr>
        <w:t>Pay the sum of 8.233,99 RON, adding the legal interest, representing consideration for the remedial works that were necessary for getting the pipe 14 “Calareti-Mavrodin”, pipe 200 „Bărăganu-Călăreţi” and the pipe F1 Silişte-Ploieşti to the initial estate that they had before the facts took place.</w:t>
      </w:r>
    </w:p>
    <w:p w:rsidR="00452793" w:rsidRDefault="00452793" w:rsidP="00D87DA4">
      <w:pPr>
        <w:widowControl/>
        <w:numPr>
          <w:ilvl w:val="0"/>
          <w:numId w:val="46"/>
        </w:numPr>
        <w:autoSpaceDE/>
        <w:autoSpaceDN/>
        <w:adjustRightInd/>
        <w:jc w:val="both"/>
        <w:rPr>
          <w:sz w:val="24"/>
          <w:szCs w:val="24"/>
          <w:lang w:val="it-IT"/>
        </w:rPr>
      </w:pPr>
      <w:r>
        <w:rPr>
          <w:sz w:val="24"/>
          <w:szCs w:val="24"/>
        </w:rPr>
        <w:t xml:space="preserve">Orders all the defendants </w:t>
      </w:r>
      <w:proofErr w:type="gramStart"/>
      <w:r>
        <w:rPr>
          <w:sz w:val="24"/>
          <w:szCs w:val="24"/>
        </w:rPr>
        <w:t>to jointly pay</w:t>
      </w:r>
      <w:proofErr w:type="gramEnd"/>
      <w:r>
        <w:rPr>
          <w:sz w:val="24"/>
          <w:szCs w:val="24"/>
        </w:rPr>
        <w:t xml:space="preserve"> the sum of 47.915,77 RON, adding the legal interest, representing consideration for the transport expenses for the lifted 2.420,595 tones. </w:t>
      </w:r>
    </w:p>
    <w:p w:rsidR="00452793" w:rsidRDefault="00452793" w:rsidP="00D87DA4">
      <w:pPr>
        <w:widowControl/>
        <w:numPr>
          <w:ilvl w:val="0"/>
          <w:numId w:val="46"/>
        </w:numPr>
        <w:autoSpaceDE/>
        <w:autoSpaceDN/>
        <w:adjustRightInd/>
        <w:jc w:val="both"/>
        <w:rPr>
          <w:sz w:val="24"/>
          <w:szCs w:val="24"/>
        </w:rPr>
      </w:pPr>
      <w:r>
        <w:rPr>
          <w:sz w:val="24"/>
          <w:szCs w:val="24"/>
        </w:rPr>
        <w:t xml:space="preserve">The </w:t>
      </w:r>
      <w:proofErr w:type="gramStart"/>
      <w:r>
        <w:rPr>
          <w:sz w:val="24"/>
          <w:szCs w:val="24"/>
        </w:rPr>
        <w:t>sentence was appealed by the defendants and Conpet S.A</w:t>
      </w:r>
      <w:proofErr w:type="gramEnd"/>
      <w:r>
        <w:rPr>
          <w:sz w:val="24"/>
          <w:szCs w:val="24"/>
        </w:rPr>
        <w:t>.</w:t>
      </w:r>
    </w:p>
    <w:p w:rsidR="00452793" w:rsidRDefault="00452793" w:rsidP="00452793">
      <w:pPr>
        <w:jc w:val="both"/>
        <w:rPr>
          <w:sz w:val="24"/>
          <w:szCs w:val="24"/>
          <w:lang w:val="pt-BR"/>
        </w:rPr>
      </w:pPr>
      <w:r>
        <w:rPr>
          <w:sz w:val="24"/>
          <w:szCs w:val="24"/>
        </w:rPr>
        <w:t>Hotărârea a fost atacată cu apel de inculpați și de Conpet SA.</w:t>
      </w:r>
    </w:p>
    <w:p w:rsidR="00452793" w:rsidRDefault="00452793" w:rsidP="00452793">
      <w:pPr>
        <w:jc w:val="both"/>
        <w:rPr>
          <w:sz w:val="24"/>
          <w:szCs w:val="24"/>
        </w:rPr>
      </w:pPr>
      <w:r>
        <w:rPr>
          <w:b/>
          <w:bCs/>
          <w:sz w:val="24"/>
          <w:szCs w:val="24"/>
        </w:rPr>
        <w:t>Stage of the trial</w:t>
      </w:r>
      <w:r>
        <w:rPr>
          <w:sz w:val="24"/>
          <w:szCs w:val="24"/>
        </w:rPr>
        <w:t>: Appeal</w:t>
      </w:r>
    </w:p>
    <w:p w:rsidR="00452793" w:rsidRDefault="00452793" w:rsidP="00452793">
      <w:pPr>
        <w:jc w:val="both"/>
        <w:rPr>
          <w:sz w:val="24"/>
          <w:szCs w:val="24"/>
          <w:lang w:val="pt-BR"/>
        </w:rPr>
      </w:pPr>
      <w:r>
        <w:rPr>
          <w:b/>
          <w:bCs/>
          <w:sz w:val="24"/>
          <w:szCs w:val="24"/>
        </w:rPr>
        <w:t>Hearing</w:t>
      </w:r>
      <w:r>
        <w:rPr>
          <w:sz w:val="24"/>
          <w:szCs w:val="24"/>
        </w:rPr>
        <w:t xml:space="preserve">: </w:t>
      </w:r>
      <w:proofErr w:type="gramStart"/>
      <w:r>
        <w:rPr>
          <w:sz w:val="24"/>
          <w:szCs w:val="24"/>
          <w:lang w:val="pt-BR"/>
        </w:rPr>
        <w:t>05</w:t>
      </w:r>
      <w:r>
        <w:rPr>
          <w:sz w:val="24"/>
          <w:szCs w:val="24"/>
          <w:vertAlign w:val="superscript"/>
        </w:rPr>
        <w:t>th</w:t>
      </w:r>
      <w:proofErr w:type="gramEnd"/>
      <w:r>
        <w:rPr>
          <w:sz w:val="24"/>
          <w:szCs w:val="24"/>
        </w:rPr>
        <w:t xml:space="preserve"> Sept </w:t>
      </w:r>
      <w:r>
        <w:rPr>
          <w:sz w:val="24"/>
          <w:szCs w:val="24"/>
          <w:lang w:val="pt-BR"/>
        </w:rPr>
        <w:t>2018</w:t>
      </w:r>
    </w:p>
    <w:p w:rsidR="00452793" w:rsidRDefault="00452793" w:rsidP="00452793">
      <w:pPr>
        <w:jc w:val="both"/>
        <w:rPr>
          <w:b/>
          <w:sz w:val="24"/>
          <w:szCs w:val="24"/>
          <w:lang w:val="it-IT"/>
        </w:rPr>
      </w:pPr>
    </w:p>
    <w:p w:rsidR="00452793" w:rsidRDefault="00452793" w:rsidP="00452793">
      <w:pPr>
        <w:jc w:val="both"/>
        <w:rPr>
          <w:b/>
          <w:bCs/>
          <w:sz w:val="24"/>
          <w:szCs w:val="24"/>
          <w:lang w:val="it-IT"/>
        </w:rPr>
      </w:pPr>
    </w:p>
    <w:p w:rsidR="00452793" w:rsidRDefault="00452793" w:rsidP="00452793">
      <w:pPr>
        <w:jc w:val="both"/>
        <w:rPr>
          <w:b/>
          <w:sz w:val="24"/>
          <w:szCs w:val="24"/>
          <w:lang w:val="pt-BR"/>
        </w:rPr>
      </w:pPr>
      <w:r>
        <w:rPr>
          <w:b/>
          <w:sz w:val="24"/>
          <w:szCs w:val="24"/>
        </w:rPr>
        <w:t>6.</w:t>
      </w:r>
      <w:r>
        <w:rPr>
          <w:sz w:val="24"/>
          <w:szCs w:val="24"/>
        </w:rPr>
        <w:t xml:space="preserve"> </w:t>
      </w:r>
      <w:r>
        <w:rPr>
          <w:b/>
          <w:sz w:val="24"/>
          <w:szCs w:val="24"/>
        </w:rPr>
        <w:t xml:space="preserve">File </w:t>
      </w:r>
      <w:r>
        <w:rPr>
          <w:b/>
          <w:sz w:val="24"/>
          <w:szCs w:val="24"/>
          <w:lang w:val="pt-BR"/>
        </w:rPr>
        <w:t>n</w:t>
      </w:r>
      <w:r>
        <w:rPr>
          <w:b/>
          <w:sz w:val="24"/>
          <w:szCs w:val="24"/>
        </w:rPr>
        <w:t>o</w:t>
      </w:r>
      <w:r>
        <w:rPr>
          <w:b/>
          <w:sz w:val="24"/>
          <w:szCs w:val="24"/>
          <w:lang w:val="pt-BR"/>
        </w:rPr>
        <w:t xml:space="preserve">. </w:t>
      </w:r>
      <w:r>
        <w:rPr>
          <w:b/>
          <w:sz w:val="24"/>
          <w:szCs w:val="24"/>
        </w:rPr>
        <w:t xml:space="preserve">3033/105/2012 </w:t>
      </w:r>
      <w:r>
        <w:rPr>
          <w:b/>
          <w:sz w:val="24"/>
          <w:szCs w:val="24"/>
          <w:lang w:val="pt-BR"/>
        </w:rPr>
        <w:t>–</w:t>
      </w:r>
      <w:r>
        <w:rPr>
          <w:b/>
          <w:sz w:val="24"/>
          <w:szCs w:val="24"/>
        </w:rPr>
        <w:t xml:space="preserve"> Prahova 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creditor</w:t>
      </w:r>
    </w:p>
    <w:p w:rsidR="00452793" w:rsidRDefault="00452793" w:rsidP="00452793">
      <w:pPr>
        <w:ind w:left="840" w:firstLine="420"/>
        <w:jc w:val="both"/>
        <w:rPr>
          <w:sz w:val="24"/>
          <w:szCs w:val="24"/>
        </w:rPr>
      </w:pPr>
      <w:r>
        <w:rPr>
          <w:sz w:val="24"/>
          <w:szCs w:val="24"/>
        </w:rPr>
        <w:t>Vasrep Petro Construct SRL - debtor</w:t>
      </w:r>
    </w:p>
    <w:p w:rsidR="00452793" w:rsidRDefault="00452793" w:rsidP="00452793">
      <w:pPr>
        <w:jc w:val="both"/>
        <w:rPr>
          <w:sz w:val="24"/>
          <w:szCs w:val="24"/>
          <w:lang w:val="it-IT"/>
        </w:rPr>
      </w:pPr>
      <w:r>
        <w:rPr>
          <w:b/>
          <w:sz w:val="24"/>
          <w:szCs w:val="24"/>
        </w:rPr>
        <w:t>Subject</w:t>
      </w:r>
      <w:r>
        <w:rPr>
          <w:b/>
          <w:sz w:val="24"/>
          <w:szCs w:val="24"/>
          <w:lang w:val="pt-BR"/>
        </w:rPr>
        <w:t>:</w:t>
      </w:r>
      <w:r>
        <w:rPr>
          <w:b/>
          <w:sz w:val="24"/>
          <w:szCs w:val="24"/>
        </w:rPr>
        <w:t xml:space="preserve"> Bankruptcy. </w:t>
      </w:r>
      <w:proofErr w:type="gramStart"/>
      <w:r>
        <w:rPr>
          <w:bCs/>
          <w:sz w:val="24"/>
          <w:szCs w:val="24"/>
        </w:rPr>
        <w:t xml:space="preserve">Conpet S.A issues a request for the debt admition, demanding the registration in the table of creditors for Vasrep Petro Construct SRL with the sum of </w:t>
      </w:r>
      <w:r>
        <w:rPr>
          <w:sz w:val="24"/>
          <w:szCs w:val="24"/>
        </w:rPr>
        <w:t>126.877 RON, VAT included, representing consideration for materials, labour and necessary tools for getting the pipe to the initial estate that it had before the delict was made by the debtor, the delict consisting of unlawfully destroying and lifting two sections measuring 4.120 m from the Iancu Jianu - Gherce</w:t>
      </w:r>
      <w:r>
        <w:rPr>
          <w:sz w:val="24"/>
          <w:szCs w:val="24"/>
          <w:lang w:val="ro-RO"/>
        </w:rPr>
        <w:t>ș</w:t>
      </w:r>
      <w:r>
        <w:rPr>
          <w:sz w:val="24"/>
          <w:szCs w:val="24"/>
        </w:rPr>
        <w:t>ti Ø 10¾" pipe.</w:t>
      </w:r>
      <w:proofErr w:type="gramEnd"/>
      <w:r>
        <w:rPr>
          <w:sz w:val="24"/>
          <w:szCs w:val="24"/>
        </w:rPr>
        <w:t xml:space="preserve"> </w:t>
      </w:r>
    </w:p>
    <w:p w:rsidR="00452793" w:rsidRDefault="00452793" w:rsidP="00452793">
      <w:pPr>
        <w:jc w:val="both"/>
        <w:rPr>
          <w:sz w:val="24"/>
          <w:szCs w:val="24"/>
        </w:rPr>
      </w:pPr>
      <w:r>
        <w:rPr>
          <w:sz w:val="24"/>
          <w:szCs w:val="24"/>
        </w:rPr>
        <w:t xml:space="preserve">  Conpet brings an appeal to the order of not registering Conpet SA in the preliminary Table with this debt, being subject of the file no. 3033/105/2012/a1. By the order no. 1958/19.11.2012, Prahova Court rejected the appeal brought by Conpet. Conpet appealed. The Ploiesti Appeal Court admitted the appeal, suspended the sentence issued in the first instance and asked for a retrial.</w:t>
      </w:r>
    </w:p>
    <w:p w:rsidR="00452793" w:rsidRDefault="00452793" w:rsidP="00452793">
      <w:pPr>
        <w:ind w:firstLine="420"/>
        <w:jc w:val="both"/>
        <w:rPr>
          <w:sz w:val="24"/>
          <w:szCs w:val="24"/>
        </w:rPr>
      </w:pPr>
      <w:r>
        <w:rPr>
          <w:sz w:val="24"/>
          <w:szCs w:val="24"/>
        </w:rPr>
        <w:t xml:space="preserve">By the sentence no. </w:t>
      </w:r>
      <w:r>
        <w:rPr>
          <w:b/>
          <w:sz w:val="24"/>
          <w:szCs w:val="24"/>
        </w:rPr>
        <w:t>1008/17.09.2014 (</w:t>
      </w:r>
      <w:r>
        <w:rPr>
          <w:sz w:val="24"/>
          <w:szCs w:val="24"/>
        </w:rPr>
        <w:t xml:space="preserve">3033/105/2012/a1*) Prahova Court admits </w:t>
      </w:r>
      <w:r>
        <w:rPr>
          <w:sz w:val="24"/>
          <w:szCs w:val="24"/>
        </w:rPr>
        <w:lastRenderedPageBreak/>
        <w:t xml:space="preserve">the appeal regarding the preliminary matter. It orders the registration of the appealing creditor Conpet S.A. in the final debt table with the sum of 1.473.628 RON considering materials, labour and tools, and also 120 RON judicial tax for the appeal stamp and 2500 RON expert fee. Vasrep appealed. </w:t>
      </w:r>
    </w:p>
    <w:p w:rsidR="00452793" w:rsidRDefault="00452793" w:rsidP="00452793">
      <w:pPr>
        <w:ind w:firstLine="420"/>
        <w:jc w:val="both"/>
        <w:rPr>
          <w:bCs/>
          <w:sz w:val="24"/>
          <w:szCs w:val="24"/>
        </w:rPr>
      </w:pPr>
      <w:r>
        <w:rPr>
          <w:sz w:val="24"/>
          <w:szCs w:val="24"/>
        </w:rPr>
        <w:t xml:space="preserve">By the Order no. </w:t>
      </w:r>
      <w:proofErr w:type="gramStart"/>
      <w:r>
        <w:rPr>
          <w:b/>
          <w:sz w:val="24"/>
          <w:szCs w:val="24"/>
        </w:rPr>
        <w:t>141/15.01.2015</w:t>
      </w:r>
      <w:proofErr w:type="gramEnd"/>
      <w:r>
        <w:rPr>
          <w:b/>
          <w:sz w:val="24"/>
          <w:szCs w:val="24"/>
        </w:rPr>
        <w:t xml:space="preserve"> </w:t>
      </w:r>
      <w:r>
        <w:rPr>
          <w:bCs/>
          <w:sz w:val="24"/>
          <w:szCs w:val="24"/>
        </w:rPr>
        <w:t>the Ploiesti Appel Court rejects the appeal as being unfounded.</w:t>
      </w:r>
    </w:p>
    <w:p w:rsidR="00452793" w:rsidRDefault="00452793" w:rsidP="00452793">
      <w:pPr>
        <w:jc w:val="both"/>
        <w:rPr>
          <w:sz w:val="24"/>
          <w:szCs w:val="24"/>
        </w:rPr>
      </w:pPr>
      <w:r>
        <w:rPr>
          <w:b/>
          <w:bCs/>
          <w:sz w:val="24"/>
          <w:szCs w:val="24"/>
        </w:rPr>
        <w:t>Stage of the trial</w:t>
      </w:r>
      <w:r>
        <w:rPr>
          <w:sz w:val="24"/>
          <w:szCs w:val="24"/>
        </w:rPr>
        <w:t>: First instance</w:t>
      </w:r>
    </w:p>
    <w:p w:rsidR="00452793" w:rsidRDefault="00452793" w:rsidP="00452793">
      <w:pPr>
        <w:jc w:val="both"/>
        <w:rPr>
          <w:sz w:val="24"/>
          <w:szCs w:val="24"/>
        </w:rPr>
      </w:pPr>
      <w:r>
        <w:rPr>
          <w:sz w:val="24"/>
          <w:szCs w:val="24"/>
        </w:rPr>
        <w:t xml:space="preserve"> </w:t>
      </w:r>
      <w:r>
        <w:rPr>
          <w:b/>
          <w:bCs/>
          <w:sz w:val="24"/>
          <w:szCs w:val="24"/>
        </w:rPr>
        <w:t>Hearing</w:t>
      </w:r>
      <w:r>
        <w:rPr>
          <w:sz w:val="24"/>
          <w:szCs w:val="24"/>
        </w:rPr>
        <w:t xml:space="preserve">: </w:t>
      </w:r>
      <w:r>
        <w:rPr>
          <w:b/>
          <w:bCs/>
          <w:sz w:val="24"/>
          <w:szCs w:val="24"/>
        </w:rPr>
        <w:t>09.26.2018</w:t>
      </w:r>
    </w:p>
    <w:p w:rsidR="00452793" w:rsidRDefault="00452793" w:rsidP="00452793">
      <w:pPr>
        <w:ind w:firstLine="420"/>
        <w:jc w:val="both"/>
        <w:rPr>
          <w:b/>
          <w:sz w:val="24"/>
          <w:szCs w:val="24"/>
        </w:rPr>
      </w:pPr>
    </w:p>
    <w:p w:rsidR="00452793" w:rsidRDefault="00452793" w:rsidP="00452793">
      <w:pPr>
        <w:jc w:val="both"/>
        <w:rPr>
          <w:b/>
          <w:sz w:val="24"/>
          <w:szCs w:val="24"/>
          <w:lang w:val="pt-BR"/>
        </w:rPr>
      </w:pPr>
      <w:r>
        <w:rPr>
          <w:b/>
          <w:sz w:val="24"/>
          <w:szCs w:val="24"/>
        </w:rPr>
        <w:t>7.</w:t>
      </w:r>
      <w:r>
        <w:rPr>
          <w:sz w:val="24"/>
          <w:szCs w:val="24"/>
        </w:rPr>
        <w:t xml:space="preserve"> </w:t>
      </w:r>
      <w:r>
        <w:rPr>
          <w:b/>
          <w:sz w:val="24"/>
          <w:szCs w:val="24"/>
        </w:rPr>
        <w:t xml:space="preserve">File </w:t>
      </w:r>
      <w:r>
        <w:rPr>
          <w:b/>
          <w:sz w:val="24"/>
          <w:szCs w:val="24"/>
          <w:lang w:val="pt-BR"/>
        </w:rPr>
        <w:t>n</w:t>
      </w:r>
      <w:r>
        <w:rPr>
          <w:b/>
          <w:sz w:val="24"/>
          <w:szCs w:val="24"/>
        </w:rPr>
        <w:t>o</w:t>
      </w:r>
      <w:r>
        <w:rPr>
          <w:b/>
          <w:sz w:val="24"/>
          <w:szCs w:val="24"/>
          <w:lang w:val="pt-BR"/>
        </w:rPr>
        <w:t xml:space="preserve">. </w:t>
      </w:r>
      <w:r>
        <w:rPr>
          <w:b/>
          <w:sz w:val="24"/>
          <w:szCs w:val="24"/>
          <w:lang w:val="it-IT"/>
        </w:rPr>
        <w:t>2803/120/2013</w:t>
      </w:r>
      <w:r>
        <w:rPr>
          <w:b/>
          <w:sz w:val="24"/>
          <w:szCs w:val="24"/>
        </w:rPr>
        <w:t xml:space="preserve"> </w:t>
      </w:r>
      <w:r>
        <w:rPr>
          <w:b/>
          <w:sz w:val="24"/>
          <w:szCs w:val="24"/>
          <w:lang w:val="pt-BR"/>
        </w:rPr>
        <w:t>–</w:t>
      </w:r>
      <w:r>
        <w:rPr>
          <w:b/>
          <w:sz w:val="24"/>
          <w:szCs w:val="24"/>
        </w:rPr>
        <w:t xml:space="preserve"> </w:t>
      </w:r>
      <w:r>
        <w:rPr>
          <w:b/>
          <w:sz w:val="24"/>
          <w:szCs w:val="24"/>
          <w:lang w:val="it-IT"/>
        </w:rPr>
        <w:t xml:space="preserve">Dambovita </w:t>
      </w:r>
      <w:r>
        <w:rPr>
          <w:b/>
          <w:sz w:val="24"/>
          <w:szCs w:val="24"/>
        </w:rPr>
        <w:t>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creditor</w:t>
      </w:r>
    </w:p>
    <w:p w:rsidR="00452793" w:rsidRDefault="00452793" w:rsidP="00452793">
      <w:pPr>
        <w:jc w:val="both"/>
        <w:rPr>
          <w:sz w:val="24"/>
          <w:szCs w:val="24"/>
          <w:lang w:val="pt-BR"/>
        </w:rPr>
      </w:pPr>
      <w:r>
        <w:rPr>
          <w:sz w:val="24"/>
          <w:szCs w:val="24"/>
          <w:lang w:val="pt-BR"/>
        </w:rPr>
        <w:t>Ecprod SRL - debtor</w:t>
      </w:r>
    </w:p>
    <w:p w:rsidR="00452793" w:rsidRDefault="00452793" w:rsidP="00452793">
      <w:pPr>
        <w:jc w:val="both"/>
        <w:rPr>
          <w:sz w:val="24"/>
          <w:szCs w:val="24"/>
        </w:rPr>
      </w:pPr>
      <w:r>
        <w:rPr>
          <w:b/>
          <w:sz w:val="24"/>
          <w:szCs w:val="24"/>
        </w:rPr>
        <w:t>Subject</w:t>
      </w:r>
      <w:r>
        <w:rPr>
          <w:b/>
          <w:sz w:val="24"/>
          <w:szCs w:val="24"/>
          <w:lang w:val="pt-BR"/>
        </w:rPr>
        <w:t>:</w:t>
      </w:r>
      <w:r>
        <w:rPr>
          <w:b/>
          <w:sz w:val="24"/>
          <w:szCs w:val="24"/>
        </w:rPr>
        <w:t xml:space="preserve"> Insolvency. Request for debt admition. </w:t>
      </w:r>
      <w:r>
        <w:rPr>
          <w:bCs/>
          <w:sz w:val="24"/>
          <w:szCs w:val="24"/>
        </w:rPr>
        <w:t xml:space="preserve">Conpet SA issued a request for debt admition over the estate of the debtor Ecprod, of 25.728,89 RON. Conpet </w:t>
      </w:r>
      <w:proofErr w:type="gramStart"/>
      <w:r>
        <w:rPr>
          <w:bCs/>
          <w:sz w:val="24"/>
          <w:szCs w:val="24"/>
        </w:rPr>
        <w:t>is registered</w:t>
      </w:r>
      <w:proofErr w:type="gramEnd"/>
      <w:r>
        <w:rPr>
          <w:bCs/>
          <w:sz w:val="24"/>
          <w:szCs w:val="24"/>
        </w:rPr>
        <w:t xml:space="preserve"> in the debt table with the sum of </w:t>
      </w:r>
      <w:r>
        <w:rPr>
          <w:sz w:val="24"/>
          <w:szCs w:val="24"/>
        </w:rPr>
        <w:t xml:space="preserve">25.728,89 RON. </w:t>
      </w:r>
    </w:p>
    <w:p w:rsidR="00452793" w:rsidRDefault="00452793" w:rsidP="00452793">
      <w:pPr>
        <w:jc w:val="both"/>
        <w:rPr>
          <w:sz w:val="24"/>
          <w:szCs w:val="24"/>
        </w:rPr>
      </w:pPr>
      <w:r>
        <w:rPr>
          <w:b/>
          <w:bCs/>
          <w:sz w:val="24"/>
          <w:szCs w:val="24"/>
        </w:rPr>
        <w:t>Stage of the trial</w:t>
      </w:r>
      <w:r>
        <w:rPr>
          <w:sz w:val="24"/>
          <w:szCs w:val="24"/>
        </w:rPr>
        <w:t>: First instance</w:t>
      </w:r>
    </w:p>
    <w:p w:rsidR="00452793" w:rsidRDefault="00452793" w:rsidP="00452793">
      <w:pPr>
        <w:jc w:val="both"/>
        <w:rPr>
          <w:b/>
          <w:bCs/>
          <w:sz w:val="24"/>
          <w:szCs w:val="24"/>
        </w:rPr>
      </w:pPr>
      <w:r>
        <w:rPr>
          <w:sz w:val="24"/>
          <w:szCs w:val="24"/>
        </w:rPr>
        <w:t xml:space="preserve"> </w:t>
      </w:r>
      <w:r>
        <w:rPr>
          <w:b/>
          <w:bCs/>
          <w:sz w:val="24"/>
          <w:szCs w:val="24"/>
        </w:rPr>
        <w:t>Hearing</w:t>
      </w:r>
      <w:r>
        <w:rPr>
          <w:sz w:val="24"/>
          <w:szCs w:val="24"/>
        </w:rPr>
        <w:t xml:space="preserve">: </w:t>
      </w:r>
      <w:proofErr w:type="gramStart"/>
      <w:r>
        <w:rPr>
          <w:sz w:val="24"/>
          <w:szCs w:val="24"/>
        </w:rPr>
        <w:t>15</w:t>
      </w:r>
      <w:r>
        <w:rPr>
          <w:sz w:val="24"/>
          <w:szCs w:val="24"/>
          <w:vertAlign w:val="superscript"/>
        </w:rPr>
        <w:t>th</w:t>
      </w:r>
      <w:proofErr w:type="gramEnd"/>
      <w:r>
        <w:rPr>
          <w:sz w:val="24"/>
          <w:szCs w:val="24"/>
        </w:rPr>
        <w:t xml:space="preserve"> Oct 2018</w:t>
      </w:r>
    </w:p>
    <w:p w:rsidR="00452793" w:rsidRDefault="00452793" w:rsidP="00452793">
      <w:pPr>
        <w:jc w:val="both"/>
        <w:rPr>
          <w:b/>
          <w:bCs/>
          <w:sz w:val="24"/>
          <w:szCs w:val="24"/>
        </w:rPr>
      </w:pPr>
    </w:p>
    <w:p w:rsidR="00452793" w:rsidRDefault="00452793" w:rsidP="00452793">
      <w:pPr>
        <w:jc w:val="both"/>
        <w:rPr>
          <w:b/>
          <w:sz w:val="24"/>
          <w:szCs w:val="24"/>
          <w:lang w:val="pt-BR"/>
        </w:rPr>
      </w:pPr>
      <w:r>
        <w:rPr>
          <w:b/>
          <w:sz w:val="24"/>
          <w:szCs w:val="24"/>
        </w:rPr>
        <w:t xml:space="preserve"> </w:t>
      </w:r>
      <w:r>
        <w:rPr>
          <w:b/>
          <w:sz w:val="24"/>
          <w:szCs w:val="24"/>
          <w:lang w:val="it-IT"/>
        </w:rPr>
        <w:t xml:space="preserve">8. </w:t>
      </w:r>
      <w:r>
        <w:rPr>
          <w:b/>
          <w:sz w:val="24"/>
          <w:szCs w:val="24"/>
        </w:rPr>
        <w:t xml:space="preserve">File </w:t>
      </w:r>
      <w:r>
        <w:rPr>
          <w:b/>
          <w:sz w:val="24"/>
          <w:szCs w:val="24"/>
          <w:lang w:val="pt-BR"/>
        </w:rPr>
        <w:t>n</w:t>
      </w:r>
      <w:r>
        <w:rPr>
          <w:b/>
          <w:sz w:val="24"/>
          <w:szCs w:val="24"/>
        </w:rPr>
        <w:t>o</w:t>
      </w:r>
      <w:r>
        <w:rPr>
          <w:b/>
          <w:sz w:val="24"/>
          <w:szCs w:val="24"/>
          <w:lang w:val="pt-BR"/>
        </w:rPr>
        <w:t xml:space="preserve">. </w:t>
      </w:r>
      <w:r>
        <w:rPr>
          <w:b/>
          <w:sz w:val="24"/>
          <w:szCs w:val="24"/>
          <w:lang w:val="it-IT"/>
        </w:rPr>
        <w:t>7932/118/2013*</w:t>
      </w:r>
      <w:r>
        <w:rPr>
          <w:b/>
          <w:sz w:val="24"/>
          <w:szCs w:val="24"/>
        </w:rPr>
        <w:t xml:space="preserve"> </w:t>
      </w:r>
      <w:r>
        <w:rPr>
          <w:b/>
          <w:sz w:val="24"/>
          <w:szCs w:val="24"/>
          <w:lang w:val="pt-BR"/>
        </w:rPr>
        <w:t>–</w:t>
      </w:r>
      <w:r>
        <w:rPr>
          <w:b/>
          <w:sz w:val="24"/>
          <w:szCs w:val="24"/>
        </w:rPr>
        <w:t xml:space="preserve"> Constanta 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plaintiff</w:t>
      </w:r>
    </w:p>
    <w:p w:rsidR="00452793" w:rsidRDefault="00452793" w:rsidP="00452793">
      <w:pPr>
        <w:jc w:val="both"/>
        <w:rPr>
          <w:sz w:val="24"/>
          <w:szCs w:val="24"/>
          <w:lang w:val="pt-BR"/>
        </w:rPr>
      </w:pPr>
      <w:r>
        <w:rPr>
          <w:sz w:val="24"/>
          <w:szCs w:val="24"/>
          <w:lang w:val="pt-BR"/>
        </w:rPr>
        <w:t xml:space="preserve">Bivolaru Gabriel, Chihaia Marin, Mangalea Gheorghe, Arhire Adrian, Poenaru Marius Ciprian, Boamfa Paul, Luca Viorel, Meridicos Romeo Ovidiu, Dimofte Petronel, Matei Marius Ionut, Ahălanei Ioan - </w:t>
      </w:r>
      <w:r>
        <w:rPr>
          <w:sz w:val="24"/>
          <w:szCs w:val="24"/>
        </w:rPr>
        <w:t>defendants.</w:t>
      </w:r>
    </w:p>
    <w:p w:rsidR="00452793" w:rsidRDefault="00452793" w:rsidP="00452793">
      <w:pPr>
        <w:jc w:val="both"/>
        <w:rPr>
          <w:sz w:val="24"/>
          <w:szCs w:val="24"/>
          <w:lang w:val="pt-BR"/>
        </w:rPr>
      </w:pPr>
      <w:r>
        <w:rPr>
          <w:sz w:val="24"/>
          <w:szCs w:val="24"/>
          <w:lang w:val="pt-BR"/>
        </w:rPr>
        <w:t xml:space="preserve">Romeo International Service Company SRL Năvodari - </w:t>
      </w:r>
      <w:r>
        <w:rPr>
          <w:sz w:val="24"/>
          <w:szCs w:val="24"/>
        </w:rPr>
        <w:t>defendant</w:t>
      </w:r>
    </w:p>
    <w:p w:rsidR="00452793" w:rsidRDefault="00452793" w:rsidP="00452793">
      <w:pPr>
        <w:jc w:val="both"/>
        <w:rPr>
          <w:sz w:val="24"/>
          <w:szCs w:val="24"/>
          <w:lang w:val="pt-BR"/>
        </w:rPr>
      </w:pPr>
      <w:r>
        <w:rPr>
          <w:sz w:val="24"/>
          <w:szCs w:val="24"/>
          <w:lang w:val="pt-BR"/>
        </w:rPr>
        <w:t>Romeo International Service Company SRL Năvodari repre</w:t>
      </w:r>
      <w:r>
        <w:rPr>
          <w:sz w:val="24"/>
          <w:szCs w:val="24"/>
        </w:rPr>
        <w:t>s</w:t>
      </w:r>
      <w:r>
        <w:rPr>
          <w:sz w:val="24"/>
          <w:szCs w:val="24"/>
          <w:lang w:val="pt-BR"/>
        </w:rPr>
        <w:t>ent</w:t>
      </w:r>
      <w:r>
        <w:rPr>
          <w:sz w:val="24"/>
          <w:szCs w:val="24"/>
        </w:rPr>
        <w:t xml:space="preserve">ed by </w:t>
      </w:r>
      <w:r>
        <w:rPr>
          <w:sz w:val="24"/>
          <w:szCs w:val="24"/>
          <w:lang w:val="pt-BR"/>
        </w:rPr>
        <w:t xml:space="preserve">Nicolaidis Constantin - </w:t>
      </w:r>
      <w:r>
        <w:rPr>
          <w:sz w:val="24"/>
          <w:szCs w:val="24"/>
        </w:rPr>
        <w:t>defendant</w:t>
      </w:r>
    </w:p>
    <w:p w:rsidR="00452793" w:rsidRDefault="00452793" w:rsidP="00452793">
      <w:pPr>
        <w:jc w:val="both"/>
        <w:rPr>
          <w:sz w:val="24"/>
          <w:szCs w:val="24"/>
          <w:lang w:val="pt-BR"/>
        </w:rPr>
      </w:pPr>
      <w:r>
        <w:rPr>
          <w:sz w:val="24"/>
          <w:szCs w:val="24"/>
          <w:lang w:val="pt-BR"/>
        </w:rPr>
        <w:t xml:space="preserve">Ministerul Finanțelor Publice - ANAF - </w:t>
      </w:r>
      <w:r>
        <w:rPr>
          <w:sz w:val="24"/>
          <w:szCs w:val="24"/>
        </w:rPr>
        <w:t>plaintiff</w:t>
      </w:r>
    </w:p>
    <w:p w:rsidR="00452793" w:rsidRDefault="00452793" w:rsidP="00452793">
      <w:pPr>
        <w:jc w:val="both"/>
        <w:rPr>
          <w:sz w:val="24"/>
          <w:szCs w:val="24"/>
          <w:lang w:val="pt-BR"/>
        </w:rPr>
      </w:pPr>
      <w:r>
        <w:rPr>
          <w:sz w:val="24"/>
          <w:szCs w:val="24"/>
          <w:lang w:val="pt-BR"/>
        </w:rPr>
        <w:t xml:space="preserve">DGFP - </w:t>
      </w:r>
      <w:r>
        <w:rPr>
          <w:sz w:val="24"/>
          <w:szCs w:val="24"/>
        </w:rPr>
        <w:t>plaintiff</w:t>
      </w:r>
    </w:p>
    <w:p w:rsidR="00452793" w:rsidRDefault="00452793" w:rsidP="00452793">
      <w:pPr>
        <w:jc w:val="both"/>
        <w:rPr>
          <w:bCs/>
          <w:sz w:val="24"/>
          <w:szCs w:val="24"/>
        </w:rPr>
      </w:pPr>
      <w:r>
        <w:rPr>
          <w:b/>
          <w:sz w:val="24"/>
          <w:szCs w:val="24"/>
        </w:rPr>
        <w:t xml:space="preserve">Subject: Tax evasion (Law 87/1994, Law 241/2005), art. 323 Criminal </w:t>
      </w:r>
      <w:proofErr w:type="gramStart"/>
      <w:r>
        <w:rPr>
          <w:b/>
          <w:sz w:val="24"/>
          <w:szCs w:val="24"/>
        </w:rPr>
        <w:t>Law ,</w:t>
      </w:r>
      <w:proofErr w:type="gramEnd"/>
      <w:r>
        <w:rPr>
          <w:b/>
          <w:sz w:val="24"/>
          <w:szCs w:val="24"/>
        </w:rPr>
        <w:t xml:space="preserve"> Aggravated theft (art. 208-209 Criminal Law). Conpet SA </w:t>
      </w:r>
      <w:r>
        <w:rPr>
          <w:bCs/>
          <w:sz w:val="24"/>
          <w:szCs w:val="24"/>
        </w:rPr>
        <w:t xml:space="preserve">brought a civil action in court for the sum of </w:t>
      </w:r>
      <w:r>
        <w:rPr>
          <w:sz w:val="24"/>
          <w:szCs w:val="24"/>
        </w:rPr>
        <w:t xml:space="preserve">928.785,94 RON representing </w:t>
      </w:r>
      <w:r>
        <w:rPr>
          <w:bCs/>
          <w:sz w:val="24"/>
          <w:szCs w:val="24"/>
        </w:rPr>
        <w:t>consideration for the lifted crude oil (277 tones), remedial works on the pipes and lab tests.</w:t>
      </w:r>
    </w:p>
    <w:p w:rsidR="00452793" w:rsidRDefault="00452793" w:rsidP="00D87DA4">
      <w:pPr>
        <w:widowControl/>
        <w:numPr>
          <w:ilvl w:val="0"/>
          <w:numId w:val="46"/>
        </w:numPr>
        <w:autoSpaceDE/>
        <w:autoSpaceDN/>
        <w:adjustRightInd/>
        <w:jc w:val="both"/>
        <w:rPr>
          <w:sz w:val="24"/>
          <w:szCs w:val="24"/>
          <w:lang w:val="it-IT"/>
        </w:rPr>
      </w:pPr>
      <w:r>
        <w:rPr>
          <w:bCs/>
          <w:sz w:val="24"/>
          <w:szCs w:val="24"/>
        </w:rPr>
        <w:t>Clarifications: By the sentence no</w:t>
      </w:r>
      <w:r>
        <w:rPr>
          <w:b/>
          <w:sz w:val="24"/>
          <w:szCs w:val="24"/>
        </w:rPr>
        <w:t xml:space="preserve">. </w:t>
      </w:r>
      <w:proofErr w:type="gramStart"/>
      <w:r>
        <w:rPr>
          <w:b/>
          <w:sz w:val="24"/>
          <w:szCs w:val="24"/>
        </w:rPr>
        <w:t>472/17.12.2015</w:t>
      </w:r>
      <w:proofErr w:type="gramEnd"/>
      <w:r>
        <w:rPr>
          <w:sz w:val="24"/>
          <w:szCs w:val="24"/>
        </w:rPr>
        <w:t xml:space="preserve"> Constanța Court admits the civil action issued by the plaintiff Conpet SA. Ploieşti. It orders the defendants Bivolaru Gabriel, Chihaia Marin, Mangalea Gheorghe, Ahalanei Ioan, Arhire Adrian, Poenaru Marius Ciprian, Boamfa Paul, Merdicos Romeo Ovidiu, Dimofte Petronel, Luca Viorel şi Matei Marius Ionut to jointly pay the sum of 90.814,50 RON, (consideration for the 30 tones lifted on 27</w:t>
      </w:r>
      <w:r>
        <w:rPr>
          <w:sz w:val="24"/>
          <w:szCs w:val="24"/>
          <w:vertAlign w:val="superscript"/>
        </w:rPr>
        <w:t>th</w:t>
      </w:r>
      <w:r>
        <w:rPr>
          <w:sz w:val="24"/>
          <w:szCs w:val="24"/>
        </w:rPr>
        <w:t xml:space="preserve"> May 2013). It orders the defendants Bivolaru Gabriel, Chihaia Marin, Mangalea Gheorghe, Ahalanei Ioan, Arhire Adrian, Poenaru Marius Ciprian, Boamfa Paul, Merdicos Romeo Ovidiu, Dimofte Petronel, Luca Viorel şi Matei Marius Ionut to jointly pay the plaintiff Conpet SA the sum of 93.841,65 RON (consideration for the 31tones lifted on 31</w:t>
      </w:r>
      <w:r>
        <w:rPr>
          <w:sz w:val="24"/>
          <w:szCs w:val="24"/>
          <w:vertAlign w:val="superscript"/>
        </w:rPr>
        <w:t>st</w:t>
      </w:r>
      <w:r>
        <w:rPr>
          <w:sz w:val="24"/>
          <w:szCs w:val="24"/>
        </w:rPr>
        <w:t xml:space="preserve"> May 2013). It orders the defendants Bivolaru Gabriel, Chihaia Marin, Mangalea Gheorghe, Ahalanei Ioan, Arhire Adrian, Poenaru Marius Ciprian, Boamfa Paul, Merdicos Romeo Ovidiu, Dimofte Petronel, Luca Viorel şi Matei Marius Ionut </w:t>
      </w:r>
      <w:proofErr w:type="gramStart"/>
      <w:r>
        <w:rPr>
          <w:sz w:val="24"/>
          <w:szCs w:val="24"/>
        </w:rPr>
        <w:t>to jointly pay</w:t>
      </w:r>
      <w:proofErr w:type="gramEnd"/>
      <w:r>
        <w:rPr>
          <w:sz w:val="24"/>
          <w:szCs w:val="24"/>
        </w:rPr>
        <w:t xml:space="preserve"> Conpet SA. the sum of 585.977,25 RON (consideration for the 190 tones of crude oil lifted on 04</w:t>
      </w:r>
      <w:r>
        <w:rPr>
          <w:sz w:val="24"/>
          <w:szCs w:val="24"/>
          <w:vertAlign w:val="superscript"/>
        </w:rPr>
        <w:t>th</w:t>
      </w:r>
      <w:r>
        <w:rPr>
          <w:sz w:val="24"/>
          <w:szCs w:val="24"/>
        </w:rPr>
        <w:t xml:space="preserve"> June 2013 and 05</w:t>
      </w:r>
      <w:r>
        <w:rPr>
          <w:sz w:val="24"/>
          <w:szCs w:val="24"/>
          <w:vertAlign w:val="superscript"/>
        </w:rPr>
        <w:t>th</w:t>
      </w:r>
      <w:r>
        <w:rPr>
          <w:sz w:val="24"/>
          <w:szCs w:val="24"/>
        </w:rPr>
        <w:t xml:space="preserve"> June 2013)</w:t>
      </w:r>
    </w:p>
    <w:p w:rsidR="00452793" w:rsidRDefault="00452793" w:rsidP="00452793">
      <w:pPr>
        <w:jc w:val="both"/>
        <w:rPr>
          <w:bCs/>
          <w:sz w:val="24"/>
          <w:szCs w:val="24"/>
        </w:rPr>
      </w:pPr>
      <w:r>
        <w:rPr>
          <w:sz w:val="24"/>
          <w:szCs w:val="24"/>
        </w:rPr>
        <w:t xml:space="preserve">It orders the defendants Bivolaru Gabriel, Chihaia Marin, Mangalea Gheorghe, Ahalanei Ioan, Arhire Adrian, Poenaru Marius Ciprian, Boamfa Paul, Merdicos Romeo Ovidiu, Dimofte Petronel, Luca Viorel şi Matei Marius Ionut </w:t>
      </w:r>
      <w:proofErr w:type="gramStart"/>
      <w:r>
        <w:rPr>
          <w:sz w:val="24"/>
          <w:szCs w:val="24"/>
        </w:rPr>
        <w:t>to jointly pay</w:t>
      </w:r>
      <w:proofErr w:type="gramEnd"/>
      <w:r>
        <w:rPr>
          <w:sz w:val="24"/>
          <w:szCs w:val="24"/>
        </w:rPr>
        <w:t xml:space="preserve"> the plaintiff Conpet SA the sum of 17.289,32 RON (consideration for decommitssioning the </w:t>
      </w:r>
      <w:r>
        <w:rPr>
          <w:sz w:val="24"/>
          <w:szCs w:val="24"/>
        </w:rPr>
        <w:lastRenderedPageBreak/>
        <w:t>handmade facility and getting the pipe to its initial state.</w:t>
      </w:r>
    </w:p>
    <w:p w:rsidR="00452793" w:rsidRDefault="00452793" w:rsidP="00452793">
      <w:pPr>
        <w:jc w:val="both"/>
        <w:rPr>
          <w:sz w:val="24"/>
          <w:szCs w:val="24"/>
        </w:rPr>
      </w:pPr>
      <w:r>
        <w:rPr>
          <w:sz w:val="24"/>
          <w:szCs w:val="24"/>
        </w:rPr>
        <w:t xml:space="preserve">It orders the defendants Bivolaru Gabriel, Chihaia Marin, Mangalea Gheorghe, Ahalanei Ioan, Arhire Adrian, Poenaru Marius Ciprian, Boamfa Paul, Merdicos Romeo Ovidiu, Dimofte Petronel, Luca Viorel şi Matei Marius Ionut </w:t>
      </w:r>
      <w:proofErr w:type="gramStart"/>
      <w:r>
        <w:rPr>
          <w:sz w:val="24"/>
          <w:szCs w:val="24"/>
        </w:rPr>
        <w:t>to jointly pay</w:t>
      </w:r>
      <w:proofErr w:type="gramEnd"/>
      <w:r>
        <w:rPr>
          <w:sz w:val="24"/>
          <w:szCs w:val="24"/>
        </w:rPr>
        <w:t xml:space="preserve"> Conpet SA the sum of 9.576,84 RON, representing the consideration for laboratory tests, for the 17 samples of oil product.</w:t>
      </w:r>
    </w:p>
    <w:p w:rsidR="00452793" w:rsidRDefault="00452793" w:rsidP="00452793">
      <w:pPr>
        <w:jc w:val="both"/>
        <w:rPr>
          <w:sz w:val="24"/>
          <w:szCs w:val="24"/>
        </w:rPr>
      </w:pPr>
      <w:r>
        <w:rPr>
          <w:sz w:val="24"/>
          <w:szCs w:val="24"/>
        </w:rPr>
        <w:t xml:space="preserve">Takes note that the plaintiff Conpet SA released the civil claims of 20.268,11 for the fact from 08.03.2013 because the prejudice </w:t>
      </w:r>
      <w:proofErr w:type="gramStart"/>
      <w:r>
        <w:rPr>
          <w:sz w:val="24"/>
          <w:szCs w:val="24"/>
        </w:rPr>
        <w:t>had been fully recovered</w:t>
      </w:r>
      <w:proofErr w:type="gramEnd"/>
      <w:r>
        <w:rPr>
          <w:sz w:val="24"/>
          <w:szCs w:val="24"/>
        </w:rPr>
        <w:t xml:space="preserve">. The </w:t>
      </w:r>
      <w:proofErr w:type="gramStart"/>
      <w:r>
        <w:rPr>
          <w:sz w:val="24"/>
          <w:szCs w:val="24"/>
        </w:rPr>
        <w:t>order was appealed by the defendants</w:t>
      </w:r>
      <w:proofErr w:type="gramEnd"/>
      <w:r>
        <w:rPr>
          <w:sz w:val="24"/>
          <w:szCs w:val="24"/>
        </w:rPr>
        <w:t>.</w:t>
      </w:r>
    </w:p>
    <w:p w:rsidR="00452793" w:rsidRDefault="00452793" w:rsidP="00452793">
      <w:pPr>
        <w:jc w:val="both"/>
        <w:rPr>
          <w:sz w:val="24"/>
          <w:szCs w:val="24"/>
        </w:rPr>
      </w:pPr>
      <w:r>
        <w:rPr>
          <w:sz w:val="24"/>
          <w:szCs w:val="24"/>
        </w:rPr>
        <w:t xml:space="preserve">By the order no. </w:t>
      </w:r>
      <w:r>
        <w:rPr>
          <w:b/>
          <w:sz w:val="24"/>
          <w:szCs w:val="24"/>
        </w:rPr>
        <w:t>675/10</w:t>
      </w:r>
      <w:r>
        <w:rPr>
          <w:b/>
          <w:sz w:val="24"/>
          <w:szCs w:val="24"/>
          <w:vertAlign w:val="superscript"/>
        </w:rPr>
        <w:t>th</w:t>
      </w:r>
      <w:r>
        <w:rPr>
          <w:b/>
          <w:sz w:val="24"/>
          <w:szCs w:val="24"/>
        </w:rPr>
        <w:t xml:space="preserve"> June 2016 </w:t>
      </w:r>
      <w:r>
        <w:rPr>
          <w:bCs/>
          <w:sz w:val="24"/>
          <w:szCs w:val="24"/>
        </w:rPr>
        <w:t xml:space="preserve">Constanta Appeal Court admits the appeals issued by the Constanta Court </w:t>
      </w:r>
      <w:proofErr w:type="gramStart"/>
      <w:r>
        <w:rPr>
          <w:bCs/>
          <w:sz w:val="24"/>
          <w:szCs w:val="24"/>
        </w:rPr>
        <w:t>Attorney  and</w:t>
      </w:r>
      <w:proofErr w:type="gramEnd"/>
      <w:r>
        <w:rPr>
          <w:bCs/>
          <w:sz w:val="24"/>
          <w:szCs w:val="24"/>
        </w:rPr>
        <w:t xml:space="preserve"> the appealing defendants </w:t>
      </w:r>
      <w:r>
        <w:rPr>
          <w:sz w:val="24"/>
          <w:szCs w:val="24"/>
        </w:rPr>
        <w:t>Bivolaru Gabriel, Chihaia Marin, Mangalea Gheorghe, Arhire Adrian, Poenaru Marius Ciprian, Boamfă Paul, Luca Viorel, Meridicos Romeo Ovidiu, Dimofte Petronel, Matei Marius Ionut, Ahălanei Ioan and SC Romeo International Service Company SRL Năvodari. It fully dissolves the criminal sentence no. 472/17.12.2015 issued by Constanta Court in the file no. 7932/118/2013 and orders sending the matter to Constanta Court for retrial. Here it receives * and it is ordered that the matter is sent to the Preliminary Chamber judge (</w:t>
      </w:r>
      <w:r>
        <w:rPr>
          <w:sz w:val="24"/>
          <w:szCs w:val="24"/>
          <w:lang w:val="it-IT"/>
        </w:rPr>
        <w:t>7932/118/2013*/a1)</w:t>
      </w:r>
      <w:r>
        <w:rPr>
          <w:sz w:val="24"/>
          <w:szCs w:val="24"/>
        </w:rPr>
        <w:t>.</w:t>
      </w:r>
    </w:p>
    <w:p w:rsidR="00452793" w:rsidRDefault="00452793" w:rsidP="00452793">
      <w:pPr>
        <w:jc w:val="both"/>
        <w:rPr>
          <w:sz w:val="24"/>
          <w:szCs w:val="24"/>
        </w:rPr>
      </w:pPr>
      <w:r>
        <w:rPr>
          <w:sz w:val="24"/>
          <w:szCs w:val="24"/>
        </w:rPr>
        <w:t xml:space="preserve">By the Conclusion no. </w:t>
      </w:r>
      <w:r>
        <w:rPr>
          <w:b/>
          <w:sz w:val="24"/>
          <w:szCs w:val="24"/>
        </w:rPr>
        <w:t>93/28.02.2017</w:t>
      </w:r>
      <w:r>
        <w:rPr>
          <w:sz w:val="24"/>
          <w:szCs w:val="24"/>
        </w:rPr>
        <w:t xml:space="preserve"> Constanta Court rejects as being unfounded the claims and pleas issued by the defendants Bivolaru Gabriel, Chihaia Marin, Merdicos Romeo Ovidiu, Arhire Adrian and Mangalea Gheorghe. It notes the legality of seizing the court with the Indictment no.569/P/2013 from </w:t>
      </w:r>
      <w:proofErr w:type="gramStart"/>
      <w:r>
        <w:rPr>
          <w:sz w:val="24"/>
          <w:szCs w:val="24"/>
        </w:rPr>
        <w:t>30</w:t>
      </w:r>
      <w:r>
        <w:rPr>
          <w:sz w:val="24"/>
          <w:szCs w:val="24"/>
          <w:vertAlign w:val="superscript"/>
        </w:rPr>
        <w:t>th</w:t>
      </w:r>
      <w:proofErr w:type="gramEnd"/>
      <w:r>
        <w:rPr>
          <w:sz w:val="24"/>
          <w:szCs w:val="24"/>
        </w:rPr>
        <w:t xml:space="preserve"> March 2013 issued by the Attorney of the Constanta Appeal Court, that orders suing the defendants. It notes the legality of evidence administration and conducting of the criminal prosecution. It orders taking the case to court. The conclusion </w:t>
      </w:r>
      <w:proofErr w:type="gramStart"/>
      <w:r>
        <w:rPr>
          <w:sz w:val="24"/>
          <w:szCs w:val="24"/>
        </w:rPr>
        <w:t>was appealed</w:t>
      </w:r>
      <w:proofErr w:type="gramEnd"/>
      <w:r>
        <w:rPr>
          <w:sz w:val="24"/>
          <w:szCs w:val="24"/>
        </w:rPr>
        <w:t xml:space="preserve"> and the appeal was rejected by the Constanta Appeal Court.</w:t>
      </w:r>
    </w:p>
    <w:p w:rsidR="00452793" w:rsidRDefault="00452793" w:rsidP="00452793">
      <w:pPr>
        <w:jc w:val="both"/>
        <w:rPr>
          <w:bCs/>
          <w:sz w:val="24"/>
          <w:szCs w:val="24"/>
        </w:rPr>
      </w:pPr>
      <w:proofErr w:type="gramStart"/>
      <w:r>
        <w:rPr>
          <w:sz w:val="24"/>
          <w:szCs w:val="24"/>
        </w:rPr>
        <w:t>Also</w:t>
      </w:r>
      <w:proofErr w:type="gramEnd"/>
      <w:r>
        <w:rPr>
          <w:sz w:val="24"/>
          <w:szCs w:val="24"/>
        </w:rPr>
        <w:t>, by the Conclusion on 28</w:t>
      </w:r>
      <w:r>
        <w:rPr>
          <w:sz w:val="24"/>
          <w:szCs w:val="24"/>
          <w:vertAlign w:val="superscript"/>
        </w:rPr>
        <w:t>th</w:t>
      </w:r>
      <w:r>
        <w:rPr>
          <w:sz w:val="24"/>
          <w:szCs w:val="24"/>
        </w:rPr>
        <w:t xml:space="preserve"> Feb 2017 the Constanta Court notes the admisibility of the unconstitutionality plea. It seizes</w:t>
      </w:r>
      <w:r>
        <w:rPr>
          <w:bCs/>
          <w:sz w:val="24"/>
          <w:szCs w:val="24"/>
        </w:rPr>
        <w:t xml:space="preserve"> the Constitutional Court with the resolution of the </w:t>
      </w:r>
      <w:r>
        <w:rPr>
          <w:sz w:val="24"/>
          <w:szCs w:val="24"/>
        </w:rPr>
        <w:t>unconstitutionality plea summoned by the defendant Bivolaru Gabriel, in the file no. 7932/118/2013*, from the Constanta Court regarding unconstitutionality of the provisions of art.280, paragraph 1,art.281 and art.282, paragraph 1 and 2 of the Criminal Law- file no.812D/2017- hearing: 14</w:t>
      </w:r>
      <w:r>
        <w:rPr>
          <w:sz w:val="24"/>
          <w:szCs w:val="24"/>
          <w:vertAlign w:val="superscript"/>
        </w:rPr>
        <w:t>th</w:t>
      </w:r>
      <w:r>
        <w:rPr>
          <w:sz w:val="24"/>
          <w:szCs w:val="24"/>
        </w:rPr>
        <w:t xml:space="preserve"> Dec 2017. The plea </w:t>
      </w:r>
      <w:proofErr w:type="gramStart"/>
      <w:r>
        <w:rPr>
          <w:sz w:val="24"/>
          <w:szCs w:val="24"/>
        </w:rPr>
        <w:t>was rejected</w:t>
      </w:r>
      <w:proofErr w:type="gramEnd"/>
      <w:r>
        <w:rPr>
          <w:sz w:val="24"/>
          <w:szCs w:val="24"/>
        </w:rPr>
        <w:t xml:space="preserve"> as being inadmissible.                                                                                                                                                                                                                                                                                                                                          </w:t>
      </w:r>
    </w:p>
    <w:p w:rsidR="00452793" w:rsidRDefault="00452793" w:rsidP="00452793">
      <w:pPr>
        <w:jc w:val="both"/>
        <w:rPr>
          <w:sz w:val="24"/>
          <w:szCs w:val="24"/>
        </w:rPr>
      </w:pPr>
      <w:r>
        <w:rPr>
          <w:sz w:val="24"/>
          <w:szCs w:val="24"/>
        </w:rPr>
        <w:t xml:space="preserve"> </w:t>
      </w:r>
      <w:r>
        <w:rPr>
          <w:b/>
          <w:bCs/>
          <w:sz w:val="24"/>
          <w:szCs w:val="24"/>
        </w:rPr>
        <w:t>Stage of the trial</w:t>
      </w:r>
      <w:r>
        <w:rPr>
          <w:sz w:val="24"/>
          <w:szCs w:val="24"/>
        </w:rPr>
        <w:t>: First instance- retrial</w:t>
      </w:r>
    </w:p>
    <w:p w:rsidR="00452793" w:rsidRDefault="00452793" w:rsidP="00452793">
      <w:pPr>
        <w:jc w:val="both"/>
        <w:rPr>
          <w:b/>
          <w:bCs/>
          <w:sz w:val="24"/>
          <w:szCs w:val="24"/>
        </w:rPr>
      </w:pPr>
      <w:r>
        <w:rPr>
          <w:sz w:val="24"/>
          <w:szCs w:val="24"/>
        </w:rPr>
        <w:t xml:space="preserve"> </w:t>
      </w:r>
      <w:r>
        <w:rPr>
          <w:b/>
          <w:bCs/>
          <w:sz w:val="24"/>
          <w:szCs w:val="24"/>
        </w:rPr>
        <w:t>Hearing</w:t>
      </w:r>
      <w:r>
        <w:rPr>
          <w:sz w:val="24"/>
          <w:szCs w:val="24"/>
        </w:rPr>
        <w:t xml:space="preserve">: </w:t>
      </w:r>
      <w:proofErr w:type="gramStart"/>
      <w:r>
        <w:rPr>
          <w:sz w:val="24"/>
          <w:szCs w:val="24"/>
        </w:rPr>
        <w:t>05</w:t>
      </w:r>
      <w:r>
        <w:rPr>
          <w:sz w:val="24"/>
          <w:szCs w:val="24"/>
          <w:vertAlign w:val="superscript"/>
        </w:rPr>
        <w:t>th</w:t>
      </w:r>
      <w:proofErr w:type="gramEnd"/>
      <w:r>
        <w:rPr>
          <w:sz w:val="24"/>
          <w:szCs w:val="24"/>
        </w:rPr>
        <w:t xml:space="preserve"> Sept 2018</w:t>
      </w:r>
    </w:p>
    <w:p w:rsidR="00452793" w:rsidRDefault="00452793" w:rsidP="00452793">
      <w:pPr>
        <w:jc w:val="both"/>
        <w:rPr>
          <w:sz w:val="24"/>
          <w:szCs w:val="24"/>
        </w:rPr>
      </w:pPr>
      <w:r>
        <w:rPr>
          <w:sz w:val="24"/>
          <w:szCs w:val="24"/>
        </w:rPr>
        <w:t xml:space="preserve"> </w:t>
      </w:r>
    </w:p>
    <w:p w:rsidR="00452793" w:rsidRDefault="00452793" w:rsidP="00452793">
      <w:pPr>
        <w:jc w:val="both"/>
        <w:rPr>
          <w:b/>
          <w:sz w:val="24"/>
          <w:szCs w:val="24"/>
          <w:lang w:val="pt-BR"/>
        </w:rPr>
      </w:pPr>
      <w:r>
        <w:rPr>
          <w:b/>
          <w:sz w:val="24"/>
          <w:szCs w:val="24"/>
          <w:lang w:val="it-IT"/>
        </w:rPr>
        <w:t xml:space="preserve">9. </w:t>
      </w:r>
      <w:r>
        <w:rPr>
          <w:b/>
          <w:sz w:val="24"/>
          <w:szCs w:val="24"/>
        </w:rPr>
        <w:t xml:space="preserve">File </w:t>
      </w:r>
      <w:r>
        <w:rPr>
          <w:b/>
          <w:sz w:val="24"/>
          <w:szCs w:val="24"/>
          <w:lang w:val="pt-BR"/>
        </w:rPr>
        <w:t>n</w:t>
      </w:r>
      <w:r>
        <w:rPr>
          <w:b/>
          <w:sz w:val="24"/>
          <w:szCs w:val="24"/>
        </w:rPr>
        <w:t>o</w:t>
      </w:r>
      <w:r>
        <w:rPr>
          <w:b/>
          <w:sz w:val="24"/>
          <w:szCs w:val="24"/>
          <w:lang w:val="pt-BR"/>
        </w:rPr>
        <w:t xml:space="preserve">. </w:t>
      </w:r>
      <w:r>
        <w:rPr>
          <w:b/>
          <w:sz w:val="24"/>
          <w:szCs w:val="24"/>
          <w:lang w:val="it-IT"/>
        </w:rPr>
        <w:t xml:space="preserve">1862/114/2014 </w:t>
      </w:r>
      <w:r>
        <w:rPr>
          <w:b/>
          <w:sz w:val="24"/>
          <w:szCs w:val="24"/>
          <w:lang w:val="pt-BR"/>
        </w:rPr>
        <w:t>–</w:t>
      </w:r>
      <w:r>
        <w:rPr>
          <w:b/>
          <w:sz w:val="24"/>
          <w:szCs w:val="24"/>
        </w:rPr>
        <w:t xml:space="preserve"> Buzau 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creditor</w:t>
      </w:r>
    </w:p>
    <w:p w:rsidR="00452793" w:rsidRDefault="00452793" w:rsidP="00452793">
      <w:pPr>
        <w:jc w:val="both"/>
        <w:rPr>
          <w:sz w:val="24"/>
          <w:szCs w:val="24"/>
          <w:lang w:val="pt-BR"/>
        </w:rPr>
      </w:pPr>
      <w:r>
        <w:rPr>
          <w:sz w:val="24"/>
          <w:szCs w:val="24"/>
          <w:lang w:val="pt-BR"/>
        </w:rPr>
        <w:t>Geluval Stor SRL – debtor</w:t>
      </w:r>
    </w:p>
    <w:p w:rsidR="00452793" w:rsidRDefault="00452793" w:rsidP="00452793">
      <w:pPr>
        <w:jc w:val="both"/>
        <w:rPr>
          <w:sz w:val="24"/>
          <w:szCs w:val="24"/>
        </w:rPr>
      </w:pPr>
      <w:r>
        <w:rPr>
          <w:b/>
          <w:sz w:val="24"/>
          <w:szCs w:val="24"/>
        </w:rPr>
        <w:t>Subject</w:t>
      </w:r>
      <w:r>
        <w:rPr>
          <w:b/>
          <w:sz w:val="24"/>
          <w:szCs w:val="24"/>
          <w:lang w:val="pt-BR"/>
        </w:rPr>
        <w:t>:</w:t>
      </w:r>
      <w:r>
        <w:rPr>
          <w:b/>
          <w:sz w:val="24"/>
          <w:szCs w:val="24"/>
        </w:rPr>
        <w:t xml:space="preserve"> </w:t>
      </w:r>
      <w:r>
        <w:rPr>
          <w:bCs/>
          <w:sz w:val="24"/>
          <w:szCs w:val="24"/>
        </w:rPr>
        <w:t xml:space="preserve">Conpet SA issues a request for debt admition demanding the registration in the table of creditors for </w:t>
      </w:r>
      <w:r>
        <w:rPr>
          <w:sz w:val="24"/>
          <w:szCs w:val="24"/>
        </w:rPr>
        <w:t>Geluval Stor SRL</w:t>
      </w:r>
      <w:r>
        <w:rPr>
          <w:bCs/>
          <w:sz w:val="24"/>
          <w:szCs w:val="24"/>
        </w:rPr>
        <w:t xml:space="preserve"> with the sum of </w:t>
      </w:r>
      <w:r>
        <w:rPr>
          <w:sz w:val="24"/>
          <w:szCs w:val="24"/>
        </w:rPr>
        <w:t xml:space="preserve">1.440,90 RON, representing delay penalties owed for overdue payment of the consideration for 7 bills issued by Conpet for the services provided according to the Contract no. STA 101/20.03.2012 with the defendant, who </w:t>
      </w:r>
      <w:proofErr w:type="gramStart"/>
      <w:r>
        <w:rPr>
          <w:sz w:val="24"/>
          <w:szCs w:val="24"/>
        </w:rPr>
        <w:t>was ordered</w:t>
      </w:r>
      <w:proofErr w:type="gramEnd"/>
      <w:r>
        <w:rPr>
          <w:sz w:val="24"/>
          <w:szCs w:val="24"/>
        </w:rPr>
        <w:t xml:space="preserve"> to pay the respective sum by the Ploiesti Court sentence no. 8867/16.06.2014, in the file no. 109/281/21014. The sentence </w:t>
      </w:r>
      <w:proofErr w:type="gramStart"/>
      <w:r>
        <w:rPr>
          <w:sz w:val="24"/>
          <w:szCs w:val="24"/>
        </w:rPr>
        <w:t>was made</w:t>
      </w:r>
      <w:proofErr w:type="gramEnd"/>
      <w:r>
        <w:rPr>
          <w:sz w:val="24"/>
          <w:szCs w:val="24"/>
        </w:rPr>
        <w:t xml:space="preserve"> definitive by lack of appeals.</w:t>
      </w:r>
    </w:p>
    <w:p w:rsidR="00452793" w:rsidRDefault="00452793" w:rsidP="00452793">
      <w:pPr>
        <w:jc w:val="both"/>
        <w:rPr>
          <w:sz w:val="24"/>
          <w:szCs w:val="24"/>
        </w:rPr>
      </w:pPr>
      <w:r>
        <w:rPr>
          <w:bCs/>
          <w:sz w:val="24"/>
          <w:szCs w:val="24"/>
        </w:rPr>
        <w:t xml:space="preserve"> Conpet is registered in the preliminary debt table for </w:t>
      </w:r>
      <w:r>
        <w:rPr>
          <w:sz w:val="24"/>
          <w:szCs w:val="24"/>
        </w:rPr>
        <w:t xml:space="preserve">Geluval Stor SRL </w:t>
      </w:r>
      <w:r>
        <w:rPr>
          <w:bCs/>
          <w:sz w:val="24"/>
          <w:szCs w:val="24"/>
        </w:rPr>
        <w:t xml:space="preserve">with the sum of </w:t>
      </w:r>
      <w:r>
        <w:rPr>
          <w:sz w:val="24"/>
          <w:szCs w:val="24"/>
        </w:rPr>
        <w:t>1.440</w:t>
      </w:r>
      <w:proofErr w:type="gramStart"/>
      <w:r>
        <w:rPr>
          <w:sz w:val="24"/>
          <w:szCs w:val="24"/>
        </w:rPr>
        <w:t>,90RON</w:t>
      </w:r>
      <w:proofErr w:type="gramEnd"/>
      <w:r>
        <w:rPr>
          <w:sz w:val="24"/>
          <w:szCs w:val="24"/>
        </w:rPr>
        <w:t xml:space="preserve">. </w:t>
      </w:r>
    </w:p>
    <w:p w:rsidR="00452793" w:rsidRDefault="00452793" w:rsidP="00452793">
      <w:pPr>
        <w:jc w:val="both"/>
        <w:rPr>
          <w:sz w:val="24"/>
          <w:szCs w:val="24"/>
        </w:rPr>
      </w:pPr>
      <w:r>
        <w:rPr>
          <w:b/>
          <w:bCs/>
          <w:sz w:val="24"/>
          <w:szCs w:val="24"/>
        </w:rPr>
        <w:t>Stage of the trial</w:t>
      </w:r>
      <w:r>
        <w:rPr>
          <w:sz w:val="24"/>
          <w:szCs w:val="24"/>
        </w:rPr>
        <w:t>: First instance</w:t>
      </w:r>
    </w:p>
    <w:p w:rsidR="00452793" w:rsidRDefault="00452793" w:rsidP="00452793">
      <w:pPr>
        <w:jc w:val="both"/>
        <w:rPr>
          <w:b/>
          <w:bCs/>
          <w:sz w:val="24"/>
          <w:szCs w:val="24"/>
        </w:rPr>
      </w:pPr>
      <w:r>
        <w:rPr>
          <w:sz w:val="24"/>
          <w:szCs w:val="24"/>
        </w:rPr>
        <w:t xml:space="preserve"> </w:t>
      </w:r>
      <w:r>
        <w:rPr>
          <w:b/>
          <w:bCs/>
          <w:sz w:val="24"/>
          <w:szCs w:val="24"/>
        </w:rPr>
        <w:t>Hearing</w:t>
      </w:r>
      <w:r>
        <w:rPr>
          <w:sz w:val="24"/>
          <w:szCs w:val="24"/>
        </w:rPr>
        <w:t xml:space="preserve">: </w:t>
      </w:r>
      <w:proofErr w:type="gramStart"/>
      <w:r>
        <w:rPr>
          <w:sz w:val="24"/>
          <w:szCs w:val="24"/>
        </w:rPr>
        <w:t>09</w:t>
      </w:r>
      <w:r>
        <w:rPr>
          <w:sz w:val="24"/>
          <w:szCs w:val="24"/>
          <w:vertAlign w:val="superscript"/>
        </w:rPr>
        <w:t>th</w:t>
      </w:r>
      <w:proofErr w:type="gramEnd"/>
      <w:r>
        <w:rPr>
          <w:sz w:val="24"/>
          <w:szCs w:val="24"/>
        </w:rPr>
        <w:t xml:space="preserve"> Oct 2018</w:t>
      </w:r>
    </w:p>
    <w:p w:rsidR="00452793" w:rsidRDefault="00452793" w:rsidP="00452793">
      <w:pPr>
        <w:jc w:val="both"/>
        <w:rPr>
          <w:b/>
          <w:sz w:val="24"/>
          <w:szCs w:val="24"/>
          <w:lang w:val="it-IT"/>
        </w:rPr>
      </w:pPr>
    </w:p>
    <w:p w:rsidR="00452793" w:rsidRDefault="00452793" w:rsidP="00452793">
      <w:pPr>
        <w:jc w:val="both"/>
        <w:rPr>
          <w:b/>
          <w:sz w:val="24"/>
          <w:szCs w:val="24"/>
          <w:lang w:val="it-IT"/>
        </w:rPr>
      </w:pPr>
    </w:p>
    <w:p w:rsidR="00452793" w:rsidRDefault="00452793" w:rsidP="00452793">
      <w:pPr>
        <w:jc w:val="both"/>
        <w:rPr>
          <w:b/>
          <w:sz w:val="24"/>
          <w:szCs w:val="24"/>
          <w:lang w:val="pt-BR"/>
        </w:rPr>
      </w:pPr>
      <w:r>
        <w:rPr>
          <w:b/>
          <w:sz w:val="24"/>
          <w:szCs w:val="24"/>
          <w:lang w:val="it-IT"/>
        </w:rPr>
        <w:t>10.</w:t>
      </w:r>
      <w:r>
        <w:rPr>
          <w:b/>
          <w:sz w:val="24"/>
          <w:szCs w:val="24"/>
        </w:rPr>
        <w:t xml:space="preserve"> File </w:t>
      </w:r>
      <w:r>
        <w:rPr>
          <w:b/>
          <w:sz w:val="24"/>
          <w:szCs w:val="24"/>
          <w:lang w:val="pt-BR"/>
        </w:rPr>
        <w:t>n</w:t>
      </w:r>
      <w:r>
        <w:rPr>
          <w:b/>
          <w:sz w:val="24"/>
          <w:szCs w:val="24"/>
        </w:rPr>
        <w:t>o</w:t>
      </w:r>
      <w:r>
        <w:rPr>
          <w:b/>
          <w:sz w:val="24"/>
          <w:szCs w:val="24"/>
          <w:lang w:val="pt-BR"/>
        </w:rPr>
        <w:t xml:space="preserve">. </w:t>
      </w:r>
      <w:r>
        <w:rPr>
          <w:b/>
          <w:sz w:val="24"/>
          <w:szCs w:val="24"/>
          <w:lang w:val="it-IT"/>
        </w:rPr>
        <w:t>6625/120/2013</w:t>
      </w:r>
      <w:r>
        <w:rPr>
          <w:b/>
          <w:sz w:val="24"/>
          <w:szCs w:val="24"/>
        </w:rPr>
        <w:t xml:space="preserve"> </w:t>
      </w:r>
      <w:r>
        <w:rPr>
          <w:b/>
          <w:sz w:val="24"/>
          <w:szCs w:val="24"/>
          <w:lang w:val="pt-BR"/>
        </w:rPr>
        <w:t>–</w:t>
      </w:r>
      <w:r>
        <w:rPr>
          <w:b/>
          <w:sz w:val="24"/>
          <w:szCs w:val="24"/>
        </w:rPr>
        <w:t xml:space="preserve"> </w:t>
      </w:r>
      <w:r>
        <w:rPr>
          <w:b/>
          <w:sz w:val="24"/>
          <w:szCs w:val="24"/>
          <w:lang w:val="it-IT"/>
        </w:rPr>
        <w:t xml:space="preserve">Dambovita </w:t>
      </w:r>
      <w:r>
        <w:rPr>
          <w:b/>
          <w:sz w:val="24"/>
          <w:szCs w:val="24"/>
        </w:rPr>
        <w:t>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injured party</w:t>
      </w:r>
    </w:p>
    <w:p w:rsidR="00452793" w:rsidRDefault="00452793" w:rsidP="00452793">
      <w:pPr>
        <w:jc w:val="both"/>
        <w:rPr>
          <w:sz w:val="24"/>
          <w:szCs w:val="24"/>
          <w:lang w:val="pt-BR"/>
        </w:rPr>
      </w:pPr>
      <w:r>
        <w:rPr>
          <w:sz w:val="24"/>
          <w:szCs w:val="24"/>
          <w:lang w:val="pt-BR"/>
        </w:rPr>
        <w:t xml:space="preserve">Dumitru Nica Constantin, Dumitru Nica Gheorghe, Marasescu Marian, Vlada Aurica, Aslan Razvan Aurel, Grigorascu Dominel Ion, Georgescu Anda, Stanca Ion, Constantin Andrei Marius, Maricescu Constantin, Duniag Instal SRL prin reprezentant legal Dumitru Nica  Gheorghe, Anaver Vila Grup SRL prin reprezentant legal Dumitru Nica  Gheorghe – </w:t>
      </w:r>
      <w:r>
        <w:rPr>
          <w:sz w:val="24"/>
          <w:szCs w:val="24"/>
        </w:rPr>
        <w:t>defendants</w:t>
      </w:r>
      <w:r>
        <w:rPr>
          <w:sz w:val="24"/>
          <w:szCs w:val="24"/>
          <w:lang w:val="pt-BR"/>
        </w:rPr>
        <w:t xml:space="preserve"> </w:t>
      </w:r>
    </w:p>
    <w:p w:rsidR="00452793" w:rsidRDefault="00452793" w:rsidP="00452793">
      <w:pPr>
        <w:jc w:val="both"/>
        <w:rPr>
          <w:sz w:val="24"/>
          <w:szCs w:val="24"/>
        </w:rPr>
      </w:pPr>
      <w:r>
        <w:rPr>
          <w:sz w:val="24"/>
          <w:szCs w:val="24"/>
          <w:lang w:val="pt-BR"/>
        </w:rPr>
        <w:t xml:space="preserve">MECMA pentru Petrotrans SA Ploiești prin Lichidator Rominsolv SPRL - </w:t>
      </w:r>
      <w:r>
        <w:rPr>
          <w:sz w:val="24"/>
          <w:szCs w:val="24"/>
        </w:rPr>
        <w:t>injured party</w:t>
      </w:r>
    </w:p>
    <w:p w:rsidR="00452793" w:rsidRDefault="00452793" w:rsidP="00452793">
      <w:pPr>
        <w:jc w:val="both"/>
        <w:rPr>
          <w:sz w:val="24"/>
          <w:szCs w:val="24"/>
          <w:lang w:val="pt-BR"/>
        </w:rPr>
      </w:pPr>
      <w:r>
        <w:rPr>
          <w:sz w:val="24"/>
          <w:szCs w:val="24"/>
          <w:lang w:val="pt-BR"/>
        </w:rPr>
        <w:t xml:space="preserve">OMV Petrom SA Asset 6 Muntenia Central - </w:t>
      </w:r>
      <w:r>
        <w:rPr>
          <w:sz w:val="24"/>
          <w:szCs w:val="24"/>
        </w:rPr>
        <w:t>injured party</w:t>
      </w:r>
      <w:r>
        <w:rPr>
          <w:sz w:val="24"/>
          <w:szCs w:val="24"/>
          <w:lang w:val="pt-BR"/>
        </w:rPr>
        <w:t xml:space="preserve">  </w:t>
      </w:r>
    </w:p>
    <w:p w:rsidR="00452793" w:rsidRDefault="00452793" w:rsidP="00452793">
      <w:pPr>
        <w:jc w:val="both"/>
        <w:rPr>
          <w:sz w:val="24"/>
          <w:szCs w:val="24"/>
          <w:lang w:val="pt-BR"/>
        </w:rPr>
      </w:pPr>
      <w:r>
        <w:rPr>
          <w:sz w:val="24"/>
          <w:szCs w:val="24"/>
          <w:lang w:val="pt-BR"/>
        </w:rPr>
        <w:t xml:space="preserve">            Primaria Bucșani - </w:t>
      </w:r>
      <w:r>
        <w:rPr>
          <w:sz w:val="24"/>
          <w:szCs w:val="24"/>
        </w:rPr>
        <w:t>injured party</w:t>
      </w:r>
      <w:r>
        <w:rPr>
          <w:sz w:val="24"/>
          <w:szCs w:val="24"/>
          <w:lang w:val="pt-BR"/>
        </w:rPr>
        <w:t xml:space="preserve"> </w:t>
      </w:r>
    </w:p>
    <w:p w:rsidR="00452793" w:rsidRDefault="00452793" w:rsidP="00452793">
      <w:pPr>
        <w:jc w:val="both"/>
        <w:rPr>
          <w:sz w:val="24"/>
          <w:szCs w:val="24"/>
          <w:lang w:val="pt-BR"/>
        </w:rPr>
      </w:pPr>
      <w:r>
        <w:rPr>
          <w:sz w:val="24"/>
          <w:szCs w:val="24"/>
          <w:lang w:val="pt-BR"/>
        </w:rPr>
        <w:t xml:space="preserve">Primaria Şotânga  - </w:t>
      </w:r>
      <w:r>
        <w:rPr>
          <w:sz w:val="24"/>
          <w:szCs w:val="24"/>
        </w:rPr>
        <w:t>injured party</w:t>
      </w:r>
      <w:r>
        <w:rPr>
          <w:sz w:val="24"/>
          <w:szCs w:val="24"/>
          <w:lang w:val="pt-BR"/>
        </w:rPr>
        <w:t xml:space="preserve">  </w:t>
      </w:r>
    </w:p>
    <w:p w:rsidR="00452793" w:rsidRDefault="00452793" w:rsidP="00452793">
      <w:pPr>
        <w:jc w:val="both"/>
        <w:rPr>
          <w:sz w:val="24"/>
          <w:szCs w:val="24"/>
          <w:lang w:val="pt-BR"/>
        </w:rPr>
      </w:pPr>
      <w:r>
        <w:rPr>
          <w:sz w:val="24"/>
          <w:szCs w:val="24"/>
          <w:lang w:val="pt-BR"/>
        </w:rPr>
        <w:t xml:space="preserve">Romtelecom S.A. - Divizia Operațiuni Sus Est – Centrul de Telecomunicații Dâmbovița  - </w:t>
      </w:r>
      <w:r>
        <w:rPr>
          <w:sz w:val="24"/>
          <w:szCs w:val="24"/>
        </w:rPr>
        <w:t>injured party</w:t>
      </w:r>
      <w:r>
        <w:rPr>
          <w:sz w:val="24"/>
          <w:szCs w:val="24"/>
          <w:lang w:val="pt-BR"/>
        </w:rPr>
        <w:t xml:space="preserve">   </w:t>
      </w:r>
    </w:p>
    <w:p w:rsidR="00452793" w:rsidRDefault="00452793" w:rsidP="00452793">
      <w:pPr>
        <w:jc w:val="both"/>
        <w:rPr>
          <w:sz w:val="24"/>
          <w:szCs w:val="24"/>
          <w:lang w:val="pt-BR"/>
        </w:rPr>
      </w:pPr>
    </w:p>
    <w:p w:rsidR="00452793" w:rsidRDefault="00452793" w:rsidP="00452793">
      <w:pPr>
        <w:jc w:val="both"/>
        <w:rPr>
          <w:sz w:val="24"/>
          <w:szCs w:val="24"/>
          <w:lang w:val="pt-BR"/>
        </w:rPr>
      </w:pPr>
      <w:r>
        <w:rPr>
          <w:b/>
          <w:sz w:val="24"/>
          <w:szCs w:val="24"/>
        </w:rPr>
        <w:t xml:space="preserve">Subject: Aggravated theft. </w:t>
      </w:r>
      <w:r>
        <w:rPr>
          <w:sz w:val="24"/>
          <w:szCs w:val="24"/>
          <w:lang w:val="pt-BR"/>
        </w:rPr>
        <w:t>Conpet</w:t>
      </w:r>
      <w:r>
        <w:rPr>
          <w:sz w:val="24"/>
          <w:szCs w:val="24"/>
        </w:rPr>
        <w:t xml:space="preserve"> </w:t>
      </w:r>
      <w:r>
        <w:rPr>
          <w:bCs/>
          <w:sz w:val="24"/>
          <w:szCs w:val="24"/>
        </w:rPr>
        <w:t xml:space="preserve">brought a civil action in court for the sum of </w:t>
      </w:r>
      <w:r>
        <w:rPr>
          <w:sz w:val="24"/>
          <w:szCs w:val="24"/>
          <w:lang w:val="pt-BR"/>
        </w:rPr>
        <w:t>2.083,20</w:t>
      </w:r>
      <w:r>
        <w:rPr>
          <w:sz w:val="24"/>
          <w:szCs w:val="24"/>
        </w:rPr>
        <w:t xml:space="preserve"> RON representing </w:t>
      </w:r>
      <w:r>
        <w:rPr>
          <w:bCs/>
          <w:sz w:val="24"/>
          <w:szCs w:val="24"/>
        </w:rPr>
        <w:t xml:space="preserve">consideration for </w:t>
      </w:r>
      <w:r>
        <w:rPr>
          <w:sz w:val="24"/>
          <w:szCs w:val="24"/>
          <w:lang w:val="pt-BR"/>
        </w:rPr>
        <w:t xml:space="preserve">350 m.l. </w:t>
      </w:r>
      <w:proofErr w:type="gramStart"/>
      <w:r>
        <w:rPr>
          <w:sz w:val="24"/>
          <w:szCs w:val="24"/>
        </w:rPr>
        <w:t>of</w:t>
      </w:r>
      <w:proofErr w:type="gramEnd"/>
      <w:r>
        <w:rPr>
          <w:sz w:val="24"/>
          <w:szCs w:val="24"/>
        </w:rPr>
        <w:t xml:space="preserve"> pipe lifted from</w:t>
      </w:r>
      <w:r>
        <w:rPr>
          <w:sz w:val="24"/>
          <w:szCs w:val="24"/>
          <w:lang w:val="pt-BR"/>
        </w:rPr>
        <w:t xml:space="preserve"> </w:t>
      </w:r>
      <w:r>
        <w:rPr>
          <w:sz w:val="24"/>
          <w:szCs w:val="24"/>
        </w:rPr>
        <w:t>the</w:t>
      </w:r>
      <w:r>
        <w:rPr>
          <w:sz w:val="24"/>
          <w:szCs w:val="24"/>
          <w:lang w:val="pt-BR"/>
        </w:rPr>
        <w:t>Ø 10" F2 Siliște – Ploiești</w:t>
      </w:r>
      <w:r>
        <w:rPr>
          <w:sz w:val="24"/>
          <w:szCs w:val="24"/>
        </w:rPr>
        <w:t xml:space="preserve"> pipe.</w:t>
      </w:r>
    </w:p>
    <w:p w:rsidR="00452793" w:rsidRDefault="00452793" w:rsidP="00452793">
      <w:pPr>
        <w:jc w:val="both"/>
        <w:rPr>
          <w:sz w:val="24"/>
          <w:szCs w:val="24"/>
        </w:rPr>
      </w:pPr>
      <w:r>
        <w:rPr>
          <w:b/>
          <w:bCs/>
          <w:sz w:val="24"/>
          <w:szCs w:val="24"/>
        </w:rPr>
        <w:t>Stage of the trial</w:t>
      </w:r>
      <w:r>
        <w:rPr>
          <w:sz w:val="24"/>
          <w:szCs w:val="24"/>
        </w:rPr>
        <w:t>: First instance</w:t>
      </w:r>
    </w:p>
    <w:p w:rsidR="00452793" w:rsidRDefault="00452793" w:rsidP="00452793">
      <w:pPr>
        <w:jc w:val="both"/>
        <w:rPr>
          <w:b/>
          <w:sz w:val="24"/>
          <w:szCs w:val="24"/>
          <w:lang w:val="it-IT"/>
        </w:rPr>
      </w:pPr>
      <w:r>
        <w:rPr>
          <w:sz w:val="24"/>
          <w:szCs w:val="24"/>
        </w:rPr>
        <w:t xml:space="preserve"> </w:t>
      </w:r>
      <w:r>
        <w:rPr>
          <w:b/>
          <w:bCs/>
          <w:sz w:val="24"/>
          <w:szCs w:val="24"/>
        </w:rPr>
        <w:t>Hearing</w:t>
      </w:r>
      <w:r>
        <w:rPr>
          <w:sz w:val="24"/>
          <w:szCs w:val="24"/>
        </w:rPr>
        <w:t xml:space="preserve">: </w:t>
      </w:r>
      <w:proofErr w:type="gramStart"/>
      <w:r>
        <w:rPr>
          <w:sz w:val="24"/>
          <w:szCs w:val="24"/>
        </w:rPr>
        <w:t>12</w:t>
      </w:r>
      <w:r>
        <w:rPr>
          <w:sz w:val="24"/>
          <w:szCs w:val="24"/>
          <w:vertAlign w:val="superscript"/>
        </w:rPr>
        <w:t>th</w:t>
      </w:r>
      <w:proofErr w:type="gramEnd"/>
      <w:r>
        <w:rPr>
          <w:sz w:val="24"/>
          <w:szCs w:val="24"/>
        </w:rPr>
        <w:t xml:space="preserve"> Sept 2018</w:t>
      </w:r>
    </w:p>
    <w:p w:rsidR="00452793" w:rsidRDefault="00452793" w:rsidP="00452793">
      <w:pPr>
        <w:jc w:val="both"/>
        <w:rPr>
          <w:b/>
          <w:sz w:val="24"/>
          <w:szCs w:val="24"/>
          <w:lang w:val="it-IT"/>
        </w:rPr>
      </w:pPr>
    </w:p>
    <w:p w:rsidR="00452793" w:rsidRDefault="00452793" w:rsidP="00452793">
      <w:pPr>
        <w:jc w:val="both"/>
        <w:rPr>
          <w:b/>
          <w:sz w:val="24"/>
          <w:szCs w:val="24"/>
          <w:lang w:val="pt-BR"/>
        </w:rPr>
      </w:pPr>
      <w:r>
        <w:rPr>
          <w:b/>
          <w:sz w:val="24"/>
          <w:szCs w:val="24"/>
        </w:rPr>
        <w:t xml:space="preserve">11. File </w:t>
      </w:r>
      <w:r>
        <w:rPr>
          <w:b/>
          <w:sz w:val="24"/>
          <w:szCs w:val="24"/>
          <w:lang w:val="pt-BR"/>
        </w:rPr>
        <w:t>n</w:t>
      </w:r>
      <w:r>
        <w:rPr>
          <w:b/>
          <w:sz w:val="24"/>
          <w:szCs w:val="24"/>
        </w:rPr>
        <w:t>o</w:t>
      </w:r>
      <w:r>
        <w:rPr>
          <w:b/>
          <w:sz w:val="24"/>
          <w:szCs w:val="24"/>
          <w:lang w:val="pt-BR"/>
        </w:rPr>
        <w:t xml:space="preserve">. </w:t>
      </w:r>
      <w:r>
        <w:rPr>
          <w:b/>
          <w:sz w:val="24"/>
          <w:szCs w:val="24"/>
        </w:rPr>
        <w:t xml:space="preserve">1510/262/2014 </w:t>
      </w:r>
      <w:r>
        <w:rPr>
          <w:b/>
          <w:sz w:val="24"/>
          <w:szCs w:val="24"/>
          <w:lang w:val="pt-BR"/>
        </w:rPr>
        <w:t>–</w:t>
      </w:r>
      <w:r>
        <w:rPr>
          <w:b/>
          <w:sz w:val="24"/>
          <w:szCs w:val="24"/>
        </w:rPr>
        <w:t xml:space="preserve"> Moreni 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plaintiff</w:t>
      </w:r>
    </w:p>
    <w:p w:rsidR="00452793" w:rsidRDefault="00452793" w:rsidP="00452793">
      <w:pPr>
        <w:jc w:val="both"/>
        <w:rPr>
          <w:sz w:val="24"/>
          <w:szCs w:val="24"/>
        </w:rPr>
      </w:pPr>
      <w:r>
        <w:rPr>
          <w:sz w:val="24"/>
          <w:szCs w:val="24"/>
        </w:rPr>
        <w:t>Pîrvu Gheorghe – defendant</w:t>
      </w:r>
    </w:p>
    <w:p w:rsidR="00452793" w:rsidRDefault="00452793" w:rsidP="00452793">
      <w:pPr>
        <w:jc w:val="both"/>
        <w:rPr>
          <w:sz w:val="24"/>
          <w:szCs w:val="24"/>
        </w:rPr>
      </w:pPr>
      <w:r>
        <w:rPr>
          <w:sz w:val="24"/>
          <w:szCs w:val="24"/>
        </w:rPr>
        <w:t xml:space="preserve">          Pîrvu Nicolae - defendant</w:t>
      </w:r>
    </w:p>
    <w:p w:rsidR="00452793" w:rsidRDefault="00452793" w:rsidP="00452793">
      <w:pPr>
        <w:jc w:val="both"/>
        <w:rPr>
          <w:sz w:val="24"/>
          <w:szCs w:val="24"/>
        </w:rPr>
      </w:pPr>
      <w:r>
        <w:rPr>
          <w:sz w:val="24"/>
          <w:szCs w:val="24"/>
        </w:rPr>
        <w:t xml:space="preserve">          Grigorescu Gabriel - defendant</w:t>
      </w:r>
    </w:p>
    <w:p w:rsidR="00452793" w:rsidRDefault="00452793" w:rsidP="00452793">
      <w:pPr>
        <w:jc w:val="both"/>
        <w:rPr>
          <w:sz w:val="24"/>
          <w:szCs w:val="24"/>
        </w:rPr>
      </w:pPr>
      <w:r>
        <w:rPr>
          <w:sz w:val="24"/>
          <w:szCs w:val="24"/>
        </w:rPr>
        <w:t xml:space="preserve">          Zlăteanu Dragoș Marian - defendant</w:t>
      </w:r>
    </w:p>
    <w:p w:rsidR="00452793" w:rsidRDefault="00452793" w:rsidP="00452793">
      <w:pPr>
        <w:jc w:val="both"/>
        <w:rPr>
          <w:sz w:val="24"/>
          <w:szCs w:val="24"/>
        </w:rPr>
      </w:pPr>
      <w:r>
        <w:rPr>
          <w:sz w:val="24"/>
          <w:szCs w:val="24"/>
        </w:rPr>
        <w:t xml:space="preserve">          Comuna Dărmănești, represented legally by the Mayor of Dărmănești Comune - defendant</w:t>
      </w:r>
    </w:p>
    <w:p w:rsidR="00452793" w:rsidRDefault="00452793" w:rsidP="00452793">
      <w:pPr>
        <w:jc w:val="both"/>
        <w:rPr>
          <w:sz w:val="24"/>
          <w:szCs w:val="24"/>
        </w:rPr>
      </w:pPr>
      <w:r>
        <w:rPr>
          <w:sz w:val="24"/>
          <w:szCs w:val="24"/>
        </w:rPr>
        <w:t xml:space="preserve">          SC Nimb Dâmbovița SA –defendant</w:t>
      </w:r>
    </w:p>
    <w:p w:rsidR="00452793" w:rsidRDefault="00452793" w:rsidP="00452793">
      <w:pPr>
        <w:jc w:val="both"/>
        <w:rPr>
          <w:sz w:val="24"/>
          <w:szCs w:val="24"/>
          <w:lang w:val="pt-BR"/>
        </w:rPr>
      </w:pPr>
    </w:p>
    <w:p w:rsidR="00452793" w:rsidRDefault="00452793" w:rsidP="00452793">
      <w:pPr>
        <w:jc w:val="both"/>
        <w:rPr>
          <w:sz w:val="24"/>
          <w:szCs w:val="24"/>
        </w:rPr>
      </w:pPr>
      <w:proofErr w:type="gramStart"/>
      <w:r>
        <w:rPr>
          <w:b/>
          <w:sz w:val="24"/>
          <w:szCs w:val="24"/>
        </w:rPr>
        <w:t xml:space="preserve">Subject: </w:t>
      </w:r>
      <w:r>
        <w:rPr>
          <w:sz w:val="24"/>
          <w:szCs w:val="24"/>
          <w:lang w:val="pt-BR"/>
        </w:rPr>
        <w:t>Conpet</w:t>
      </w:r>
      <w:r>
        <w:rPr>
          <w:sz w:val="24"/>
          <w:szCs w:val="24"/>
        </w:rPr>
        <w:t xml:space="preserve"> </w:t>
      </w:r>
      <w:r>
        <w:rPr>
          <w:bCs/>
          <w:sz w:val="24"/>
          <w:szCs w:val="24"/>
        </w:rPr>
        <w:t xml:space="preserve">filed for a trial claiming to the court an order that the defendants jointly pay Conpet a sum of for the sum of </w:t>
      </w:r>
      <w:r>
        <w:rPr>
          <w:sz w:val="24"/>
          <w:szCs w:val="24"/>
        </w:rPr>
        <w:t xml:space="preserve">34.944,18 RON as civil </w:t>
      </w:r>
      <w:r>
        <w:rPr>
          <w:bCs/>
          <w:sz w:val="24"/>
          <w:szCs w:val="24"/>
        </w:rPr>
        <w:t xml:space="preserve">compensation </w:t>
      </w:r>
      <w:r>
        <w:rPr>
          <w:sz w:val="24"/>
          <w:szCs w:val="24"/>
        </w:rPr>
        <w:t>representing consideration for remedial works on the pipe and optic fiber Link 14, distroyed on 03</w:t>
      </w:r>
      <w:r>
        <w:rPr>
          <w:sz w:val="24"/>
          <w:szCs w:val="24"/>
          <w:vertAlign w:val="superscript"/>
        </w:rPr>
        <w:t>rd</w:t>
      </w:r>
      <w:r>
        <w:rPr>
          <w:sz w:val="24"/>
          <w:szCs w:val="24"/>
        </w:rPr>
        <w:t xml:space="preserve"> June 2011, across Darmanesti comune, Dambovita county, necessary works for getting them into the initial state, from before the facts took place, which is in a functioning state, adding the legal interest from the date of the definitive sentence up to the actual payment; trial expenses.</w:t>
      </w:r>
      <w:proofErr w:type="gramEnd"/>
    </w:p>
    <w:p w:rsidR="00452793" w:rsidRDefault="00452793" w:rsidP="00452793">
      <w:pPr>
        <w:jc w:val="both"/>
        <w:rPr>
          <w:sz w:val="24"/>
          <w:szCs w:val="24"/>
        </w:rPr>
      </w:pPr>
      <w:r>
        <w:rPr>
          <w:b/>
          <w:bCs/>
          <w:sz w:val="24"/>
          <w:szCs w:val="24"/>
        </w:rPr>
        <w:t>Clarifications</w:t>
      </w:r>
      <w:r>
        <w:rPr>
          <w:sz w:val="24"/>
          <w:szCs w:val="24"/>
        </w:rPr>
        <w:t xml:space="preserve">: By the conclusion from </w:t>
      </w:r>
      <w:proofErr w:type="gramStart"/>
      <w:r>
        <w:rPr>
          <w:sz w:val="24"/>
          <w:szCs w:val="24"/>
        </w:rPr>
        <w:t>the 08</w:t>
      </w:r>
      <w:r>
        <w:rPr>
          <w:sz w:val="24"/>
          <w:szCs w:val="24"/>
          <w:vertAlign w:val="superscript"/>
        </w:rPr>
        <w:t>th</w:t>
      </w:r>
      <w:proofErr w:type="gramEnd"/>
      <w:r>
        <w:rPr>
          <w:sz w:val="24"/>
          <w:szCs w:val="24"/>
        </w:rPr>
        <w:t xml:space="preserve"> Jan 2015, Moreni Court suspends the trial for this case regarding the defendant SC Nimb Dambovita SA. It separates the case regarding the rest of the defendants and opening a new </w:t>
      </w:r>
      <w:proofErr w:type="gramStart"/>
      <w:r>
        <w:rPr>
          <w:sz w:val="24"/>
          <w:szCs w:val="24"/>
        </w:rPr>
        <w:t>file(</w:t>
      </w:r>
      <w:proofErr w:type="gramEnd"/>
      <w:r>
        <w:rPr>
          <w:sz w:val="24"/>
          <w:szCs w:val="24"/>
        </w:rPr>
        <w:t>184/262/2015).</w:t>
      </w:r>
    </w:p>
    <w:p w:rsidR="00452793" w:rsidRDefault="00452793" w:rsidP="00452793">
      <w:pPr>
        <w:jc w:val="both"/>
        <w:rPr>
          <w:sz w:val="24"/>
          <w:szCs w:val="24"/>
        </w:rPr>
      </w:pPr>
      <w:r>
        <w:rPr>
          <w:b/>
          <w:bCs/>
          <w:sz w:val="24"/>
          <w:szCs w:val="24"/>
        </w:rPr>
        <w:t>Stage of the trial</w:t>
      </w:r>
      <w:r>
        <w:rPr>
          <w:sz w:val="24"/>
          <w:szCs w:val="24"/>
        </w:rPr>
        <w:t>: First instance- suspended</w:t>
      </w:r>
    </w:p>
    <w:p w:rsidR="00452793" w:rsidRDefault="00452793" w:rsidP="00452793">
      <w:pPr>
        <w:jc w:val="both"/>
        <w:rPr>
          <w:b/>
          <w:sz w:val="24"/>
          <w:szCs w:val="24"/>
          <w:lang w:val="it-IT"/>
        </w:rPr>
      </w:pPr>
      <w:r>
        <w:rPr>
          <w:sz w:val="24"/>
          <w:szCs w:val="24"/>
        </w:rPr>
        <w:t xml:space="preserve"> </w:t>
      </w:r>
      <w:r>
        <w:rPr>
          <w:b/>
          <w:bCs/>
          <w:sz w:val="24"/>
          <w:szCs w:val="24"/>
        </w:rPr>
        <w:t>Hearing</w:t>
      </w:r>
      <w:r>
        <w:rPr>
          <w:sz w:val="24"/>
          <w:szCs w:val="24"/>
        </w:rPr>
        <w:t>: --</w:t>
      </w:r>
    </w:p>
    <w:p w:rsidR="00452793" w:rsidRDefault="00452793" w:rsidP="00452793">
      <w:pPr>
        <w:jc w:val="both"/>
        <w:rPr>
          <w:b/>
          <w:sz w:val="24"/>
          <w:szCs w:val="24"/>
          <w:lang w:val="it-IT"/>
        </w:rPr>
      </w:pPr>
    </w:p>
    <w:p w:rsidR="00452793" w:rsidRDefault="00452793" w:rsidP="00452793">
      <w:pPr>
        <w:jc w:val="both"/>
        <w:rPr>
          <w:b/>
          <w:sz w:val="24"/>
          <w:szCs w:val="24"/>
        </w:rPr>
      </w:pPr>
    </w:p>
    <w:p w:rsidR="00452793" w:rsidRDefault="00452793" w:rsidP="00452793">
      <w:pPr>
        <w:jc w:val="both"/>
        <w:rPr>
          <w:b/>
          <w:sz w:val="24"/>
          <w:szCs w:val="24"/>
          <w:lang w:val="pt-BR"/>
        </w:rPr>
      </w:pPr>
      <w:r>
        <w:rPr>
          <w:b/>
          <w:sz w:val="24"/>
          <w:szCs w:val="24"/>
          <w:lang w:val="ro-RO"/>
        </w:rPr>
        <w:t xml:space="preserve">12. </w:t>
      </w:r>
      <w:r>
        <w:rPr>
          <w:b/>
          <w:sz w:val="24"/>
          <w:szCs w:val="24"/>
        </w:rPr>
        <w:t xml:space="preserve">File </w:t>
      </w:r>
      <w:r>
        <w:rPr>
          <w:b/>
          <w:sz w:val="24"/>
          <w:szCs w:val="24"/>
          <w:lang w:val="pt-BR"/>
        </w:rPr>
        <w:t>n</w:t>
      </w:r>
      <w:r>
        <w:rPr>
          <w:b/>
          <w:sz w:val="24"/>
          <w:szCs w:val="24"/>
        </w:rPr>
        <w:t>o</w:t>
      </w:r>
      <w:r>
        <w:rPr>
          <w:b/>
          <w:sz w:val="24"/>
          <w:szCs w:val="24"/>
          <w:lang w:val="pt-BR"/>
        </w:rPr>
        <w:t xml:space="preserve">. </w:t>
      </w:r>
      <w:r>
        <w:rPr>
          <w:b/>
          <w:sz w:val="24"/>
          <w:szCs w:val="24"/>
          <w:lang w:val="it-IT"/>
        </w:rPr>
        <w:t>2803/120/2013</w:t>
      </w:r>
      <w:r>
        <w:rPr>
          <w:b/>
          <w:sz w:val="24"/>
          <w:szCs w:val="24"/>
        </w:rPr>
        <w:t xml:space="preserve"> </w:t>
      </w:r>
      <w:r>
        <w:rPr>
          <w:b/>
          <w:sz w:val="24"/>
          <w:szCs w:val="24"/>
          <w:lang w:val="pt-BR"/>
        </w:rPr>
        <w:t>–</w:t>
      </w:r>
      <w:r>
        <w:rPr>
          <w:b/>
          <w:sz w:val="24"/>
          <w:szCs w:val="24"/>
        </w:rPr>
        <w:t xml:space="preserve"> </w:t>
      </w:r>
      <w:r>
        <w:rPr>
          <w:b/>
          <w:sz w:val="24"/>
          <w:szCs w:val="24"/>
          <w:lang w:val="it-IT"/>
        </w:rPr>
        <w:t xml:space="preserve">Dambovita </w:t>
      </w:r>
      <w:r>
        <w:rPr>
          <w:b/>
          <w:sz w:val="24"/>
          <w:szCs w:val="24"/>
        </w:rPr>
        <w:t>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creditor</w:t>
      </w:r>
    </w:p>
    <w:p w:rsidR="00452793" w:rsidRDefault="00452793" w:rsidP="00452793">
      <w:pPr>
        <w:jc w:val="both"/>
        <w:rPr>
          <w:sz w:val="24"/>
          <w:szCs w:val="24"/>
          <w:lang w:val="pt-BR"/>
        </w:rPr>
      </w:pPr>
      <w:r>
        <w:rPr>
          <w:sz w:val="24"/>
          <w:szCs w:val="24"/>
        </w:rPr>
        <w:t>Tobias SRL –</w:t>
      </w:r>
      <w:r>
        <w:rPr>
          <w:sz w:val="24"/>
          <w:szCs w:val="24"/>
          <w:lang w:val="pt-BR"/>
        </w:rPr>
        <w:t xml:space="preserve"> debtor</w:t>
      </w:r>
    </w:p>
    <w:p w:rsidR="00452793" w:rsidRDefault="00452793" w:rsidP="00452793">
      <w:pPr>
        <w:jc w:val="both"/>
        <w:rPr>
          <w:sz w:val="24"/>
          <w:szCs w:val="24"/>
        </w:rPr>
      </w:pPr>
      <w:r>
        <w:rPr>
          <w:b/>
          <w:sz w:val="24"/>
          <w:szCs w:val="24"/>
        </w:rPr>
        <w:t>Subject</w:t>
      </w:r>
      <w:r>
        <w:rPr>
          <w:b/>
          <w:sz w:val="24"/>
          <w:szCs w:val="24"/>
          <w:lang w:val="pt-BR"/>
        </w:rPr>
        <w:t>:</w:t>
      </w:r>
      <w:r>
        <w:rPr>
          <w:b/>
          <w:sz w:val="24"/>
          <w:szCs w:val="24"/>
        </w:rPr>
        <w:t xml:space="preserve"> Bankruptcy. </w:t>
      </w:r>
      <w:r>
        <w:rPr>
          <w:bCs/>
          <w:sz w:val="24"/>
          <w:szCs w:val="24"/>
        </w:rPr>
        <w:t xml:space="preserve">Conpet SA demanded registration in the statement of affairs of </w:t>
      </w:r>
      <w:r>
        <w:rPr>
          <w:bCs/>
          <w:sz w:val="24"/>
          <w:szCs w:val="24"/>
        </w:rPr>
        <w:lastRenderedPageBreak/>
        <w:t xml:space="preserve">the debtor with the sum of 663 RON representing consideration for 230kg aluminium (575 RON) and 110 kg scrap metal (88 RON), delivered to Tobias SRL on 06.04.2013, following the waste sales-purchase agreement no. </w:t>
      </w:r>
      <w:r>
        <w:rPr>
          <w:sz w:val="24"/>
          <w:szCs w:val="24"/>
        </w:rPr>
        <w:t>2013/ADM/15.02.2013 between Conpet and Tobias.</w:t>
      </w:r>
    </w:p>
    <w:p w:rsidR="00452793" w:rsidRDefault="00452793" w:rsidP="00452793">
      <w:pPr>
        <w:jc w:val="both"/>
        <w:rPr>
          <w:sz w:val="24"/>
          <w:szCs w:val="24"/>
        </w:rPr>
      </w:pPr>
      <w:r>
        <w:rPr>
          <w:sz w:val="24"/>
          <w:szCs w:val="24"/>
        </w:rPr>
        <w:t xml:space="preserve">Conpet’s demand was partly admitted by the judicial administrator, this meaning that our company was registered in the </w:t>
      </w:r>
      <w:r>
        <w:rPr>
          <w:bCs/>
          <w:sz w:val="24"/>
          <w:szCs w:val="24"/>
        </w:rPr>
        <w:t xml:space="preserve">debt table with a debt of </w:t>
      </w:r>
      <w:r>
        <w:rPr>
          <w:sz w:val="24"/>
          <w:szCs w:val="24"/>
        </w:rPr>
        <w:t>643</w:t>
      </w:r>
      <w:proofErr w:type="gramStart"/>
      <w:r>
        <w:rPr>
          <w:sz w:val="24"/>
          <w:szCs w:val="24"/>
        </w:rPr>
        <w:t>,11</w:t>
      </w:r>
      <w:proofErr w:type="gramEnd"/>
      <w:r>
        <w:rPr>
          <w:sz w:val="24"/>
          <w:szCs w:val="24"/>
        </w:rPr>
        <w:t xml:space="preserve"> RON, the difference of 19,89 RON representing 3% environment tax and being owed to the Environment Fund Administration.</w:t>
      </w:r>
    </w:p>
    <w:p w:rsidR="00452793" w:rsidRDefault="00452793" w:rsidP="00452793">
      <w:pPr>
        <w:jc w:val="both"/>
        <w:rPr>
          <w:sz w:val="24"/>
          <w:szCs w:val="24"/>
        </w:rPr>
      </w:pPr>
      <w:r>
        <w:rPr>
          <w:b/>
          <w:bCs/>
          <w:sz w:val="24"/>
          <w:szCs w:val="24"/>
        </w:rPr>
        <w:t>Stage of the trial</w:t>
      </w:r>
      <w:r>
        <w:rPr>
          <w:sz w:val="24"/>
          <w:szCs w:val="24"/>
        </w:rPr>
        <w:t>: First instance</w:t>
      </w:r>
    </w:p>
    <w:p w:rsidR="00452793" w:rsidRDefault="00452793" w:rsidP="00452793">
      <w:pPr>
        <w:jc w:val="both"/>
        <w:rPr>
          <w:b/>
          <w:bCs/>
          <w:sz w:val="24"/>
          <w:szCs w:val="24"/>
        </w:rPr>
      </w:pPr>
      <w:r>
        <w:rPr>
          <w:sz w:val="24"/>
          <w:szCs w:val="24"/>
        </w:rPr>
        <w:t xml:space="preserve"> </w:t>
      </w:r>
      <w:r>
        <w:rPr>
          <w:b/>
          <w:bCs/>
          <w:sz w:val="24"/>
          <w:szCs w:val="24"/>
        </w:rPr>
        <w:t>Hearing</w:t>
      </w:r>
      <w:r>
        <w:rPr>
          <w:sz w:val="24"/>
          <w:szCs w:val="24"/>
        </w:rPr>
        <w:t xml:space="preserve">: </w:t>
      </w:r>
      <w:proofErr w:type="gramStart"/>
      <w:r>
        <w:rPr>
          <w:sz w:val="24"/>
          <w:szCs w:val="24"/>
        </w:rPr>
        <w:t>06</w:t>
      </w:r>
      <w:r>
        <w:rPr>
          <w:sz w:val="24"/>
          <w:szCs w:val="24"/>
          <w:vertAlign w:val="superscript"/>
        </w:rPr>
        <w:t>th</w:t>
      </w:r>
      <w:proofErr w:type="gramEnd"/>
      <w:r>
        <w:rPr>
          <w:sz w:val="24"/>
          <w:szCs w:val="24"/>
        </w:rPr>
        <w:t xml:space="preserve"> Sept 2018</w:t>
      </w:r>
    </w:p>
    <w:p w:rsidR="00452793" w:rsidRDefault="00452793" w:rsidP="00452793">
      <w:pPr>
        <w:jc w:val="both"/>
        <w:rPr>
          <w:sz w:val="24"/>
          <w:szCs w:val="24"/>
        </w:rPr>
      </w:pPr>
    </w:p>
    <w:p w:rsidR="00452793" w:rsidRDefault="00452793" w:rsidP="00452793">
      <w:pPr>
        <w:jc w:val="both"/>
        <w:rPr>
          <w:sz w:val="24"/>
          <w:szCs w:val="24"/>
          <w:lang w:val="it-IT"/>
        </w:rPr>
      </w:pPr>
    </w:p>
    <w:p w:rsidR="00452793" w:rsidRDefault="00452793" w:rsidP="00452793">
      <w:pPr>
        <w:jc w:val="both"/>
        <w:rPr>
          <w:b/>
          <w:sz w:val="24"/>
          <w:szCs w:val="24"/>
          <w:lang w:val="pt-BR"/>
        </w:rPr>
      </w:pPr>
      <w:r>
        <w:rPr>
          <w:b/>
          <w:sz w:val="24"/>
          <w:szCs w:val="24"/>
          <w:lang w:val="it-IT"/>
        </w:rPr>
        <w:t xml:space="preserve">13. </w:t>
      </w:r>
      <w:r>
        <w:rPr>
          <w:b/>
          <w:sz w:val="24"/>
          <w:szCs w:val="24"/>
        </w:rPr>
        <w:t xml:space="preserve">File </w:t>
      </w:r>
      <w:r>
        <w:rPr>
          <w:b/>
          <w:sz w:val="24"/>
          <w:szCs w:val="24"/>
          <w:lang w:val="pt-BR"/>
        </w:rPr>
        <w:t>n</w:t>
      </w:r>
      <w:r>
        <w:rPr>
          <w:b/>
          <w:sz w:val="24"/>
          <w:szCs w:val="24"/>
        </w:rPr>
        <w:t>o</w:t>
      </w:r>
      <w:r>
        <w:rPr>
          <w:b/>
          <w:sz w:val="24"/>
          <w:szCs w:val="24"/>
          <w:lang w:val="pt-BR"/>
        </w:rPr>
        <w:t xml:space="preserve">. </w:t>
      </w:r>
      <w:r>
        <w:rPr>
          <w:b/>
          <w:sz w:val="24"/>
          <w:szCs w:val="24"/>
        </w:rPr>
        <w:t xml:space="preserve">717/105/2015 </w:t>
      </w:r>
      <w:r>
        <w:rPr>
          <w:b/>
          <w:sz w:val="24"/>
          <w:szCs w:val="24"/>
          <w:lang w:val="pt-BR"/>
        </w:rPr>
        <w:t>–</w:t>
      </w:r>
      <w:r>
        <w:rPr>
          <w:b/>
          <w:sz w:val="24"/>
          <w:szCs w:val="24"/>
        </w:rPr>
        <w:t xml:space="preserve"> Prahova 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creditor</w:t>
      </w:r>
    </w:p>
    <w:p w:rsidR="00452793" w:rsidRDefault="00452793" w:rsidP="00452793">
      <w:pPr>
        <w:jc w:val="both"/>
        <w:rPr>
          <w:sz w:val="24"/>
          <w:szCs w:val="24"/>
          <w:lang w:val="pt-BR"/>
        </w:rPr>
      </w:pPr>
      <w:r>
        <w:rPr>
          <w:sz w:val="24"/>
          <w:szCs w:val="24"/>
        </w:rPr>
        <w:t>Fotbal Club Petrolul Ploiești SA –</w:t>
      </w:r>
      <w:r>
        <w:rPr>
          <w:sz w:val="24"/>
          <w:szCs w:val="24"/>
          <w:lang w:val="pt-BR"/>
        </w:rPr>
        <w:t xml:space="preserve"> debtor</w:t>
      </w:r>
    </w:p>
    <w:p w:rsidR="00452793" w:rsidRDefault="00452793" w:rsidP="00452793">
      <w:pPr>
        <w:jc w:val="both"/>
        <w:rPr>
          <w:bCs/>
          <w:sz w:val="24"/>
          <w:szCs w:val="24"/>
        </w:rPr>
      </w:pPr>
      <w:r>
        <w:rPr>
          <w:b/>
          <w:sz w:val="24"/>
          <w:szCs w:val="24"/>
        </w:rPr>
        <w:t>Subject</w:t>
      </w:r>
      <w:r>
        <w:rPr>
          <w:b/>
          <w:sz w:val="24"/>
          <w:szCs w:val="24"/>
          <w:lang w:val="pt-BR"/>
        </w:rPr>
        <w:t>:</w:t>
      </w:r>
      <w:r>
        <w:rPr>
          <w:b/>
          <w:sz w:val="24"/>
          <w:szCs w:val="24"/>
        </w:rPr>
        <w:t xml:space="preserve"> Bankruptcy. </w:t>
      </w:r>
      <w:r>
        <w:rPr>
          <w:bCs/>
          <w:sz w:val="24"/>
          <w:szCs w:val="24"/>
        </w:rPr>
        <w:t xml:space="preserve">Conpet issued a Statement of claim by which it demanded registration in the statement of affairs of the debtor </w:t>
      </w:r>
      <w:r>
        <w:rPr>
          <w:sz w:val="24"/>
          <w:szCs w:val="24"/>
        </w:rPr>
        <w:t xml:space="preserve">Fotbal Club Petrolul Ploiești SA </w:t>
      </w:r>
      <w:r>
        <w:rPr>
          <w:bCs/>
          <w:sz w:val="24"/>
          <w:szCs w:val="24"/>
        </w:rPr>
        <w:t xml:space="preserve">with the sum of </w:t>
      </w:r>
      <w:r>
        <w:rPr>
          <w:sz w:val="24"/>
          <w:szCs w:val="24"/>
        </w:rPr>
        <w:t xml:space="preserve">14.465,33 </w:t>
      </w:r>
      <w:r>
        <w:rPr>
          <w:bCs/>
          <w:sz w:val="24"/>
          <w:szCs w:val="24"/>
        </w:rPr>
        <w:t>RON.</w:t>
      </w:r>
    </w:p>
    <w:p w:rsidR="00452793" w:rsidRDefault="00452793" w:rsidP="00452793">
      <w:pPr>
        <w:jc w:val="both"/>
        <w:rPr>
          <w:bCs/>
          <w:sz w:val="24"/>
          <w:szCs w:val="24"/>
        </w:rPr>
      </w:pPr>
      <w:r>
        <w:rPr>
          <w:sz w:val="24"/>
          <w:szCs w:val="24"/>
        </w:rPr>
        <w:t xml:space="preserve">Conpet </w:t>
      </w:r>
      <w:proofErr w:type="gramStart"/>
      <w:r>
        <w:rPr>
          <w:sz w:val="24"/>
          <w:szCs w:val="24"/>
        </w:rPr>
        <w:t>was registered</w:t>
      </w:r>
      <w:proofErr w:type="gramEnd"/>
      <w:r>
        <w:rPr>
          <w:sz w:val="24"/>
          <w:szCs w:val="24"/>
        </w:rPr>
        <w:t xml:space="preserve"> in the </w:t>
      </w:r>
      <w:r>
        <w:rPr>
          <w:bCs/>
          <w:sz w:val="24"/>
          <w:szCs w:val="24"/>
        </w:rPr>
        <w:t>debt table of the debtor with the requested sum.</w:t>
      </w:r>
    </w:p>
    <w:p w:rsidR="00452793" w:rsidRDefault="00452793" w:rsidP="00452793">
      <w:pPr>
        <w:jc w:val="both"/>
        <w:rPr>
          <w:bCs/>
          <w:sz w:val="24"/>
          <w:szCs w:val="24"/>
        </w:rPr>
      </w:pPr>
      <w:r>
        <w:rPr>
          <w:bCs/>
          <w:sz w:val="24"/>
          <w:szCs w:val="24"/>
        </w:rPr>
        <w:t xml:space="preserve">Clarifications: By the sentence no. </w:t>
      </w:r>
      <w:proofErr w:type="gramStart"/>
      <w:r>
        <w:rPr>
          <w:sz w:val="24"/>
          <w:szCs w:val="24"/>
        </w:rPr>
        <w:t>821/22.06.2016</w:t>
      </w:r>
      <w:proofErr w:type="gramEnd"/>
      <w:r>
        <w:rPr>
          <w:sz w:val="24"/>
          <w:szCs w:val="24"/>
        </w:rPr>
        <w:t xml:space="preserve"> Prahova Court admits the judicial administrator’s claim. It approves the conclusions of the juducial administrator’s report. It orders the initiation of the general debtor bankruptcy procedure. It orders the dissolving of the </w:t>
      </w:r>
      <w:proofErr w:type="gramStart"/>
      <w:r>
        <w:rPr>
          <w:sz w:val="24"/>
          <w:szCs w:val="24"/>
        </w:rPr>
        <w:t>debtor company</w:t>
      </w:r>
      <w:proofErr w:type="gramEnd"/>
      <w:r>
        <w:rPr>
          <w:sz w:val="24"/>
          <w:szCs w:val="24"/>
        </w:rPr>
        <w:t xml:space="preserve"> and withdrawal of the administration right of the debtor. It orders sealing the debtor’s assets and fulfillment of all the other liquidation procedures.</w:t>
      </w:r>
    </w:p>
    <w:p w:rsidR="00452793" w:rsidRDefault="00452793" w:rsidP="00452793">
      <w:pPr>
        <w:jc w:val="both"/>
        <w:rPr>
          <w:sz w:val="24"/>
          <w:szCs w:val="24"/>
        </w:rPr>
      </w:pPr>
      <w:r>
        <w:rPr>
          <w:b/>
          <w:bCs/>
          <w:sz w:val="24"/>
          <w:szCs w:val="24"/>
        </w:rPr>
        <w:t>Stage of the trial</w:t>
      </w:r>
      <w:r>
        <w:rPr>
          <w:sz w:val="24"/>
          <w:szCs w:val="24"/>
        </w:rPr>
        <w:t>: First instance</w:t>
      </w:r>
    </w:p>
    <w:p w:rsidR="00452793" w:rsidRDefault="00452793" w:rsidP="00452793">
      <w:pPr>
        <w:jc w:val="both"/>
        <w:rPr>
          <w:sz w:val="24"/>
          <w:szCs w:val="24"/>
        </w:rPr>
      </w:pPr>
      <w:r>
        <w:rPr>
          <w:sz w:val="24"/>
          <w:szCs w:val="24"/>
        </w:rPr>
        <w:t xml:space="preserve"> </w:t>
      </w:r>
      <w:r>
        <w:rPr>
          <w:b/>
          <w:bCs/>
          <w:sz w:val="24"/>
          <w:szCs w:val="24"/>
        </w:rPr>
        <w:t>Hearing</w:t>
      </w:r>
      <w:r>
        <w:rPr>
          <w:sz w:val="24"/>
          <w:szCs w:val="24"/>
        </w:rPr>
        <w:t xml:space="preserve">: </w:t>
      </w:r>
      <w:proofErr w:type="gramStart"/>
      <w:r>
        <w:rPr>
          <w:sz w:val="24"/>
          <w:szCs w:val="24"/>
        </w:rPr>
        <w:t>12</w:t>
      </w:r>
      <w:r>
        <w:rPr>
          <w:sz w:val="24"/>
          <w:szCs w:val="24"/>
          <w:vertAlign w:val="superscript"/>
        </w:rPr>
        <w:t>th</w:t>
      </w:r>
      <w:proofErr w:type="gramEnd"/>
      <w:r>
        <w:rPr>
          <w:sz w:val="24"/>
          <w:szCs w:val="24"/>
        </w:rPr>
        <w:t xml:space="preserve"> Sept 2018</w:t>
      </w:r>
    </w:p>
    <w:p w:rsidR="00452793" w:rsidRDefault="00452793" w:rsidP="00452793">
      <w:pPr>
        <w:jc w:val="both"/>
        <w:rPr>
          <w:sz w:val="24"/>
          <w:szCs w:val="24"/>
        </w:rPr>
      </w:pPr>
      <w:r>
        <w:rPr>
          <w:sz w:val="24"/>
          <w:szCs w:val="24"/>
        </w:rPr>
        <w:t xml:space="preserve">             </w:t>
      </w:r>
    </w:p>
    <w:p w:rsidR="00452793" w:rsidRDefault="00452793" w:rsidP="00452793">
      <w:pPr>
        <w:jc w:val="both"/>
        <w:rPr>
          <w:sz w:val="24"/>
          <w:szCs w:val="24"/>
        </w:rPr>
      </w:pPr>
    </w:p>
    <w:p w:rsidR="00452793" w:rsidRDefault="00452793" w:rsidP="00452793">
      <w:pPr>
        <w:jc w:val="both"/>
        <w:rPr>
          <w:b/>
          <w:sz w:val="24"/>
          <w:szCs w:val="24"/>
          <w:lang w:val="pt-BR"/>
        </w:rPr>
      </w:pPr>
      <w:r>
        <w:rPr>
          <w:b/>
          <w:sz w:val="24"/>
          <w:szCs w:val="24"/>
        </w:rPr>
        <w:t xml:space="preserve">14. File </w:t>
      </w:r>
      <w:r>
        <w:rPr>
          <w:b/>
          <w:sz w:val="24"/>
          <w:szCs w:val="24"/>
          <w:lang w:val="pt-BR"/>
        </w:rPr>
        <w:t>n</w:t>
      </w:r>
      <w:r>
        <w:rPr>
          <w:b/>
          <w:sz w:val="24"/>
          <w:szCs w:val="24"/>
        </w:rPr>
        <w:t>o</w:t>
      </w:r>
      <w:r>
        <w:rPr>
          <w:b/>
          <w:sz w:val="24"/>
          <w:szCs w:val="24"/>
          <w:lang w:val="pt-BR"/>
        </w:rPr>
        <w:t xml:space="preserve">. </w:t>
      </w:r>
      <w:r>
        <w:rPr>
          <w:b/>
          <w:sz w:val="24"/>
          <w:szCs w:val="24"/>
        </w:rPr>
        <w:t xml:space="preserve">13386/3/2015 </w:t>
      </w:r>
      <w:r>
        <w:rPr>
          <w:b/>
          <w:sz w:val="24"/>
          <w:szCs w:val="24"/>
          <w:lang w:val="pt-BR"/>
        </w:rPr>
        <w:t>–</w:t>
      </w:r>
      <w:r>
        <w:rPr>
          <w:b/>
          <w:sz w:val="24"/>
          <w:szCs w:val="24"/>
        </w:rPr>
        <w:t xml:space="preserve"> Bucharest 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creditor</w:t>
      </w:r>
    </w:p>
    <w:p w:rsidR="00452793" w:rsidRDefault="00452793" w:rsidP="00452793">
      <w:pPr>
        <w:jc w:val="both"/>
        <w:rPr>
          <w:sz w:val="24"/>
          <w:szCs w:val="24"/>
          <w:lang w:val="pt-BR"/>
        </w:rPr>
      </w:pPr>
      <w:r>
        <w:rPr>
          <w:sz w:val="24"/>
          <w:szCs w:val="24"/>
        </w:rPr>
        <w:t>Perfect Metal SRL –</w:t>
      </w:r>
      <w:r>
        <w:rPr>
          <w:sz w:val="24"/>
          <w:szCs w:val="24"/>
          <w:lang w:val="pt-BR"/>
        </w:rPr>
        <w:t xml:space="preserve"> debtor</w:t>
      </w:r>
    </w:p>
    <w:p w:rsidR="00452793" w:rsidRDefault="00452793" w:rsidP="00452793">
      <w:pPr>
        <w:jc w:val="both"/>
        <w:rPr>
          <w:bCs/>
          <w:sz w:val="24"/>
          <w:szCs w:val="24"/>
        </w:rPr>
      </w:pPr>
      <w:r>
        <w:rPr>
          <w:b/>
          <w:sz w:val="24"/>
          <w:szCs w:val="24"/>
        </w:rPr>
        <w:t>Subject</w:t>
      </w:r>
      <w:r>
        <w:rPr>
          <w:b/>
          <w:sz w:val="24"/>
          <w:szCs w:val="24"/>
          <w:lang w:val="pt-BR"/>
        </w:rPr>
        <w:t>:</w:t>
      </w:r>
      <w:r>
        <w:rPr>
          <w:b/>
          <w:sz w:val="24"/>
          <w:szCs w:val="24"/>
        </w:rPr>
        <w:t xml:space="preserve"> Bankruptcy. </w:t>
      </w:r>
      <w:r>
        <w:rPr>
          <w:bCs/>
          <w:sz w:val="24"/>
          <w:szCs w:val="24"/>
        </w:rPr>
        <w:t xml:space="preserve">Conpet demanded registration in the statement of affairs of the debtor with the sum of </w:t>
      </w:r>
      <w:r>
        <w:rPr>
          <w:sz w:val="24"/>
          <w:szCs w:val="24"/>
        </w:rPr>
        <w:t xml:space="preserve">221.189,85 </w:t>
      </w:r>
      <w:r>
        <w:rPr>
          <w:bCs/>
          <w:sz w:val="24"/>
          <w:szCs w:val="24"/>
        </w:rPr>
        <w:t xml:space="preserve">RON representing delay penalties, compensations, interests and trial expenses.  </w:t>
      </w:r>
    </w:p>
    <w:p w:rsidR="00452793" w:rsidRDefault="00452793" w:rsidP="00452793">
      <w:pPr>
        <w:jc w:val="both"/>
        <w:rPr>
          <w:bCs/>
          <w:sz w:val="24"/>
          <w:szCs w:val="24"/>
        </w:rPr>
      </w:pPr>
      <w:r>
        <w:rPr>
          <w:sz w:val="24"/>
          <w:szCs w:val="24"/>
        </w:rPr>
        <w:t xml:space="preserve">The claim was admitted but Conpet was registered in the </w:t>
      </w:r>
      <w:r>
        <w:rPr>
          <w:bCs/>
          <w:sz w:val="24"/>
          <w:szCs w:val="24"/>
        </w:rPr>
        <w:t xml:space="preserve">debt table of the debtor in the unsecured </w:t>
      </w:r>
      <w:proofErr w:type="gramStart"/>
      <w:r>
        <w:rPr>
          <w:bCs/>
          <w:sz w:val="24"/>
          <w:szCs w:val="24"/>
        </w:rPr>
        <w:t>creditors</w:t>
      </w:r>
      <w:proofErr w:type="gramEnd"/>
      <w:r>
        <w:rPr>
          <w:bCs/>
          <w:sz w:val="24"/>
          <w:szCs w:val="24"/>
        </w:rPr>
        <w:t xml:space="preserve"> category, not the secured creditors, as it would have been the case when considering our registration request in the preliminary debt table. Conpet appealed the preliminary table of debt, the appeal being subject to the file no. </w:t>
      </w:r>
      <w:r>
        <w:rPr>
          <w:sz w:val="24"/>
          <w:szCs w:val="24"/>
        </w:rPr>
        <w:t xml:space="preserve">13386/3/201/a1 due on </w:t>
      </w:r>
      <w:proofErr w:type="gramStart"/>
      <w:r>
        <w:rPr>
          <w:sz w:val="24"/>
          <w:szCs w:val="24"/>
        </w:rPr>
        <w:t>the 18</w:t>
      </w:r>
      <w:r>
        <w:rPr>
          <w:sz w:val="24"/>
          <w:szCs w:val="24"/>
          <w:vertAlign w:val="superscript"/>
        </w:rPr>
        <w:t>th</w:t>
      </w:r>
      <w:proofErr w:type="gramEnd"/>
      <w:r>
        <w:rPr>
          <w:sz w:val="24"/>
          <w:szCs w:val="24"/>
        </w:rPr>
        <w:t xml:space="preserve"> Sept 2015. By the order no. </w:t>
      </w:r>
      <w:proofErr w:type="gramStart"/>
      <w:r>
        <w:rPr>
          <w:sz w:val="24"/>
          <w:szCs w:val="24"/>
        </w:rPr>
        <w:t>7106/18.09.2015</w:t>
      </w:r>
      <w:proofErr w:type="gramEnd"/>
      <w:r>
        <w:rPr>
          <w:sz w:val="24"/>
          <w:szCs w:val="24"/>
        </w:rPr>
        <w:t xml:space="preserve"> Bucuresti Court rejects the appeal as being unfounded.</w:t>
      </w:r>
    </w:p>
    <w:p w:rsidR="00452793" w:rsidRDefault="00452793" w:rsidP="00452793">
      <w:pPr>
        <w:jc w:val="both"/>
        <w:rPr>
          <w:sz w:val="24"/>
          <w:szCs w:val="24"/>
        </w:rPr>
      </w:pPr>
      <w:r>
        <w:rPr>
          <w:b/>
          <w:bCs/>
          <w:sz w:val="24"/>
          <w:szCs w:val="24"/>
        </w:rPr>
        <w:t>Stage of the trial</w:t>
      </w:r>
      <w:r>
        <w:rPr>
          <w:sz w:val="24"/>
          <w:szCs w:val="24"/>
        </w:rPr>
        <w:t>: First instance</w:t>
      </w:r>
    </w:p>
    <w:p w:rsidR="00452793" w:rsidRDefault="00452793" w:rsidP="00452793">
      <w:pPr>
        <w:jc w:val="both"/>
        <w:rPr>
          <w:sz w:val="24"/>
          <w:szCs w:val="24"/>
        </w:rPr>
      </w:pPr>
      <w:r>
        <w:rPr>
          <w:sz w:val="24"/>
          <w:szCs w:val="24"/>
        </w:rPr>
        <w:t xml:space="preserve"> </w:t>
      </w:r>
      <w:r>
        <w:rPr>
          <w:b/>
          <w:bCs/>
          <w:sz w:val="24"/>
          <w:szCs w:val="24"/>
        </w:rPr>
        <w:t>Hearing</w:t>
      </w:r>
      <w:r>
        <w:rPr>
          <w:sz w:val="24"/>
          <w:szCs w:val="24"/>
        </w:rPr>
        <w:t xml:space="preserve">: </w:t>
      </w:r>
      <w:proofErr w:type="gramStart"/>
      <w:r>
        <w:rPr>
          <w:sz w:val="24"/>
          <w:szCs w:val="24"/>
        </w:rPr>
        <w:t>19</w:t>
      </w:r>
      <w:r>
        <w:rPr>
          <w:sz w:val="24"/>
          <w:szCs w:val="24"/>
          <w:vertAlign w:val="superscript"/>
        </w:rPr>
        <w:t>th</w:t>
      </w:r>
      <w:proofErr w:type="gramEnd"/>
      <w:r>
        <w:rPr>
          <w:sz w:val="24"/>
          <w:szCs w:val="24"/>
        </w:rPr>
        <w:t xml:space="preserve"> Oct 2018</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lang w:val="pt-BR"/>
        </w:rPr>
      </w:pPr>
      <w:r>
        <w:rPr>
          <w:b/>
          <w:sz w:val="24"/>
          <w:szCs w:val="24"/>
        </w:rPr>
        <w:t xml:space="preserve">15. </w:t>
      </w:r>
      <w:r>
        <w:rPr>
          <w:b/>
          <w:sz w:val="24"/>
          <w:szCs w:val="24"/>
          <w:lang w:val="ro-RO"/>
        </w:rPr>
        <w:t xml:space="preserve"> </w:t>
      </w:r>
      <w:r>
        <w:rPr>
          <w:b/>
          <w:sz w:val="24"/>
          <w:szCs w:val="24"/>
        </w:rPr>
        <w:t xml:space="preserve">File </w:t>
      </w:r>
      <w:r>
        <w:rPr>
          <w:b/>
          <w:sz w:val="24"/>
          <w:szCs w:val="24"/>
          <w:lang w:val="pt-BR"/>
        </w:rPr>
        <w:t>n</w:t>
      </w:r>
      <w:r>
        <w:rPr>
          <w:b/>
          <w:sz w:val="24"/>
          <w:szCs w:val="24"/>
        </w:rPr>
        <w:t>o</w:t>
      </w:r>
      <w:r>
        <w:rPr>
          <w:b/>
          <w:sz w:val="24"/>
          <w:szCs w:val="24"/>
          <w:lang w:val="pt-BR"/>
        </w:rPr>
        <w:t xml:space="preserve">. </w:t>
      </w:r>
      <w:r>
        <w:rPr>
          <w:b/>
          <w:sz w:val="24"/>
          <w:szCs w:val="24"/>
        </w:rPr>
        <w:t xml:space="preserve">19602/3/2015 </w:t>
      </w:r>
      <w:r>
        <w:rPr>
          <w:b/>
          <w:sz w:val="24"/>
          <w:szCs w:val="24"/>
          <w:lang w:val="pt-BR"/>
        </w:rPr>
        <w:t>–</w:t>
      </w:r>
      <w:r>
        <w:rPr>
          <w:b/>
          <w:sz w:val="24"/>
          <w:szCs w:val="24"/>
        </w:rPr>
        <w:t xml:space="preserve"> Bucharest 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creditor</w:t>
      </w:r>
    </w:p>
    <w:p w:rsidR="00452793" w:rsidRDefault="00452793" w:rsidP="00452793">
      <w:pPr>
        <w:jc w:val="both"/>
        <w:rPr>
          <w:sz w:val="24"/>
          <w:szCs w:val="24"/>
          <w:lang w:val="pt-BR"/>
        </w:rPr>
      </w:pPr>
      <w:r>
        <w:rPr>
          <w:sz w:val="24"/>
          <w:szCs w:val="24"/>
        </w:rPr>
        <w:t>Top Birotica SRL –</w:t>
      </w:r>
      <w:r>
        <w:rPr>
          <w:sz w:val="24"/>
          <w:szCs w:val="24"/>
          <w:lang w:val="pt-BR"/>
        </w:rPr>
        <w:t xml:space="preserve"> debtor</w:t>
      </w:r>
    </w:p>
    <w:p w:rsidR="00452793" w:rsidRDefault="00452793" w:rsidP="00452793">
      <w:pPr>
        <w:jc w:val="both"/>
        <w:rPr>
          <w:bCs/>
          <w:sz w:val="24"/>
          <w:szCs w:val="24"/>
        </w:rPr>
      </w:pPr>
      <w:r>
        <w:rPr>
          <w:b/>
          <w:sz w:val="24"/>
          <w:szCs w:val="24"/>
        </w:rPr>
        <w:t>Subject</w:t>
      </w:r>
      <w:r>
        <w:rPr>
          <w:b/>
          <w:sz w:val="24"/>
          <w:szCs w:val="24"/>
          <w:lang w:val="pt-BR"/>
        </w:rPr>
        <w:t>:</w:t>
      </w:r>
      <w:r>
        <w:rPr>
          <w:b/>
          <w:sz w:val="24"/>
          <w:szCs w:val="24"/>
        </w:rPr>
        <w:t xml:space="preserve"> Bankruptcy. </w:t>
      </w:r>
      <w:r>
        <w:rPr>
          <w:bCs/>
          <w:sz w:val="24"/>
          <w:szCs w:val="24"/>
        </w:rPr>
        <w:t xml:space="preserve">Conpet SA demanded registration in the statement of affairs of the debtor with the sum of </w:t>
      </w:r>
      <w:r>
        <w:rPr>
          <w:sz w:val="24"/>
          <w:szCs w:val="24"/>
        </w:rPr>
        <w:t xml:space="preserve">2.258,72 </w:t>
      </w:r>
      <w:r>
        <w:rPr>
          <w:bCs/>
          <w:sz w:val="24"/>
          <w:szCs w:val="24"/>
        </w:rPr>
        <w:t xml:space="preserve">RON representing delay penalties owed for the late </w:t>
      </w:r>
      <w:r>
        <w:rPr>
          <w:bCs/>
          <w:sz w:val="24"/>
          <w:szCs w:val="24"/>
        </w:rPr>
        <w:lastRenderedPageBreak/>
        <w:t xml:space="preserve">delivery of the equipment that was subject to contract </w:t>
      </w:r>
      <w:r>
        <w:rPr>
          <w:sz w:val="24"/>
          <w:szCs w:val="24"/>
        </w:rPr>
        <w:t>P-CA 438/17.11.2014</w:t>
      </w:r>
      <w:r>
        <w:rPr>
          <w:bCs/>
          <w:sz w:val="24"/>
          <w:szCs w:val="24"/>
        </w:rPr>
        <w:t xml:space="preserve">. </w:t>
      </w:r>
    </w:p>
    <w:p w:rsidR="00452793" w:rsidRDefault="00452793" w:rsidP="00452793">
      <w:pPr>
        <w:jc w:val="both"/>
        <w:rPr>
          <w:sz w:val="24"/>
          <w:szCs w:val="24"/>
        </w:rPr>
      </w:pPr>
      <w:r>
        <w:rPr>
          <w:b/>
          <w:bCs/>
          <w:sz w:val="24"/>
          <w:szCs w:val="24"/>
        </w:rPr>
        <w:t>Stage of the trial</w:t>
      </w:r>
      <w:r>
        <w:rPr>
          <w:sz w:val="24"/>
          <w:szCs w:val="24"/>
        </w:rPr>
        <w:t>: First instance</w:t>
      </w:r>
    </w:p>
    <w:p w:rsidR="00452793" w:rsidRDefault="00452793" w:rsidP="00452793">
      <w:pPr>
        <w:jc w:val="both"/>
        <w:rPr>
          <w:b/>
          <w:bCs/>
          <w:sz w:val="24"/>
          <w:szCs w:val="24"/>
        </w:rPr>
      </w:pPr>
      <w:r>
        <w:rPr>
          <w:sz w:val="24"/>
          <w:szCs w:val="24"/>
        </w:rPr>
        <w:t xml:space="preserve"> </w:t>
      </w:r>
      <w:r>
        <w:rPr>
          <w:b/>
          <w:bCs/>
          <w:sz w:val="24"/>
          <w:szCs w:val="24"/>
        </w:rPr>
        <w:t>Hearing</w:t>
      </w:r>
      <w:r>
        <w:rPr>
          <w:sz w:val="24"/>
          <w:szCs w:val="24"/>
        </w:rPr>
        <w:t xml:space="preserve">: </w:t>
      </w:r>
      <w:proofErr w:type="gramStart"/>
      <w:r>
        <w:rPr>
          <w:sz w:val="24"/>
          <w:szCs w:val="24"/>
        </w:rPr>
        <w:t>21</w:t>
      </w:r>
      <w:r>
        <w:rPr>
          <w:sz w:val="24"/>
          <w:szCs w:val="24"/>
          <w:vertAlign w:val="superscript"/>
        </w:rPr>
        <w:t>st</w:t>
      </w:r>
      <w:proofErr w:type="gramEnd"/>
      <w:r>
        <w:rPr>
          <w:sz w:val="24"/>
          <w:szCs w:val="24"/>
        </w:rPr>
        <w:t xml:space="preserve"> Nov. 2018</w:t>
      </w:r>
    </w:p>
    <w:p w:rsidR="00452793" w:rsidRDefault="00452793" w:rsidP="00452793">
      <w:pPr>
        <w:jc w:val="both"/>
        <w:rPr>
          <w:b/>
          <w:sz w:val="24"/>
          <w:szCs w:val="24"/>
        </w:rPr>
      </w:pPr>
    </w:p>
    <w:p w:rsidR="00452793" w:rsidRDefault="00452793" w:rsidP="00452793">
      <w:pPr>
        <w:jc w:val="both"/>
        <w:rPr>
          <w:sz w:val="24"/>
          <w:szCs w:val="24"/>
        </w:rPr>
      </w:pPr>
      <w:r>
        <w:rPr>
          <w:sz w:val="24"/>
          <w:szCs w:val="24"/>
        </w:rPr>
        <w:t xml:space="preserve"> </w:t>
      </w:r>
    </w:p>
    <w:p w:rsidR="00452793" w:rsidRDefault="00452793" w:rsidP="00452793">
      <w:pPr>
        <w:jc w:val="both"/>
        <w:rPr>
          <w:b/>
          <w:sz w:val="24"/>
          <w:szCs w:val="24"/>
          <w:lang w:val="pt-BR"/>
        </w:rPr>
      </w:pPr>
      <w:r>
        <w:rPr>
          <w:b/>
          <w:sz w:val="24"/>
          <w:szCs w:val="24"/>
        </w:rPr>
        <w:t xml:space="preserve">16. File </w:t>
      </w:r>
      <w:r>
        <w:rPr>
          <w:b/>
          <w:sz w:val="24"/>
          <w:szCs w:val="24"/>
          <w:lang w:val="pt-BR"/>
        </w:rPr>
        <w:t>n</w:t>
      </w:r>
      <w:r>
        <w:rPr>
          <w:b/>
          <w:sz w:val="24"/>
          <w:szCs w:val="24"/>
        </w:rPr>
        <w:t>o</w:t>
      </w:r>
      <w:r>
        <w:rPr>
          <w:b/>
          <w:sz w:val="24"/>
          <w:szCs w:val="24"/>
          <w:lang w:val="pt-BR"/>
        </w:rPr>
        <w:t xml:space="preserve">. </w:t>
      </w:r>
      <w:r>
        <w:rPr>
          <w:b/>
          <w:sz w:val="24"/>
          <w:szCs w:val="24"/>
        </w:rPr>
        <w:t xml:space="preserve">2899/62/2015 </w:t>
      </w:r>
      <w:r>
        <w:rPr>
          <w:b/>
          <w:sz w:val="24"/>
          <w:szCs w:val="24"/>
          <w:lang w:val="pt-BR"/>
        </w:rPr>
        <w:t>–</w:t>
      </w:r>
      <w:r>
        <w:rPr>
          <w:b/>
          <w:sz w:val="24"/>
          <w:szCs w:val="24"/>
        </w:rPr>
        <w:t xml:space="preserve"> Brasov 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creditor</w:t>
      </w:r>
    </w:p>
    <w:p w:rsidR="00452793" w:rsidRDefault="00452793" w:rsidP="00452793">
      <w:pPr>
        <w:ind w:firstLineChars="400" w:firstLine="960"/>
        <w:jc w:val="both"/>
        <w:rPr>
          <w:sz w:val="24"/>
          <w:szCs w:val="24"/>
          <w:lang w:val="pt-BR"/>
        </w:rPr>
      </w:pPr>
      <w:r>
        <w:rPr>
          <w:sz w:val="24"/>
          <w:szCs w:val="24"/>
        </w:rPr>
        <w:t>Condmag SA –</w:t>
      </w:r>
      <w:r>
        <w:rPr>
          <w:sz w:val="24"/>
          <w:szCs w:val="24"/>
          <w:lang w:val="pt-BR"/>
        </w:rPr>
        <w:t xml:space="preserve"> debtor</w:t>
      </w:r>
    </w:p>
    <w:p w:rsidR="00452793" w:rsidRDefault="00452793" w:rsidP="00452793">
      <w:pPr>
        <w:jc w:val="both"/>
        <w:rPr>
          <w:bCs/>
          <w:sz w:val="24"/>
          <w:szCs w:val="24"/>
        </w:rPr>
      </w:pPr>
      <w:r>
        <w:rPr>
          <w:b/>
          <w:sz w:val="24"/>
          <w:szCs w:val="24"/>
        </w:rPr>
        <w:t>Subject</w:t>
      </w:r>
      <w:r>
        <w:rPr>
          <w:b/>
          <w:sz w:val="24"/>
          <w:szCs w:val="24"/>
          <w:lang w:val="pt-BR"/>
        </w:rPr>
        <w:t>:</w:t>
      </w:r>
      <w:r>
        <w:rPr>
          <w:b/>
          <w:sz w:val="24"/>
          <w:szCs w:val="24"/>
        </w:rPr>
        <w:t xml:space="preserve"> Bankruptcy. </w:t>
      </w:r>
      <w:r>
        <w:rPr>
          <w:bCs/>
          <w:sz w:val="24"/>
          <w:szCs w:val="24"/>
        </w:rPr>
        <w:t xml:space="preserve">Lodgement of claim for Conpet against the assets of the debtor </w:t>
      </w:r>
      <w:r>
        <w:rPr>
          <w:sz w:val="24"/>
          <w:szCs w:val="24"/>
        </w:rPr>
        <w:t xml:space="preserve">Condmag SA- 42,950,85RON </w:t>
      </w:r>
      <w:r>
        <w:rPr>
          <w:bCs/>
          <w:sz w:val="24"/>
          <w:szCs w:val="24"/>
        </w:rPr>
        <w:t xml:space="preserve">representing penalties, made of </w:t>
      </w:r>
      <w:r>
        <w:rPr>
          <w:sz w:val="24"/>
          <w:szCs w:val="24"/>
        </w:rPr>
        <w:t>40,927,28RON secured debt and 2</w:t>
      </w:r>
      <w:proofErr w:type="gramStart"/>
      <w:r>
        <w:rPr>
          <w:sz w:val="24"/>
          <w:szCs w:val="24"/>
        </w:rPr>
        <w:t>,023,57</w:t>
      </w:r>
      <w:proofErr w:type="gramEnd"/>
      <w:r>
        <w:rPr>
          <w:sz w:val="24"/>
          <w:szCs w:val="24"/>
        </w:rPr>
        <w:t xml:space="preserve"> RON unsecured debt.</w:t>
      </w:r>
    </w:p>
    <w:p w:rsidR="00452793" w:rsidRDefault="00452793" w:rsidP="00452793">
      <w:pPr>
        <w:jc w:val="both"/>
        <w:rPr>
          <w:sz w:val="24"/>
          <w:szCs w:val="24"/>
        </w:rPr>
      </w:pPr>
      <w:r>
        <w:rPr>
          <w:b/>
          <w:bCs/>
          <w:sz w:val="24"/>
          <w:szCs w:val="24"/>
        </w:rPr>
        <w:t>Stage of the trial</w:t>
      </w:r>
      <w:r>
        <w:rPr>
          <w:sz w:val="24"/>
          <w:szCs w:val="24"/>
        </w:rPr>
        <w:t>: First instance</w:t>
      </w:r>
    </w:p>
    <w:p w:rsidR="00452793" w:rsidRDefault="00452793" w:rsidP="00452793">
      <w:pPr>
        <w:jc w:val="both"/>
        <w:rPr>
          <w:b/>
          <w:bCs/>
          <w:sz w:val="24"/>
          <w:szCs w:val="24"/>
        </w:rPr>
      </w:pPr>
      <w:r>
        <w:rPr>
          <w:sz w:val="24"/>
          <w:szCs w:val="24"/>
        </w:rPr>
        <w:t xml:space="preserve"> </w:t>
      </w:r>
      <w:r>
        <w:rPr>
          <w:b/>
          <w:bCs/>
          <w:sz w:val="24"/>
          <w:szCs w:val="24"/>
        </w:rPr>
        <w:t>Hearing</w:t>
      </w:r>
      <w:r>
        <w:rPr>
          <w:sz w:val="24"/>
          <w:szCs w:val="24"/>
        </w:rPr>
        <w:t xml:space="preserve">: </w:t>
      </w:r>
      <w:proofErr w:type="gramStart"/>
      <w:r>
        <w:rPr>
          <w:sz w:val="24"/>
          <w:szCs w:val="24"/>
        </w:rPr>
        <w:t>11</w:t>
      </w:r>
      <w:r>
        <w:rPr>
          <w:sz w:val="24"/>
          <w:szCs w:val="24"/>
          <w:vertAlign w:val="superscript"/>
        </w:rPr>
        <w:t>th</w:t>
      </w:r>
      <w:proofErr w:type="gramEnd"/>
      <w:r>
        <w:rPr>
          <w:sz w:val="24"/>
          <w:szCs w:val="24"/>
        </w:rPr>
        <w:t xml:space="preserve"> Sept 2018</w:t>
      </w:r>
    </w:p>
    <w:p w:rsidR="00452793" w:rsidRDefault="00452793" w:rsidP="00452793">
      <w:pPr>
        <w:jc w:val="both"/>
        <w:rPr>
          <w:b/>
          <w:sz w:val="24"/>
          <w:szCs w:val="24"/>
        </w:rPr>
      </w:pPr>
    </w:p>
    <w:p w:rsidR="00452793" w:rsidRDefault="00452793" w:rsidP="00452793">
      <w:pPr>
        <w:jc w:val="both"/>
        <w:rPr>
          <w:b/>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lang w:val="pt-BR"/>
        </w:rPr>
      </w:pPr>
      <w:r>
        <w:rPr>
          <w:b/>
          <w:sz w:val="24"/>
          <w:szCs w:val="24"/>
        </w:rPr>
        <w:t xml:space="preserve">17. File </w:t>
      </w:r>
      <w:r>
        <w:rPr>
          <w:b/>
          <w:sz w:val="24"/>
          <w:szCs w:val="24"/>
          <w:lang w:val="pt-BR"/>
        </w:rPr>
        <w:t>n</w:t>
      </w:r>
      <w:r>
        <w:rPr>
          <w:b/>
          <w:sz w:val="24"/>
          <w:szCs w:val="24"/>
        </w:rPr>
        <w:t>o</w:t>
      </w:r>
      <w:r>
        <w:rPr>
          <w:b/>
          <w:sz w:val="24"/>
          <w:szCs w:val="24"/>
          <w:lang w:val="pt-BR"/>
        </w:rPr>
        <w:t xml:space="preserve">. </w:t>
      </w:r>
      <w:r>
        <w:rPr>
          <w:b/>
          <w:sz w:val="24"/>
          <w:szCs w:val="24"/>
        </w:rPr>
        <w:t xml:space="preserve">4996/256/2015 </w:t>
      </w:r>
      <w:r>
        <w:rPr>
          <w:b/>
          <w:sz w:val="24"/>
          <w:szCs w:val="24"/>
          <w:lang w:val="pt-BR"/>
        </w:rPr>
        <w:t>–</w:t>
      </w:r>
      <w:r>
        <w:rPr>
          <w:b/>
          <w:sz w:val="24"/>
          <w:szCs w:val="24"/>
        </w:rPr>
        <w:t xml:space="preserve"> Medgidia Court- C. Dău</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plaintiff</w:t>
      </w:r>
    </w:p>
    <w:p w:rsidR="00452793" w:rsidRDefault="00452793" w:rsidP="00452793">
      <w:pPr>
        <w:ind w:left="420" w:firstLine="420"/>
        <w:jc w:val="both"/>
        <w:rPr>
          <w:sz w:val="24"/>
          <w:szCs w:val="24"/>
          <w:lang w:val="pt-BR"/>
        </w:rPr>
      </w:pPr>
      <w:r>
        <w:rPr>
          <w:sz w:val="24"/>
          <w:szCs w:val="24"/>
        </w:rPr>
        <w:t>Sprivac Florin Alexandru, Roșu Adrian- defendants</w:t>
      </w:r>
    </w:p>
    <w:p w:rsidR="00452793" w:rsidRDefault="00452793" w:rsidP="00452793">
      <w:pPr>
        <w:jc w:val="both"/>
        <w:rPr>
          <w:sz w:val="24"/>
          <w:szCs w:val="24"/>
        </w:rPr>
      </w:pPr>
      <w:r>
        <w:rPr>
          <w:b/>
          <w:sz w:val="24"/>
          <w:szCs w:val="24"/>
        </w:rPr>
        <w:t xml:space="preserve">Subject: Aggravated theft. </w:t>
      </w:r>
      <w:r>
        <w:rPr>
          <w:sz w:val="24"/>
          <w:szCs w:val="24"/>
          <w:lang w:val="pt-BR"/>
        </w:rPr>
        <w:t>Conpet</w:t>
      </w:r>
      <w:r>
        <w:rPr>
          <w:sz w:val="24"/>
          <w:szCs w:val="24"/>
        </w:rPr>
        <w:t xml:space="preserve"> </w:t>
      </w:r>
      <w:r>
        <w:rPr>
          <w:bCs/>
          <w:sz w:val="24"/>
          <w:szCs w:val="24"/>
        </w:rPr>
        <w:t xml:space="preserve">brought a civil action in court for the sum of </w:t>
      </w:r>
      <w:r>
        <w:rPr>
          <w:sz w:val="24"/>
          <w:szCs w:val="24"/>
        </w:rPr>
        <w:t xml:space="preserve">7.647,96 RON representing </w:t>
      </w:r>
      <w:r>
        <w:rPr>
          <w:bCs/>
          <w:sz w:val="24"/>
          <w:szCs w:val="24"/>
        </w:rPr>
        <w:t xml:space="preserve">consideration for </w:t>
      </w:r>
      <w:r>
        <w:rPr>
          <w:sz w:val="24"/>
          <w:szCs w:val="24"/>
        </w:rPr>
        <w:t xml:space="preserve">200 </w:t>
      </w:r>
      <w:r>
        <w:rPr>
          <w:sz w:val="24"/>
          <w:szCs w:val="24"/>
          <w:lang w:val="pt-BR"/>
        </w:rPr>
        <w:t xml:space="preserve">l </w:t>
      </w:r>
      <w:r>
        <w:rPr>
          <w:sz w:val="24"/>
          <w:szCs w:val="24"/>
        </w:rPr>
        <w:t>of crude oil that was lost following the fact, for remedial works on the damaged pipe, necessary for getting it back into a functioning state (4.710,95 RON) and for greening actions on the polluted area following the damage (2.395,68RON).</w:t>
      </w:r>
    </w:p>
    <w:p w:rsidR="00452793" w:rsidRDefault="00452793" w:rsidP="00452793">
      <w:pPr>
        <w:jc w:val="both"/>
        <w:rPr>
          <w:sz w:val="24"/>
          <w:szCs w:val="24"/>
        </w:rPr>
      </w:pPr>
      <w:r>
        <w:rPr>
          <w:sz w:val="24"/>
          <w:szCs w:val="24"/>
        </w:rPr>
        <w:t>Clarifications: By the sentence no. 3538/21.12.2017 the Medgidia Court admits the civil action brought by the plaintiff Conpet SA and orders the defendants to jointly pay civil compensations to the plaintiff - a sum of 7.647,96 RON in the material compensation category.</w:t>
      </w:r>
    </w:p>
    <w:p w:rsidR="00452793" w:rsidRDefault="00452793" w:rsidP="00452793">
      <w:pPr>
        <w:jc w:val="both"/>
        <w:rPr>
          <w:sz w:val="24"/>
          <w:szCs w:val="24"/>
        </w:rPr>
      </w:pPr>
      <w:r>
        <w:rPr>
          <w:sz w:val="24"/>
          <w:szCs w:val="24"/>
        </w:rPr>
        <w:t xml:space="preserve">The order </w:t>
      </w:r>
      <w:proofErr w:type="gramStart"/>
      <w:r>
        <w:rPr>
          <w:sz w:val="24"/>
          <w:szCs w:val="24"/>
        </w:rPr>
        <w:t>can be attacked</w:t>
      </w:r>
      <w:proofErr w:type="gramEnd"/>
      <w:r>
        <w:rPr>
          <w:sz w:val="24"/>
          <w:szCs w:val="24"/>
        </w:rPr>
        <w:t xml:space="preserve"> after communication.</w:t>
      </w:r>
    </w:p>
    <w:p w:rsidR="00452793" w:rsidRDefault="00452793" w:rsidP="00452793">
      <w:pPr>
        <w:jc w:val="both"/>
        <w:rPr>
          <w:sz w:val="24"/>
          <w:szCs w:val="24"/>
        </w:rPr>
      </w:pPr>
      <w:r>
        <w:rPr>
          <w:b/>
          <w:bCs/>
          <w:sz w:val="24"/>
          <w:szCs w:val="24"/>
        </w:rPr>
        <w:t>Stage of the trial</w:t>
      </w:r>
      <w:r>
        <w:rPr>
          <w:sz w:val="24"/>
          <w:szCs w:val="24"/>
        </w:rPr>
        <w:t>: --</w:t>
      </w:r>
    </w:p>
    <w:p w:rsidR="00452793" w:rsidRDefault="00452793" w:rsidP="00452793">
      <w:pPr>
        <w:jc w:val="both"/>
        <w:rPr>
          <w:sz w:val="24"/>
          <w:szCs w:val="24"/>
        </w:rPr>
      </w:pPr>
      <w:r>
        <w:rPr>
          <w:sz w:val="24"/>
          <w:szCs w:val="24"/>
        </w:rPr>
        <w:t xml:space="preserve"> </w:t>
      </w:r>
      <w:r>
        <w:rPr>
          <w:b/>
          <w:bCs/>
          <w:sz w:val="24"/>
          <w:szCs w:val="24"/>
        </w:rPr>
        <w:t>Hearing</w:t>
      </w:r>
      <w:r>
        <w:rPr>
          <w:sz w:val="24"/>
          <w:szCs w:val="24"/>
        </w:rPr>
        <w:t>:--</w:t>
      </w:r>
    </w:p>
    <w:p w:rsidR="00452793" w:rsidRDefault="00452793" w:rsidP="00452793">
      <w:pPr>
        <w:jc w:val="both"/>
        <w:rPr>
          <w:sz w:val="24"/>
          <w:szCs w:val="24"/>
        </w:rPr>
      </w:pPr>
    </w:p>
    <w:p w:rsidR="00452793" w:rsidRDefault="00452793" w:rsidP="00452793">
      <w:pPr>
        <w:jc w:val="both"/>
        <w:rPr>
          <w:b/>
          <w:sz w:val="24"/>
          <w:szCs w:val="24"/>
          <w:lang w:val="pt-BR"/>
        </w:rPr>
      </w:pPr>
      <w:r>
        <w:rPr>
          <w:b/>
          <w:sz w:val="24"/>
          <w:szCs w:val="24"/>
        </w:rPr>
        <w:t xml:space="preserve">18. File </w:t>
      </w:r>
      <w:r>
        <w:rPr>
          <w:b/>
          <w:sz w:val="24"/>
          <w:szCs w:val="24"/>
          <w:lang w:val="pt-BR"/>
        </w:rPr>
        <w:t>n</w:t>
      </w:r>
      <w:r>
        <w:rPr>
          <w:b/>
          <w:sz w:val="24"/>
          <w:szCs w:val="24"/>
        </w:rPr>
        <w:t>o</w:t>
      </w:r>
      <w:r>
        <w:rPr>
          <w:b/>
          <w:sz w:val="24"/>
          <w:szCs w:val="24"/>
          <w:lang w:val="pt-BR"/>
        </w:rPr>
        <w:t xml:space="preserve">. </w:t>
      </w:r>
      <w:r>
        <w:rPr>
          <w:b/>
          <w:sz w:val="24"/>
          <w:szCs w:val="24"/>
        </w:rPr>
        <w:t>983/281/</w:t>
      </w:r>
      <w:proofErr w:type="gramStart"/>
      <w:r>
        <w:rPr>
          <w:b/>
          <w:sz w:val="24"/>
          <w:szCs w:val="24"/>
        </w:rPr>
        <w:t xml:space="preserve">2016  </w:t>
      </w:r>
      <w:r>
        <w:rPr>
          <w:b/>
          <w:sz w:val="24"/>
          <w:szCs w:val="24"/>
          <w:lang w:val="pt-BR"/>
        </w:rPr>
        <w:t>–</w:t>
      </w:r>
      <w:proofErr w:type="gramEnd"/>
      <w:r>
        <w:rPr>
          <w:b/>
          <w:sz w:val="24"/>
          <w:szCs w:val="24"/>
        </w:rPr>
        <w:t xml:space="preserve"> Prahova Court</w:t>
      </w:r>
    </w:p>
    <w:p w:rsidR="00452793" w:rsidRDefault="00452793" w:rsidP="00452793">
      <w:pPr>
        <w:jc w:val="both"/>
        <w:rPr>
          <w:sz w:val="24"/>
          <w:szCs w:val="24"/>
        </w:rPr>
      </w:pPr>
      <w:r>
        <w:rPr>
          <w:b/>
          <w:sz w:val="24"/>
          <w:szCs w:val="24"/>
          <w:lang w:val="pt-BR"/>
        </w:rPr>
        <w:t>Parti</w:t>
      </w:r>
      <w:r>
        <w:rPr>
          <w:b/>
          <w:sz w:val="24"/>
          <w:szCs w:val="24"/>
        </w:rPr>
        <w:t>es</w:t>
      </w:r>
      <w:r>
        <w:rPr>
          <w:b/>
          <w:sz w:val="24"/>
          <w:szCs w:val="24"/>
          <w:lang w:val="pt-BR"/>
        </w:rPr>
        <w:t xml:space="preserve">: </w:t>
      </w:r>
      <w:r>
        <w:rPr>
          <w:sz w:val="24"/>
          <w:szCs w:val="24"/>
          <w:lang w:val="pt-BR"/>
        </w:rPr>
        <w:t xml:space="preserve"> Conpet S.A. - </w:t>
      </w:r>
      <w:r>
        <w:rPr>
          <w:sz w:val="24"/>
          <w:szCs w:val="24"/>
        </w:rPr>
        <w:t>appellant</w:t>
      </w:r>
    </w:p>
    <w:p w:rsidR="00452793" w:rsidRDefault="00452793" w:rsidP="00452793">
      <w:pPr>
        <w:ind w:firstLine="420"/>
        <w:jc w:val="both"/>
        <w:rPr>
          <w:sz w:val="24"/>
          <w:szCs w:val="24"/>
        </w:rPr>
      </w:pPr>
      <w:r>
        <w:rPr>
          <w:sz w:val="24"/>
          <w:szCs w:val="24"/>
        </w:rPr>
        <w:t>Dobrogeanu Dumitru - respondant</w:t>
      </w:r>
    </w:p>
    <w:p w:rsidR="00452793" w:rsidRDefault="00452793" w:rsidP="00452793">
      <w:pPr>
        <w:jc w:val="both"/>
        <w:rPr>
          <w:sz w:val="24"/>
          <w:szCs w:val="24"/>
        </w:rPr>
      </w:pPr>
      <w:r>
        <w:rPr>
          <w:b/>
          <w:sz w:val="24"/>
          <w:szCs w:val="24"/>
        </w:rPr>
        <w:t xml:space="preserve">Subject: </w:t>
      </w:r>
      <w:r>
        <w:rPr>
          <w:bCs/>
          <w:sz w:val="24"/>
          <w:szCs w:val="24"/>
        </w:rPr>
        <w:t>Conpet SA appeals the enforcement against the enforcement papers made by the process server Divoiu Maria’s office in the enforcement file no.</w:t>
      </w:r>
      <w:r>
        <w:rPr>
          <w:sz w:val="24"/>
          <w:szCs w:val="24"/>
        </w:rPr>
        <w:t>468/2015, as it follows:</w:t>
      </w:r>
    </w:p>
    <w:p w:rsidR="00452793" w:rsidRDefault="00452793" w:rsidP="00452793">
      <w:pPr>
        <w:jc w:val="both"/>
        <w:rPr>
          <w:sz w:val="24"/>
          <w:szCs w:val="24"/>
        </w:rPr>
      </w:pPr>
      <w:r>
        <w:rPr>
          <w:sz w:val="24"/>
          <w:szCs w:val="24"/>
        </w:rPr>
        <w:t xml:space="preserve">- The notice on </w:t>
      </w:r>
    </w:p>
    <w:p w:rsidR="00452793" w:rsidRDefault="00452793" w:rsidP="00452793">
      <w:pPr>
        <w:jc w:val="both"/>
        <w:rPr>
          <w:sz w:val="24"/>
          <w:szCs w:val="24"/>
        </w:rPr>
      </w:pPr>
      <w:r>
        <w:rPr>
          <w:sz w:val="24"/>
          <w:szCs w:val="24"/>
        </w:rPr>
        <w:t xml:space="preserve">- The subpoena on </w:t>
      </w:r>
      <w:proofErr w:type="gramStart"/>
      <w:r>
        <w:rPr>
          <w:sz w:val="24"/>
          <w:szCs w:val="24"/>
        </w:rPr>
        <w:t>17</w:t>
      </w:r>
      <w:r>
        <w:rPr>
          <w:sz w:val="24"/>
          <w:szCs w:val="24"/>
          <w:vertAlign w:val="superscript"/>
        </w:rPr>
        <w:t>th</w:t>
      </w:r>
      <w:proofErr w:type="gramEnd"/>
      <w:r>
        <w:rPr>
          <w:sz w:val="24"/>
          <w:szCs w:val="24"/>
        </w:rPr>
        <w:t xml:space="preserve"> Dec 2015</w:t>
      </w:r>
    </w:p>
    <w:p w:rsidR="00452793" w:rsidRDefault="00452793" w:rsidP="00452793">
      <w:pPr>
        <w:jc w:val="both"/>
        <w:rPr>
          <w:sz w:val="24"/>
          <w:szCs w:val="24"/>
        </w:rPr>
      </w:pPr>
      <w:r>
        <w:rPr>
          <w:sz w:val="24"/>
          <w:szCs w:val="24"/>
        </w:rPr>
        <w:t xml:space="preserve">- </w:t>
      </w:r>
      <w:proofErr w:type="gramStart"/>
      <w:r>
        <w:rPr>
          <w:sz w:val="24"/>
          <w:szCs w:val="24"/>
        </w:rPr>
        <w:t>the</w:t>
      </w:r>
      <w:proofErr w:type="gramEnd"/>
      <w:r>
        <w:rPr>
          <w:sz w:val="24"/>
          <w:szCs w:val="24"/>
        </w:rPr>
        <w:t xml:space="preserve"> declaration of enforceability on the 17</w:t>
      </w:r>
      <w:r>
        <w:rPr>
          <w:sz w:val="24"/>
          <w:szCs w:val="24"/>
          <w:vertAlign w:val="superscript"/>
        </w:rPr>
        <w:t>th</w:t>
      </w:r>
      <w:r>
        <w:rPr>
          <w:sz w:val="24"/>
          <w:szCs w:val="24"/>
        </w:rPr>
        <w:t xml:space="preserve"> Dec 2015</w:t>
      </w:r>
    </w:p>
    <w:p w:rsidR="00452793" w:rsidRDefault="00452793" w:rsidP="00452793">
      <w:pPr>
        <w:jc w:val="both"/>
        <w:rPr>
          <w:bCs/>
          <w:sz w:val="24"/>
          <w:szCs w:val="24"/>
        </w:rPr>
      </w:pPr>
      <w:r>
        <w:rPr>
          <w:bCs/>
          <w:sz w:val="24"/>
          <w:szCs w:val="24"/>
        </w:rPr>
        <w:t xml:space="preserve">- </w:t>
      </w:r>
      <w:proofErr w:type="gramStart"/>
      <w:r>
        <w:rPr>
          <w:bCs/>
          <w:sz w:val="24"/>
          <w:szCs w:val="24"/>
        </w:rPr>
        <w:t>the</w:t>
      </w:r>
      <w:proofErr w:type="gramEnd"/>
      <w:r>
        <w:rPr>
          <w:bCs/>
          <w:sz w:val="24"/>
          <w:szCs w:val="24"/>
        </w:rPr>
        <w:t xml:space="preserve"> declaration of enforcement expenses </w:t>
      </w:r>
      <w:r>
        <w:rPr>
          <w:sz w:val="24"/>
          <w:szCs w:val="24"/>
        </w:rPr>
        <w:t>17</w:t>
      </w:r>
      <w:r>
        <w:rPr>
          <w:sz w:val="24"/>
          <w:szCs w:val="24"/>
          <w:vertAlign w:val="superscript"/>
        </w:rPr>
        <w:t>th</w:t>
      </w:r>
      <w:r>
        <w:rPr>
          <w:sz w:val="24"/>
          <w:szCs w:val="24"/>
        </w:rPr>
        <w:t xml:space="preserve"> Dec 2015</w:t>
      </w:r>
    </w:p>
    <w:p w:rsidR="00452793" w:rsidRDefault="00452793" w:rsidP="00452793">
      <w:pPr>
        <w:jc w:val="both"/>
        <w:rPr>
          <w:sz w:val="24"/>
          <w:szCs w:val="24"/>
        </w:rPr>
      </w:pPr>
      <w:r>
        <w:rPr>
          <w:sz w:val="24"/>
          <w:szCs w:val="24"/>
        </w:rPr>
        <w:t xml:space="preserve">- </w:t>
      </w:r>
      <w:proofErr w:type="gramStart"/>
      <w:r>
        <w:rPr>
          <w:sz w:val="24"/>
          <w:szCs w:val="24"/>
        </w:rPr>
        <w:t>the</w:t>
      </w:r>
      <w:proofErr w:type="gramEnd"/>
      <w:r>
        <w:rPr>
          <w:sz w:val="24"/>
          <w:szCs w:val="24"/>
        </w:rPr>
        <w:t xml:space="preserve"> declaration of adjusting costs according to the inflation rate 17</w:t>
      </w:r>
      <w:r>
        <w:rPr>
          <w:sz w:val="24"/>
          <w:szCs w:val="24"/>
          <w:vertAlign w:val="superscript"/>
        </w:rPr>
        <w:t>th</w:t>
      </w:r>
      <w:r>
        <w:rPr>
          <w:sz w:val="24"/>
          <w:szCs w:val="24"/>
        </w:rPr>
        <w:t xml:space="preserve"> Dec 2015</w:t>
      </w:r>
    </w:p>
    <w:p w:rsidR="00452793" w:rsidRDefault="00452793" w:rsidP="00452793">
      <w:pPr>
        <w:jc w:val="both"/>
        <w:rPr>
          <w:sz w:val="24"/>
          <w:szCs w:val="24"/>
        </w:rPr>
      </w:pPr>
      <w:proofErr w:type="gramStart"/>
      <w:r>
        <w:rPr>
          <w:sz w:val="24"/>
          <w:szCs w:val="24"/>
        </w:rPr>
        <w:t>and</w:t>
      </w:r>
      <w:proofErr w:type="gramEnd"/>
      <w:r>
        <w:rPr>
          <w:sz w:val="24"/>
          <w:szCs w:val="24"/>
        </w:rPr>
        <w:t xml:space="preserve"> requests the annulment of all the appealed documents as shown above and exempting our company from the payment of the sum of 51.021,54 RON, subject to enforcement.</w:t>
      </w:r>
    </w:p>
    <w:p w:rsidR="00452793" w:rsidRDefault="00452793" w:rsidP="00452793">
      <w:pPr>
        <w:jc w:val="both"/>
        <w:rPr>
          <w:sz w:val="24"/>
          <w:szCs w:val="24"/>
        </w:rPr>
      </w:pPr>
      <w:r>
        <w:rPr>
          <w:sz w:val="24"/>
          <w:szCs w:val="24"/>
        </w:rPr>
        <w:t>- With Trial expenses</w:t>
      </w:r>
    </w:p>
    <w:p w:rsidR="00452793" w:rsidRDefault="00452793" w:rsidP="00452793">
      <w:pPr>
        <w:jc w:val="both"/>
        <w:rPr>
          <w:sz w:val="24"/>
          <w:szCs w:val="24"/>
        </w:rPr>
      </w:pPr>
      <w:r>
        <w:rPr>
          <w:b/>
          <w:bCs/>
          <w:sz w:val="24"/>
          <w:szCs w:val="24"/>
        </w:rPr>
        <w:t>Clarifications</w:t>
      </w:r>
      <w:r>
        <w:rPr>
          <w:sz w:val="24"/>
          <w:szCs w:val="24"/>
        </w:rPr>
        <w:t xml:space="preserve">: By the sentence no. </w:t>
      </w:r>
      <w:proofErr w:type="gramStart"/>
      <w:r>
        <w:rPr>
          <w:b/>
          <w:sz w:val="24"/>
          <w:szCs w:val="24"/>
        </w:rPr>
        <w:t>8369/19.10.2017</w:t>
      </w:r>
      <w:proofErr w:type="gramEnd"/>
      <w:r>
        <w:rPr>
          <w:b/>
          <w:sz w:val="24"/>
          <w:szCs w:val="24"/>
        </w:rPr>
        <w:t xml:space="preserve"> </w:t>
      </w:r>
      <w:r>
        <w:rPr>
          <w:bCs/>
          <w:sz w:val="24"/>
          <w:szCs w:val="24"/>
        </w:rPr>
        <w:t xml:space="preserve">the Ploiesti Court admits the appeal to enforcement made by the appellant Conpet SA. </w:t>
      </w:r>
      <w:proofErr w:type="gramStart"/>
      <w:r>
        <w:rPr>
          <w:bCs/>
          <w:sz w:val="24"/>
          <w:szCs w:val="24"/>
        </w:rPr>
        <w:t xml:space="preserve">It cancels enforcement papers </w:t>
      </w:r>
      <w:r>
        <w:rPr>
          <w:bCs/>
          <w:sz w:val="24"/>
          <w:szCs w:val="24"/>
        </w:rPr>
        <w:lastRenderedPageBreak/>
        <w:t xml:space="preserve">made by process server Divoiu Maria’s office in the enforcement file no. </w:t>
      </w:r>
      <w:r>
        <w:rPr>
          <w:sz w:val="24"/>
          <w:szCs w:val="24"/>
        </w:rPr>
        <w:t>468/2015, as it follows: the notice on 17</w:t>
      </w:r>
      <w:r>
        <w:rPr>
          <w:sz w:val="24"/>
          <w:szCs w:val="24"/>
          <w:vertAlign w:val="superscript"/>
        </w:rPr>
        <w:t>th</w:t>
      </w:r>
      <w:r>
        <w:rPr>
          <w:sz w:val="24"/>
          <w:szCs w:val="24"/>
        </w:rPr>
        <w:t xml:space="preserve"> Dec 2016; the subpoena on 17</w:t>
      </w:r>
      <w:r>
        <w:rPr>
          <w:sz w:val="24"/>
          <w:szCs w:val="24"/>
          <w:vertAlign w:val="superscript"/>
        </w:rPr>
        <w:t>th</w:t>
      </w:r>
      <w:r>
        <w:rPr>
          <w:sz w:val="24"/>
          <w:szCs w:val="24"/>
        </w:rPr>
        <w:t xml:space="preserve"> Dec 2015; the declaration of enforceability on the 17</w:t>
      </w:r>
      <w:r>
        <w:rPr>
          <w:sz w:val="24"/>
          <w:szCs w:val="24"/>
          <w:vertAlign w:val="superscript"/>
        </w:rPr>
        <w:t>th</w:t>
      </w:r>
      <w:r>
        <w:rPr>
          <w:sz w:val="24"/>
          <w:szCs w:val="24"/>
        </w:rPr>
        <w:t xml:space="preserve"> Dec 2015; </w:t>
      </w:r>
      <w:r>
        <w:rPr>
          <w:bCs/>
          <w:sz w:val="24"/>
          <w:szCs w:val="24"/>
        </w:rPr>
        <w:t xml:space="preserve">the declaration of enforcement expenses </w:t>
      </w:r>
      <w:r>
        <w:rPr>
          <w:sz w:val="24"/>
          <w:szCs w:val="24"/>
        </w:rPr>
        <w:t>17</w:t>
      </w:r>
      <w:r>
        <w:rPr>
          <w:sz w:val="24"/>
          <w:szCs w:val="24"/>
          <w:vertAlign w:val="superscript"/>
        </w:rPr>
        <w:t>th</w:t>
      </w:r>
      <w:r>
        <w:rPr>
          <w:sz w:val="24"/>
          <w:szCs w:val="24"/>
        </w:rPr>
        <w:t xml:space="preserve"> Dec 2015; the declaration of adjusting costs according to the inflation rate 17</w:t>
      </w:r>
      <w:r>
        <w:rPr>
          <w:sz w:val="24"/>
          <w:szCs w:val="24"/>
          <w:vertAlign w:val="superscript"/>
        </w:rPr>
        <w:t>th</w:t>
      </w:r>
      <w:r>
        <w:rPr>
          <w:sz w:val="24"/>
          <w:szCs w:val="24"/>
        </w:rPr>
        <w:t xml:space="preserve"> Dec 2015</w:t>
      </w:r>
      <w:proofErr w:type="gramEnd"/>
    </w:p>
    <w:p w:rsidR="00452793" w:rsidRDefault="00452793" w:rsidP="00452793">
      <w:pPr>
        <w:jc w:val="both"/>
        <w:rPr>
          <w:sz w:val="24"/>
          <w:szCs w:val="24"/>
        </w:rPr>
      </w:pPr>
      <w:r>
        <w:rPr>
          <w:sz w:val="24"/>
          <w:szCs w:val="24"/>
        </w:rPr>
        <w:t>It orders the respondent to pay the appellant the sum of RON 800</w:t>
      </w:r>
      <w:proofErr w:type="gramStart"/>
      <w:r>
        <w:rPr>
          <w:sz w:val="24"/>
          <w:szCs w:val="24"/>
        </w:rPr>
        <w:t>,40</w:t>
      </w:r>
      <w:proofErr w:type="gramEnd"/>
      <w:r>
        <w:rPr>
          <w:sz w:val="24"/>
          <w:szCs w:val="24"/>
        </w:rPr>
        <w:t xml:space="preserve">  for trial expenses, out of which RON 600 represents auditing fees and the sum of 200,40 RON representing consideration for copies of enforcement file no. 468/2015. It rejects as unfounded ordering the defendant to pay the sum of RON 1,000 in respect of costs consisting of judicial taxes</w:t>
      </w:r>
      <w:proofErr w:type="gramStart"/>
      <w:r>
        <w:rPr>
          <w:sz w:val="24"/>
          <w:szCs w:val="24"/>
        </w:rPr>
        <w:t>,The</w:t>
      </w:r>
      <w:proofErr w:type="gramEnd"/>
      <w:r>
        <w:rPr>
          <w:sz w:val="24"/>
          <w:szCs w:val="24"/>
        </w:rPr>
        <w:t xml:space="preserve"> decision was appealed by Conpet. </w:t>
      </w:r>
    </w:p>
    <w:p w:rsidR="00452793" w:rsidRDefault="00452793" w:rsidP="00452793">
      <w:pPr>
        <w:jc w:val="both"/>
        <w:rPr>
          <w:sz w:val="24"/>
          <w:szCs w:val="24"/>
        </w:rPr>
      </w:pPr>
      <w:r>
        <w:rPr>
          <w:b/>
          <w:bCs/>
          <w:sz w:val="24"/>
          <w:szCs w:val="24"/>
        </w:rPr>
        <w:t>Stage of the trial:</w:t>
      </w:r>
      <w:r>
        <w:rPr>
          <w:sz w:val="24"/>
          <w:szCs w:val="24"/>
        </w:rPr>
        <w:t xml:space="preserve"> Appeal</w:t>
      </w:r>
    </w:p>
    <w:p w:rsidR="00452793" w:rsidRDefault="00452793" w:rsidP="00452793">
      <w:pPr>
        <w:jc w:val="both"/>
        <w:rPr>
          <w:sz w:val="24"/>
          <w:szCs w:val="24"/>
        </w:rPr>
      </w:pPr>
      <w:r>
        <w:rPr>
          <w:b/>
          <w:bCs/>
          <w:sz w:val="24"/>
          <w:szCs w:val="24"/>
        </w:rPr>
        <w:t>Hearing</w:t>
      </w:r>
      <w:r>
        <w:rPr>
          <w:sz w:val="24"/>
          <w:szCs w:val="24"/>
        </w:rPr>
        <w:t>:--</w:t>
      </w:r>
    </w:p>
    <w:p w:rsidR="00452793" w:rsidRDefault="00452793" w:rsidP="00452793">
      <w:pPr>
        <w:jc w:val="both"/>
        <w:rPr>
          <w:bCs/>
          <w:sz w:val="24"/>
          <w:szCs w:val="24"/>
        </w:rPr>
      </w:pPr>
    </w:p>
    <w:p w:rsidR="00452793" w:rsidRDefault="00452793" w:rsidP="00452793">
      <w:pPr>
        <w:jc w:val="both"/>
        <w:rPr>
          <w:sz w:val="24"/>
          <w:szCs w:val="24"/>
        </w:rPr>
      </w:pPr>
      <w:r>
        <w:rPr>
          <w:sz w:val="24"/>
          <w:szCs w:val="24"/>
        </w:rPr>
        <w:t xml:space="preserve">  </w:t>
      </w:r>
    </w:p>
    <w:p w:rsidR="00452793" w:rsidRDefault="00452793" w:rsidP="00452793">
      <w:pPr>
        <w:jc w:val="both"/>
        <w:rPr>
          <w:b/>
          <w:sz w:val="24"/>
          <w:szCs w:val="24"/>
          <w:lang w:val="it-IT"/>
        </w:rPr>
      </w:pPr>
    </w:p>
    <w:p w:rsidR="00452793" w:rsidRDefault="00452793" w:rsidP="00452793">
      <w:pPr>
        <w:jc w:val="both"/>
        <w:rPr>
          <w:b/>
          <w:sz w:val="24"/>
          <w:szCs w:val="24"/>
          <w:lang w:val="it-IT"/>
        </w:rPr>
      </w:pPr>
    </w:p>
    <w:p w:rsidR="00452793" w:rsidRDefault="00452793" w:rsidP="00D87DA4">
      <w:pPr>
        <w:widowControl/>
        <w:numPr>
          <w:ilvl w:val="0"/>
          <w:numId w:val="47"/>
        </w:numPr>
        <w:autoSpaceDE/>
        <w:autoSpaceDN/>
        <w:adjustRightInd/>
        <w:jc w:val="both"/>
        <w:rPr>
          <w:b/>
          <w:sz w:val="24"/>
          <w:szCs w:val="24"/>
          <w:lang w:val="it-IT"/>
        </w:rPr>
      </w:pPr>
      <w:r>
        <w:rPr>
          <w:b/>
          <w:sz w:val="24"/>
          <w:szCs w:val="24"/>
          <w:lang w:val="it-IT"/>
        </w:rPr>
        <w:t xml:space="preserve">File no. 91/116/2016 - Calarasi Court </w:t>
      </w:r>
    </w:p>
    <w:p w:rsidR="00452793" w:rsidRDefault="00452793" w:rsidP="00452793">
      <w:pPr>
        <w:jc w:val="both"/>
        <w:rPr>
          <w:b/>
          <w:sz w:val="24"/>
          <w:szCs w:val="24"/>
          <w:lang w:val="it-IT"/>
        </w:rPr>
      </w:pPr>
      <w:r>
        <w:rPr>
          <w:b/>
          <w:sz w:val="24"/>
          <w:szCs w:val="24"/>
          <w:lang w:val="it-IT"/>
        </w:rPr>
        <w:t>Parties</w:t>
      </w:r>
      <w:r>
        <w:rPr>
          <w:bCs/>
          <w:sz w:val="24"/>
          <w:szCs w:val="24"/>
          <w:lang w:val="it-IT"/>
        </w:rPr>
        <w:t xml:space="preserve">: Conpet - </w:t>
      </w:r>
      <w:r>
        <w:rPr>
          <w:bCs/>
          <w:sz w:val="24"/>
          <w:szCs w:val="24"/>
        </w:rPr>
        <w:t>plaintiff</w:t>
      </w:r>
    </w:p>
    <w:p w:rsidR="00452793" w:rsidRDefault="00452793" w:rsidP="00452793">
      <w:pPr>
        <w:jc w:val="both"/>
        <w:rPr>
          <w:b/>
          <w:sz w:val="24"/>
          <w:szCs w:val="24"/>
          <w:lang w:val="it-IT"/>
        </w:rPr>
      </w:pPr>
      <w:r>
        <w:rPr>
          <w:sz w:val="24"/>
          <w:szCs w:val="24"/>
        </w:rPr>
        <w:t>Nitu Gh. Nicolae, Stancu N. Alexandru Emilian, Avram Gheorghe, Anton T. Petrisor, Tanase M. Vasile Aurel, Bucur G. Mădălin Cristian</w:t>
      </w:r>
      <w:r>
        <w:rPr>
          <w:bCs/>
          <w:sz w:val="24"/>
          <w:szCs w:val="24"/>
          <w:lang w:val="it-IT"/>
        </w:rPr>
        <w:t xml:space="preserve"> - defendants </w:t>
      </w:r>
    </w:p>
    <w:p w:rsidR="00452793" w:rsidRDefault="00452793" w:rsidP="00452793">
      <w:pPr>
        <w:jc w:val="both"/>
        <w:rPr>
          <w:bCs/>
          <w:sz w:val="24"/>
          <w:szCs w:val="24"/>
          <w:lang w:val="it-IT"/>
        </w:rPr>
      </w:pPr>
      <w:r>
        <w:rPr>
          <w:b/>
          <w:sz w:val="24"/>
          <w:szCs w:val="24"/>
          <w:lang w:val="it-IT"/>
        </w:rPr>
        <w:t>Subject</w:t>
      </w:r>
      <w:r>
        <w:rPr>
          <w:bCs/>
          <w:sz w:val="24"/>
          <w:szCs w:val="24"/>
          <w:lang w:val="it-IT"/>
        </w:rPr>
        <w:t xml:space="preserve">: Establishment of a organized criminal group (art. 367 NCP) paragraph 1 Cp Conpet SA </w:t>
      </w:r>
      <w:r>
        <w:rPr>
          <w:bCs/>
          <w:sz w:val="24"/>
          <w:szCs w:val="24"/>
        </w:rPr>
        <w:t>plaintiff</w:t>
      </w:r>
      <w:r>
        <w:rPr>
          <w:bCs/>
          <w:sz w:val="24"/>
          <w:szCs w:val="24"/>
          <w:lang w:val="it-IT"/>
        </w:rPr>
        <w:t xml:space="preserve"> to </w:t>
      </w:r>
      <w:r>
        <w:rPr>
          <w:bCs/>
          <w:sz w:val="24"/>
          <w:szCs w:val="24"/>
        </w:rPr>
        <w:t xml:space="preserve">RON </w:t>
      </w:r>
      <w:r>
        <w:rPr>
          <w:bCs/>
          <w:sz w:val="24"/>
          <w:szCs w:val="24"/>
          <w:lang w:val="it-IT"/>
        </w:rPr>
        <w:t>95</w:t>
      </w:r>
      <w:r>
        <w:rPr>
          <w:bCs/>
          <w:sz w:val="24"/>
          <w:szCs w:val="24"/>
        </w:rPr>
        <w:t>.</w:t>
      </w:r>
      <w:r>
        <w:rPr>
          <w:bCs/>
          <w:sz w:val="24"/>
          <w:szCs w:val="24"/>
          <w:lang w:val="it-IT"/>
        </w:rPr>
        <w:t>243</w:t>
      </w:r>
      <w:r>
        <w:rPr>
          <w:bCs/>
          <w:sz w:val="24"/>
          <w:szCs w:val="24"/>
        </w:rPr>
        <w:t>,</w:t>
      </w:r>
      <w:r>
        <w:rPr>
          <w:bCs/>
          <w:sz w:val="24"/>
          <w:szCs w:val="24"/>
          <w:lang w:val="it-IT"/>
        </w:rPr>
        <w:t xml:space="preserve">71 representing the amount of lost </w:t>
      </w:r>
      <w:r>
        <w:rPr>
          <w:bCs/>
          <w:sz w:val="24"/>
          <w:szCs w:val="24"/>
        </w:rPr>
        <w:t xml:space="preserve">crude </w:t>
      </w:r>
      <w:r>
        <w:rPr>
          <w:bCs/>
          <w:sz w:val="24"/>
          <w:szCs w:val="24"/>
          <w:lang w:val="it-IT"/>
        </w:rPr>
        <w:t>oil (</w:t>
      </w:r>
      <w:r>
        <w:rPr>
          <w:bCs/>
          <w:sz w:val="24"/>
          <w:szCs w:val="24"/>
        </w:rPr>
        <w:t xml:space="preserve">RON </w:t>
      </w:r>
      <w:r>
        <w:rPr>
          <w:bCs/>
          <w:sz w:val="24"/>
          <w:szCs w:val="24"/>
          <w:lang w:val="it-IT"/>
        </w:rPr>
        <w:t>79</w:t>
      </w:r>
      <w:r>
        <w:rPr>
          <w:bCs/>
          <w:sz w:val="24"/>
          <w:szCs w:val="24"/>
        </w:rPr>
        <w:t>.</w:t>
      </w:r>
      <w:r>
        <w:rPr>
          <w:bCs/>
          <w:sz w:val="24"/>
          <w:szCs w:val="24"/>
          <w:lang w:val="it-IT"/>
        </w:rPr>
        <w:t>624</w:t>
      </w:r>
      <w:r>
        <w:rPr>
          <w:bCs/>
          <w:sz w:val="24"/>
          <w:szCs w:val="24"/>
        </w:rPr>
        <w:t>,</w:t>
      </w:r>
      <w:r>
        <w:rPr>
          <w:bCs/>
          <w:sz w:val="24"/>
          <w:szCs w:val="24"/>
          <w:lang w:val="it-IT"/>
        </w:rPr>
        <w:t>98 ) and remedial work (</w:t>
      </w:r>
      <w:r>
        <w:rPr>
          <w:bCs/>
          <w:sz w:val="24"/>
          <w:szCs w:val="24"/>
        </w:rPr>
        <w:t xml:space="preserve">RON </w:t>
      </w:r>
      <w:r>
        <w:rPr>
          <w:bCs/>
          <w:sz w:val="24"/>
          <w:szCs w:val="24"/>
          <w:lang w:val="it-IT"/>
        </w:rPr>
        <w:t>15</w:t>
      </w:r>
      <w:r>
        <w:rPr>
          <w:bCs/>
          <w:sz w:val="24"/>
          <w:szCs w:val="24"/>
        </w:rPr>
        <w:t>.</w:t>
      </w:r>
      <w:r>
        <w:rPr>
          <w:bCs/>
          <w:sz w:val="24"/>
          <w:szCs w:val="24"/>
          <w:lang w:val="it-IT"/>
        </w:rPr>
        <w:t>618</w:t>
      </w:r>
      <w:r>
        <w:rPr>
          <w:bCs/>
          <w:sz w:val="24"/>
          <w:szCs w:val="24"/>
        </w:rPr>
        <w:t>,</w:t>
      </w:r>
      <w:r>
        <w:rPr>
          <w:bCs/>
          <w:sz w:val="24"/>
          <w:szCs w:val="24"/>
          <w:lang w:val="it-IT"/>
        </w:rPr>
        <w:t xml:space="preserve">73). </w:t>
      </w:r>
    </w:p>
    <w:p w:rsidR="00452793" w:rsidRDefault="00452793" w:rsidP="00452793">
      <w:pPr>
        <w:jc w:val="both"/>
        <w:rPr>
          <w:bCs/>
          <w:sz w:val="24"/>
          <w:szCs w:val="24"/>
          <w:lang w:val="it-IT"/>
        </w:rPr>
      </w:pPr>
      <w:r>
        <w:rPr>
          <w:b/>
          <w:sz w:val="24"/>
          <w:szCs w:val="24"/>
          <w:lang w:val="it-IT"/>
        </w:rPr>
        <w:t xml:space="preserve">Stage </w:t>
      </w:r>
      <w:r>
        <w:rPr>
          <w:b/>
          <w:sz w:val="24"/>
          <w:szCs w:val="24"/>
        </w:rPr>
        <w:t>of the trial</w:t>
      </w:r>
      <w:r>
        <w:rPr>
          <w:bCs/>
          <w:sz w:val="24"/>
          <w:szCs w:val="24"/>
          <w:lang w:val="it-IT"/>
        </w:rPr>
        <w:t xml:space="preserve">: Fund </w:t>
      </w:r>
    </w:p>
    <w:p w:rsidR="00452793" w:rsidRDefault="00452793" w:rsidP="00452793">
      <w:pPr>
        <w:jc w:val="both"/>
        <w:rPr>
          <w:sz w:val="24"/>
          <w:szCs w:val="24"/>
        </w:rPr>
      </w:pPr>
      <w:r>
        <w:rPr>
          <w:b/>
          <w:sz w:val="24"/>
          <w:szCs w:val="24"/>
        </w:rPr>
        <w:t>Hearing</w:t>
      </w:r>
      <w:r>
        <w:rPr>
          <w:bCs/>
          <w:sz w:val="24"/>
          <w:szCs w:val="24"/>
          <w:lang w:val="it-IT"/>
        </w:rPr>
        <w:t xml:space="preserve">: </w:t>
      </w:r>
      <w:r>
        <w:rPr>
          <w:bCs/>
          <w:sz w:val="24"/>
          <w:szCs w:val="24"/>
        </w:rPr>
        <w:t xml:space="preserve">Verdict pending </w:t>
      </w:r>
      <w:r>
        <w:rPr>
          <w:bCs/>
          <w:sz w:val="24"/>
          <w:szCs w:val="24"/>
          <w:lang w:val="it-IT"/>
        </w:rPr>
        <w:t xml:space="preserve">on </w:t>
      </w:r>
      <w:proofErr w:type="gramStart"/>
      <w:r>
        <w:rPr>
          <w:bCs/>
          <w:sz w:val="24"/>
          <w:szCs w:val="24"/>
          <w:lang w:val="it-IT"/>
        </w:rPr>
        <w:t>23</w:t>
      </w:r>
      <w:r>
        <w:rPr>
          <w:bCs/>
          <w:sz w:val="24"/>
          <w:szCs w:val="24"/>
          <w:vertAlign w:val="superscript"/>
        </w:rPr>
        <w:t>rd</w:t>
      </w:r>
      <w:proofErr w:type="gramEnd"/>
      <w:r>
        <w:rPr>
          <w:bCs/>
          <w:sz w:val="24"/>
          <w:szCs w:val="24"/>
        </w:rPr>
        <w:t xml:space="preserve"> July </w:t>
      </w:r>
      <w:r>
        <w:rPr>
          <w:bCs/>
          <w:sz w:val="24"/>
          <w:szCs w:val="24"/>
          <w:lang w:val="it-IT"/>
        </w:rPr>
        <w:t>2018</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D87DA4">
      <w:pPr>
        <w:widowControl/>
        <w:numPr>
          <w:ilvl w:val="0"/>
          <w:numId w:val="47"/>
        </w:numPr>
        <w:autoSpaceDE/>
        <w:autoSpaceDN/>
        <w:adjustRightInd/>
        <w:jc w:val="both"/>
        <w:rPr>
          <w:rFonts w:eastAsia="SimSun"/>
          <w:sz w:val="24"/>
          <w:szCs w:val="24"/>
          <w:shd w:val="clear" w:color="auto" w:fill="FFFFFF"/>
        </w:rPr>
      </w:pPr>
      <w:r>
        <w:rPr>
          <w:b/>
          <w:sz w:val="24"/>
          <w:szCs w:val="24"/>
          <w:lang w:val="it-IT"/>
        </w:rPr>
        <w:t>File no.</w:t>
      </w:r>
      <w:r>
        <w:rPr>
          <w:b/>
          <w:sz w:val="24"/>
          <w:szCs w:val="24"/>
        </w:rPr>
        <w:t xml:space="preserve"> </w:t>
      </w:r>
      <w:r>
        <w:rPr>
          <w:rFonts w:eastAsia="SimSun"/>
          <w:b/>
          <w:bCs/>
          <w:sz w:val="24"/>
          <w:szCs w:val="24"/>
          <w:shd w:val="clear" w:color="auto" w:fill="FFFFFF"/>
        </w:rPr>
        <w:t>8156/281/2014 - Ploiesti Court</w:t>
      </w:r>
      <w:r>
        <w:rPr>
          <w:rFonts w:eastAsia="SimSun"/>
          <w:sz w:val="24"/>
          <w:szCs w:val="24"/>
          <w:shd w:val="clear" w:color="auto" w:fill="FFFFFF"/>
        </w:rPr>
        <w:t xml:space="preserve"> </w:t>
      </w:r>
    </w:p>
    <w:p w:rsidR="00452793" w:rsidRDefault="00452793" w:rsidP="00452793">
      <w:pPr>
        <w:jc w:val="both"/>
        <w:rPr>
          <w:rFonts w:eastAsia="SimSun"/>
          <w:sz w:val="24"/>
          <w:szCs w:val="24"/>
          <w:shd w:val="clear" w:color="auto" w:fill="FFFFFF"/>
        </w:rPr>
      </w:pPr>
      <w:r>
        <w:rPr>
          <w:rFonts w:eastAsia="SimSun"/>
          <w:b/>
          <w:bCs/>
          <w:sz w:val="24"/>
          <w:szCs w:val="24"/>
          <w:shd w:val="clear" w:color="auto" w:fill="FFFFFF"/>
        </w:rPr>
        <w:t>Parties:</w:t>
      </w:r>
      <w:r>
        <w:rPr>
          <w:rFonts w:eastAsia="SimSun"/>
          <w:sz w:val="24"/>
          <w:szCs w:val="24"/>
          <w:shd w:val="clear" w:color="auto" w:fill="FFFFFF"/>
        </w:rPr>
        <w:t xml:space="preserve"> Conpet SA </w:t>
      </w:r>
      <w:proofErr w:type="gramStart"/>
      <w:r>
        <w:rPr>
          <w:rFonts w:eastAsia="SimSun"/>
          <w:sz w:val="24"/>
          <w:szCs w:val="24"/>
          <w:shd w:val="clear" w:color="auto" w:fill="FFFFFF"/>
        </w:rPr>
        <w:t>-  plaintiff</w:t>
      </w:r>
      <w:proofErr w:type="gramEnd"/>
      <w:r>
        <w:rPr>
          <w:rFonts w:eastAsia="SimSun"/>
          <w:sz w:val="24"/>
          <w:szCs w:val="24"/>
          <w:shd w:val="clear" w:color="auto" w:fill="FFFFFF"/>
        </w:rPr>
        <w:t xml:space="preserve"> </w:t>
      </w:r>
    </w:p>
    <w:p w:rsidR="00452793" w:rsidRDefault="00452793" w:rsidP="00452793">
      <w:pPr>
        <w:ind w:firstLineChars="350" w:firstLine="840"/>
        <w:jc w:val="both"/>
        <w:rPr>
          <w:rFonts w:eastAsia="SimSun"/>
          <w:sz w:val="24"/>
          <w:szCs w:val="24"/>
          <w:shd w:val="clear" w:color="auto" w:fill="FFFFFF"/>
        </w:rPr>
      </w:pPr>
      <w:r>
        <w:rPr>
          <w:rFonts w:eastAsia="SimSun"/>
          <w:sz w:val="24"/>
          <w:szCs w:val="24"/>
          <w:shd w:val="clear" w:color="auto" w:fill="FFFFFF"/>
        </w:rPr>
        <w:t>Matei Marinel - applicant</w:t>
      </w:r>
    </w:p>
    <w:p w:rsidR="00452793" w:rsidRDefault="00452793" w:rsidP="00452793">
      <w:pPr>
        <w:jc w:val="both"/>
        <w:rPr>
          <w:rFonts w:eastAsia="SimSun"/>
          <w:sz w:val="24"/>
          <w:szCs w:val="24"/>
          <w:shd w:val="clear" w:color="auto" w:fill="FFFFFF"/>
        </w:rPr>
      </w:pPr>
      <w:r>
        <w:rPr>
          <w:rFonts w:eastAsia="SimSun"/>
          <w:b/>
          <w:bCs/>
          <w:sz w:val="24"/>
          <w:szCs w:val="24"/>
          <w:shd w:val="clear" w:color="auto" w:fill="FFFFFF"/>
        </w:rPr>
        <w:t>Subject</w:t>
      </w:r>
      <w:r>
        <w:rPr>
          <w:rFonts w:eastAsia="SimSun"/>
          <w:sz w:val="24"/>
          <w:szCs w:val="24"/>
          <w:shd w:val="clear" w:color="auto" w:fill="FFFFFF"/>
        </w:rPr>
        <w:t>: Aggravated theft. Revision. Matei Marinel applies for revision of the criminal decision no. 1383/14.10.2013 of the Court of Appeal Ploiesti in case no. 19230/281/2011. </w:t>
      </w:r>
    </w:p>
    <w:p w:rsidR="00452793" w:rsidRDefault="00452793" w:rsidP="00452793">
      <w:pPr>
        <w:jc w:val="both"/>
        <w:rPr>
          <w:rFonts w:eastAsia="SimSun"/>
          <w:sz w:val="24"/>
          <w:szCs w:val="24"/>
          <w:shd w:val="clear" w:color="auto" w:fill="FFFFFF"/>
        </w:rPr>
      </w:pPr>
      <w:r>
        <w:rPr>
          <w:rFonts w:eastAsia="SimSun"/>
          <w:b/>
          <w:bCs/>
          <w:sz w:val="24"/>
          <w:szCs w:val="24"/>
          <w:shd w:val="clear" w:color="auto" w:fill="FFFFFF"/>
        </w:rPr>
        <w:t>Stage of trial</w:t>
      </w:r>
      <w:r>
        <w:rPr>
          <w:rFonts w:eastAsia="SimSun"/>
          <w:sz w:val="24"/>
          <w:szCs w:val="24"/>
          <w:shd w:val="clear" w:color="auto" w:fill="FFFFFF"/>
        </w:rPr>
        <w:t>: First Instance</w:t>
      </w:r>
    </w:p>
    <w:p w:rsidR="00452793" w:rsidRDefault="00452793" w:rsidP="00452793">
      <w:pPr>
        <w:jc w:val="both"/>
        <w:rPr>
          <w:sz w:val="24"/>
          <w:szCs w:val="24"/>
        </w:rPr>
      </w:pPr>
      <w:r>
        <w:rPr>
          <w:rFonts w:eastAsia="SimSun"/>
          <w:b/>
          <w:bCs/>
          <w:sz w:val="24"/>
          <w:szCs w:val="24"/>
          <w:shd w:val="clear" w:color="auto" w:fill="FFFFFF"/>
        </w:rPr>
        <w:t>Hearing</w:t>
      </w:r>
      <w:r>
        <w:rPr>
          <w:rFonts w:eastAsia="SimSun"/>
          <w:sz w:val="24"/>
          <w:szCs w:val="24"/>
          <w:shd w:val="clear" w:color="auto" w:fill="FFFFFF"/>
        </w:rPr>
        <w:t xml:space="preserve">: </w:t>
      </w:r>
      <w:proofErr w:type="gramStart"/>
      <w:r>
        <w:rPr>
          <w:rFonts w:eastAsia="SimSun"/>
          <w:sz w:val="24"/>
          <w:szCs w:val="24"/>
          <w:shd w:val="clear" w:color="auto" w:fill="FFFFFF"/>
        </w:rPr>
        <w:t>19</w:t>
      </w:r>
      <w:r>
        <w:rPr>
          <w:rFonts w:eastAsia="SimSun"/>
          <w:sz w:val="24"/>
          <w:szCs w:val="24"/>
          <w:shd w:val="clear" w:color="auto" w:fill="FFFFFF"/>
          <w:vertAlign w:val="superscript"/>
        </w:rPr>
        <w:t>th</w:t>
      </w:r>
      <w:proofErr w:type="gramEnd"/>
      <w:r>
        <w:rPr>
          <w:rFonts w:eastAsia="SimSun"/>
          <w:sz w:val="24"/>
          <w:szCs w:val="24"/>
          <w:shd w:val="clear" w:color="auto" w:fill="FFFFFF"/>
        </w:rPr>
        <w:t xml:space="preserve"> July 2018</w:t>
      </w:r>
    </w:p>
    <w:p w:rsidR="00452793" w:rsidRDefault="00452793" w:rsidP="00452793">
      <w:pPr>
        <w:jc w:val="both"/>
        <w:rPr>
          <w:sz w:val="24"/>
          <w:szCs w:val="24"/>
        </w:rPr>
      </w:pPr>
    </w:p>
    <w:p w:rsidR="00452793" w:rsidRDefault="00452793" w:rsidP="00D87DA4">
      <w:pPr>
        <w:widowControl/>
        <w:numPr>
          <w:ilvl w:val="0"/>
          <w:numId w:val="47"/>
        </w:numPr>
        <w:autoSpaceDE/>
        <w:autoSpaceDN/>
        <w:adjustRightInd/>
        <w:rPr>
          <w:b/>
          <w:sz w:val="24"/>
          <w:szCs w:val="24"/>
        </w:rPr>
      </w:pPr>
      <w:r>
        <w:rPr>
          <w:b/>
          <w:sz w:val="24"/>
          <w:szCs w:val="24"/>
        </w:rPr>
        <w:t xml:space="preserve">File no. 2694/236/2016 - Giurgiu Court - B. Olteanu </w:t>
      </w:r>
    </w:p>
    <w:p w:rsidR="00452793" w:rsidRDefault="00452793" w:rsidP="00452793">
      <w:pPr>
        <w:rPr>
          <w:bCs/>
          <w:sz w:val="24"/>
          <w:szCs w:val="24"/>
        </w:rPr>
      </w:pPr>
      <w:r>
        <w:rPr>
          <w:b/>
          <w:sz w:val="24"/>
          <w:szCs w:val="24"/>
        </w:rPr>
        <w:t xml:space="preserve">Parties: </w:t>
      </w:r>
      <w:r>
        <w:rPr>
          <w:bCs/>
          <w:sz w:val="24"/>
          <w:szCs w:val="24"/>
        </w:rPr>
        <w:t>Conpet by BEJ Radut Nicoleta - applicant</w:t>
      </w:r>
    </w:p>
    <w:p w:rsidR="00452793" w:rsidRDefault="00452793" w:rsidP="00452793">
      <w:pPr>
        <w:rPr>
          <w:bCs/>
          <w:sz w:val="24"/>
          <w:szCs w:val="24"/>
        </w:rPr>
      </w:pPr>
      <w:r>
        <w:rPr>
          <w:bCs/>
          <w:sz w:val="24"/>
          <w:szCs w:val="24"/>
        </w:rPr>
        <w:t xml:space="preserve">Conpet - creditor </w:t>
      </w:r>
    </w:p>
    <w:p w:rsidR="00452793" w:rsidRDefault="00452793" w:rsidP="00452793">
      <w:pPr>
        <w:rPr>
          <w:bCs/>
          <w:sz w:val="24"/>
          <w:szCs w:val="24"/>
        </w:rPr>
      </w:pPr>
      <w:r>
        <w:rPr>
          <w:bCs/>
          <w:sz w:val="24"/>
          <w:szCs w:val="24"/>
        </w:rPr>
        <w:t xml:space="preserve">Stan Remus Constantin - debtor </w:t>
      </w:r>
    </w:p>
    <w:p w:rsidR="00452793" w:rsidRDefault="00452793" w:rsidP="00452793">
      <w:pPr>
        <w:rPr>
          <w:b/>
          <w:sz w:val="24"/>
          <w:szCs w:val="24"/>
        </w:rPr>
      </w:pPr>
      <w:r>
        <w:rPr>
          <w:bCs/>
          <w:sz w:val="24"/>
          <w:szCs w:val="24"/>
        </w:rPr>
        <w:t xml:space="preserve">SC Trans Denimar SRL - seized third party </w:t>
      </w:r>
    </w:p>
    <w:p w:rsidR="00452793" w:rsidRDefault="00452793" w:rsidP="00452793">
      <w:pPr>
        <w:rPr>
          <w:bCs/>
          <w:sz w:val="24"/>
          <w:szCs w:val="24"/>
        </w:rPr>
      </w:pPr>
      <w:proofErr w:type="gramStart"/>
      <w:r>
        <w:rPr>
          <w:b/>
          <w:sz w:val="24"/>
          <w:szCs w:val="24"/>
        </w:rPr>
        <w:t xml:space="preserve">Subject: </w:t>
      </w:r>
      <w:r>
        <w:rPr>
          <w:bCs/>
          <w:sz w:val="24"/>
          <w:szCs w:val="24"/>
        </w:rPr>
        <w:t xml:space="preserve">BEJ Radut Nicoleta requesting validation of attachment established by letter dated 01.22.2016 the enforcement file no. 207/2015 of BEJ Radut Nicoleta under the right of enforcement decision - Criminal sentence no. 142 from 09.14.2014 given by the Calarasi Court in case no. 2623/116/2013 on amounts owed or possible future debts that the third party Trans Denimar SRL is going to have, up to the amount for which it was established, namely RON 17.708,55 representing consideration of works repair to damaged pipes; RON 2.349,44 representing expenses of enforcement; 1645.62 lei representing executor fee, including VAT, third party being ordered to transfer the total flow of RON 17.708,55 plus the expenses issued during the </w:t>
      </w:r>
      <w:r>
        <w:rPr>
          <w:bCs/>
          <w:sz w:val="24"/>
          <w:szCs w:val="24"/>
        </w:rPr>
        <w:lastRenderedPageBreak/>
        <w:t>enforcement process, to the account opened at BCR, branch Izvor, on the name of Raduta Nicoleta BEJ.</w:t>
      </w:r>
      <w:proofErr w:type="gramEnd"/>
      <w:r>
        <w:rPr>
          <w:bCs/>
          <w:sz w:val="24"/>
          <w:szCs w:val="24"/>
        </w:rPr>
        <w:t xml:space="preserve"> </w:t>
      </w:r>
    </w:p>
    <w:p w:rsidR="00452793" w:rsidRDefault="00452793" w:rsidP="00452793">
      <w:pPr>
        <w:rPr>
          <w:bCs/>
          <w:sz w:val="24"/>
          <w:szCs w:val="24"/>
        </w:rPr>
      </w:pPr>
      <w:r>
        <w:rPr>
          <w:b/>
          <w:sz w:val="24"/>
          <w:szCs w:val="24"/>
        </w:rPr>
        <w:t>Clarifications</w:t>
      </w:r>
      <w:r>
        <w:rPr>
          <w:bCs/>
          <w:sz w:val="24"/>
          <w:szCs w:val="24"/>
        </w:rPr>
        <w:t xml:space="preserve">: By the civil sentence no. 7772 / </w:t>
      </w:r>
      <w:proofErr w:type="gramStart"/>
      <w:r>
        <w:rPr>
          <w:bCs/>
          <w:sz w:val="24"/>
          <w:szCs w:val="24"/>
        </w:rPr>
        <w:t>11.16.2016 ,</w:t>
      </w:r>
      <w:proofErr w:type="gramEnd"/>
      <w:r>
        <w:rPr>
          <w:bCs/>
          <w:sz w:val="24"/>
          <w:szCs w:val="24"/>
        </w:rPr>
        <w:t xml:space="preserve"> the Giurgiu Court admitted the appeal made by BEJ Răduţă Nicoleta against debtor Stan Constantin Remus, seized third party and creditor Trans Denimar SRL Conpet SA. Validates attachment founded by letter dated </w:t>
      </w:r>
      <w:proofErr w:type="gramStart"/>
      <w:r>
        <w:rPr>
          <w:bCs/>
          <w:sz w:val="24"/>
          <w:szCs w:val="24"/>
        </w:rPr>
        <w:t>22</w:t>
      </w:r>
      <w:r>
        <w:rPr>
          <w:bCs/>
          <w:sz w:val="24"/>
          <w:szCs w:val="24"/>
          <w:vertAlign w:val="superscript"/>
        </w:rPr>
        <w:t>nd</w:t>
      </w:r>
      <w:proofErr w:type="gramEnd"/>
      <w:r>
        <w:rPr>
          <w:bCs/>
          <w:sz w:val="24"/>
          <w:szCs w:val="24"/>
        </w:rPr>
        <w:t xml:space="preserve"> Jan 2016 the enforcement file no. 207/2015 for RON 17.708,55 representing flow and execution expenses. Orders Denimar SRL, Trans seized third party, to pay the creditor Conpet SA, in the account of BEJ Răduţă Nicoleta up to the debt limit, the amount owed to the debtor Remus Constantin Stan, </w:t>
      </w:r>
      <w:proofErr w:type="gramStart"/>
      <w:r>
        <w:rPr>
          <w:bCs/>
          <w:sz w:val="24"/>
          <w:szCs w:val="24"/>
        </w:rPr>
        <w:t>the</w:t>
      </w:r>
      <w:proofErr w:type="gramEnd"/>
      <w:r>
        <w:rPr>
          <w:bCs/>
          <w:sz w:val="24"/>
          <w:szCs w:val="24"/>
        </w:rPr>
        <w:t xml:space="preserve"> monthly installments of 1/3 of the amounts owed to the debtor by means of rent, according to the contract no. 160 / 19.02.2008. </w:t>
      </w:r>
    </w:p>
    <w:p w:rsidR="00452793" w:rsidRDefault="00452793" w:rsidP="00452793">
      <w:pPr>
        <w:rPr>
          <w:b/>
          <w:sz w:val="24"/>
          <w:szCs w:val="24"/>
        </w:rPr>
      </w:pPr>
      <w:r>
        <w:rPr>
          <w:bCs/>
          <w:sz w:val="24"/>
          <w:szCs w:val="24"/>
        </w:rPr>
        <w:t xml:space="preserve">The sentence </w:t>
      </w:r>
      <w:proofErr w:type="gramStart"/>
      <w:r>
        <w:rPr>
          <w:bCs/>
          <w:sz w:val="24"/>
          <w:szCs w:val="24"/>
        </w:rPr>
        <w:t>may be appealed</w:t>
      </w:r>
      <w:proofErr w:type="gramEnd"/>
      <w:r>
        <w:rPr>
          <w:bCs/>
          <w:sz w:val="24"/>
          <w:szCs w:val="24"/>
        </w:rPr>
        <w:t xml:space="preserve"> by communication.</w:t>
      </w:r>
      <w:r>
        <w:rPr>
          <w:b/>
          <w:sz w:val="24"/>
          <w:szCs w:val="24"/>
        </w:rPr>
        <w:t xml:space="preserve"> </w:t>
      </w:r>
    </w:p>
    <w:p w:rsidR="00452793" w:rsidRDefault="00452793" w:rsidP="00452793">
      <w:pPr>
        <w:rPr>
          <w:b/>
          <w:sz w:val="24"/>
          <w:szCs w:val="24"/>
        </w:rPr>
      </w:pPr>
      <w:r>
        <w:rPr>
          <w:b/>
          <w:sz w:val="24"/>
          <w:szCs w:val="24"/>
        </w:rPr>
        <w:t xml:space="preserve">Stage of trial: - </w:t>
      </w:r>
    </w:p>
    <w:p w:rsidR="00452793" w:rsidRDefault="00452793" w:rsidP="00452793">
      <w:pPr>
        <w:rPr>
          <w:b/>
          <w:sz w:val="24"/>
          <w:szCs w:val="24"/>
        </w:rPr>
      </w:pPr>
      <w:r>
        <w:rPr>
          <w:b/>
          <w:sz w:val="24"/>
          <w:szCs w:val="24"/>
        </w:rPr>
        <w:t>Hearing: -</w:t>
      </w:r>
    </w:p>
    <w:p w:rsidR="00452793" w:rsidRDefault="00452793" w:rsidP="00452793">
      <w:pPr>
        <w:rPr>
          <w:b/>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 xml:space="preserve">22. File no. 8115/281/2016 – Prahova Court </w:t>
      </w:r>
    </w:p>
    <w:p w:rsidR="00452793" w:rsidRDefault="00452793" w:rsidP="00452793">
      <w:pPr>
        <w:jc w:val="both"/>
        <w:rPr>
          <w:sz w:val="24"/>
          <w:szCs w:val="24"/>
        </w:rPr>
      </w:pPr>
      <w:r>
        <w:rPr>
          <w:b/>
          <w:sz w:val="24"/>
          <w:szCs w:val="24"/>
        </w:rPr>
        <w:t>Parties:</w:t>
      </w:r>
      <w:r>
        <w:rPr>
          <w:sz w:val="24"/>
          <w:szCs w:val="24"/>
        </w:rPr>
        <w:t xml:space="preserve"> Conpet SA – appellant</w:t>
      </w:r>
    </w:p>
    <w:p w:rsidR="00452793" w:rsidRDefault="00452793" w:rsidP="00452793">
      <w:pPr>
        <w:jc w:val="both"/>
        <w:rPr>
          <w:sz w:val="24"/>
          <w:szCs w:val="24"/>
        </w:rPr>
      </w:pPr>
      <w:r>
        <w:rPr>
          <w:sz w:val="24"/>
          <w:szCs w:val="24"/>
        </w:rPr>
        <w:t xml:space="preserve">       Dobrogeanu Dumitru - respondant</w:t>
      </w:r>
    </w:p>
    <w:p w:rsidR="00452793" w:rsidRDefault="00452793" w:rsidP="00452793">
      <w:pPr>
        <w:jc w:val="both"/>
        <w:rPr>
          <w:sz w:val="24"/>
          <w:szCs w:val="24"/>
        </w:rPr>
      </w:pPr>
      <w:r>
        <w:rPr>
          <w:b/>
          <w:bCs/>
          <w:sz w:val="24"/>
          <w:szCs w:val="24"/>
        </w:rPr>
        <w:t>Subject</w:t>
      </w:r>
      <w:r>
        <w:rPr>
          <w:sz w:val="24"/>
          <w:szCs w:val="24"/>
        </w:rPr>
        <w:t>: Appeal enforcement. Conpet appeals against the decision dated 04.01.2016 issued by BEJ Divoiu Maria regarding the file no. 468/2015, claiming the court under Art. 719 Code of Civil Procedure the annulment of the conclusion and exempting our company from payment of RON11.067</w:t>
      </w:r>
      <w:proofErr w:type="gramStart"/>
      <w:r>
        <w:rPr>
          <w:sz w:val="24"/>
          <w:szCs w:val="24"/>
        </w:rPr>
        <w:t>,41</w:t>
      </w:r>
      <w:proofErr w:type="gramEnd"/>
      <w:r>
        <w:rPr>
          <w:sz w:val="24"/>
          <w:szCs w:val="24"/>
        </w:rPr>
        <w:t xml:space="preserve"> as subject to enforcement. </w:t>
      </w:r>
    </w:p>
    <w:p w:rsidR="00452793" w:rsidRDefault="00452793" w:rsidP="00452793">
      <w:pPr>
        <w:jc w:val="both"/>
        <w:rPr>
          <w:sz w:val="24"/>
          <w:szCs w:val="24"/>
        </w:rPr>
      </w:pPr>
      <w:r>
        <w:rPr>
          <w:b/>
          <w:bCs/>
          <w:sz w:val="24"/>
          <w:szCs w:val="24"/>
        </w:rPr>
        <w:t>Clarifications</w:t>
      </w:r>
      <w:r>
        <w:rPr>
          <w:sz w:val="24"/>
          <w:szCs w:val="24"/>
        </w:rPr>
        <w:t>: Ploiesti Court admits the connexity plea invoked ex officio. It orders annexing this file to case no. 983/281/2016 of Ploiesti Court. The sentence no. 8369 / 19.10.2017 issued in case no. 983/281/2016 Ploiesti Court admits appeal to execution made by the appellant Conpet SA. It cancels the execution documents drawn by BEJ Divoiu Mariafor the enforcement file no. 468/2015, as follows: notification dated 17</w:t>
      </w:r>
      <w:r>
        <w:rPr>
          <w:sz w:val="24"/>
          <w:szCs w:val="24"/>
          <w:vertAlign w:val="superscript"/>
        </w:rPr>
        <w:t>th</w:t>
      </w:r>
      <w:r>
        <w:rPr>
          <w:sz w:val="24"/>
          <w:szCs w:val="24"/>
        </w:rPr>
        <w:t xml:space="preserve"> Dec2015, the order dated 17</w:t>
      </w:r>
      <w:r>
        <w:rPr>
          <w:sz w:val="24"/>
          <w:szCs w:val="24"/>
          <w:vertAlign w:val="superscript"/>
        </w:rPr>
        <w:t>th</w:t>
      </w:r>
      <w:r>
        <w:rPr>
          <w:sz w:val="24"/>
          <w:szCs w:val="24"/>
        </w:rPr>
        <w:t xml:space="preserve"> Dec2015, concluding declaration of enforcement dated 17</w:t>
      </w:r>
      <w:r>
        <w:rPr>
          <w:sz w:val="24"/>
          <w:szCs w:val="24"/>
          <w:vertAlign w:val="superscript"/>
        </w:rPr>
        <w:t>th</w:t>
      </w:r>
      <w:r>
        <w:rPr>
          <w:sz w:val="24"/>
          <w:szCs w:val="24"/>
        </w:rPr>
        <w:t xml:space="preserve"> Dec 2015, the conclusion of determining the costs of execution dated 17</w:t>
      </w:r>
      <w:r>
        <w:rPr>
          <w:sz w:val="24"/>
          <w:szCs w:val="24"/>
          <w:vertAlign w:val="superscript"/>
        </w:rPr>
        <w:t>th</w:t>
      </w:r>
      <w:r>
        <w:rPr>
          <w:sz w:val="24"/>
          <w:szCs w:val="24"/>
        </w:rPr>
        <w:t xml:space="preserve"> Dec 2015 and completion of updates to inflation of 17 Dec 2015. </w:t>
      </w:r>
    </w:p>
    <w:p w:rsidR="00452793" w:rsidRDefault="00452793" w:rsidP="00452793">
      <w:pPr>
        <w:jc w:val="both"/>
        <w:rPr>
          <w:sz w:val="24"/>
          <w:szCs w:val="24"/>
        </w:rPr>
      </w:pPr>
      <w:r>
        <w:rPr>
          <w:sz w:val="24"/>
          <w:szCs w:val="24"/>
        </w:rPr>
        <w:t>It orders the respondent to pay the appellant the sum of RON 800</w:t>
      </w:r>
      <w:proofErr w:type="gramStart"/>
      <w:r>
        <w:rPr>
          <w:sz w:val="24"/>
          <w:szCs w:val="24"/>
        </w:rPr>
        <w:t>,40</w:t>
      </w:r>
      <w:proofErr w:type="gramEnd"/>
      <w:r>
        <w:rPr>
          <w:sz w:val="24"/>
          <w:szCs w:val="24"/>
        </w:rPr>
        <w:t xml:space="preserve">  for trial expenses, out of which RON 600 represents auditing fees and the sum of 200,40 RON representing consideration for copies of enforcement file no. 468/2015. It rejects as unfounded ordering the defendant to pay the sum of RON 1,000 in respect of costs consisting of judicial taxes</w:t>
      </w:r>
      <w:proofErr w:type="gramStart"/>
      <w:r>
        <w:rPr>
          <w:sz w:val="24"/>
          <w:szCs w:val="24"/>
        </w:rPr>
        <w:t>,The</w:t>
      </w:r>
      <w:proofErr w:type="gramEnd"/>
      <w:r>
        <w:rPr>
          <w:sz w:val="24"/>
          <w:szCs w:val="24"/>
        </w:rPr>
        <w:t xml:space="preserve"> decision was appealed by Conpet. </w:t>
      </w:r>
    </w:p>
    <w:p w:rsidR="00452793" w:rsidRDefault="00452793" w:rsidP="00452793">
      <w:pPr>
        <w:jc w:val="both"/>
        <w:rPr>
          <w:sz w:val="24"/>
          <w:szCs w:val="24"/>
        </w:rPr>
      </w:pPr>
      <w:r>
        <w:rPr>
          <w:b/>
          <w:sz w:val="24"/>
          <w:szCs w:val="24"/>
        </w:rPr>
        <w:t>SStage of the trial:</w:t>
      </w:r>
      <w:r>
        <w:rPr>
          <w:sz w:val="24"/>
          <w:szCs w:val="24"/>
        </w:rPr>
        <w:t xml:space="preserve"> Appeal</w:t>
      </w:r>
    </w:p>
    <w:p w:rsidR="00452793" w:rsidRDefault="00452793" w:rsidP="00452793">
      <w:pPr>
        <w:jc w:val="both"/>
        <w:rPr>
          <w:sz w:val="24"/>
          <w:szCs w:val="24"/>
        </w:rPr>
      </w:pPr>
      <w:r>
        <w:rPr>
          <w:b/>
          <w:sz w:val="24"/>
          <w:szCs w:val="24"/>
        </w:rPr>
        <w:t xml:space="preserve">Hearing: </w:t>
      </w:r>
      <w:r>
        <w:rPr>
          <w:sz w:val="24"/>
          <w:szCs w:val="24"/>
        </w:rPr>
        <w:t>--</w:t>
      </w:r>
    </w:p>
    <w:p w:rsidR="00452793" w:rsidRDefault="00452793" w:rsidP="00452793">
      <w:pPr>
        <w:jc w:val="both"/>
        <w:rPr>
          <w:sz w:val="24"/>
          <w:szCs w:val="24"/>
        </w:rPr>
      </w:pPr>
    </w:p>
    <w:p w:rsidR="00452793" w:rsidRDefault="00452793" w:rsidP="00452793">
      <w:pPr>
        <w:jc w:val="both"/>
        <w:rPr>
          <w:b/>
          <w:sz w:val="24"/>
          <w:szCs w:val="24"/>
        </w:rPr>
      </w:pPr>
      <w:r>
        <w:rPr>
          <w:b/>
          <w:sz w:val="24"/>
          <w:szCs w:val="24"/>
        </w:rPr>
        <w:t>23. File no. 310/120/2016 – Dâmbovița Court</w:t>
      </w:r>
    </w:p>
    <w:p w:rsidR="00452793" w:rsidRDefault="00452793" w:rsidP="00452793">
      <w:pPr>
        <w:jc w:val="both"/>
        <w:rPr>
          <w:sz w:val="24"/>
          <w:szCs w:val="24"/>
        </w:rPr>
      </w:pPr>
      <w:r>
        <w:rPr>
          <w:b/>
          <w:sz w:val="24"/>
          <w:szCs w:val="24"/>
        </w:rPr>
        <w:t xml:space="preserve">Parties: </w:t>
      </w:r>
      <w:r>
        <w:rPr>
          <w:sz w:val="24"/>
          <w:szCs w:val="24"/>
        </w:rPr>
        <w:t>Conpet SA – plaintiff</w:t>
      </w:r>
    </w:p>
    <w:p w:rsidR="00452793" w:rsidRDefault="00452793" w:rsidP="00452793">
      <w:pPr>
        <w:jc w:val="both"/>
        <w:rPr>
          <w:sz w:val="24"/>
          <w:szCs w:val="24"/>
        </w:rPr>
      </w:pPr>
      <w:r>
        <w:rPr>
          <w:sz w:val="24"/>
          <w:szCs w:val="24"/>
        </w:rPr>
        <w:t xml:space="preserve">           OMV Petrom SA – plaintiff</w:t>
      </w:r>
    </w:p>
    <w:p w:rsidR="00452793" w:rsidRDefault="00452793" w:rsidP="00452793">
      <w:pPr>
        <w:jc w:val="both"/>
        <w:rPr>
          <w:sz w:val="24"/>
          <w:szCs w:val="24"/>
        </w:rPr>
      </w:pPr>
      <w:r>
        <w:rPr>
          <w:sz w:val="24"/>
          <w:szCs w:val="24"/>
        </w:rPr>
        <w:t xml:space="preserve">           SNTGN Transgaz SA – plaintiff</w:t>
      </w:r>
    </w:p>
    <w:p w:rsidR="00452793" w:rsidRDefault="00452793" w:rsidP="00452793">
      <w:pPr>
        <w:jc w:val="both"/>
        <w:rPr>
          <w:sz w:val="24"/>
          <w:szCs w:val="24"/>
        </w:rPr>
      </w:pPr>
      <w:r>
        <w:rPr>
          <w:sz w:val="24"/>
          <w:szCs w:val="24"/>
        </w:rPr>
        <w:t xml:space="preserve">           Gheorghe Gruia, Vasile Valentin Viorel Ciobanu, Dudas Paul Tudorache Marius Valentin Parvu, Anda Georgescu, Manda Marin - defendants </w:t>
      </w:r>
      <w:r>
        <w:rPr>
          <w:b/>
          <w:bCs/>
          <w:sz w:val="24"/>
          <w:szCs w:val="24"/>
        </w:rPr>
        <w:t>Subject</w:t>
      </w:r>
      <w:r>
        <w:rPr>
          <w:sz w:val="24"/>
          <w:szCs w:val="24"/>
        </w:rPr>
        <w:t xml:space="preserve">: </w:t>
      </w:r>
      <w:r>
        <w:rPr>
          <w:b/>
          <w:bCs/>
          <w:sz w:val="24"/>
          <w:szCs w:val="24"/>
        </w:rPr>
        <w:t>Establishment of an organized criminal group (art. 367 NCP)</w:t>
      </w:r>
      <w:r>
        <w:rPr>
          <w:sz w:val="24"/>
          <w:szCs w:val="24"/>
        </w:rPr>
        <w:t xml:space="preserve">. Conpet </w:t>
      </w:r>
      <w:r>
        <w:rPr>
          <w:bCs/>
          <w:sz w:val="24"/>
          <w:szCs w:val="24"/>
        </w:rPr>
        <w:t xml:space="preserve">brought a civil action in court for the sum of </w:t>
      </w:r>
      <w:r>
        <w:rPr>
          <w:sz w:val="24"/>
          <w:szCs w:val="24"/>
        </w:rPr>
        <w:t xml:space="preserve">RON 405.536,24 representing </w:t>
      </w:r>
      <w:r>
        <w:rPr>
          <w:bCs/>
          <w:sz w:val="24"/>
          <w:szCs w:val="24"/>
        </w:rPr>
        <w:t xml:space="preserve">consideration for </w:t>
      </w:r>
      <w:r>
        <w:rPr>
          <w:sz w:val="24"/>
          <w:szCs w:val="24"/>
        </w:rPr>
        <w:t xml:space="preserve">stolen pipes. </w:t>
      </w:r>
    </w:p>
    <w:p w:rsidR="00452793" w:rsidRDefault="00452793" w:rsidP="00452793">
      <w:pPr>
        <w:jc w:val="both"/>
        <w:rPr>
          <w:sz w:val="24"/>
          <w:szCs w:val="24"/>
          <w:lang w:bidi="ar"/>
        </w:rPr>
      </w:pPr>
      <w:proofErr w:type="gramStart"/>
      <w:r>
        <w:rPr>
          <w:sz w:val="24"/>
          <w:szCs w:val="24"/>
        </w:rPr>
        <w:t xml:space="preserve">Clarifications: By the conclusion from 05.31.2016, Dambovita Court sends the matter to the prosecution, by the indictment for the criminal file no. 124 / D / P / 2013 of the Prosecutor Office attached to High Court of Cassation and Justice - DIICOT - BT </w:t>
      </w:r>
      <w:r>
        <w:rPr>
          <w:sz w:val="24"/>
          <w:szCs w:val="24"/>
        </w:rPr>
        <w:lastRenderedPageBreak/>
        <w:t>Dambovita the defendants GG, VV, CV, HB TM, PV, GA, MM the victims being OMV Petrom SA, Conpet SA , the National Natural Gas Transport "Transgaz" SA.</w:t>
      </w:r>
      <w:proofErr w:type="gramEnd"/>
      <w:r>
        <w:rPr>
          <w:b/>
          <w:bCs/>
          <w:sz w:val="24"/>
          <w:szCs w:val="24"/>
        </w:rPr>
        <w:t xml:space="preserve"> </w:t>
      </w:r>
      <w:r>
        <w:rPr>
          <w:sz w:val="24"/>
          <w:szCs w:val="24"/>
        </w:rPr>
        <w:t xml:space="preserve">The prosecutor appealed against the decision, pending the Court of Appeal Ploiesti. </w:t>
      </w:r>
      <w:proofErr w:type="gramStart"/>
      <w:r>
        <w:rPr>
          <w:sz w:val="24"/>
          <w:szCs w:val="24"/>
        </w:rPr>
        <w:t xml:space="preserve">The conclusion of 13/10/2016 Ploiesti Court of Appeal admitted the appeal brought by the Prosecutor's Office of the High Court of Cassation and Justice - DIICOT - Territorial Office Dambovita abolishes the appealed decision and during the retrial it </w:t>
      </w:r>
      <w:r>
        <w:rPr>
          <w:b/>
          <w:bCs/>
          <w:sz w:val="24"/>
          <w:szCs w:val="24"/>
        </w:rPr>
        <w:t xml:space="preserve">finds the legality of the complaint issued by </w:t>
      </w:r>
      <w:r>
        <w:rPr>
          <w:sz w:val="24"/>
          <w:szCs w:val="24"/>
        </w:rPr>
        <w:t>Dambovita Court</w:t>
      </w:r>
      <w:r>
        <w:rPr>
          <w:b/>
          <w:bCs/>
          <w:sz w:val="24"/>
          <w:szCs w:val="24"/>
        </w:rPr>
        <w:t xml:space="preserve"> by indictment no.124 / D / P / 2013 of the </w:t>
      </w:r>
      <w:r>
        <w:rPr>
          <w:sz w:val="24"/>
          <w:szCs w:val="24"/>
        </w:rPr>
        <w:t>Prosecutor Office attached to High Court of Cassation and Justice - DIICOT - Territorial Office Dambovita</w:t>
      </w:r>
      <w:r>
        <w:rPr>
          <w:b/>
          <w:bCs/>
          <w:sz w:val="24"/>
          <w:szCs w:val="24"/>
        </w:rPr>
        <w:t xml:space="preserve"> </w:t>
      </w:r>
      <w:r>
        <w:rPr>
          <w:b/>
          <w:sz w:val="24"/>
          <w:szCs w:val="24"/>
          <w:lang w:bidi="ar"/>
        </w:rPr>
        <w:t>the administration of the samples and performing </w:t>
      </w:r>
      <w:r>
        <w:rPr>
          <w:sz w:val="24"/>
          <w:szCs w:val="24"/>
          <w:lang w:bidi="ar"/>
        </w:rPr>
        <w:t>acts of criminal prosecution.</w:t>
      </w:r>
      <w:proofErr w:type="gramEnd"/>
      <w:r>
        <w:rPr>
          <w:sz w:val="24"/>
          <w:szCs w:val="24"/>
          <w:lang w:bidi="ar"/>
        </w:rPr>
        <w:t xml:space="preserve"> The judgment has started</w:t>
      </w:r>
    </w:p>
    <w:p w:rsidR="00452793" w:rsidRDefault="00452793" w:rsidP="00452793">
      <w:pPr>
        <w:jc w:val="both"/>
        <w:rPr>
          <w:sz w:val="24"/>
          <w:szCs w:val="24"/>
        </w:rPr>
      </w:pPr>
      <w:r>
        <w:rPr>
          <w:b/>
          <w:sz w:val="24"/>
          <w:szCs w:val="24"/>
        </w:rPr>
        <w:t>Staof the trial:</w:t>
      </w:r>
      <w:r>
        <w:rPr>
          <w:sz w:val="24"/>
          <w:szCs w:val="24"/>
        </w:rPr>
        <w:t xml:space="preserve"> First instance</w:t>
      </w:r>
    </w:p>
    <w:p w:rsidR="00452793" w:rsidRDefault="00452793" w:rsidP="00452793">
      <w:pPr>
        <w:jc w:val="both"/>
        <w:rPr>
          <w:sz w:val="24"/>
          <w:szCs w:val="24"/>
        </w:rPr>
      </w:pPr>
      <w:r>
        <w:rPr>
          <w:b/>
          <w:sz w:val="24"/>
          <w:szCs w:val="24"/>
        </w:rPr>
        <w:t xml:space="preserve">Hearing: </w:t>
      </w:r>
      <w:r>
        <w:rPr>
          <w:sz w:val="24"/>
          <w:szCs w:val="24"/>
        </w:rPr>
        <w:t>09.12.2018</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lang w:eastAsia="zh-CN" w:bidi="ar"/>
        </w:rPr>
        <w:t>24. The file no. 1450/214/2016 - The Courthouse Costesti </w:t>
      </w:r>
    </w:p>
    <w:p w:rsidR="00452793" w:rsidRDefault="00452793" w:rsidP="00452793">
      <w:pPr>
        <w:jc w:val="both"/>
        <w:rPr>
          <w:sz w:val="24"/>
          <w:szCs w:val="24"/>
        </w:rPr>
      </w:pPr>
      <w:r>
        <w:rPr>
          <w:b/>
          <w:sz w:val="24"/>
          <w:szCs w:val="24"/>
          <w:lang w:eastAsia="zh-CN" w:bidi="ar"/>
        </w:rPr>
        <w:t>The parties:</w:t>
      </w:r>
      <w:r>
        <w:rPr>
          <w:sz w:val="24"/>
          <w:szCs w:val="24"/>
          <w:lang w:eastAsia="zh-CN" w:bidi="ar"/>
        </w:rPr>
        <w:t> Conpet - civil part</w:t>
      </w:r>
    </w:p>
    <w:p w:rsidR="00452793" w:rsidRDefault="00452793" w:rsidP="00452793">
      <w:pPr>
        <w:jc w:val="both"/>
        <w:rPr>
          <w:sz w:val="24"/>
          <w:szCs w:val="24"/>
        </w:rPr>
      </w:pPr>
      <w:r>
        <w:rPr>
          <w:sz w:val="24"/>
          <w:szCs w:val="24"/>
          <w:lang w:eastAsia="zh-CN" w:bidi="ar"/>
        </w:rPr>
        <w:t>           Serban Ilie Dobre Marin, Naicu Ion Marian defendants</w:t>
      </w:r>
    </w:p>
    <w:p w:rsidR="00452793" w:rsidRDefault="00452793" w:rsidP="00452793">
      <w:pPr>
        <w:rPr>
          <w:sz w:val="24"/>
          <w:szCs w:val="24"/>
        </w:rPr>
      </w:pPr>
      <w:r>
        <w:rPr>
          <w:b/>
          <w:sz w:val="24"/>
          <w:szCs w:val="24"/>
          <w:lang w:bidi="ar"/>
        </w:rPr>
        <w:t>Subject: Theft.</w:t>
      </w:r>
      <w:r>
        <w:rPr>
          <w:sz w:val="24"/>
          <w:szCs w:val="24"/>
          <w:lang w:bidi="ar"/>
        </w:rPr>
        <w:t xml:space="preserve"> Conpet </w:t>
      </w:r>
      <w:r>
        <w:rPr>
          <w:bCs/>
          <w:sz w:val="24"/>
          <w:szCs w:val="24"/>
        </w:rPr>
        <w:t>brought a civil action in court</w:t>
      </w:r>
      <w:r>
        <w:rPr>
          <w:sz w:val="24"/>
          <w:szCs w:val="24"/>
        </w:rPr>
        <w:t xml:space="preserve"> </w:t>
      </w:r>
      <w:proofErr w:type="gramStart"/>
      <w:r>
        <w:rPr>
          <w:sz w:val="24"/>
          <w:szCs w:val="24"/>
          <w:lang w:eastAsia="zh-CN" w:bidi="ar"/>
        </w:rPr>
        <w:t>for the amount of</w:t>
      </w:r>
      <w:proofErr w:type="gramEnd"/>
      <w:r>
        <w:rPr>
          <w:sz w:val="24"/>
          <w:szCs w:val="24"/>
          <w:lang w:eastAsia="zh-CN" w:bidi="ar"/>
        </w:rPr>
        <w:t xml:space="preserve"> 133.147,97 lei representing the consideration of the quantity of lifted crude oil, of the remedial works to fix the damaged pipe and the expertise AND carried out for the matter.</w:t>
      </w:r>
    </w:p>
    <w:p w:rsidR="00452793" w:rsidRDefault="00452793" w:rsidP="00452793">
      <w:pPr>
        <w:jc w:val="both"/>
        <w:rPr>
          <w:sz w:val="24"/>
          <w:szCs w:val="24"/>
        </w:rPr>
      </w:pPr>
      <w:r>
        <w:rPr>
          <w:b/>
          <w:sz w:val="24"/>
          <w:szCs w:val="24"/>
          <w:lang w:eastAsia="zh-CN" w:bidi="ar"/>
        </w:rPr>
        <w:t>Clarifications: </w:t>
      </w:r>
      <w:r>
        <w:rPr>
          <w:sz w:val="24"/>
          <w:szCs w:val="24"/>
          <w:lang w:eastAsia="zh-CN" w:bidi="ar"/>
        </w:rPr>
        <w:t xml:space="preserve">By the conclusion of the Costesti 18.08.2016 The Costesti Court rejected as unfounded the applications and exclusions invoked by the defendants, finds the competence and the legality of the referral to the court, the administration of the samples and performing other acts of criminal prosecution and beginning of the trial. The conclusion </w:t>
      </w:r>
      <w:proofErr w:type="gramStart"/>
      <w:r>
        <w:rPr>
          <w:sz w:val="24"/>
          <w:szCs w:val="24"/>
          <w:lang w:eastAsia="zh-CN" w:bidi="ar"/>
        </w:rPr>
        <w:t>was attacked</w:t>
      </w:r>
      <w:proofErr w:type="gramEnd"/>
      <w:r>
        <w:rPr>
          <w:sz w:val="24"/>
          <w:szCs w:val="24"/>
          <w:lang w:eastAsia="zh-CN" w:bidi="ar"/>
        </w:rPr>
        <w:t xml:space="preserve"> with an appeal. By the </w:t>
      </w:r>
      <w:proofErr w:type="gramStart"/>
      <w:r>
        <w:rPr>
          <w:sz w:val="24"/>
          <w:szCs w:val="24"/>
          <w:lang w:eastAsia="zh-CN" w:bidi="ar"/>
        </w:rPr>
        <w:t>conclusion</w:t>
      </w:r>
      <w:proofErr w:type="gramEnd"/>
      <w:r>
        <w:rPr>
          <w:sz w:val="24"/>
          <w:szCs w:val="24"/>
          <w:lang w:eastAsia="zh-CN" w:bidi="ar"/>
        </w:rPr>
        <w:t xml:space="preserve"> no. 194/10.13.2016 Arges county court shall reject the appeal as unfounded. </w:t>
      </w:r>
    </w:p>
    <w:p w:rsidR="00452793" w:rsidRDefault="00452793" w:rsidP="00452793">
      <w:pPr>
        <w:jc w:val="both"/>
        <w:rPr>
          <w:sz w:val="24"/>
          <w:szCs w:val="24"/>
        </w:rPr>
      </w:pPr>
      <w:r>
        <w:rPr>
          <w:b/>
          <w:sz w:val="24"/>
          <w:szCs w:val="24"/>
        </w:rPr>
        <w:t xml:space="preserve">Stage of the trial: </w:t>
      </w:r>
      <w:r>
        <w:rPr>
          <w:bCs/>
          <w:sz w:val="24"/>
          <w:szCs w:val="24"/>
        </w:rPr>
        <w:t>First instance</w:t>
      </w:r>
    </w:p>
    <w:p w:rsidR="00452793" w:rsidRDefault="00452793" w:rsidP="00452793">
      <w:pPr>
        <w:jc w:val="both"/>
        <w:rPr>
          <w:sz w:val="24"/>
          <w:szCs w:val="24"/>
        </w:rPr>
      </w:pPr>
      <w:r>
        <w:rPr>
          <w:b/>
          <w:sz w:val="24"/>
          <w:szCs w:val="24"/>
        </w:rPr>
        <w:t>Hearing:</w:t>
      </w:r>
      <w:r>
        <w:rPr>
          <w:sz w:val="24"/>
          <w:szCs w:val="24"/>
        </w:rPr>
        <w:t xml:space="preserve"> </w:t>
      </w:r>
      <w:proofErr w:type="gramStart"/>
      <w:r>
        <w:rPr>
          <w:sz w:val="24"/>
          <w:szCs w:val="24"/>
        </w:rPr>
        <w:t>20</w:t>
      </w:r>
      <w:r>
        <w:rPr>
          <w:sz w:val="24"/>
          <w:szCs w:val="24"/>
          <w:vertAlign w:val="superscript"/>
        </w:rPr>
        <w:t>th</w:t>
      </w:r>
      <w:proofErr w:type="gramEnd"/>
      <w:r>
        <w:rPr>
          <w:sz w:val="24"/>
          <w:szCs w:val="24"/>
        </w:rPr>
        <w:t xml:space="preserve"> Sept 2018</w:t>
      </w:r>
    </w:p>
    <w:p w:rsidR="00452793" w:rsidRDefault="00452793" w:rsidP="00452793">
      <w:pPr>
        <w:jc w:val="both"/>
        <w:rPr>
          <w:sz w:val="24"/>
          <w:szCs w:val="24"/>
        </w:rPr>
      </w:pPr>
    </w:p>
    <w:p w:rsidR="00452793" w:rsidRDefault="00452793" w:rsidP="00452793">
      <w:pPr>
        <w:jc w:val="both"/>
        <w:rPr>
          <w:b/>
          <w:sz w:val="24"/>
          <w:szCs w:val="24"/>
        </w:rPr>
      </w:pPr>
      <w:r>
        <w:rPr>
          <w:b/>
          <w:sz w:val="24"/>
          <w:szCs w:val="24"/>
        </w:rPr>
        <w:t xml:space="preserve">25. </w:t>
      </w:r>
      <w:r>
        <w:rPr>
          <w:b/>
          <w:sz w:val="24"/>
          <w:szCs w:val="24"/>
          <w:lang w:eastAsia="zh-CN" w:bidi="ar"/>
        </w:rPr>
        <w:t>The file no. 8529/281/2016 - Court of Ploiesti. </w:t>
      </w:r>
    </w:p>
    <w:p w:rsidR="00452793" w:rsidRDefault="00452793" w:rsidP="00452793">
      <w:pPr>
        <w:jc w:val="both"/>
        <w:rPr>
          <w:sz w:val="24"/>
          <w:szCs w:val="24"/>
        </w:rPr>
      </w:pPr>
      <w:r>
        <w:rPr>
          <w:b/>
          <w:sz w:val="24"/>
          <w:szCs w:val="24"/>
          <w:lang w:eastAsia="zh-CN" w:bidi="ar"/>
        </w:rPr>
        <w:t>The parties:</w:t>
      </w:r>
      <w:r>
        <w:rPr>
          <w:sz w:val="24"/>
          <w:szCs w:val="24"/>
          <w:lang w:eastAsia="zh-CN" w:bidi="ar"/>
        </w:rPr>
        <w:t> Conpet - plaintiff</w:t>
      </w:r>
    </w:p>
    <w:p w:rsidR="00452793" w:rsidRDefault="00452793" w:rsidP="00452793">
      <w:pPr>
        <w:jc w:val="both"/>
        <w:rPr>
          <w:sz w:val="24"/>
          <w:szCs w:val="24"/>
        </w:rPr>
      </w:pPr>
      <w:r>
        <w:rPr>
          <w:sz w:val="24"/>
          <w:szCs w:val="24"/>
          <w:lang w:eastAsia="zh-CN" w:bidi="ar"/>
        </w:rPr>
        <w:t>           Constantin Costel, Matei Marian, Catalin Mihai Matei Stan, Valentin Dumitru - the defendant</w:t>
      </w:r>
    </w:p>
    <w:p w:rsidR="00452793" w:rsidRDefault="00452793" w:rsidP="00452793">
      <w:pPr>
        <w:jc w:val="both"/>
        <w:rPr>
          <w:sz w:val="24"/>
          <w:szCs w:val="24"/>
        </w:rPr>
      </w:pPr>
      <w:r>
        <w:rPr>
          <w:b/>
          <w:sz w:val="24"/>
          <w:szCs w:val="24"/>
          <w:lang w:eastAsia="zh-CN" w:bidi="ar"/>
        </w:rPr>
        <w:t>Subject: qualified theft.</w:t>
      </w:r>
      <w:r>
        <w:rPr>
          <w:sz w:val="24"/>
          <w:szCs w:val="24"/>
          <w:lang w:eastAsia="zh-CN" w:bidi="ar"/>
        </w:rPr>
        <w:t xml:space="preserve"> Conpet </w:t>
      </w:r>
      <w:r>
        <w:rPr>
          <w:bCs/>
          <w:sz w:val="24"/>
          <w:szCs w:val="24"/>
        </w:rPr>
        <w:t xml:space="preserve">brought a civil action in court </w:t>
      </w:r>
      <w:proofErr w:type="gramStart"/>
      <w:r>
        <w:rPr>
          <w:sz w:val="24"/>
          <w:szCs w:val="24"/>
          <w:lang w:eastAsia="zh-CN" w:bidi="ar"/>
        </w:rPr>
        <w:t>for the amount of</w:t>
      </w:r>
      <w:proofErr w:type="gramEnd"/>
      <w:r>
        <w:rPr>
          <w:sz w:val="24"/>
          <w:szCs w:val="24"/>
          <w:lang w:eastAsia="zh-CN" w:bidi="ar"/>
        </w:rPr>
        <w:t> </w:t>
      </w:r>
      <w:r>
        <w:rPr>
          <w:sz w:val="24"/>
          <w:szCs w:val="24"/>
          <w:lang w:val="ro" w:eastAsia="zh-CN" w:bidi="ar"/>
        </w:rPr>
        <w:t>158.780,39 lei composed of:</w:t>
      </w:r>
    </w:p>
    <w:p w:rsidR="00452793" w:rsidRDefault="00452793" w:rsidP="00452793">
      <w:pPr>
        <w:jc w:val="both"/>
        <w:rPr>
          <w:sz w:val="24"/>
          <w:szCs w:val="24"/>
        </w:rPr>
      </w:pPr>
      <w:r>
        <w:rPr>
          <w:sz w:val="24"/>
          <w:szCs w:val="24"/>
          <w:lang w:val="ro" w:eastAsia="zh-CN" w:bidi="ar"/>
        </w:rPr>
        <w:t>-  </w:t>
      </w:r>
      <w:r>
        <w:rPr>
          <w:bCs/>
          <w:sz w:val="24"/>
          <w:szCs w:val="24"/>
          <w:lang w:val="ro" w:eastAsia="zh-CN" w:bidi="ar"/>
        </w:rPr>
        <w:t>24.691,2 lei</w:t>
      </w:r>
      <w:r>
        <w:rPr>
          <w:sz w:val="24"/>
          <w:szCs w:val="24"/>
          <w:lang w:val="ro" w:eastAsia="zh-CN" w:bidi="ar"/>
        </w:rPr>
        <w:t xml:space="preserve"> (including VAT) representing the </w:t>
      </w:r>
      <w:r>
        <w:rPr>
          <w:sz w:val="24"/>
          <w:szCs w:val="24"/>
          <w:lang w:eastAsia="zh-CN" w:bidi="ar"/>
        </w:rPr>
        <w:t xml:space="preserve">consideration </w:t>
      </w:r>
      <w:r>
        <w:rPr>
          <w:sz w:val="24"/>
          <w:szCs w:val="24"/>
          <w:lang w:val="ro" w:eastAsia="zh-CN" w:bidi="ar"/>
        </w:rPr>
        <w:t xml:space="preserve">of the quantity of 30,000 liters stolen during the period from September to October 2015 </w:t>
      </w:r>
      <w:r>
        <w:rPr>
          <w:sz w:val="24"/>
          <w:szCs w:val="24"/>
          <w:lang w:eastAsia="zh-CN" w:bidi="ar"/>
        </w:rPr>
        <w:t xml:space="preserve">by </w:t>
      </w:r>
      <w:r>
        <w:rPr>
          <w:sz w:val="24"/>
          <w:szCs w:val="24"/>
          <w:lang w:val="ro" w:eastAsia="zh-CN" w:bidi="ar"/>
        </w:rPr>
        <w:t>the defendants Stan Mihai Catalin, Matei Marian Matei Dumitru and Valentin </w:t>
      </w:r>
    </w:p>
    <w:p w:rsidR="00452793" w:rsidRDefault="00452793" w:rsidP="00452793">
      <w:pPr>
        <w:jc w:val="both"/>
        <w:rPr>
          <w:sz w:val="24"/>
          <w:szCs w:val="24"/>
        </w:rPr>
      </w:pPr>
      <w:r>
        <w:rPr>
          <w:sz w:val="24"/>
          <w:szCs w:val="24"/>
          <w:lang w:val="ro" w:eastAsia="zh-CN" w:bidi="ar"/>
        </w:rPr>
        <w:t>- </w:t>
      </w:r>
      <w:r>
        <w:rPr>
          <w:bCs/>
          <w:sz w:val="24"/>
          <w:szCs w:val="24"/>
          <w:lang w:val="ro" w:eastAsia="zh-CN" w:bidi="ar"/>
        </w:rPr>
        <w:t>128.394,0 lei</w:t>
      </w:r>
      <w:r>
        <w:rPr>
          <w:sz w:val="24"/>
          <w:szCs w:val="24"/>
          <w:lang w:val="ro" w:eastAsia="zh-CN" w:bidi="ar"/>
        </w:rPr>
        <w:t> (including VAT) representing the equivalent amount of 156.000 liters stolen during the period from September to October 2015 of the defendants Constantin Costel, Stan Mihai Catalin and Matei Marian.</w:t>
      </w:r>
    </w:p>
    <w:p w:rsidR="00452793" w:rsidRDefault="00452793" w:rsidP="00452793">
      <w:pPr>
        <w:jc w:val="both"/>
        <w:rPr>
          <w:sz w:val="24"/>
          <w:szCs w:val="24"/>
        </w:rPr>
      </w:pPr>
      <w:r>
        <w:rPr>
          <w:sz w:val="24"/>
          <w:szCs w:val="24"/>
          <w:lang w:val="ro" w:eastAsia="zh-CN" w:bidi="ar"/>
        </w:rPr>
        <w:t>-  </w:t>
      </w:r>
      <w:r>
        <w:rPr>
          <w:bCs/>
          <w:sz w:val="24"/>
          <w:szCs w:val="24"/>
          <w:lang w:val="ro" w:eastAsia="zh-CN" w:bidi="ar"/>
        </w:rPr>
        <w:t>5.695,19 Lei</w:t>
      </w:r>
      <w:r>
        <w:rPr>
          <w:sz w:val="24"/>
          <w:szCs w:val="24"/>
          <w:lang w:val="ro" w:eastAsia="zh-CN" w:bidi="ar"/>
        </w:rPr>
        <w:t xml:space="preserve"> (including VAT) representing the </w:t>
      </w:r>
      <w:r>
        <w:rPr>
          <w:sz w:val="24"/>
          <w:szCs w:val="24"/>
          <w:lang w:eastAsia="zh-CN" w:bidi="ar"/>
        </w:rPr>
        <w:t xml:space="preserve">consideration </w:t>
      </w:r>
      <w:r>
        <w:rPr>
          <w:sz w:val="24"/>
          <w:szCs w:val="24"/>
          <w:lang w:val="ro" w:eastAsia="zh-CN" w:bidi="ar"/>
        </w:rPr>
        <w:t xml:space="preserve">of the </w:t>
      </w:r>
      <w:r>
        <w:rPr>
          <w:sz w:val="24"/>
          <w:szCs w:val="24"/>
          <w:lang w:eastAsia="zh-CN" w:bidi="ar"/>
        </w:rPr>
        <w:t xml:space="preserve">remedial </w:t>
      </w:r>
      <w:r>
        <w:rPr>
          <w:sz w:val="24"/>
          <w:szCs w:val="24"/>
          <w:lang w:val="ro" w:eastAsia="zh-CN" w:bidi="ar"/>
        </w:rPr>
        <w:t xml:space="preserve">works </w:t>
      </w:r>
      <w:r>
        <w:rPr>
          <w:sz w:val="24"/>
          <w:szCs w:val="24"/>
          <w:lang w:eastAsia="zh-CN" w:bidi="ar"/>
        </w:rPr>
        <w:t xml:space="preserve">done to </w:t>
      </w:r>
      <w:r>
        <w:rPr>
          <w:sz w:val="24"/>
          <w:szCs w:val="24"/>
          <w:lang w:val="ro" w:eastAsia="zh-CN" w:bidi="ar"/>
        </w:rPr>
        <w:t xml:space="preserve">the pipe, necessary </w:t>
      </w:r>
      <w:r>
        <w:rPr>
          <w:sz w:val="24"/>
          <w:szCs w:val="24"/>
          <w:lang w:eastAsia="zh-CN" w:bidi="ar"/>
        </w:rPr>
        <w:t xml:space="preserve">for getting it </w:t>
      </w:r>
      <w:r>
        <w:rPr>
          <w:sz w:val="24"/>
          <w:szCs w:val="24"/>
          <w:lang w:val="ro" w:eastAsia="zh-CN" w:bidi="ar"/>
        </w:rPr>
        <w:t>in the initial condition before committing the offense, i.e. in working condition. </w:t>
      </w:r>
    </w:p>
    <w:p w:rsidR="00452793" w:rsidRDefault="00452793" w:rsidP="00452793">
      <w:pPr>
        <w:jc w:val="both"/>
        <w:rPr>
          <w:sz w:val="24"/>
          <w:szCs w:val="24"/>
        </w:rPr>
      </w:pPr>
      <w:r>
        <w:rPr>
          <w:sz w:val="24"/>
          <w:szCs w:val="24"/>
          <w:lang w:eastAsia="zh-CN" w:bidi="ar"/>
        </w:rPr>
        <w:t> Stage of the trial: First instance</w:t>
      </w:r>
    </w:p>
    <w:p w:rsidR="00452793" w:rsidRDefault="00452793" w:rsidP="00452793">
      <w:pPr>
        <w:rPr>
          <w:sz w:val="24"/>
          <w:szCs w:val="24"/>
          <w:lang w:bidi="ar"/>
        </w:rPr>
      </w:pPr>
      <w:r>
        <w:rPr>
          <w:sz w:val="24"/>
          <w:szCs w:val="24"/>
          <w:lang w:bidi="ar"/>
        </w:rPr>
        <w:t>Hearing: </w:t>
      </w:r>
      <w:proofErr w:type="gramStart"/>
      <w:r>
        <w:rPr>
          <w:sz w:val="24"/>
          <w:szCs w:val="24"/>
          <w:lang w:bidi="ar"/>
        </w:rPr>
        <w:t>19</w:t>
      </w:r>
      <w:r>
        <w:rPr>
          <w:sz w:val="24"/>
          <w:szCs w:val="24"/>
          <w:vertAlign w:val="superscript"/>
          <w:lang w:bidi="ar"/>
        </w:rPr>
        <w:t>th</w:t>
      </w:r>
      <w:proofErr w:type="gramEnd"/>
      <w:r>
        <w:rPr>
          <w:sz w:val="24"/>
          <w:szCs w:val="24"/>
          <w:lang w:bidi="ar"/>
        </w:rPr>
        <w:t xml:space="preserve"> July 2018 </w:t>
      </w:r>
    </w:p>
    <w:p w:rsidR="00452793" w:rsidRDefault="00452793" w:rsidP="00452793">
      <w:pPr>
        <w:jc w:val="both"/>
        <w:rPr>
          <w:b/>
          <w:sz w:val="24"/>
          <w:szCs w:val="24"/>
        </w:rPr>
      </w:pPr>
      <w:r>
        <w:rPr>
          <w:sz w:val="24"/>
          <w:szCs w:val="24"/>
          <w:lang w:bidi="ar"/>
        </w:rPr>
        <w:t xml:space="preserve">26. </w:t>
      </w:r>
      <w:r>
        <w:rPr>
          <w:b/>
          <w:sz w:val="24"/>
          <w:szCs w:val="24"/>
        </w:rPr>
        <w:t xml:space="preserve">The file no. 8262/281/2016 - Ploiesti Court </w:t>
      </w:r>
    </w:p>
    <w:p w:rsidR="00452793" w:rsidRDefault="00452793" w:rsidP="00452793">
      <w:pPr>
        <w:jc w:val="both"/>
        <w:rPr>
          <w:sz w:val="24"/>
          <w:szCs w:val="24"/>
        </w:rPr>
      </w:pPr>
      <w:r>
        <w:rPr>
          <w:b/>
          <w:sz w:val="24"/>
          <w:szCs w:val="24"/>
        </w:rPr>
        <w:t>Părți:</w:t>
      </w:r>
      <w:r>
        <w:rPr>
          <w:sz w:val="24"/>
          <w:szCs w:val="24"/>
        </w:rPr>
        <w:t xml:space="preserve"> Conpet SA – creditor</w:t>
      </w:r>
    </w:p>
    <w:p w:rsidR="00452793" w:rsidRDefault="00452793" w:rsidP="00452793">
      <w:pPr>
        <w:jc w:val="both"/>
        <w:rPr>
          <w:sz w:val="24"/>
          <w:szCs w:val="24"/>
        </w:rPr>
      </w:pPr>
      <w:r>
        <w:rPr>
          <w:sz w:val="24"/>
          <w:szCs w:val="24"/>
        </w:rPr>
        <w:t xml:space="preserve">            Footbal Club Conpet Association - debtor </w:t>
      </w:r>
    </w:p>
    <w:p w:rsidR="00452793" w:rsidRDefault="00452793" w:rsidP="00452793">
      <w:pPr>
        <w:jc w:val="both"/>
        <w:rPr>
          <w:sz w:val="24"/>
          <w:szCs w:val="24"/>
        </w:rPr>
      </w:pPr>
      <w:r>
        <w:rPr>
          <w:b/>
          <w:sz w:val="24"/>
          <w:szCs w:val="24"/>
        </w:rPr>
        <w:t>Subject: dissolution legal person.</w:t>
      </w:r>
      <w:r>
        <w:rPr>
          <w:sz w:val="24"/>
          <w:szCs w:val="24"/>
        </w:rPr>
        <w:t xml:space="preserve"> Application for the acceptance of the claim. </w:t>
      </w:r>
      <w:proofErr w:type="gramStart"/>
      <w:r>
        <w:rPr>
          <w:sz w:val="24"/>
          <w:szCs w:val="24"/>
        </w:rPr>
        <w:t xml:space="preserve">Conpet </w:t>
      </w:r>
      <w:r>
        <w:rPr>
          <w:sz w:val="24"/>
          <w:szCs w:val="24"/>
        </w:rPr>
        <w:lastRenderedPageBreak/>
        <w:t>SA files a claim on the assets of the debtor Footbal Club Conpet Association, against which it was ordered the dissolution of the Civil sentence no. 8683/10.04.2016 pronounced by the Court of Ploiesti in the file no. 8262/281/2016, by requesting the insolvency claim for the debtor Football Club Association of Conpet for the amount of RON 424,94 as debt that is uncontested, liquid and enforceable, appeared prior to the acceptance of the application for the dissolution, representing the rest of the consideration of penalties, in accordance with the invoice No. 1653/31.05.2015, calculated for late payment of obligations which arose from the lease no ADM 366/23.10.2012  between Conpet, and Football Club Conpet Association.</w:t>
      </w:r>
      <w:proofErr w:type="gramEnd"/>
    </w:p>
    <w:p w:rsidR="00452793" w:rsidRDefault="00452793" w:rsidP="00452793">
      <w:pPr>
        <w:jc w:val="both"/>
        <w:rPr>
          <w:b/>
          <w:sz w:val="24"/>
          <w:szCs w:val="24"/>
        </w:rPr>
      </w:pPr>
      <w:r>
        <w:rPr>
          <w:b/>
          <w:sz w:val="24"/>
          <w:szCs w:val="24"/>
        </w:rPr>
        <w:t xml:space="preserve">Stage of the trial: </w:t>
      </w:r>
      <w:r>
        <w:rPr>
          <w:sz w:val="24"/>
          <w:szCs w:val="24"/>
        </w:rPr>
        <w:t>First instance</w:t>
      </w:r>
    </w:p>
    <w:p w:rsidR="00452793" w:rsidRDefault="00452793" w:rsidP="00452793">
      <w:pPr>
        <w:jc w:val="both"/>
        <w:rPr>
          <w:b/>
          <w:sz w:val="24"/>
          <w:szCs w:val="24"/>
        </w:rPr>
      </w:pPr>
      <w:r>
        <w:rPr>
          <w:b/>
          <w:sz w:val="24"/>
          <w:szCs w:val="24"/>
        </w:rPr>
        <w:t>Hearing: --</w:t>
      </w:r>
    </w:p>
    <w:p w:rsidR="00452793" w:rsidRDefault="00452793" w:rsidP="00452793">
      <w:pPr>
        <w:rPr>
          <w:sz w:val="24"/>
          <w:szCs w:val="24"/>
          <w:lang w:bidi="ar"/>
        </w:rPr>
      </w:pPr>
    </w:p>
    <w:p w:rsidR="00452793" w:rsidRDefault="00452793" w:rsidP="00D87DA4">
      <w:pPr>
        <w:widowControl/>
        <w:numPr>
          <w:ilvl w:val="0"/>
          <w:numId w:val="48"/>
        </w:numPr>
        <w:autoSpaceDE/>
        <w:autoSpaceDN/>
        <w:adjustRightInd/>
        <w:jc w:val="both"/>
        <w:rPr>
          <w:b/>
          <w:sz w:val="24"/>
          <w:szCs w:val="24"/>
        </w:rPr>
      </w:pPr>
      <w:r>
        <w:rPr>
          <w:b/>
          <w:sz w:val="24"/>
          <w:szCs w:val="24"/>
        </w:rPr>
        <w:t>File no. 219/281/2017- Prahova Court</w:t>
      </w:r>
    </w:p>
    <w:p w:rsidR="00452793" w:rsidRDefault="00452793" w:rsidP="00452793">
      <w:pPr>
        <w:jc w:val="both"/>
        <w:rPr>
          <w:sz w:val="24"/>
          <w:szCs w:val="24"/>
        </w:rPr>
      </w:pPr>
      <w:r>
        <w:rPr>
          <w:b/>
          <w:sz w:val="24"/>
          <w:szCs w:val="24"/>
        </w:rPr>
        <w:t xml:space="preserve">Parties: </w:t>
      </w:r>
      <w:r>
        <w:rPr>
          <w:sz w:val="24"/>
          <w:szCs w:val="24"/>
        </w:rPr>
        <w:t>Conpet SA – plaintiff</w:t>
      </w:r>
    </w:p>
    <w:p w:rsidR="00452793" w:rsidRDefault="00452793" w:rsidP="00452793">
      <w:pPr>
        <w:jc w:val="both"/>
        <w:rPr>
          <w:sz w:val="24"/>
          <w:szCs w:val="24"/>
        </w:rPr>
      </w:pPr>
      <w:r>
        <w:rPr>
          <w:sz w:val="24"/>
          <w:szCs w:val="24"/>
        </w:rPr>
        <w:t xml:space="preserve">           Tonicelli SRL – defendant</w:t>
      </w:r>
    </w:p>
    <w:p w:rsidR="00452793" w:rsidRDefault="00452793" w:rsidP="00452793">
      <w:pPr>
        <w:jc w:val="both"/>
        <w:rPr>
          <w:sz w:val="24"/>
          <w:szCs w:val="24"/>
        </w:rPr>
      </w:pPr>
      <w:r>
        <w:rPr>
          <w:b/>
          <w:sz w:val="24"/>
          <w:szCs w:val="24"/>
        </w:rPr>
        <w:t>Subject:</w:t>
      </w:r>
      <w:r>
        <w:rPr>
          <w:sz w:val="24"/>
          <w:szCs w:val="24"/>
        </w:rPr>
        <w:t> Conpet files a trial against Tonicelli SRL for payment of the following amounts:</w:t>
      </w:r>
    </w:p>
    <w:p w:rsidR="00452793" w:rsidRDefault="00452793" w:rsidP="00452793">
      <w:pPr>
        <w:jc w:val="both"/>
        <w:rPr>
          <w:sz w:val="24"/>
          <w:szCs w:val="24"/>
        </w:rPr>
      </w:pPr>
      <w:r>
        <w:rPr>
          <w:sz w:val="24"/>
          <w:szCs w:val="24"/>
        </w:rPr>
        <w:t>- RON 37.017,28 representing the consideration of unpaid ferrous waste under the contract no ADM 79/</w:t>
      </w:r>
      <w:proofErr w:type="gramStart"/>
      <w:r>
        <w:rPr>
          <w:sz w:val="24"/>
          <w:szCs w:val="24"/>
        </w:rPr>
        <w:t>06</w:t>
      </w:r>
      <w:r>
        <w:rPr>
          <w:sz w:val="24"/>
          <w:szCs w:val="24"/>
          <w:vertAlign w:val="superscript"/>
        </w:rPr>
        <w:t>th</w:t>
      </w:r>
      <w:proofErr w:type="gramEnd"/>
      <w:r>
        <w:rPr>
          <w:sz w:val="24"/>
          <w:szCs w:val="24"/>
        </w:rPr>
        <w:t xml:space="preserve"> March 2014;</w:t>
      </w:r>
    </w:p>
    <w:p w:rsidR="00452793" w:rsidRDefault="00452793" w:rsidP="00452793">
      <w:pPr>
        <w:jc w:val="both"/>
        <w:rPr>
          <w:sz w:val="24"/>
          <w:szCs w:val="24"/>
        </w:rPr>
      </w:pPr>
      <w:r>
        <w:rPr>
          <w:sz w:val="24"/>
          <w:szCs w:val="24"/>
        </w:rPr>
        <w:t>- RON 6.737,02 representing delay penalties, according to the contract no ADM 79/</w:t>
      </w:r>
      <w:proofErr w:type="gramStart"/>
      <w:r>
        <w:rPr>
          <w:sz w:val="24"/>
          <w:szCs w:val="24"/>
        </w:rPr>
        <w:t>06</w:t>
      </w:r>
      <w:r>
        <w:rPr>
          <w:sz w:val="24"/>
          <w:szCs w:val="24"/>
          <w:vertAlign w:val="superscript"/>
        </w:rPr>
        <w:t>th</w:t>
      </w:r>
      <w:proofErr w:type="gramEnd"/>
      <w:r>
        <w:rPr>
          <w:sz w:val="24"/>
          <w:szCs w:val="24"/>
        </w:rPr>
        <w:t xml:space="preserve"> March 2014, calculated up to the date of 20</w:t>
      </w:r>
      <w:r>
        <w:rPr>
          <w:sz w:val="24"/>
          <w:szCs w:val="24"/>
          <w:vertAlign w:val="superscript"/>
        </w:rPr>
        <w:t>th</w:t>
      </w:r>
      <w:r>
        <w:rPr>
          <w:sz w:val="24"/>
          <w:szCs w:val="24"/>
        </w:rPr>
        <w:t xml:space="preserve"> October 2016;</w:t>
      </w:r>
    </w:p>
    <w:p w:rsidR="00452793" w:rsidRDefault="00452793" w:rsidP="00452793">
      <w:pPr>
        <w:jc w:val="both"/>
        <w:rPr>
          <w:sz w:val="24"/>
          <w:szCs w:val="24"/>
        </w:rPr>
      </w:pPr>
      <w:r>
        <w:rPr>
          <w:sz w:val="24"/>
          <w:szCs w:val="24"/>
        </w:rPr>
        <w:t>- Trial expenses.</w:t>
      </w:r>
    </w:p>
    <w:p w:rsidR="00452793" w:rsidRDefault="00452793" w:rsidP="00452793">
      <w:pPr>
        <w:jc w:val="both"/>
        <w:rPr>
          <w:sz w:val="24"/>
          <w:szCs w:val="24"/>
        </w:rPr>
      </w:pPr>
      <w:r>
        <w:rPr>
          <w:b/>
          <w:sz w:val="24"/>
          <w:szCs w:val="24"/>
        </w:rPr>
        <w:t>Clarifications: </w:t>
      </w:r>
      <w:r>
        <w:rPr>
          <w:sz w:val="24"/>
          <w:szCs w:val="24"/>
        </w:rPr>
        <w:t>By </w:t>
      </w:r>
      <w:proofErr w:type="gramStart"/>
      <w:r>
        <w:rPr>
          <w:b/>
          <w:sz w:val="24"/>
          <w:szCs w:val="24"/>
        </w:rPr>
        <w:t>order</w:t>
      </w:r>
      <w:proofErr w:type="gramEnd"/>
      <w:r>
        <w:rPr>
          <w:b/>
          <w:sz w:val="24"/>
          <w:szCs w:val="24"/>
        </w:rPr>
        <w:t xml:space="preserve"> no. 245/03</w:t>
      </w:r>
      <w:r>
        <w:rPr>
          <w:b/>
          <w:sz w:val="24"/>
          <w:szCs w:val="24"/>
          <w:vertAlign w:val="superscript"/>
        </w:rPr>
        <w:t>rd</w:t>
      </w:r>
      <w:r>
        <w:rPr>
          <w:b/>
          <w:sz w:val="24"/>
          <w:szCs w:val="24"/>
        </w:rPr>
        <w:t xml:space="preserve"> Feb 2017</w:t>
      </w:r>
      <w:r>
        <w:rPr>
          <w:sz w:val="24"/>
          <w:szCs w:val="24"/>
        </w:rPr>
        <w:t> Ploiesti Court cancels the request filed for failure to comply with the obligations laid down by the Court regarding the supplement or amendment of the application. Conpet made a request for retrial. </w:t>
      </w:r>
    </w:p>
    <w:p w:rsidR="00452793" w:rsidRDefault="00452793" w:rsidP="00452793">
      <w:pPr>
        <w:jc w:val="both"/>
        <w:rPr>
          <w:sz w:val="24"/>
          <w:szCs w:val="24"/>
        </w:rPr>
      </w:pPr>
      <w:r>
        <w:rPr>
          <w:sz w:val="24"/>
          <w:szCs w:val="24"/>
        </w:rPr>
        <w:t>By order no. 860/14</w:t>
      </w:r>
      <w:r>
        <w:rPr>
          <w:sz w:val="24"/>
          <w:szCs w:val="24"/>
          <w:vertAlign w:val="superscript"/>
        </w:rPr>
        <w:t>th</w:t>
      </w:r>
      <w:r>
        <w:rPr>
          <w:sz w:val="24"/>
          <w:szCs w:val="24"/>
        </w:rPr>
        <w:t xml:space="preserve"> April </w:t>
      </w:r>
      <w:proofErr w:type="gramStart"/>
      <w:r>
        <w:rPr>
          <w:sz w:val="24"/>
          <w:szCs w:val="24"/>
        </w:rPr>
        <w:t>2017</w:t>
      </w:r>
      <w:proofErr w:type="gramEnd"/>
      <w:r>
        <w:rPr>
          <w:sz w:val="24"/>
          <w:szCs w:val="24"/>
        </w:rPr>
        <w:t xml:space="preserve"> Ploiesti Court admitted the retrial request made by the applicant CONPET S.A. It orders that the file </w:t>
      </w:r>
      <w:proofErr w:type="gramStart"/>
      <w:r>
        <w:rPr>
          <w:sz w:val="24"/>
          <w:szCs w:val="24"/>
        </w:rPr>
        <w:t>is</w:t>
      </w:r>
      <w:proofErr w:type="gramEnd"/>
      <w:r>
        <w:rPr>
          <w:sz w:val="24"/>
          <w:szCs w:val="24"/>
        </w:rPr>
        <w:t xml:space="preserve"> sent to the initially appointed committee. </w:t>
      </w:r>
    </w:p>
    <w:p w:rsidR="00452793" w:rsidRDefault="00452793" w:rsidP="00452793">
      <w:pPr>
        <w:jc w:val="both"/>
        <w:rPr>
          <w:sz w:val="24"/>
          <w:szCs w:val="24"/>
        </w:rPr>
      </w:pPr>
      <w:r>
        <w:rPr>
          <w:sz w:val="24"/>
          <w:szCs w:val="24"/>
        </w:rPr>
        <w:t>By the </w:t>
      </w:r>
      <w:r>
        <w:rPr>
          <w:b/>
          <w:sz w:val="24"/>
          <w:szCs w:val="24"/>
        </w:rPr>
        <w:t xml:space="preserve">sentence no. </w:t>
      </w:r>
      <w:proofErr w:type="gramStart"/>
      <w:r>
        <w:rPr>
          <w:b/>
          <w:sz w:val="24"/>
          <w:szCs w:val="24"/>
        </w:rPr>
        <w:t>1831/09.03.2018</w:t>
      </w:r>
      <w:proofErr w:type="gramEnd"/>
      <w:r>
        <w:rPr>
          <w:sz w:val="24"/>
          <w:szCs w:val="24"/>
        </w:rPr>
        <w:t> Ploiesti Court admitted the trial file. It orders the defendant to pay the plaintiff the sum of RON 37.017</w:t>
      </w:r>
      <w:proofErr w:type="gramStart"/>
      <w:r>
        <w:rPr>
          <w:sz w:val="24"/>
          <w:szCs w:val="24"/>
        </w:rPr>
        <w:t>,28representing</w:t>
      </w:r>
      <w:proofErr w:type="gramEnd"/>
      <w:r>
        <w:rPr>
          <w:sz w:val="24"/>
          <w:szCs w:val="24"/>
        </w:rPr>
        <w:t xml:space="preserve"> consideration for unpaid non-ferrous scrap, according to the contract ADM no. 79/06</w:t>
      </w:r>
      <w:r>
        <w:rPr>
          <w:sz w:val="24"/>
          <w:szCs w:val="24"/>
          <w:vertAlign w:val="superscript"/>
        </w:rPr>
        <w:t>th</w:t>
      </w:r>
      <w:r>
        <w:rPr>
          <w:sz w:val="24"/>
          <w:szCs w:val="24"/>
        </w:rPr>
        <w:t xml:space="preserve"> March 2014. It orders the defendant to pay to the plaintiff the Sum RON 6.737,02 representing the delay penalties, according to Article 11.1 of the contract ADM no. 79/06</w:t>
      </w:r>
      <w:r>
        <w:rPr>
          <w:sz w:val="24"/>
          <w:szCs w:val="24"/>
          <w:vertAlign w:val="superscript"/>
        </w:rPr>
        <w:t>th</w:t>
      </w:r>
      <w:r>
        <w:rPr>
          <w:sz w:val="24"/>
          <w:szCs w:val="24"/>
        </w:rPr>
        <w:t xml:space="preserve"> March 2014, calculated up to the date of 20</w:t>
      </w:r>
      <w:r>
        <w:rPr>
          <w:sz w:val="24"/>
          <w:szCs w:val="24"/>
          <w:vertAlign w:val="superscript"/>
        </w:rPr>
        <w:t>th</w:t>
      </w:r>
      <w:r>
        <w:rPr>
          <w:sz w:val="24"/>
          <w:szCs w:val="24"/>
        </w:rPr>
        <w:t xml:space="preserve"> Oct 2016. It orders the defendant to pay to the applicant the Sum of RON 2.562,63 on the basis of trial expenses, out of which RON 1.917,63 represent the judicial stamp tax, the amount of RON 600, representing the auditor fee and 45 lei, representing consideration for confirmation of company details. </w:t>
      </w:r>
      <w:proofErr w:type="gramStart"/>
      <w:r>
        <w:rPr>
          <w:sz w:val="24"/>
          <w:szCs w:val="24"/>
        </w:rPr>
        <w:t>The sentence was appealed by Conpet</w:t>
      </w:r>
      <w:proofErr w:type="gramEnd"/>
      <w:r>
        <w:rPr>
          <w:sz w:val="24"/>
          <w:szCs w:val="24"/>
        </w:rPr>
        <w:t>. </w:t>
      </w:r>
    </w:p>
    <w:p w:rsidR="00452793" w:rsidRDefault="00452793" w:rsidP="00452793">
      <w:pPr>
        <w:jc w:val="both"/>
        <w:rPr>
          <w:b/>
          <w:sz w:val="24"/>
          <w:szCs w:val="24"/>
        </w:rPr>
      </w:pPr>
      <w:r>
        <w:rPr>
          <w:b/>
          <w:sz w:val="24"/>
          <w:szCs w:val="24"/>
        </w:rPr>
        <w:t>Stage of the trial: Appeal</w:t>
      </w:r>
    </w:p>
    <w:p w:rsidR="00452793" w:rsidRDefault="00452793" w:rsidP="00452793">
      <w:pPr>
        <w:jc w:val="both"/>
        <w:rPr>
          <w:b/>
          <w:sz w:val="24"/>
          <w:szCs w:val="24"/>
        </w:rPr>
      </w:pPr>
      <w:r>
        <w:rPr>
          <w:b/>
          <w:sz w:val="24"/>
          <w:szCs w:val="24"/>
        </w:rPr>
        <w:t xml:space="preserve">Hearing: </w:t>
      </w:r>
      <w:proofErr w:type="gramStart"/>
      <w:r>
        <w:rPr>
          <w:b/>
          <w:sz w:val="24"/>
          <w:szCs w:val="24"/>
        </w:rPr>
        <w:t>20</w:t>
      </w:r>
      <w:r>
        <w:rPr>
          <w:b/>
          <w:sz w:val="24"/>
          <w:szCs w:val="24"/>
          <w:vertAlign w:val="superscript"/>
        </w:rPr>
        <w:t>th</w:t>
      </w:r>
      <w:proofErr w:type="gramEnd"/>
      <w:r>
        <w:rPr>
          <w:b/>
          <w:sz w:val="24"/>
          <w:szCs w:val="24"/>
        </w:rPr>
        <w:t xml:space="preserve"> Sept 2018</w:t>
      </w:r>
    </w:p>
    <w:p w:rsidR="00452793" w:rsidRDefault="00452793" w:rsidP="00452793">
      <w:pPr>
        <w:jc w:val="both"/>
        <w:rPr>
          <w:b/>
          <w:sz w:val="24"/>
          <w:szCs w:val="24"/>
        </w:rPr>
      </w:pPr>
    </w:p>
    <w:p w:rsidR="00452793" w:rsidRDefault="00452793" w:rsidP="00452793">
      <w:pPr>
        <w:jc w:val="both"/>
        <w:rPr>
          <w:b/>
          <w:sz w:val="24"/>
          <w:szCs w:val="24"/>
        </w:rPr>
      </w:pPr>
      <w:r>
        <w:rPr>
          <w:b/>
          <w:sz w:val="24"/>
          <w:szCs w:val="24"/>
        </w:rPr>
        <w:t>28. File no. 3666/281/2017 – Prahova Court</w:t>
      </w:r>
    </w:p>
    <w:p w:rsidR="00452793" w:rsidRDefault="00452793" w:rsidP="00452793">
      <w:pPr>
        <w:jc w:val="both"/>
        <w:rPr>
          <w:sz w:val="24"/>
          <w:szCs w:val="24"/>
        </w:rPr>
      </w:pPr>
      <w:r>
        <w:rPr>
          <w:b/>
          <w:sz w:val="24"/>
          <w:szCs w:val="24"/>
        </w:rPr>
        <w:t>Părți:</w:t>
      </w:r>
      <w:r>
        <w:rPr>
          <w:sz w:val="24"/>
          <w:szCs w:val="24"/>
        </w:rPr>
        <w:t xml:space="preserve"> Conpet – plaintiff</w:t>
      </w:r>
    </w:p>
    <w:p w:rsidR="00452793" w:rsidRDefault="00452793" w:rsidP="00452793">
      <w:pPr>
        <w:jc w:val="both"/>
        <w:rPr>
          <w:sz w:val="24"/>
          <w:szCs w:val="24"/>
        </w:rPr>
      </w:pPr>
      <w:r>
        <w:rPr>
          <w:sz w:val="24"/>
          <w:szCs w:val="24"/>
        </w:rPr>
        <w:t xml:space="preserve">           GENERAL REMAT SORT SRL</w:t>
      </w:r>
    </w:p>
    <w:p w:rsidR="00452793" w:rsidRDefault="00452793" w:rsidP="00452793">
      <w:pPr>
        <w:jc w:val="both"/>
        <w:rPr>
          <w:sz w:val="24"/>
          <w:szCs w:val="24"/>
          <w:lang w:val="ro-RO"/>
        </w:rPr>
      </w:pPr>
      <w:r>
        <w:rPr>
          <w:b/>
          <w:sz w:val="24"/>
          <w:szCs w:val="24"/>
        </w:rPr>
        <w:t>Subject:</w:t>
      </w:r>
      <w:r>
        <w:rPr>
          <w:sz w:val="24"/>
          <w:szCs w:val="24"/>
        </w:rPr>
        <w:t xml:space="preserve"> </w:t>
      </w:r>
      <w:r>
        <w:rPr>
          <w:b/>
          <w:bCs/>
          <w:sz w:val="24"/>
          <w:szCs w:val="24"/>
        </w:rPr>
        <w:t>Claims</w:t>
      </w:r>
      <w:r>
        <w:rPr>
          <w:sz w:val="24"/>
          <w:szCs w:val="24"/>
        </w:rPr>
        <w:t xml:space="preserve">. Conpet file a trial claiming an order that General Remat Sort SRL pays the sum of RON </w:t>
      </w:r>
      <w:r>
        <w:rPr>
          <w:sz w:val="24"/>
          <w:szCs w:val="24"/>
          <w:lang w:val="ro-RO"/>
        </w:rPr>
        <w:t>7.200,9</w:t>
      </w:r>
      <w:r>
        <w:rPr>
          <w:sz w:val="24"/>
          <w:szCs w:val="24"/>
        </w:rPr>
        <w:t xml:space="preserve"> </w:t>
      </w:r>
      <w:r>
        <w:rPr>
          <w:sz w:val="24"/>
          <w:szCs w:val="24"/>
          <w:lang w:val="ro-RO"/>
        </w:rPr>
        <w:t>(</w:t>
      </w:r>
      <w:r>
        <w:rPr>
          <w:sz w:val="24"/>
          <w:szCs w:val="24"/>
        </w:rPr>
        <w:t xml:space="preserve">RON </w:t>
      </w:r>
      <w:r>
        <w:rPr>
          <w:sz w:val="24"/>
          <w:szCs w:val="24"/>
          <w:lang w:val="ro-RO"/>
        </w:rPr>
        <w:t xml:space="preserve">2.286 </w:t>
      </w:r>
      <w:r>
        <w:rPr>
          <w:sz w:val="24"/>
          <w:szCs w:val="24"/>
        </w:rPr>
        <w:t>outstanding fee</w:t>
      </w:r>
      <w:r>
        <w:rPr>
          <w:sz w:val="24"/>
          <w:szCs w:val="24"/>
          <w:lang w:val="ro-RO"/>
        </w:rPr>
        <w:t xml:space="preserve"> </w:t>
      </w:r>
      <w:r>
        <w:rPr>
          <w:sz w:val="24"/>
          <w:szCs w:val="24"/>
        </w:rPr>
        <w:t>and RON</w:t>
      </w:r>
      <w:r>
        <w:rPr>
          <w:sz w:val="24"/>
          <w:szCs w:val="24"/>
          <w:lang w:val="ro-RO"/>
        </w:rPr>
        <w:t>4.914</w:t>
      </w:r>
      <w:proofErr w:type="gramStart"/>
      <w:r>
        <w:rPr>
          <w:sz w:val="24"/>
          <w:szCs w:val="24"/>
          <w:lang w:val="ro-RO"/>
        </w:rPr>
        <w:t>,90</w:t>
      </w:r>
      <w:proofErr w:type="gramEnd"/>
      <w:r>
        <w:rPr>
          <w:sz w:val="24"/>
          <w:szCs w:val="24"/>
          <w:lang w:val="ro-RO"/>
        </w:rPr>
        <w:t xml:space="preserve"> </w:t>
      </w:r>
      <w:r>
        <w:rPr>
          <w:sz w:val="24"/>
          <w:szCs w:val="24"/>
        </w:rPr>
        <w:t xml:space="preserve">delay penalties </w:t>
      </w:r>
      <w:r>
        <w:rPr>
          <w:sz w:val="24"/>
          <w:szCs w:val="24"/>
          <w:lang w:val="ro-RO"/>
        </w:rPr>
        <w:t>calculate</w:t>
      </w:r>
      <w:r>
        <w:rPr>
          <w:sz w:val="24"/>
          <w:szCs w:val="24"/>
        </w:rPr>
        <w:t>d</w:t>
      </w:r>
      <w:r>
        <w:rPr>
          <w:sz w:val="24"/>
          <w:szCs w:val="24"/>
          <w:lang w:val="ro-RO"/>
        </w:rPr>
        <w:t xml:space="preserve"> </w:t>
      </w:r>
      <w:r>
        <w:rPr>
          <w:sz w:val="24"/>
          <w:szCs w:val="24"/>
        </w:rPr>
        <w:t xml:space="preserve">to date </w:t>
      </w:r>
      <w:r>
        <w:rPr>
          <w:sz w:val="24"/>
          <w:szCs w:val="24"/>
          <w:lang w:val="ro-RO"/>
        </w:rPr>
        <w:t>31</w:t>
      </w:r>
      <w:r>
        <w:rPr>
          <w:sz w:val="24"/>
          <w:szCs w:val="24"/>
          <w:vertAlign w:val="superscript"/>
        </w:rPr>
        <w:t>st</w:t>
      </w:r>
      <w:r>
        <w:rPr>
          <w:sz w:val="24"/>
          <w:szCs w:val="24"/>
        </w:rPr>
        <w:t xml:space="preserve"> Dec </w:t>
      </w:r>
      <w:r>
        <w:rPr>
          <w:sz w:val="24"/>
          <w:szCs w:val="24"/>
          <w:lang w:val="ro-RO"/>
        </w:rPr>
        <w:t>2016).</w:t>
      </w:r>
    </w:p>
    <w:p w:rsidR="00452793" w:rsidRDefault="00452793" w:rsidP="00452793">
      <w:pPr>
        <w:jc w:val="both"/>
        <w:rPr>
          <w:sz w:val="24"/>
          <w:szCs w:val="24"/>
        </w:rPr>
      </w:pPr>
      <w:r>
        <w:rPr>
          <w:b/>
          <w:sz w:val="24"/>
          <w:szCs w:val="24"/>
        </w:rPr>
        <w:t>Clarifications</w:t>
      </w:r>
      <w:r>
        <w:rPr>
          <w:b/>
          <w:sz w:val="24"/>
          <w:szCs w:val="24"/>
          <w:lang w:val="ro-RO"/>
        </w:rPr>
        <w:t>:</w:t>
      </w:r>
      <w:r>
        <w:rPr>
          <w:rFonts w:ascii="Verdana" w:hAnsi="Verdana" w:cs="Arial"/>
          <w:color w:val="6D6F72"/>
        </w:rPr>
        <w:t xml:space="preserve"> By </w:t>
      </w:r>
      <w:r>
        <w:rPr>
          <w:b/>
          <w:sz w:val="24"/>
          <w:szCs w:val="24"/>
        </w:rPr>
        <w:t xml:space="preserve">sentence </w:t>
      </w:r>
      <w:proofErr w:type="gramStart"/>
      <w:r>
        <w:rPr>
          <w:b/>
          <w:sz w:val="24"/>
          <w:szCs w:val="24"/>
        </w:rPr>
        <w:t>no.</w:t>
      </w:r>
      <w:proofErr w:type="gramEnd"/>
      <w:r>
        <w:rPr>
          <w:b/>
          <w:sz w:val="24"/>
          <w:szCs w:val="24"/>
        </w:rPr>
        <w:t xml:space="preserve"> 864/08.02.2018</w:t>
      </w:r>
      <w:r>
        <w:rPr>
          <w:sz w:val="24"/>
          <w:szCs w:val="24"/>
        </w:rPr>
        <w:t xml:space="preserve"> Ploiești court admits the trial regarding claims, filed by the plaintiff CONPET S.A., against the defendant GENERAL REMAT SORT S.R.L., and the branch situated in Constanţa city, county </w:t>
      </w:r>
      <w:r>
        <w:rPr>
          <w:sz w:val="24"/>
          <w:szCs w:val="24"/>
        </w:rPr>
        <w:lastRenderedPageBreak/>
        <w:t>Constanţa. It orders the defendant pay the plaintiff the sum of RON 2.286 representing consideration of outstanding non-ferrous scrap, according to the contract ADM no. 79/06.03.2014. Orders the defendant to pay the plaintiff the Sum of RON 6.737,02representing the delay penalties, according to Article 11.1 of the contract ADM no. 79/06.03.2014, calculated up to the date of 20.10.2016. Orders the defendant to pay the plaintiff the Sum of RON 2.562,63 trial costs, out of which RON 1.917,63, represent the judicial stamp tax, the amount of RON 600 represent the auditing fee and RON 45 representing consideration of confirmation of company details The sentence was appealed by Conpet. </w:t>
      </w:r>
    </w:p>
    <w:p w:rsidR="00452793" w:rsidRDefault="00452793" w:rsidP="00452793">
      <w:pPr>
        <w:jc w:val="both"/>
        <w:rPr>
          <w:sz w:val="24"/>
          <w:szCs w:val="24"/>
        </w:rPr>
      </w:pPr>
      <w:r>
        <w:rPr>
          <w:sz w:val="24"/>
          <w:szCs w:val="24"/>
        </w:rPr>
        <w:t>Stage of the trial: Appeal</w:t>
      </w:r>
    </w:p>
    <w:p w:rsidR="00452793" w:rsidRDefault="00452793" w:rsidP="00452793">
      <w:pPr>
        <w:jc w:val="both"/>
        <w:rPr>
          <w:sz w:val="24"/>
          <w:szCs w:val="24"/>
        </w:rPr>
      </w:pPr>
      <w:r>
        <w:rPr>
          <w:sz w:val="24"/>
          <w:szCs w:val="24"/>
        </w:rPr>
        <w:t>Hearing: --</w:t>
      </w:r>
    </w:p>
    <w:p w:rsidR="00452793" w:rsidRDefault="00452793" w:rsidP="00452793">
      <w:pPr>
        <w:jc w:val="both"/>
        <w:rPr>
          <w:sz w:val="24"/>
          <w:szCs w:val="24"/>
        </w:rPr>
      </w:pPr>
    </w:p>
    <w:p w:rsidR="00452793" w:rsidRDefault="00452793" w:rsidP="00452793">
      <w:pPr>
        <w:jc w:val="both"/>
        <w:rPr>
          <w:b/>
          <w:sz w:val="24"/>
          <w:szCs w:val="24"/>
          <w:lang w:val="pt-BR"/>
        </w:rPr>
      </w:pPr>
      <w:r>
        <w:rPr>
          <w:b/>
          <w:sz w:val="24"/>
          <w:szCs w:val="24"/>
          <w:lang w:val="ro-RO"/>
        </w:rPr>
        <w:t>29. </w:t>
      </w:r>
      <w:r>
        <w:rPr>
          <w:b/>
          <w:sz w:val="24"/>
          <w:szCs w:val="24"/>
          <w:lang w:val="pt-BR"/>
        </w:rPr>
        <w:t>The file no. 2345/202/2017 - Calarasi </w:t>
      </w:r>
      <w:r>
        <w:rPr>
          <w:b/>
          <w:sz w:val="24"/>
          <w:szCs w:val="24"/>
        </w:rPr>
        <w:t>Court</w:t>
      </w:r>
    </w:p>
    <w:p w:rsidR="00452793" w:rsidRDefault="00452793" w:rsidP="00452793">
      <w:pPr>
        <w:jc w:val="both"/>
        <w:rPr>
          <w:sz w:val="24"/>
          <w:szCs w:val="24"/>
          <w:lang w:val="pt-BR"/>
        </w:rPr>
      </w:pPr>
      <w:r>
        <w:rPr>
          <w:b/>
          <w:sz w:val="24"/>
          <w:szCs w:val="24"/>
          <w:lang w:val="pt-BR"/>
        </w:rPr>
        <w:t>The parties: </w:t>
      </w:r>
      <w:r>
        <w:rPr>
          <w:sz w:val="24"/>
          <w:szCs w:val="24"/>
          <w:lang w:val="pt-BR"/>
        </w:rPr>
        <w:t xml:space="preserve">Conpet - the </w:t>
      </w:r>
      <w:r>
        <w:rPr>
          <w:sz w:val="24"/>
          <w:szCs w:val="24"/>
        </w:rPr>
        <w:t>plaintiff</w:t>
      </w:r>
    </w:p>
    <w:p w:rsidR="00452793" w:rsidRDefault="00452793" w:rsidP="00452793">
      <w:pPr>
        <w:jc w:val="both"/>
        <w:rPr>
          <w:sz w:val="24"/>
          <w:szCs w:val="24"/>
          <w:lang w:val="pt-BR"/>
        </w:rPr>
      </w:pPr>
      <w:r>
        <w:rPr>
          <w:sz w:val="24"/>
          <w:szCs w:val="24"/>
          <w:lang w:val="pt-BR"/>
        </w:rPr>
        <w:t xml:space="preserve">           Stoian Vasile - </w:t>
      </w:r>
      <w:r>
        <w:rPr>
          <w:sz w:val="24"/>
          <w:szCs w:val="24"/>
        </w:rPr>
        <w:t>defendant</w:t>
      </w:r>
    </w:p>
    <w:p w:rsidR="00452793" w:rsidRDefault="00452793" w:rsidP="00452793">
      <w:pPr>
        <w:jc w:val="both"/>
        <w:rPr>
          <w:sz w:val="24"/>
          <w:szCs w:val="24"/>
          <w:lang w:val="pt-BR"/>
        </w:rPr>
      </w:pPr>
      <w:r>
        <w:rPr>
          <w:b/>
          <w:sz w:val="24"/>
          <w:szCs w:val="24"/>
          <w:lang w:val="pt-BR"/>
        </w:rPr>
        <w:t>Subject:</w:t>
      </w:r>
      <w:r>
        <w:rPr>
          <w:sz w:val="24"/>
          <w:szCs w:val="24"/>
          <w:lang w:val="pt-BR"/>
        </w:rPr>
        <w:t> </w:t>
      </w:r>
      <w:r>
        <w:rPr>
          <w:sz w:val="24"/>
          <w:szCs w:val="24"/>
        </w:rPr>
        <w:t>Claims</w:t>
      </w:r>
      <w:r>
        <w:rPr>
          <w:sz w:val="24"/>
          <w:szCs w:val="24"/>
          <w:lang w:val="pt-BR"/>
        </w:rPr>
        <w:t xml:space="preserve">. Conpet </w:t>
      </w:r>
      <w:r>
        <w:rPr>
          <w:sz w:val="24"/>
          <w:szCs w:val="24"/>
        </w:rPr>
        <w:t>filed a trial for enforcing the defendant Stoian Vasile to the payment of the </w:t>
      </w:r>
      <w:r>
        <w:rPr>
          <w:sz w:val="24"/>
          <w:szCs w:val="24"/>
          <w:lang w:val="ro-RO"/>
        </w:rPr>
        <w:t>amount of </w:t>
      </w:r>
      <w:r>
        <w:rPr>
          <w:sz w:val="24"/>
          <w:szCs w:val="24"/>
        </w:rPr>
        <w:t>RON</w:t>
      </w:r>
      <w:r>
        <w:rPr>
          <w:b/>
          <w:sz w:val="24"/>
          <w:szCs w:val="24"/>
          <w:lang w:val="ro-RO"/>
        </w:rPr>
        <w:t>15.136,23</w:t>
      </w:r>
      <w:r>
        <w:rPr>
          <w:sz w:val="24"/>
          <w:szCs w:val="24"/>
          <w:lang w:val="ro-RO"/>
        </w:rPr>
        <w:t xml:space="preserve"> with the title of civil compensations - representing the </w:t>
      </w:r>
      <w:r>
        <w:rPr>
          <w:sz w:val="24"/>
          <w:szCs w:val="24"/>
        </w:rPr>
        <w:t xml:space="preserve">considerations </w:t>
      </w:r>
      <w:r>
        <w:rPr>
          <w:sz w:val="24"/>
          <w:szCs w:val="24"/>
          <w:lang w:val="ro-RO"/>
        </w:rPr>
        <w:t>of the materials and of the work required for the replacement of the three terminals of potential relating to pipes</w:t>
      </w:r>
      <w:r>
        <w:rPr>
          <w:sz w:val="24"/>
          <w:szCs w:val="24"/>
        </w:rPr>
        <w:t xml:space="preserve"> for </w:t>
      </w:r>
      <w:r>
        <w:rPr>
          <w:sz w:val="24"/>
          <w:szCs w:val="24"/>
          <w:lang w:val="ro-RO"/>
        </w:rPr>
        <w:t>transport</w:t>
      </w:r>
      <w:r>
        <w:rPr>
          <w:sz w:val="24"/>
          <w:szCs w:val="24"/>
        </w:rPr>
        <w:t xml:space="preserve"> of </w:t>
      </w:r>
      <w:r>
        <w:rPr>
          <w:sz w:val="24"/>
          <w:szCs w:val="24"/>
          <w:lang w:val="ro-RO"/>
        </w:rPr>
        <w:t>import</w:t>
      </w:r>
      <w:r>
        <w:rPr>
          <w:sz w:val="24"/>
          <w:szCs w:val="24"/>
        </w:rPr>
        <w:t>ed</w:t>
      </w:r>
      <w:r>
        <w:rPr>
          <w:sz w:val="24"/>
          <w:szCs w:val="24"/>
          <w:lang w:val="ro-RO"/>
        </w:rPr>
        <w:t xml:space="preserve"> crude oi</w:t>
      </w:r>
      <w:r>
        <w:rPr>
          <w:sz w:val="24"/>
          <w:szCs w:val="24"/>
        </w:rPr>
        <w:t>l</w:t>
      </w:r>
      <w:r>
        <w:rPr>
          <w:sz w:val="24"/>
          <w:szCs w:val="24"/>
          <w:lang w:val="ro-RO"/>
        </w:rPr>
        <w:t xml:space="preserve"> Baraganu - Călăreți</w:t>
      </w:r>
      <w:r>
        <w:rPr>
          <w:sz w:val="24"/>
          <w:szCs w:val="24"/>
        </w:rPr>
        <w:t xml:space="preserve"> </w:t>
      </w:r>
      <w:r>
        <w:rPr>
          <w:sz w:val="24"/>
          <w:szCs w:val="24"/>
          <w:lang w:val="ro-RO"/>
        </w:rPr>
        <w:t>stolen by the latter during the period 17</w:t>
      </w:r>
      <w:r>
        <w:rPr>
          <w:sz w:val="24"/>
          <w:szCs w:val="24"/>
          <w:vertAlign w:val="superscript"/>
        </w:rPr>
        <w:t>th</w:t>
      </w:r>
      <w:r>
        <w:rPr>
          <w:sz w:val="24"/>
          <w:szCs w:val="24"/>
        </w:rPr>
        <w:t xml:space="preserve"> Sept</w:t>
      </w:r>
      <w:r>
        <w:rPr>
          <w:sz w:val="24"/>
          <w:szCs w:val="24"/>
          <w:lang w:val="ro-RO"/>
        </w:rPr>
        <w:t xml:space="preserve"> - 30</w:t>
      </w:r>
      <w:r>
        <w:rPr>
          <w:sz w:val="24"/>
          <w:szCs w:val="24"/>
          <w:vertAlign w:val="superscript"/>
        </w:rPr>
        <w:t>th</w:t>
      </w:r>
      <w:r>
        <w:rPr>
          <w:sz w:val="24"/>
          <w:szCs w:val="24"/>
        </w:rPr>
        <w:t xml:space="preserve"> Sept</w:t>
      </w:r>
      <w:r>
        <w:rPr>
          <w:sz w:val="24"/>
          <w:szCs w:val="24"/>
          <w:lang w:val="ro-RO"/>
        </w:rPr>
        <w:t>.2014, the </w:t>
      </w:r>
      <w:r>
        <w:rPr>
          <w:sz w:val="24"/>
          <w:szCs w:val="24"/>
          <w:lang w:val="it-IT"/>
        </w:rPr>
        <w:t>amount of which shall be added to the legal interest from the date of the commitment of the deed (30</w:t>
      </w:r>
      <w:r>
        <w:rPr>
          <w:sz w:val="24"/>
          <w:szCs w:val="24"/>
          <w:vertAlign w:val="superscript"/>
        </w:rPr>
        <w:t>th</w:t>
      </w:r>
      <w:r>
        <w:rPr>
          <w:sz w:val="24"/>
          <w:szCs w:val="24"/>
        </w:rPr>
        <w:t xml:space="preserve"> Sept </w:t>
      </w:r>
      <w:r>
        <w:rPr>
          <w:sz w:val="24"/>
          <w:szCs w:val="24"/>
          <w:lang w:val="it-IT"/>
        </w:rPr>
        <w:t>2014) and until the date of actual payment, and the payment </w:t>
      </w:r>
      <w:r>
        <w:rPr>
          <w:sz w:val="24"/>
          <w:szCs w:val="24"/>
          <w:lang w:val="pt-BR"/>
        </w:rPr>
        <w:t xml:space="preserve">of </w:t>
      </w:r>
      <w:r>
        <w:rPr>
          <w:sz w:val="24"/>
          <w:szCs w:val="24"/>
        </w:rPr>
        <w:t xml:space="preserve">trial expenses </w:t>
      </w:r>
      <w:r>
        <w:rPr>
          <w:sz w:val="24"/>
          <w:szCs w:val="24"/>
          <w:lang w:val="pt-BR"/>
        </w:rPr>
        <w:t>advanced in question.</w:t>
      </w:r>
    </w:p>
    <w:p w:rsidR="00452793" w:rsidRDefault="00452793" w:rsidP="00452793">
      <w:pPr>
        <w:jc w:val="both"/>
        <w:rPr>
          <w:sz w:val="24"/>
          <w:szCs w:val="24"/>
        </w:rPr>
      </w:pPr>
      <w:r>
        <w:rPr>
          <w:b/>
          <w:sz w:val="24"/>
          <w:szCs w:val="24"/>
          <w:lang w:val="pt-BR"/>
        </w:rPr>
        <w:t>Claims:</w:t>
      </w:r>
      <w:r>
        <w:rPr>
          <w:sz w:val="24"/>
          <w:szCs w:val="24"/>
          <w:lang w:val="pt-BR"/>
        </w:rPr>
        <w:t> By </w:t>
      </w:r>
      <w:r>
        <w:rPr>
          <w:b/>
          <w:sz w:val="24"/>
          <w:szCs w:val="24"/>
        </w:rPr>
        <w:t xml:space="preserve">sentence </w:t>
      </w:r>
      <w:r>
        <w:rPr>
          <w:b/>
          <w:sz w:val="24"/>
          <w:szCs w:val="24"/>
          <w:lang w:val="pt-BR"/>
        </w:rPr>
        <w:t>of the </w:t>
      </w:r>
      <w:r>
        <w:rPr>
          <w:sz w:val="24"/>
          <w:szCs w:val="24"/>
        </w:rPr>
        <w:t xml:space="preserve">Law Court No. 1694/19.09.2017 Calarasi admits the request made by the defendant Conpet S.A. and orders the defendant to pay the amount of RON 15.136,23 as civil compensations. It reject as unfounded the request of the applicant regarding the obligation of the defendant to pay the trial expenses. </w:t>
      </w:r>
      <w:proofErr w:type="gramStart"/>
      <w:r>
        <w:rPr>
          <w:sz w:val="24"/>
          <w:szCs w:val="24"/>
        </w:rPr>
        <w:t>The sentence was appealed by Conpet</w:t>
      </w:r>
      <w:proofErr w:type="gramEnd"/>
      <w:r>
        <w:rPr>
          <w:sz w:val="24"/>
          <w:szCs w:val="24"/>
        </w:rPr>
        <w:t xml:space="preserve">. </w:t>
      </w:r>
      <w:proofErr w:type="gramStart"/>
      <w:r>
        <w:rPr>
          <w:sz w:val="24"/>
          <w:szCs w:val="24"/>
        </w:rPr>
        <w:t>Also Conpet made a request for addition to the sentence No. 1694/19.09.2017 </w:t>
      </w:r>
      <w:r>
        <w:rPr>
          <w:sz w:val="24"/>
          <w:szCs w:val="24"/>
          <w:lang w:val="ro-RO"/>
        </w:rPr>
        <w:t xml:space="preserve">requesting admission </w:t>
      </w:r>
      <w:r>
        <w:rPr>
          <w:sz w:val="24"/>
          <w:szCs w:val="24"/>
        </w:rPr>
        <w:t xml:space="preserve">of the file </w:t>
      </w:r>
      <w:r>
        <w:rPr>
          <w:sz w:val="24"/>
          <w:szCs w:val="24"/>
          <w:lang w:val="ro-RO"/>
        </w:rPr>
        <w:t xml:space="preserve">and completing the sentence </w:t>
      </w:r>
      <w:r>
        <w:rPr>
          <w:sz w:val="24"/>
          <w:szCs w:val="24"/>
        </w:rPr>
        <w:t xml:space="preserve">issued </w:t>
      </w:r>
      <w:r>
        <w:rPr>
          <w:sz w:val="24"/>
          <w:szCs w:val="24"/>
          <w:lang w:val="ro-RO"/>
        </w:rPr>
        <w:t>by the Court of Calarasi, with the provisions of the court on the </w:t>
      </w:r>
      <w:r>
        <w:rPr>
          <w:sz w:val="24"/>
          <w:szCs w:val="24"/>
        </w:rPr>
        <w:t xml:space="preserve">application of our company concerning the obligation of the defendant Stoian Vasile to the </w:t>
      </w:r>
      <w:r>
        <w:rPr>
          <w:sz w:val="24"/>
          <w:szCs w:val="24"/>
          <w:lang w:val="it-IT"/>
        </w:rPr>
        <w:t>payment</w:t>
      </w:r>
      <w:r>
        <w:rPr>
          <w:sz w:val="24"/>
          <w:szCs w:val="24"/>
        </w:rPr>
        <w:t xml:space="preserve"> of legal </w:t>
      </w:r>
      <w:r>
        <w:rPr>
          <w:sz w:val="24"/>
          <w:szCs w:val="24"/>
          <w:lang w:val="it-IT"/>
        </w:rPr>
        <w:t>interest, starting from the date of the commitment of the deed (30</w:t>
      </w:r>
      <w:r>
        <w:rPr>
          <w:sz w:val="24"/>
          <w:szCs w:val="24"/>
          <w:vertAlign w:val="superscript"/>
        </w:rPr>
        <w:t>th</w:t>
      </w:r>
      <w:r>
        <w:rPr>
          <w:sz w:val="24"/>
          <w:szCs w:val="24"/>
        </w:rPr>
        <w:t xml:space="preserve"> Sept </w:t>
      </w:r>
      <w:r>
        <w:rPr>
          <w:sz w:val="24"/>
          <w:szCs w:val="24"/>
          <w:lang w:val="it-IT"/>
        </w:rPr>
        <w:t xml:space="preserve">2014) and until the date of actual payment of the </w:t>
      </w:r>
      <w:r>
        <w:rPr>
          <w:sz w:val="24"/>
          <w:szCs w:val="24"/>
        </w:rPr>
        <w:t>main flow.</w:t>
      </w:r>
      <w:proofErr w:type="gramEnd"/>
      <w:r>
        <w:rPr>
          <w:sz w:val="24"/>
          <w:szCs w:val="24"/>
        </w:rPr>
        <w:t xml:space="preserve"> The completion request shall be subject to the file no. 2345/202/2017/a1. </w:t>
      </w:r>
      <w:proofErr w:type="gramStart"/>
      <w:r>
        <w:rPr>
          <w:sz w:val="24"/>
          <w:szCs w:val="24"/>
        </w:rPr>
        <w:t>By the ruling no. 258/06.02.2018 the Calarasi Courthouse admits the request for addition to the Civil Sentence No 1694/2017 of 19 September 2017, pronounced by the Court of Calarasi in the file no. 2345/202/2017, the request made by the plaintiff Conpet S.A., based on Article 444 Civil Procedure Code, completes the sentence referred to in the sense that the defendant Stoian Vasile is ordered to pay the plaintiff the legal interest calculated on the basis of the amount of RON 15.136,23 from 30</w:t>
      </w:r>
      <w:r>
        <w:rPr>
          <w:sz w:val="24"/>
          <w:szCs w:val="24"/>
          <w:vertAlign w:val="superscript"/>
        </w:rPr>
        <w:t>th</w:t>
      </w:r>
      <w:r>
        <w:rPr>
          <w:sz w:val="24"/>
          <w:szCs w:val="24"/>
        </w:rPr>
        <w:t xml:space="preserve"> Sept 2014 until the date of actual payment.</w:t>
      </w:r>
      <w:proofErr w:type="gramEnd"/>
      <w:r>
        <w:rPr>
          <w:sz w:val="24"/>
          <w:szCs w:val="24"/>
        </w:rPr>
        <w:t xml:space="preserve"> All the other provisions of the sentence were preserved. Final by lack of appeal.</w:t>
      </w:r>
    </w:p>
    <w:p w:rsidR="00452793" w:rsidRDefault="00452793" w:rsidP="00452793">
      <w:pPr>
        <w:jc w:val="both"/>
        <w:rPr>
          <w:sz w:val="24"/>
          <w:szCs w:val="24"/>
          <w:lang w:val="pt-BR"/>
        </w:rPr>
      </w:pPr>
      <w:r>
        <w:rPr>
          <w:b/>
          <w:sz w:val="24"/>
          <w:szCs w:val="24"/>
          <w:lang w:val="pt-BR"/>
        </w:rPr>
        <w:t> </w:t>
      </w:r>
      <w:r>
        <w:rPr>
          <w:sz w:val="24"/>
          <w:szCs w:val="24"/>
        </w:rPr>
        <w:t>Stage of the trial: Appeal</w:t>
      </w:r>
    </w:p>
    <w:p w:rsidR="00452793" w:rsidRDefault="00452793" w:rsidP="00452793">
      <w:pPr>
        <w:jc w:val="both"/>
        <w:rPr>
          <w:b/>
          <w:sz w:val="24"/>
          <w:szCs w:val="24"/>
          <w:lang w:val="ro-RO"/>
        </w:rPr>
      </w:pPr>
      <w:r>
        <w:rPr>
          <w:b/>
          <w:sz w:val="24"/>
          <w:szCs w:val="24"/>
          <w:lang w:val="pt-BR"/>
        </w:rPr>
        <w:t> </w:t>
      </w:r>
      <w:r>
        <w:rPr>
          <w:b/>
          <w:sz w:val="24"/>
          <w:szCs w:val="24"/>
        </w:rPr>
        <w:t>Hearing</w:t>
      </w:r>
      <w:proofErr w:type="gramStart"/>
      <w:r>
        <w:rPr>
          <w:b/>
          <w:sz w:val="24"/>
          <w:szCs w:val="24"/>
        </w:rPr>
        <w:t>:</w:t>
      </w:r>
      <w:r>
        <w:rPr>
          <w:sz w:val="24"/>
          <w:szCs w:val="24"/>
          <w:lang w:val="pt-BR"/>
        </w:rPr>
        <w:t>18</w:t>
      </w:r>
      <w:r>
        <w:rPr>
          <w:sz w:val="24"/>
          <w:szCs w:val="24"/>
        </w:rPr>
        <w:t>th</w:t>
      </w:r>
      <w:proofErr w:type="gramEnd"/>
      <w:r>
        <w:rPr>
          <w:sz w:val="24"/>
          <w:szCs w:val="24"/>
        </w:rPr>
        <w:t xml:space="preserve"> Sept </w:t>
      </w:r>
      <w:r>
        <w:rPr>
          <w:sz w:val="24"/>
          <w:szCs w:val="24"/>
          <w:lang w:val="pt-BR"/>
        </w:rPr>
        <w:t xml:space="preserve">2018 </w:t>
      </w:r>
    </w:p>
    <w:p w:rsidR="00452793" w:rsidRDefault="00452793" w:rsidP="00452793">
      <w:pPr>
        <w:jc w:val="both"/>
        <w:rPr>
          <w:b/>
          <w:sz w:val="24"/>
          <w:szCs w:val="24"/>
          <w:lang w:val="ro-RO"/>
        </w:rPr>
      </w:pPr>
    </w:p>
    <w:p w:rsidR="00452793" w:rsidRDefault="00452793" w:rsidP="00452793">
      <w:pPr>
        <w:jc w:val="both"/>
        <w:rPr>
          <w:b/>
          <w:sz w:val="24"/>
          <w:szCs w:val="24"/>
          <w:lang w:val="pt-BR"/>
        </w:rPr>
      </w:pPr>
      <w:r>
        <w:rPr>
          <w:b/>
          <w:sz w:val="24"/>
          <w:szCs w:val="24"/>
          <w:lang w:val="pt-BR"/>
        </w:rPr>
        <w:t>30. The file no. 1656/295/2017 - Timis County Court </w:t>
      </w:r>
    </w:p>
    <w:p w:rsidR="00452793" w:rsidRDefault="00452793" w:rsidP="00452793">
      <w:pPr>
        <w:jc w:val="both"/>
        <w:rPr>
          <w:sz w:val="24"/>
          <w:szCs w:val="24"/>
          <w:lang w:val="pt-BR"/>
        </w:rPr>
      </w:pPr>
      <w:r>
        <w:rPr>
          <w:b/>
          <w:sz w:val="24"/>
          <w:szCs w:val="24"/>
          <w:lang w:val="pt-BR"/>
        </w:rPr>
        <w:t>The parties: </w:t>
      </w:r>
      <w:r>
        <w:rPr>
          <w:sz w:val="24"/>
          <w:szCs w:val="24"/>
          <w:lang w:val="pt-BR"/>
        </w:rPr>
        <w:t xml:space="preserve">Conpet - the </w:t>
      </w:r>
      <w:r>
        <w:rPr>
          <w:sz w:val="24"/>
          <w:szCs w:val="24"/>
        </w:rPr>
        <w:t>plaintiff</w:t>
      </w:r>
    </w:p>
    <w:p w:rsidR="00452793" w:rsidRDefault="00452793" w:rsidP="00452793">
      <w:pPr>
        <w:jc w:val="both"/>
        <w:rPr>
          <w:sz w:val="24"/>
          <w:szCs w:val="24"/>
          <w:lang w:val="pt-BR"/>
        </w:rPr>
      </w:pPr>
      <w:r>
        <w:rPr>
          <w:sz w:val="24"/>
          <w:szCs w:val="24"/>
          <w:lang w:val="pt-BR"/>
        </w:rPr>
        <w:t xml:space="preserve">           Emiliana West Rom SRL - </w:t>
      </w:r>
      <w:r>
        <w:rPr>
          <w:sz w:val="24"/>
          <w:szCs w:val="24"/>
        </w:rPr>
        <w:t>defendant</w:t>
      </w:r>
    </w:p>
    <w:p w:rsidR="00452793" w:rsidRDefault="00452793" w:rsidP="00452793">
      <w:pPr>
        <w:jc w:val="both"/>
        <w:rPr>
          <w:sz w:val="24"/>
          <w:szCs w:val="24"/>
          <w:lang w:val="pt-BR"/>
        </w:rPr>
      </w:pPr>
      <w:r>
        <w:rPr>
          <w:sz w:val="24"/>
          <w:szCs w:val="24"/>
          <w:lang w:val="pt-BR"/>
        </w:rPr>
        <w:t xml:space="preserve">           Zeri Andrea - </w:t>
      </w:r>
      <w:r>
        <w:rPr>
          <w:sz w:val="24"/>
          <w:szCs w:val="24"/>
        </w:rPr>
        <w:t>defendant</w:t>
      </w:r>
      <w:r>
        <w:rPr>
          <w:sz w:val="24"/>
          <w:szCs w:val="24"/>
          <w:lang w:val="pt-BR"/>
        </w:rPr>
        <w:t> </w:t>
      </w:r>
    </w:p>
    <w:p w:rsidR="00452793" w:rsidRDefault="00452793" w:rsidP="00452793">
      <w:pPr>
        <w:jc w:val="both"/>
        <w:rPr>
          <w:sz w:val="24"/>
          <w:szCs w:val="24"/>
          <w:lang w:val="ro-RO"/>
        </w:rPr>
      </w:pPr>
      <w:r>
        <w:rPr>
          <w:b/>
          <w:sz w:val="24"/>
          <w:szCs w:val="24"/>
          <w:lang w:val="pt-BR"/>
        </w:rPr>
        <w:t>Subject:</w:t>
      </w:r>
      <w:r>
        <w:rPr>
          <w:sz w:val="24"/>
          <w:szCs w:val="24"/>
          <w:lang w:val="pt-BR"/>
        </w:rPr>
        <w:t> </w:t>
      </w:r>
      <w:r>
        <w:rPr>
          <w:sz w:val="24"/>
          <w:szCs w:val="24"/>
        </w:rPr>
        <w:t>Claims</w:t>
      </w:r>
      <w:r>
        <w:rPr>
          <w:sz w:val="24"/>
          <w:szCs w:val="24"/>
          <w:lang w:val="pt-BR"/>
        </w:rPr>
        <w:t xml:space="preserve">.  Conpet </w:t>
      </w:r>
      <w:r>
        <w:rPr>
          <w:sz w:val="24"/>
          <w:szCs w:val="24"/>
        </w:rPr>
        <w:t xml:space="preserve">filed a trial, requesting the order to the defendants SC </w:t>
      </w:r>
      <w:r>
        <w:rPr>
          <w:sz w:val="24"/>
          <w:szCs w:val="24"/>
        </w:rPr>
        <w:lastRenderedPageBreak/>
        <w:t>EMILIANA WEST ROM SRL and ZERI ANDREA to jointly pay the </w:t>
      </w:r>
      <w:r>
        <w:rPr>
          <w:sz w:val="24"/>
          <w:szCs w:val="24"/>
          <w:lang w:val="ro-RO"/>
        </w:rPr>
        <w:t xml:space="preserve">amount of </w:t>
      </w:r>
      <w:r>
        <w:rPr>
          <w:sz w:val="24"/>
          <w:szCs w:val="24"/>
        </w:rPr>
        <w:t xml:space="preserve">RON </w:t>
      </w:r>
      <w:r>
        <w:rPr>
          <w:b/>
          <w:sz w:val="24"/>
          <w:szCs w:val="24"/>
          <w:lang w:val="ro-RO"/>
        </w:rPr>
        <w:t>197.301,36</w:t>
      </w:r>
      <w:r>
        <w:rPr>
          <w:b/>
          <w:sz w:val="24"/>
          <w:szCs w:val="24"/>
        </w:rPr>
        <w:t xml:space="preserve"> </w:t>
      </w:r>
      <w:r>
        <w:rPr>
          <w:bCs/>
          <w:sz w:val="24"/>
          <w:szCs w:val="24"/>
        </w:rPr>
        <w:t>to</w:t>
      </w:r>
      <w:r>
        <w:rPr>
          <w:bCs/>
          <w:sz w:val="24"/>
          <w:szCs w:val="24"/>
          <w:lang w:val="ro-RO"/>
        </w:rPr>
        <w:t xml:space="preserve"> </w:t>
      </w:r>
      <w:r>
        <w:rPr>
          <w:sz w:val="24"/>
          <w:szCs w:val="24"/>
          <w:lang w:val="ro-RO"/>
        </w:rPr>
        <w:t xml:space="preserve">Conpet with the title of civil compensations - representing the </w:t>
      </w:r>
      <w:r>
        <w:rPr>
          <w:sz w:val="24"/>
          <w:szCs w:val="24"/>
        </w:rPr>
        <w:t xml:space="preserve">consideration </w:t>
      </w:r>
      <w:r>
        <w:rPr>
          <w:sz w:val="24"/>
          <w:szCs w:val="24"/>
          <w:lang w:val="ro-RO"/>
        </w:rPr>
        <w:t>of the tubular material, the materials and the necessary work for the restoration of transport crude oil pipe Ø 6 - Teremia Valcani ⅝", destroyed on 07</w:t>
      </w:r>
      <w:r>
        <w:rPr>
          <w:sz w:val="24"/>
          <w:szCs w:val="24"/>
          <w:vertAlign w:val="superscript"/>
        </w:rPr>
        <w:t>th</w:t>
      </w:r>
      <w:r>
        <w:rPr>
          <w:sz w:val="24"/>
          <w:szCs w:val="24"/>
        </w:rPr>
        <w:t xml:space="preserve"> July </w:t>
      </w:r>
      <w:r>
        <w:rPr>
          <w:sz w:val="24"/>
          <w:szCs w:val="24"/>
          <w:lang w:val="ro-RO"/>
        </w:rPr>
        <w:t>2014 by displacement of a portion of 460 m.l., the amount of which shall be added to the legal interest from the date of the commitment of the deed until the date of payment of the full main flow.</w:t>
      </w:r>
    </w:p>
    <w:p w:rsidR="00452793" w:rsidRDefault="00452793" w:rsidP="00452793">
      <w:pPr>
        <w:jc w:val="both"/>
        <w:rPr>
          <w:sz w:val="24"/>
          <w:szCs w:val="24"/>
          <w:lang w:val="ro-RO"/>
        </w:rPr>
      </w:pPr>
      <w:r>
        <w:rPr>
          <w:b/>
          <w:sz w:val="24"/>
          <w:szCs w:val="24"/>
          <w:lang w:val="ro-RO"/>
        </w:rPr>
        <w:t>Details:</w:t>
      </w:r>
      <w:r>
        <w:rPr>
          <w:sz w:val="24"/>
          <w:szCs w:val="24"/>
          <w:lang w:val="ro-RO"/>
        </w:rPr>
        <w:t> Through the </w:t>
      </w:r>
      <w:r>
        <w:rPr>
          <w:b/>
          <w:sz w:val="24"/>
          <w:szCs w:val="24"/>
        </w:rPr>
        <w:t xml:space="preserve">order </w:t>
      </w:r>
      <w:r>
        <w:rPr>
          <w:b/>
          <w:sz w:val="24"/>
          <w:szCs w:val="24"/>
          <w:lang w:val="ro-RO"/>
        </w:rPr>
        <w:t>no. </w:t>
      </w:r>
      <w:r>
        <w:rPr>
          <w:b/>
          <w:sz w:val="24"/>
          <w:szCs w:val="24"/>
        </w:rPr>
        <w:t>132/12.02.2018</w:t>
      </w:r>
      <w:r>
        <w:rPr>
          <w:sz w:val="24"/>
          <w:szCs w:val="24"/>
        </w:rPr>
        <w:t xml:space="preserve"> Sannicolaul Mare Court shall reject the summoning request made and specified by the plaintiff Conpet, against the defendants Zeri Andrea and PFA Zeri Andrea, regarding claims. It rejects as unsubstantiated the request for granting trial fees requested by paratii Zeri Andrea and PFA Zeri Andrea. </w:t>
      </w:r>
      <w:proofErr w:type="gramStart"/>
      <w:r>
        <w:rPr>
          <w:sz w:val="24"/>
          <w:szCs w:val="24"/>
        </w:rPr>
        <w:t>The sentence was appealed by Conpet</w:t>
      </w:r>
      <w:proofErr w:type="gramEnd"/>
      <w:r>
        <w:rPr>
          <w:sz w:val="24"/>
          <w:szCs w:val="24"/>
        </w:rPr>
        <w:t>.</w:t>
      </w:r>
    </w:p>
    <w:p w:rsidR="00452793" w:rsidRDefault="00452793" w:rsidP="00452793">
      <w:pPr>
        <w:jc w:val="both"/>
        <w:rPr>
          <w:sz w:val="24"/>
          <w:szCs w:val="24"/>
          <w:lang w:val="ro-RO"/>
        </w:rPr>
      </w:pPr>
      <w:r>
        <w:rPr>
          <w:sz w:val="24"/>
          <w:szCs w:val="24"/>
          <w:lang w:val="ro-RO"/>
        </w:rPr>
        <w:t>Stage</w:t>
      </w:r>
      <w:r>
        <w:rPr>
          <w:sz w:val="24"/>
          <w:szCs w:val="24"/>
        </w:rPr>
        <w:t xml:space="preserve"> of trial</w:t>
      </w:r>
      <w:r>
        <w:rPr>
          <w:sz w:val="24"/>
          <w:szCs w:val="24"/>
          <w:lang w:val="ro-RO"/>
        </w:rPr>
        <w:t>:</w:t>
      </w:r>
      <w:r>
        <w:rPr>
          <w:sz w:val="24"/>
          <w:szCs w:val="24"/>
        </w:rPr>
        <w:t xml:space="preserve"> appeal</w:t>
      </w:r>
    </w:p>
    <w:p w:rsidR="00452793" w:rsidRDefault="00452793" w:rsidP="00452793">
      <w:pPr>
        <w:jc w:val="both"/>
        <w:rPr>
          <w:sz w:val="24"/>
          <w:szCs w:val="24"/>
          <w:lang w:val="ro-RO"/>
        </w:rPr>
      </w:pPr>
      <w:r>
        <w:rPr>
          <w:b/>
          <w:sz w:val="24"/>
          <w:szCs w:val="24"/>
        </w:rPr>
        <w:t>Hearing</w:t>
      </w:r>
      <w:r>
        <w:rPr>
          <w:b/>
          <w:sz w:val="24"/>
          <w:szCs w:val="24"/>
          <w:lang w:val="ro-RO"/>
        </w:rPr>
        <w:t>:</w:t>
      </w:r>
      <w:r>
        <w:rPr>
          <w:sz w:val="24"/>
          <w:szCs w:val="24"/>
          <w:lang w:val="ro-RO"/>
        </w:rPr>
        <w:t> --</w:t>
      </w:r>
    </w:p>
    <w:p w:rsidR="00452793" w:rsidRDefault="00452793" w:rsidP="00452793">
      <w:pPr>
        <w:jc w:val="both"/>
        <w:rPr>
          <w:sz w:val="24"/>
          <w:szCs w:val="24"/>
        </w:rPr>
      </w:pPr>
    </w:p>
    <w:p w:rsidR="00452793" w:rsidRDefault="00452793" w:rsidP="00452793">
      <w:pPr>
        <w:jc w:val="both"/>
        <w:rPr>
          <w:b/>
          <w:bCs/>
          <w:sz w:val="24"/>
          <w:szCs w:val="24"/>
          <w:lang w:val="pt-BR"/>
        </w:rPr>
      </w:pPr>
      <w:r>
        <w:rPr>
          <w:b/>
          <w:sz w:val="24"/>
          <w:szCs w:val="24"/>
          <w:lang w:val="ro-RO"/>
        </w:rPr>
        <w:t xml:space="preserve">31. The </w:t>
      </w:r>
      <w:r>
        <w:rPr>
          <w:b/>
          <w:sz w:val="24"/>
          <w:szCs w:val="24"/>
        </w:rPr>
        <w:t>file</w:t>
      </w:r>
      <w:r>
        <w:rPr>
          <w:b/>
          <w:sz w:val="24"/>
          <w:szCs w:val="24"/>
          <w:lang w:val="ro-RO"/>
        </w:rPr>
        <w:t xml:space="preserve"> No 789/105/2017 - the Prahova </w:t>
      </w:r>
      <w:r>
        <w:rPr>
          <w:b/>
          <w:sz w:val="24"/>
          <w:szCs w:val="24"/>
        </w:rPr>
        <w:t>Court</w:t>
      </w:r>
    </w:p>
    <w:p w:rsidR="00452793" w:rsidRDefault="00452793" w:rsidP="00452793">
      <w:pPr>
        <w:jc w:val="both"/>
        <w:rPr>
          <w:bCs/>
          <w:sz w:val="24"/>
          <w:szCs w:val="24"/>
          <w:lang w:val="pt-BR"/>
        </w:rPr>
      </w:pPr>
      <w:r>
        <w:rPr>
          <w:b/>
          <w:bCs/>
          <w:sz w:val="24"/>
          <w:szCs w:val="24"/>
          <w:lang w:val="pt-BR"/>
        </w:rPr>
        <w:t>The parties: </w:t>
      </w:r>
      <w:r>
        <w:rPr>
          <w:bCs/>
          <w:sz w:val="24"/>
          <w:szCs w:val="24"/>
          <w:lang w:val="pt-BR"/>
        </w:rPr>
        <w:t>ICIM by administrator CITR Bucharest - the debtor</w:t>
      </w:r>
    </w:p>
    <w:p w:rsidR="00452793" w:rsidRDefault="00452793" w:rsidP="00452793">
      <w:pPr>
        <w:jc w:val="both"/>
        <w:rPr>
          <w:bCs/>
          <w:sz w:val="24"/>
          <w:szCs w:val="24"/>
          <w:lang w:val="pt-BR"/>
        </w:rPr>
      </w:pPr>
      <w:r>
        <w:rPr>
          <w:bCs/>
          <w:sz w:val="24"/>
          <w:szCs w:val="24"/>
          <w:lang w:val="pt-BR"/>
        </w:rPr>
        <w:t>           Conpet- creditor</w:t>
      </w:r>
    </w:p>
    <w:p w:rsidR="00452793" w:rsidRDefault="00452793" w:rsidP="00452793">
      <w:pPr>
        <w:jc w:val="both"/>
        <w:rPr>
          <w:bCs/>
          <w:sz w:val="24"/>
          <w:szCs w:val="24"/>
          <w:lang w:val="pt-BR"/>
        </w:rPr>
      </w:pPr>
      <w:r>
        <w:rPr>
          <w:b/>
          <w:bCs/>
          <w:sz w:val="24"/>
          <w:szCs w:val="24"/>
          <w:lang w:val="pt-BR"/>
        </w:rPr>
        <w:t>Subject: </w:t>
      </w:r>
      <w:r>
        <w:rPr>
          <w:bCs/>
          <w:sz w:val="24"/>
          <w:szCs w:val="24"/>
          <w:lang w:val="pt-BR"/>
        </w:rPr>
        <w:t xml:space="preserve">insolvency procedure. Conpet </w:t>
      </w:r>
      <w:r>
        <w:rPr>
          <w:bCs/>
          <w:sz w:val="24"/>
          <w:szCs w:val="24"/>
        </w:rPr>
        <w:t>issues a request for the debt admition, demanding the registration in the table of creditors for</w:t>
      </w:r>
      <w:r>
        <w:rPr>
          <w:bCs/>
          <w:sz w:val="24"/>
          <w:szCs w:val="24"/>
          <w:lang w:val="pt-BR"/>
        </w:rPr>
        <w:t xml:space="preserve"> ICIM represented by the judicial administrator CITR SPRL subsidiary in Bucharest, with the total debt in the amount of </w:t>
      </w:r>
      <w:r>
        <w:rPr>
          <w:bCs/>
          <w:sz w:val="24"/>
          <w:szCs w:val="24"/>
        </w:rPr>
        <w:t xml:space="preserve">RON </w:t>
      </w:r>
      <w:r>
        <w:rPr>
          <w:bCs/>
          <w:sz w:val="24"/>
          <w:szCs w:val="24"/>
          <w:lang w:val="pt-BR"/>
        </w:rPr>
        <w:t xml:space="preserve">393.934,37 representing the </w:t>
      </w:r>
      <w:r>
        <w:rPr>
          <w:bCs/>
          <w:sz w:val="24"/>
          <w:szCs w:val="24"/>
        </w:rPr>
        <w:t>delay penalties</w:t>
      </w:r>
      <w:r>
        <w:rPr>
          <w:bCs/>
          <w:sz w:val="24"/>
          <w:szCs w:val="24"/>
          <w:lang w:val="pt-BR"/>
        </w:rPr>
        <w:t xml:space="preserve">, </w:t>
      </w:r>
      <w:r>
        <w:rPr>
          <w:bCs/>
          <w:sz w:val="24"/>
          <w:szCs w:val="24"/>
        </w:rPr>
        <w:t>trial and enforcement expenses</w:t>
      </w:r>
      <w:r>
        <w:rPr>
          <w:bCs/>
          <w:sz w:val="24"/>
          <w:szCs w:val="24"/>
          <w:lang w:val="pt-BR"/>
        </w:rPr>
        <w:t>.</w:t>
      </w:r>
    </w:p>
    <w:p w:rsidR="00452793" w:rsidRDefault="00452793" w:rsidP="00452793">
      <w:pPr>
        <w:jc w:val="both"/>
        <w:rPr>
          <w:bCs/>
          <w:sz w:val="24"/>
          <w:szCs w:val="24"/>
          <w:lang w:val="pt-BR"/>
        </w:rPr>
      </w:pPr>
      <w:r>
        <w:rPr>
          <w:bCs/>
          <w:sz w:val="24"/>
          <w:szCs w:val="24"/>
          <w:lang w:val="pt-BR"/>
        </w:rPr>
        <w:t xml:space="preserve">(A) the </w:t>
      </w:r>
      <w:r>
        <w:rPr>
          <w:bCs/>
          <w:sz w:val="24"/>
          <w:szCs w:val="24"/>
        </w:rPr>
        <w:t xml:space="preserve">sum of RON </w:t>
      </w:r>
      <w:r>
        <w:rPr>
          <w:bCs/>
          <w:sz w:val="24"/>
          <w:szCs w:val="24"/>
          <w:lang w:val="pt-BR"/>
        </w:rPr>
        <w:t xml:space="preserve">50.094, 8 representing the </w:t>
      </w:r>
      <w:r>
        <w:rPr>
          <w:bCs/>
          <w:sz w:val="24"/>
          <w:szCs w:val="24"/>
        </w:rPr>
        <w:t xml:space="preserve">consideration </w:t>
      </w:r>
      <w:r>
        <w:rPr>
          <w:bCs/>
          <w:sz w:val="24"/>
          <w:szCs w:val="24"/>
          <w:lang w:val="pt-BR"/>
        </w:rPr>
        <w:t>of the works to fix the pipe damage Ø 6 RA Moreni-Ploie</w:t>
      </w:r>
      <w:r>
        <w:rPr>
          <w:bCs/>
          <w:sz w:val="24"/>
          <w:szCs w:val="24"/>
        </w:rPr>
        <w:t>sti</w:t>
      </w:r>
      <w:r>
        <w:rPr>
          <w:bCs/>
          <w:sz w:val="24"/>
          <w:szCs w:val="24"/>
          <w:lang w:val="pt-BR"/>
        </w:rPr>
        <w:t xml:space="preserve"> and lost</w:t>
      </w:r>
      <w:r>
        <w:rPr>
          <w:bCs/>
          <w:sz w:val="24"/>
          <w:szCs w:val="24"/>
        </w:rPr>
        <w:t xml:space="preserve"> </w:t>
      </w:r>
      <w:r>
        <w:rPr>
          <w:bCs/>
          <w:sz w:val="24"/>
          <w:szCs w:val="24"/>
          <w:lang w:val="pt-BR"/>
        </w:rPr>
        <w:t xml:space="preserve">crude oil, interest, legal costs and expenses of enforcement measures established by enforceable title - civil </w:t>
      </w:r>
      <w:r>
        <w:rPr>
          <w:bCs/>
          <w:sz w:val="24"/>
          <w:szCs w:val="24"/>
        </w:rPr>
        <w:t>order</w:t>
      </w:r>
      <w:r>
        <w:rPr>
          <w:bCs/>
          <w:sz w:val="24"/>
          <w:szCs w:val="24"/>
          <w:lang w:val="pt-BR"/>
        </w:rPr>
        <w:t xml:space="preserve"> no. 1014/28.01.2015 pronounced in the </w:t>
      </w:r>
      <w:r>
        <w:rPr>
          <w:bCs/>
          <w:sz w:val="24"/>
          <w:szCs w:val="24"/>
        </w:rPr>
        <w:t>file</w:t>
      </w:r>
      <w:r>
        <w:rPr>
          <w:bCs/>
          <w:sz w:val="24"/>
          <w:szCs w:val="24"/>
          <w:lang w:val="pt-BR"/>
        </w:rPr>
        <w:t xml:space="preserve"> No 113/281/2014 remaining final and directed </w:t>
      </w:r>
      <w:r>
        <w:rPr>
          <w:bCs/>
          <w:sz w:val="24"/>
          <w:szCs w:val="24"/>
        </w:rPr>
        <w:t xml:space="preserve">by </w:t>
      </w:r>
      <w:r>
        <w:rPr>
          <w:bCs/>
          <w:sz w:val="24"/>
          <w:szCs w:val="24"/>
          <w:lang w:val="pt-BR"/>
        </w:rPr>
        <w:t>the completion of the straightening material error of 06</w:t>
      </w:r>
      <w:r>
        <w:rPr>
          <w:bCs/>
          <w:sz w:val="24"/>
          <w:szCs w:val="24"/>
          <w:vertAlign w:val="superscript"/>
        </w:rPr>
        <w:t>th</w:t>
      </w:r>
      <w:r>
        <w:rPr>
          <w:bCs/>
          <w:sz w:val="24"/>
          <w:szCs w:val="24"/>
        </w:rPr>
        <w:t xml:space="preserve"> June </w:t>
      </w:r>
      <w:r>
        <w:rPr>
          <w:bCs/>
          <w:sz w:val="24"/>
          <w:szCs w:val="24"/>
          <w:lang w:val="pt-BR"/>
        </w:rPr>
        <w:t xml:space="preserve">2016, by which the Ploiesti court </w:t>
      </w:r>
      <w:r>
        <w:rPr>
          <w:bCs/>
          <w:sz w:val="24"/>
          <w:szCs w:val="24"/>
        </w:rPr>
        <w:t>admitted</w:t>
      </w:r>
      <w:r>
        <w:rPr>
          <w:bCs/>
          <w:sz w:val="24"/>
          <w:szCs w:val="24"/>
          <w:lang w:val="pt-BR"/>
        </w:rPr>
        <w:t xml:space="preserve"> the</w:t>
      </w:r>
      <w:r>
        <w:rPr>
          <w:bCs/>
          <w:sz w:val="24"/>
          <w:szCs w:val="24"/>
        </w:rPr>
        <w:t xml:space="preserve"> </w:t>
      </w:r>
      <w:r>
        <w:rPr>
          <w:bCs/>
          <w:sz w:val="24"/>
          <w:szCs w:val="24"/>
          <w:lang w:val="pt-BR"/>
        </w:rPr>
        <w:t>summoning</w:t>
      </w:r>
      <w:r>
        <w:rPr>
          <w:bCs/>
          <w:sz w:val="24"/>
          <w:szCs w:val="24"/>
        </w:rPr>
        <w:t xml:space="preserve"> request</w:t>
      </w:r>
      <w:r>
        <w:rPr>
          <w:bCs/>
          <w:sz w:val="24"/>
          <w:szCs w:val="24"/>
          <w:lang w:val="pt-BR"/>
        </w:rPr>
        <w:t xml:space="preserve"> made by the </w:t>
      </w:r>
      <w:r>
        <w:rPr>
          <w:bCs/>
          <w:sz w:val="24"/>
          <w:szCs w:val="24"/>
        </w:rPr>
        <w:t>plaintiff</w:t>
      </w:r>
      <w:r>
        <w:rPr>
          <w:bCs/>
          <w:sz w:val="24"/>
          <w:szCs w:val="24"/>
          <w:lang w:val="pt-BR"/>
        </w:rPr>
        <w:t xml:space="preserve"> Conpet S.A.</w:t>
      </w:r>
    </w:p>
    <w:p w:rsidR="00452793" w:rsidRDefault="00452793" w:rsidP="00452793">
      <w:pPr>
        <w:jc w:val="both"/>
        <w:rPr>
          <w:bCs/>
          <w:sz w:val="24"/>
          <w:szCs w:val="24"/>
          <w:lang w:val="pt-BR"/>
        </w:rPr>
      </w:pPr>
      <w:r>
        <w:rPr>
          <w:bCs/>
          <w:sz w:val="24"/>
          <w:szCs w:val="24"/>
          <w:lang w:val="pt-BR"/>
        </w:rPr>
        <w:t xml:space="preserve">(B) composed of </w:t>
      </w:r>
      <w:r>
        <w:rPr>
          <w:bCs/>
          <w:sz w:val="24"/>
          <w:szCs w:val="24"/>
        </w:rPr>
        <w:t xml:space="preserve">RON </w:t>
      </w:r>
      <w:r>
        <w:rPr>
          <w:bCs/>
          <w:sz w:val="24"/>
          <w:szCs w:val="24"/>
          <w:lang w:val="pt-BR"/>
        </w:rPr>
        <w:t>343.839,57</w:t>
      </w:r>
      <w:r>
        <w:rPr>
          <w:bCs/>
          <w:sz w:val="24"/>
          <w:szCs w:val="24"/>
        </w:rPr>
        <w:t xml:space="preserve">, </w:t>
      </w:r>
      <w:r>
        <w:rPr>
          <w:bCs/>
          <w:sz w:val="24"/>
          <w:szCs w:val="24"/>
          <w:lang w:val="pt-BR"/>
        </w:rPr>
        <w:t xml:space="preserve">the amount of </w:t>
      </w:r>
      <w:r>
        <w:rPr>
          <w:bCs/>
          <w:sz w:val="24"/>
          <w:szCs w:val="24"/>
        </w:rPr>
        <w:t xml:space="preserve">RON </w:t>
      </w:r>
      <w:r>
        <w:rPr>
          <w:bCs/>
          <w:sz w:val="24"/>
          <w:szCs w:val="24"/>
          <w:lang w:val="pt-BR"/>
        </w:rPr>
        <w:t xml:space="preserve">331.271,57 representing </w:t>
      </w:r>
      <w:r>
        <w:rPr>
          <w:bCs/>
          <w:sz w:val="24"/>
          <w:szCs w:val="24"/>
        </w:rPr>
        <w:t>delay penalties</w:t>
      </w:r>
      <w:r>
        <w:rPr>
          <w:bCs/>
          <w:sz w:val="24"/>
          <w:szCs w:val="24"/>
          <w:lang w:val="pt-BR"/>
        </w:rPr>
        <w:t xml:space="preserve"> accord</w:t>
      </w:r>
      <w:r>
        <w:rPr>
          <w:bCs/>
          <w:sz w:val="24"/>
          <w:szCs w:val="24"/>
        </w:rPr>
        <w:t>ing to</w:t>
      </w:r>
      <w:r>
        <w:rPr>
          <w:bCs/>
          <w:sz w:val="24"/>
          <w:szCs w:val="24"/>
          <w:lang w:val="pt-BR"/>
        </w:rPr>
        <w:t xml:space="preserve"> the provisions of article 8.1 of the contract 0135/1995 (as amended by Article 5 of the additional </w:t>
      </w:r>
      <w:r>
        <w:rPr>
          <w:bCs/>
          <w:sz w:val="24"/>
          <w:szCs w:val="24"/>
        </w:rPr>
        <w:t>A</w:t>
      </w:r>
      <w:r>
        <w:rPr>
          <w:bCs/>
          <w:sz w:val="24"/>
          <w:szCs w:val="24"/>
          <w:lang w:val="pt-BR"/>
        </w:rPr>
        <w:t xml:space="preserve">ct </w:t>
      </w:r>
      <w:r>
        <w:rPr>
          <w:bCs/>
          <w:sz w:val="24"/>
          <w:szCs w:val="24"/>
        </w:rPr>
        <w:t xml:space="preserve"> </w:t>
      </w:r>
      <w:r>
        <w:rPr>
          <w:bCs/>
          <w:sz w:val="24"/>
          <w:szCs w:val="24"/>
          <w:lang w:val="pt-BR"/>
        </w:rPr>
        <w:t xml:space="preserve">9/2005 and the additional Act No 10/2006), as well as the amount of </w:t>
      </w:r>
      <w:r>
        <w:rPr>
          <w:bCs/>
          <w:sz w:val="24"/>
          <w:szCs w:val="24"/>
        </w:rPr>
        <w:t xml:space="preserve">RON </w:t>
      </w:r>
      <w:r>
        <w:rPr>
          <w:bCs/>
          <w:sz w:val="24"/>
          <w:szCs w:val="24"/>
          <w:lang w:val="pt-BR"/>
        </w:rPr>
        <w:t>12.568 representing the judicial stamp tax, judicial stamp fee and expertise</w:t>
      </w:r>
    </w:p>
    <w:p w:rsidR="00452793" w:rsidRDefault="00452793" w:rsidP="00452793">
      <w:pPr>
        <w:jc w:val="both"/>
        <w:rPr>
          <w:bCs/>
          <w:sz w:val="24"/>
          <w:szCs w:val="24"/>
          <w:lang w:val="pt-BR"/>
        </w:rPr>
      </w:pPr>
      <w:r>
        <w:rPr>
          <w:bCs/>
          <w:sz w:val="24"/>
          <w:szCs w:val="24"/>
          <w:lang w:val="pt-BR"/>
        </w:rPr>
        <w:t xml:space="preserve">Conpet has been </w:t>
      </w:r>
      <w:r>
        <w:rPr>
          <w:bCs/>
          <w:sz w:val="24"/>
          <w:szCs w:val="24"/>
        </w:rPr>
        <w:t xml:space="preserve">registered </w:t>
      </w:r>
      <w:r>
        <w:rPr>
          <w:bCs/>
          <w:sz w:val="24"/>
          <w:szCs w:val="24"/>
          <w:lang w:val="pt-BR"/>
        </w:rPr>
        <w:t xml:space="preserve">on the table with the amount applied for. ICIM </w:t>
      </w:r>
      <w:r>
        <w:rPr>
          <w:bCs/>
          <w:sz w:val="24"/>
          <w:szCs w:val="24"/>
        </w:rPr>
        <w:t xml:space="preserve">issued an appeal </w:t>
      </w:r>
      <w:r>
        <w:rPr>
          <w:bCs/>
          <w:sz w:val="24"/>
          <w:szCs w:val="24"/>
          <w:lang w:val="pt-BR"/>
        </w:rPr>
        <w:t xml:space="preserve">which is the subject of the </w:t>
      </w:r>
      <w:r>
        <w:rPr>
          <w:bCs/>
          <w:sz w:val="24"/>
          <w:szCs w:val="24"/>
        </w:rPr>
        <w:t>file</w:t>
      </w:r>
      <w:r>
        <w:rPr>
          <w:bCs/>
          <w:sz w:val="24"/>
          <w:szCs w:val="24"/>
          <w:lang w:val="pt-BR"/>
        </w:rPr>
        <w:t xml:space="preserve"> No 789/105/2017/A1 and </w:t>
      </w:r>
      <w:r>
        <w:rPr>
          <w:bCs/>
          <w:sz w:val="24"/>
          <w:szCs w:val="24"/>
        </w:rPr>
        <w:t>claimed</w:t>
      </w:r>
      <w:r>
        <w:rPr>
          <w:bCs/>
          <w:sz w:val="24"/>
          <w:szCs w:val="24"/>
          <w:lang w:val="pt-BR"/>
        </w:rPr>
        <w:t>: </w:t>
      </w:r>
    </w:p>
    <w:p w:rsidR="00452793" w:rsidRDefault="00452793" w:rsidP="00452793">
      <w:pPr>
        <w:jc w:val="both"/>
        <w:rPr>
          <w:bCs/>
          <w:sz w:val="24"/>
          <w:szCs w:val="24"/>
          <w:lang w:val="pt-BR"/>
        </w:rPr>
      </w:pPr>
      <w:r>
        <w:rPr>
          <w:bCs/>
          <w:sz w:val="24"/>
          <w:szCs w:val="24"/>
          <w:lang w:val="pt-BR"/>
        </w:rPr>
        <w:t xml:space="preserve">- Mainly to the </w:t>
      </w:r>
      <w:r>
        <w:rPr>
          <w:bCs/>
          <w:sz w:val="24"/>
          <w:szCs w:val="24"/>
        </w:rPr>
        <w:t xml:space="preserve">partly </w:t>
      </w:r>
      <w:r>
        <w:rPr>
          <w:bCs/>
          <w:sz w:val="24"/>
          <w:szCs w:val="24"/>
          <w:lang w:val="pt-BR"/>
        </w:rPr>
        <w:t>change of the</w:t>
      </w:r>
      <w:r>
        <w:rPr>
          <w:bCs/>
          <w:sz w:val="24"/>
          <w:szCs w:val="24"/>
        </w:rPr>
        <w:t xml:space="preserve"> </w:t>
      </w:r>
      <w:r>
        <w:rPr>
          <w:bCs/>
          <w:sz w:val="24"/>
          <w:szCs w:val="24"/>
          <w:lang w:val="pt-BR"/>
        </w:rPr>
        <w:t xml:space="preserve">preliminary table </w:t>
      </w:r>
      <w:r>
        <w:rPr>
          <w:bCs/>
          <w:sz w:val="24"/>
          <w:szCs w:val="24"/>
        </w:rPr>
        <w:t xml:space="preserve">of </w:t>
      </w:r>
      <w:r>
        <w:rPr>
          <w:bCs/>
          <w:sz w:val="24"/>
          <w:szCs w:val="24"/>
          <w:lang w:val="pt-BR"/>
        </w:rPr>
        <w:t xml:space="preserve">claims </w:t>
      </w:r>
      <w:r>
        <w:rPr>
          <w:bCs/>
          <w:sz w:val="24"/>
          <w:szCs w:val="24"/>
        </w:rPr>
        <w:t xml:space="preserve">regarding </w:t>
      </w:r>
      <w:r>
        <w:rPr>
          <w:bCs/>
          <w:sz w:val="24"/>
          <w:szCs w:val="24"/>
          <w:lang w:val="pt-BR"/>
        </w:rPr>
        <w:t xml:space="preserve">the rejection of the </w:t>
      </w:r>
      <w:r>
        <w:rPr>
          <w:bCs/>
          <w:sz w:val="24"/>
          <w:szCs w:val="24"/>
        </w:rPr>
        <w:t xml:space="preserve">request for debt admition for </w:t>
      </w:r>
      <w:r>
        <w:rPr>
          <w:bCs/>
          <w:sz w:val="24"/>
          <w:szCs w:val="24"/>
          <w:lang w:val="pt-BR"/>
        </w:rPr>
        <w:t>the amount applied for by Conpet</w:t>
      </w:r>
      <w:r>
        <w:rPr>
          <w:bCs/>
          <w:sz w:val="24"/>
          <w:szCs w:val="24"/>
        </w:rPr>
        <w:t>.</w:t>
      </w:r>
    </w:p>
    <w:p w:rsidR="00452793" w:rsidRDefault="00452793" w:rsidP="00452793">
      <w:pPr>
        <w:jc w:val="both"/>
        <w:rPr>
          <w:bCs/>
          <w:sz w:val="24"/>
          <w:szCs w:val="24"/>
          <w:lang w:val="pt-BR"/>
        </w:rPr>
      </w:pPr>
      <w:r>
        <w:rPr>
          <w:bCs/>
          <w:sz w:val="24"/>
          <w:szCs w:val="24"/>
          <w:lang w:val="pt-BR"/>
        </w:rPr>
        <w:t xml:space="preserve">- The subsidiary </w:t>
      </w:r>
      <w:r>
        <w:rPr>
          <w:bCs/>
          <w:sz w:val="24"/>
          <w:szCs w:val="24"/>
        </w:rPr>
        <w:t xml:space="preserve">- </w:t>
      </w:r>
      <w:r>
        <w:rPr>
          <w:bCs/>
          <w:sz w:val="24"/>
          <w:szCs w:val="24"/>
          <w:lang w:val="pt-BR"/>
        </w:rPr>
        <w:t xml:space="preserve">the </w:t>
      </w:r>
      <w:r>
        <w:rPr>
          <w:bCs/>
          <w:sz w:val="24"/>
          <w:szCs w:val="24"/>
        </w:rPr>
        <w:t xml:space="preserve">partly </w:t>
      </w:r>
      <w:r>
        <w:rPr>
          <w:bCs/>
          <w:sz w:val="24"/>
          <w:szCs w:val="24"/>
          <w:lang w:val="pt-BR"/>
        </w:rPr>
        <w:t xml:space="preserve">change of the preliminary table of claims within the meaning of the </w:t>
      </w:r>
      <w:r>
        <w:rPr>
          <w:bCs/>
          <w:sz w:val="24"/>
          <w:szCs w:val="24"/>
        </w:rPr>
        <w:t xml:space="preserve">registering </w:t>
      </w:r>
      <w:r>
        <w:rPr>
          <w:bCs/>
          <w:sz w:val="24"/>
          <w:szCs w:val="24"/>
          <w:lang w:val="pt-BR"/>
        </w:rPr>
        <w:t>of Conpet</w:t>
      </w:r>
      <w:r>
        <w:rPr>
          <w:bCs/>
          <w:sz w:val="24"/>
          <w:szCs w:val="24"/>
        </w:rPr>
        <w:t>’s</w:t>
      </w:r>
      <w:r>
        <w:rPr>
          <w:bCs/>
          <w:sz w:val="24"/>
          <w:szCs w:val="24"/>
          <w:lang w:val="pt-BR"/>
        </w:rPr>
        <w:t xml:space="preserve"> claim</w:t>
      </w:r>
      <w:r>
        <w:rPr>
          <w:bCs/>
          <w:sz w:val="24"/>
          <w:szCs w:val="24"/>
        </w:rPr>
        <w:t xml:space="preserve">as </w:t>
      </w:r>
      <w:r>
        <w:rPr>
          <w:bCs/>
          <w:sz w:val="24"/>
          <w:szCs w:val="24"/>
          <w:lang w:val="pt-BR"/>
        </w:rPr>
        <w:t>condition</w:t>
      </w:r>
      <w:r>
        <w:rPr>
          <w:bCs/>
          <w:sz w:val="24"/>
          <w:szCs w:val="24"/>
        </w:rPr>
        <w:t>al.</w:t>
      </w:r>
    </w:p>
    <w:p w:rsidR="00452793" w:rsidRDefault="00452793" w:rsidP="00452793">
      <w:pPr>
        <w:jc w:val="both"/>
        <w:rPr>
          <w:bCs/>
          <w:sz w:val="24"/>
          <w:szCs w:val="24"/>
          <w:lang w:val="pt-BR"/>
        </w:rPr>
      </w:pPr>
      <w:r>
        <w:rPr>
          <w:b/>
          <w:bCs/>
          <w:sz w:val="24"/>
          <w:szCs w:val="24"/>
          <w:lang w:val="pt-BR"/>
        </w:rPr>
        <w:t> </w:t>
      </w:r>
      <w:r>
        <w:rPr>
          <w:bCs/>
          <w:sz w:val="24"/>
          <w:szCs w:val="24"/>
        </w:rPr>
        <w:t>Stage of trial</w:t>
      </w:r>
      <w:r>
        <w:rPr>
          <w:bCs/>
          <w:sz w:val="24"/>
          <w:szCs w:val="24"/>
          <w:lang w:val="pt-BR"/>
        </w:rPr>
        <w:t>:</w:t>
      </w:r>
      <w:r>
        <w:rPr>
          <w:bCs/>
          <w:sz w:val="24"/>
          <w:szCs w:val="24"/>
        </w:rPr>
        <w:t xml:space="preserve"> First instance</w:t>
      </w:r>
    </w:p>
    <w:p w:rsidR="00452793" w:rsidRDefault="00452793" w:rsidP="00452793">
      <w:pPr>
        <w:jc w:val="both"/>
        <w:rPr>
          <w:bCs/>
          <w:sz w:val="24"/>
          <w:szCs w:val="24"/>
          <w:lang w:val="pt-BR"/>
        </w:rPr>
      </w:pPr>
      <w:r>
        <w:rPr>
          <w:bCs/>
          <w:sz w:val="24"/>
          <w:szCs w:val="24"/>
        </w:rPr>
        <w:t>Hearing</w:t>
      </w:r>
      <w:r>
        <w:rPr>
          <w:bCs/>
          <w:sz w:val="24"/>
          <w:szCs w:val="24"/>
          <w:lang w:val="pt-BR"/>
        </w:rPr>
        <w:t>:</w:t>
      </w:r>
      <w:r>
        <w:rPr>
          <w:bCs/>
          <w:sz w:val="24"/>
          <w:szCs w:val="24"/>
        </w:rPr>
        <w:t xml:space="preserve"> </w:t>
      </w:r>
      <w:proofErr w:type="gramStart"/>
      <w:r>
        <w:rPr>
          <w:bCs/>
          <w:sz w:val="24"/>
          <w:szCs w:val="24"/>
          <w:lang w:val="pt-BR"/>
        </w:rPr>
        <w:t>26</w:t>
      </w:r>
      <w:r>
        <w:rPr>
          <w:bCs/>
          <w:sz w:val="24"/>
          <w:szCs w:val="24"/>
          <w:vertAlign w:val="superscript"/>
        </w:rPr>
        <w:t>th</w:t>
      </w:r>
      <w:proofErr w:type="gramEnd"/>
      <w:r>
        <w:rPr>
          <w:bCs/>
          <w:sz w:val="24"/>
          <w:szCs w:val="24"/>
        </w:rPr>
        <w:t xml:space="preserve"> Sept </w:t>
      </w:r>
      <w:r>
        <w:rPr>
          <w:bCs/>
          <w:sz w:val="24"/>
          <w:szCs w:val="24"/>
          <w:lang w:val="pt-BR"/>
        </w:rPr>
        <w:t>2018</w:t>
      </w:r>
    </w:p>
    <w:p w:rsidR="00452793" w:rsidRDefault="00452793" w:rsidP="00452793">
      <w:pPr>
        <w:jc w:val="both"/>
        <w:rPr>
          <w:sz w:val="24"/>
          <w:szCs w:val="24"/>
          <w:lang w:val="ro-RO"/>
        </w:rPr>
      </w:pPr>
    </w:p>
    <w:p w:rsidR="00452793" w:rsidRDefault="00452793" w:rsidP="00452793">
      <w:pPr>
        <w:jc w:val="both"/>
        <w:rPr>
          <w:sz w:val="24"/>
          <w:szCs w:val="24"/>
          <w:lang w:val="ro-RO"/>
        </w:rPr>
      </w:pPr>
    </w:p>
    <w:p w:rsidR="00452793" w:rsidRDefault="00452793" w:rsidP="00452793">
      <w:pPr>
        <w:jc w:val="both"/>
        <w:rPr>
          <w:bCs/>
          <w:sz w:val="24"/>
          <w:szCs w:val="24"/>
          <w:lang w:val="pt-BR"/>
        </w:rPr>
      </w:pPr>
      <w:r>
        <w:rPr>
          <w:bCs/>
          <w:sz w:val="24"/>
          <w:szCs w:val="24"/>
          <w:lang w:val="pt-BR"/>
        </w:rPr>
        <w:t xml:space="preserve"> </w:t>
      </w:r>
    </w:p>
    <w:p w:rsidR="00452793" w:rsidRDefault="00452793" w:rsidP="00452793">
      <w:pPr>
        <w:jc w:val="both"/>
        <w:rPr>
          <w:b/>
          <w:bCs/>
          <w:sz w:val="24"/>
          <w:szCs w:val="24"/>
          <w:lang w:val="pt-BR"/>
        </w:rPr>
      </w:pPr>
      <w:r>
        <w:rPr>
          <w:b/>
          <w:bCs/>
          <w:sz w:val="24"/>
          <w:szCs w:val="24"/>
          <w:lang w:val="pt-BR"/>
        </w:rPr>
        <w:t>32. The file no. 6575/105/2017 - the Tribunal Prahova </w:t>
      </w:r>
    </w:p>
    <w:p w:rsidR="00452793" w:rsidRDefault="00452793" w:rsidP="00452793">
      <w:pPr>
        <w:jc w:val="both"/>
        <w:rPr>
          <w:bCs/>
          <w:sz w:val="24"/>
          <w:szCs w:val="24"/>
          <w:lang w:val="pt-BR"/>
        </w:rPr>
      </w:pPr>
      <w:r>
        <w:rPr>
          <w:b/>
          <w:bCs/>
          <w:sz w:val="24"/>
          <w:szCs w:val="24"/>
          <w:lang w:val="pt-BR"/>
        </w:rPr>
        <w:t>The parties:</w:t>
      </w:r>
      <w:r>
        <w:rPr>
          <w:bCs/>
          <w:sz w:val="24"/>
          <w:szCs w:val="24"/>
          <w:lang w:val="pt-BR"/>
        </w:rPr>
        <w:t xml:space="preserve"> Conpet - the </w:t>
      </w:r>
      <w:r>
        <w:rPr>
          <w:bCs/>
          <w:sz w:val="24"/>
          <w:szCs w:val="24"/>
        </w:rPr>
        <w:t>plaintiff</w:t>
      </w:r>
    </w:p>
    <w:p w:rsidR="00452793" w:rsidRDefault="00452793" w:rsidP="00452793">
      <w:pPr>
        <w:jc w:val="both"/>
        <w:rPr>
          <w:bCs/>
          <w:sz w:val="24"/>
          <w:szCs w:val="24"/>
          <w:lang w:val="pt-BR"/>
        </w:rPr>
      </w:pPr>
      <w:r>
        <w:rPr>
          <w:bCs/>
          <w:sz w:val="24"/>
          <w:szCs w:val="24"/>
          <w:lang w:val="pt-BR"/>
        </w:rPr>
        <w:t xml:space="preserve">           The Court of Auditors of Romania - </w:t>
      </w:r>
      <w:r>
        <w:rPr>
          <w:bCs/>
          <w:sz w:val="24"/>
          <w:szCs w:val="24"/>
        </w:rPr>
        <w:t>defendant</w:t>
      </w:r>
    </w:p>
    <w:p w:rsidR="00452793" w:rsidRDefault="00452793" w:rsidP="00452793">
      <w:pPr>
        <w:jc w:val="both"/>
        <w:rPr>
          <w:bCs/>
          <w:sz w:val="24"/>
          <w:szCs w:val="24"/>
          <w:lang w:val="pt-BR"/>
        </w:rPr>
      </w:pPr>
      <w:r>
        <w:rPr>
          <w:bCs/>
          <w:sz w:val="24"/>
          <w:szCs w:val="24"/>
          <w:lang w:val="pt-BR"/>
        </w:rPr>
        <w:t xml:space="preserve">Subject: Conpet </w:t>
      </w:r>
      <w:r>
        <w:rPr>
          <w:bCs/>
          <w:sz w:val="24"/>
          <w:szCs w:val="24"/>
        </w:rPr>
        <w:t>appealed</w:t>
      </w:r>
      <w:r>
        <w:rPr>
          <w:bCs/>
          <w:sz w:val="24"/>
          <w:szCs w:val="24"/>
          <w:lang w:val="pt-BR"/>
        </w:rPr>
        <w:t xml:space="preserve"> against the conclusion no. 78/09.08.2017 issued by the Court of Auditors of Romania </w:t>
      </w:r>
      <w:r>
        <w:rPr>
          <w:bCs/>
          <w:sz w:val="24"/>
          <w:szCs w:val="24"/>
        </w:rPr>
        <w:t>requesting that</w:t>
      </w:r>
      <w:r>
        <w:rPr>
          <w:bCs/>
          <w:sz w:val="24"/>
          <w:szCs w:val="24"/>
          <w:lang w:val="pt-BR"/>
        </w:rPr>
        <w:t xml:space="preserve"> the </w:t>
      </w:r>
      <w:r>
        <w:rPr>
          <w:bCs/>
          <w:sz w:val="24"/>
          <w:szCs w:val="24"/>
        </w:rPr>
        <w:t>sentence</w:t>
      </w:r>
      <w:r>
        <w:rPr>
          <w:bCs/>
          <w:sz w:val="24"/>
          <w:szCs w:val="24"/>
          <w:lang w:val="pt-BR"/>
        </w:rPr>
        <w:t xml:space="preserve"> of the Court </w:t>
      </w:r>
      <w:r>
        <w:rPr>
          <w:bCs/>
          <w:sz w:val="24"/>
          <w:szCs w:val="24"/>
        </w:rPr>
        <w:t>shall order</w:t>
      </w:r>
      <w:r>
        <w:rPr>
          <w:bCs/>
          <w:sz w:val="24"/>
          <w:szCs w:val="24"/>
          <w:lang w:val="pt-BR"/>
        </w:rPr>
        <w:t>:</w:t>
      </w:r>
    </w:p>
    <w:p w:rsidR="00452793" w:rsidRDefault="00452793" w:rsidP="00452793">
      <w:pPr>
        <w:jc w:val="both"/>
        <w:rPr>
          <w:bCs/>
          <w:sz w:val="24"/>
          <w:szCs w:val="24"/>
          <w:lang w:val="pt-BR"/>
        </w:rPr>
      </w:pPr>
      <w:r>
        <w:rPr>
          <w:bCs/>
          <w:sz w:val="24"/>
          <w:szCs w:val="24"/>
          <w:lang w:val="pt-BR"/>
        </w:rPr>
        <w:t xml:space="preserve">1. Cancellation </w:t>
      </w:r>
      <w:r>
        <w:rPr>
          <w:bCs/>
          <w:sz w:val="24"/>
          <w:szCs w:val="24"/>
        </w:rPr>
        <w:t>of</w:t>
      </w:r>
      <w:r>
        <w:rPr>
          <w:bCs/>
          <w:sz w:val="24"/>
          <w:szCs w:val="24"/>
          <w:lang w:val="pt-BR"/>
        </w:rPr>
        <w:t xml:space="preserve"> </w:t>
      </w:r>
      <w:r>
        <w:rPr>
          <w:bCs/>
          <w:sz w:val="24"/>
          <w:szCs w:val="24"/>
        </w:rPr>
        <w:t xml:space="preserve">a </w:t>
      </w:r>
      <w:r>
        <w:rPr>
          <w:bCs/>
          <w:sz w:val="24"/>
          <w:szCs w:val="24"/>
          <w:lang w:val="pt-BR"/>
        </w:rPr>
        <w:t xml:space="preserve">part of the conclusion no. 78/09.08.2017 issued by the Court of </w:t>
      </w:r>
      <w:r>
        <w:rPr>
          <w:bCs/>
          <w:sz w:val="24"/>
          <w:szCs w:val="24"/>
          <w:lang w:val="pt-BR"/>
        </w:rPr>
        <w:lastRenderedPageBreak/>
        <w:t>Auditors of Romania, respectively</w:t>
      </w:r>
      <w:r>
        <w:rPr>
          <w:bCs/>
          <w:sz w:val="24"/>
          <w:szCs w:val="24"/>
        </w:rPr>
        <w:t>:</w:t>
      </w:r>
    </w:p>
    <w:p w:rsidR="00452793" w:rsidRDefault="00452793" w:rsidP="00D87DA4">
      <w:pPr>
        <w:widowControl/>
        <w:numPr>
          <w:ilvl w:val="0"/>
          <w:numId w:val="49"/>
        </w:numPr>
        <w:autoSpaceDE/>
        <w:autoSpaceDN/>
        <w:adjustRightInd/>
        <w:jc w:val="both"/>
        <w:rPr>
          <w:bCs/>
          <w:sz w:val="24"/>
          <w:szCs w:val="24"/>
          <w:lang w:val="pt-BR"/>
        </w:rPr>
      </w:pPr>
      <w:r>
        <w:rPr>
          <w:bCs/>
          <w:sz w:val="24"/>
          <w:szCs w:val="24"/>
          <w:lang w:val="pt-BR"/>
        </w:rPr>
        <w:t xml:space="preserve">Recital 2 relating to point II of the Opposition No 27718/10.07.2017 (with regard to the measures no I.2 and I.3 of Decision No 24/21.06.2017, </w:t>
      </w:r>
      <w:r>
        <w:rPr>
          <w:bCs/>
          <w:sz w:val="24"/>
          <w:szCs w:val="24"/>
        </w:rPr>
        <w:t xml:space="preserve">to </w:t>
      </w:r>
      <w:r>
        <w:rPr>
          <w:bCs/>
          <w:sz w:val="24"/>
          <w:szCs w:val="24"/>
          <w:lang w:val="pt-BR"/>
        </w:rPr>
        <w:t>remov</w:t>
      </w:r>
      <w:r>
        <w:rPr>
          <w:bCs/>
          <w:sz w:val="24"/>
          <w:szCs w:val="24"/>
        </w:rPr>
        <w:t>e</w:t>
      </w:r>
      <w:r>
        <w:rPr>
          <w:bCs/>
          <w:sz w:val="24"/>
          <w:szCs w:val="24"/>
          <w:lang w:val="pt-BR"/>
        </w:rPr>
        <w:t xml:space="preserve"> the irregularity listed in paragraphs 2 and 3 of the same decision), the findings of point A and B.</w:t>
      </w:r>
    </w:p>
    <w:p w:rsidR="00452793" w:rsidRDefault="00452793" w:rsidP="00452793">
      <w:pPr>
        <w:jc w:val="both"/>
        <w:rPr>
          <w:bCs/>
          <w:sz w:val="24"/>
          <w:szCs w:val="24"/>
          <w:lang w:val="pt-BR"/>
        </w:rPr>
      </w:pPr>
      <w:r>
        <w:rPr>
          <w:bCs/>
          <w:sz w:val="24"/>
          <w:szCs w:val="24"/>
          <w:lang w:val="pt-BR"/>
        </w:rPr>
        <w:t xml:space="preserve">2. Cancellation </w:t>
      </w:r>
      <w:r>
        <w:rPr>
          <w:bCs/>
          <w:sz w:val="24"/>
          <w:szCs w:val="24"/>
        </w:rPr>
        <w:t xml:space="preserve">of a </w:t>
      </w:r>
      <w:r>
        <w:rPr>
          <w:bCs/>
          <w:sz w:val="24"/>
          <w:szCs w:val="24"/>
          <w:lang w:val="pt-BR"/>
        </w:rPr>
        <w:t>part of the Decision No 14/21.06.2017, issued by the Chamber of Auditors in Prahova county, namely:</w:t>
      </w:r>
    </w:p>
    <w:p w:rsidR="00452793" w:rsidRDefault="00452793" w:rsidP="00D87DA4">
      <w:pPr>
        <w:widowControl/>
        <w:numPr>
          <w:ilvl w:val="0"/>
          <w:numId w:val="49"/>
        </w:numPr>
        <w:autoSpaceDE/>
        <w:autoSpaceDN/>
        <w:adjustRightInd/>
        <w:jc w:val="both"/>
        <w:rPr>
          <w:bCs/>
          <w:sz w:val="24"/>
          <w:szCs w:val="24"/>
          <w:lang w:val="pt-BR"/>
        </w:rPr>
      </w:pPr>
      <w:r>
        <w:rPr>
          <w:bCs/>
          <w:sz w:val="24"/>
          <w:szCs w:val="24"/>
          <w:lang w:val="pt-BR"/>
        </w:rPr>
        <w:t>The findings given in point 2 of the decommissioning and recovery of certain sections of the pipe belonging to the national transport system - part of the public domain of national interest, without prior</w:t>
      </w:r>
      <w:r>
        <w:rPr>
          <w:bCs/>
          <w:sz w:val="24"/>
          <w:szCs w:val="24"/>
        </w:rPr>
        <w:t xml:space="preserve"> adopting of </w:t>
      </w:r>
      <w:r>
        <w:rPr>
          <w:bCs/>
          <w:sz w:val="24"/>
          <w:szCs w:val="24"/>
          <w:lang w:val="pt-BR"/>
        </w:rPr>
        <w:t>government decision</w:t>
      </w:r>
      <w:r>
        <w:rPr>
          <w:bCs/>
          <w:sz w:val="24"/>
          <w:szCs w:val="24"/>
        </w:rPr>
        <w:t xml:space="preserve"> of passing it </w:t>
      </w:r>
      <w:r>
        <w:rPr>
          <w:bCs/>
          <w:sz w:val="24"/>
          <w:szCs w:val="24"/>
          <w:lang w:val="pt-BR"/>
        </w:rPr>
        <w:t xml:space="preserve">from the state public domain </w:t>
      </w:r>
      <w:r>
        <w:rPr>
          <w:bCs/>
          <w:sz w:val="24"/>
          <w:szCs w:val="24"/>
        </w:rPr>
        <w:t xml:space="preserve">to </w:t>
      </w:r>
      <w:r>
        <w:rPr>
          <w:bCs/>
          <w:sz w:val="24"/>
          <w:szCs w:val="24"/>
          <w:lang w:val="pt-BR"/>
        </w:rPr>
        <w:t xml:space="preserve">the field of private sector, </w:t>
      </w:r>
      <w:r>
        <w:rPr>
          <w:bCs/>
          <w:sz w:val="24"/>
          <w:szCs w:val="24"/>
        </w:rPr>
        <w:t xml:space="preserve">with a view on </w:t>
      </w:r>
      <w:r>
        <w:rPr>
          <w:bCs/>
          <w:sz w:val="24"/>
          <w:szCs w:val="24"/>
          <w:lang w:val="pt-BR"/>
        </w:rPr>
        <w:t>drawing up documentation for decommissioning and disposal</w:t>
      </w:r>
    </w:p>
    <w:p w:rsidR="00452793" w:rsidRDefault="00452793" w:rsidP="00D87DA4">
      <w:pPr>
        <w:widowControl/>
        <w:numPr>
          <w:ilvl w:val="0"/>
          <w:numId w:val="49"/>
        </w:numPr>
        <w:autoSpaceDE/>
        <w:autoSpaceDN/>
        <w:adjustRightInd/>
        <w:jc w:val="both"/>
        <w:rPr>
          <w:bCs/>
          <w:sz w:val="24"/>
          <w:szCs w:val="24"/>
          <w:lang w:val="pt-BR"/>
        </w:rPr>
      </w:pPr>
      <w:r>
        <w:rPr>
          <w:bCs/>
          <w:sz w:val="24"/>
          <w:szCs w:val="24"/>
          <w:lang w:val="pt-BR"/>
        </w:rPr>
        <w:t xml:space="preserve">The findings given in point No. 3 with regard to the fact that in the year 2016 </w:t>
      </w:r>
      <w:r>
        <w:rPr>
          <w:bCs/>
          <w:sz w:val="24"/>
          <w:szCs w:val="24"/>
        </w:rPr>
        <w:t xml:space="preserve">a </w:t>
      </w:r>
      <w:r>
        <w:rPr>
          <w:bCs/>
          <w:sz w:val="24"/>
          <w:szCs w:val="24"/>
          <w:lang w:val="pt-BR"/>
        </w:rPr>
        <w:t>buried</w:t>
      </w:r>
      <w:r>
        <w:rPr>
          <w:bCs/>
          <w:sz w:val="24"/>
          <w:szCs w:val="24"/>
        </w:rPr>
        <w:t xml:space="preserve"> </w:t>
      </w:r>
      <w:r>
        <w:rPr>
          <w:bCs/>
          <w:sz w:val="24"/>
          <w:szCs w:val="24"/>
          <w:lang w:val="pt-BR"/>
        </w:rPr>
        <w:t xml:space="preserve">recoverable pipe was recovered by </w:t>
      </w:r>
      <w:r>
        <w:rPr>
          <w:bCs/>
          <w:sz w:val="24"/>
          <w:szCs w:val="24"/>
        </w:rPr>
        <w:t xml:space="preserve">auction </w:t>
      </w:r>
      <w:r>
        <w:rPr>
          <w:bCs/>
          <w:sz w:val="24"/>
          <w:szCs w:val="24"/>
          <w:lang w:val="pt-BR"/>
        </w:rPr>
        <w:t xml:space="preserve">in accordance with the procedure for </w:t>
      </w:r>
      <w:r>
        <w:rPr>
          <w:bCs/>
          <w:sz w:val="24"/>
          <w:szCs w:val="24"/>
        </w:rPr>
        <w:t xml:space="preserve">exploiting </w:t>
      </w:r>
      <w:r>
        <w:rPr>
          <w:bCs/>
          <w:sz w:val="24"/>
          <w:szCs w:val="24"/>
          <w:lang w:val="pt-BR"/>
        </w:rPr>
        <w:t xml:space="preserve">approved by </w:t>
      </w:r>
      <w:r>
        <w:rPr>
          <w:bCs/>
          <w:sz w:val="24"/>
          <w:szCs w:val="24"/>
        </w:rPr>
        <w:t xml:space="preserve">the </w:t>
      </w:r>
      <w:r>
        <w:rPr>
          <w:bCs/>
          <w:sz w:val="24"/>
          <w:szCs w:val="24"/>
          <w:lang w:val="pt-BR"/>
        </w:rPr>
        <w:t xml:space="preserve">Regulation concerning the conditions of participation in the </w:t>
      </w:r>
      <w:r>
        <w:rPr>
          <w:bCs/>
          <w:sz w:val="24"/>
          <w:szCs w:val="24"/>
        </w:rPr>
        <w:t xml:space="preserve">auctioning </w:t>
      </w:r>
      <w:r>
        <w:rPr>
          <w:bCs/>
          <w:sz w:val="24"/>
          <w:szCs w:val="24"/>
          <w:lang w:val="pt-BR"/>
        </w:rPr>
        <w:t>procedure and the  conduct</w:t>
      </w:r>
      <w:r>
        <w:rPr>
          <w:bCs/>
          <w:sz w:val="24"/>
          <w:szCs w:val="24"/>
        </w:rPr>
        <w:t>ing</w:t>
      </w:r>
      <w:r>
        <w:rPr>
          <w:bCs/>
          <w:sz w:val="24"/>
          <w:szCs w:val="24"/>
          <w:lang w:val="pt-BR"/>
        </w:rPr>
        <w:t xml:space="preserve"> of the </w:t>
      </w:r>
      <w:r>
        <w:rPr>
          <w:bCs/>
          <w:sz w:val="24"/>
          <w:szCs w:val="24"/>
        </w:rPr>
        <w:t xml:space="preserve">auction </w:t>
      </w:r>
      <w:r>
        <w:rPr>
          <w:bCs/>
          <w:sz w:val="24"/>
          <w:szCs w:val="24"/>
          <w:lang w:val="pt-BR"/>
        </w:rPr>
        <w:t xml:space="preserve">for </w:t>
      </w:r>
      <w:r>
        <w:rPr>
          <w:bCs/>
          <w:sz w:val="24"/>
          <w:szCs w:val="24"/>
        </w:rPr>
        <w:t xml:space="preserve">exploiting </w:t>
      </w:r>
      <w:r>
        <w:rPr>
          <w:bCs/>
          <w:sz w:val="24"/>
          <w:szCs w:val="24"/>
          <w:lang w:val="pt-BR"/>
        </w:rPr>
        <w:t>the</w:t>
      </w:r>
      <w:r>
        <w:rPr>
          <w:bCs/>
          <w:sz w:val="24"/>
          <w:szCs w:val="24"/>
        </w:rPr>
        <w:t xml:space="preserve"> overground and underground </w:t>
      </w:r>
      <w:r>
        <w:rPr>
          <w:bCs/>
          <w:sz w:val="24"/>
          <w:szCs w:val="24"/>
          <w:lang w:val="pt-BR"/>
        </w:rPr>
        <w:t xml:space="preserve"> </w:t>
      </w:r>
      <w:r>
        <w:rPr>
          <w:bCs/>
          <w:sz w:val="24"/>
          <w:szCs w:val="24"/>
        </w:rPr>
        <w:t>metallic tubular</w:t>
      </w:r>
      <w:r>
        <w:rPr>
          <w:bCs/>
          <w:sz w:val="24"/>
          <w:szCs w:val="24"/>
          <w:lang w:val="pt-BR"/>
        </w:rPr>
        <w:t xml:space="preserve"> material. </w:t>
      </w:r>
      <w:r>
        <w:rPr>
          <w:bCs/>
          <w:sz w:val="24"/>
          <w:szCs w:val="24"/>
        </w:rPr>
        <w:t xml:space="preserve">Exploiting </w:t>
      </w:r>
      <w:r>
        <w:rPr>
          <w:bCs/>
          <w:sz w:val="24"/>
          <w:szCs w:val="24"/>
          <w:lang w:val="pt-BR"/>
        </w:rPr>
        <w:t xml:space="preserve">was </w:t>
      </w:r>
      <w:r>
        <w:rPr>
          <w:bCs/>
          <w:sz w:val="24"/>
          <w:szCs w:val="24"/>
        </w:rPr>
        <w:t xml:space="preserve">done before </w:t>
      </w:r>
      <w:r>
        <w:rPr>
          <w:bCs/>
          <w:sz w:val="24"/>
          <w:szCs w:val="24"/>
          <w:lang w:val="pt-BR"/>
        </w:rPr>
        <w:t xml:space="preserve">the adoption of a decision by the government to approve the transition from the state public domain in the field of private sector with a view </w:t>
      </w:r>
      <w:r>
        <w:rPr>
          <w:bCs/>
          <w:sz w:val="24"/>
          <w:szCs w:val="24"/>
        </w:rPr>
        <w:t>on exploit</w:t>
      </w:r>
      <w:r>
        <w:rPr>
          <w:bCs/>
          <w:sz w:val="24"/>
          <w:szCs w:val="24"/>
          <w:lang w:val="pt-BR"/>
        </w:rPr>
        <w:t>, according to the law;</w:t>
      </w:r>
    </w:p>
    <w:p w:rsidR="00452793" w:rsidRDefault="00452793" w:rsidP="00D87DA4">
      <w:pPr>
        <w:widowControl/>
        <w:numPr>
          <w:ilvl w:val="0"/>
          <w:numId w:val="49"/>
        </w:numPr>
        <w:autoSpaceDE/>
        <w:autoSpaceDN/>
        <w:adjustRightInd/>
        <w:jc w:val="both"/>
        <w:rPr>
          <w:bCs/>
          <w:sz w:val="24"/>
          <w:szCs w:val="24"/>
          <w:lang w:val="pt-BR"/>
        </w:rPr>
      </w:pPr>
      <w:proofErr w:type="gramStart"/>
      <w:r>
        <w:rPr>
          <w:bCs/>
          <w:sz w:val="24"/>
          <w:szCs w:val="24"/>
        </w:rPr>
        <w:t xml:space="preserve">Measure </w:t>
      </w:r>
      <w:r>
        <w:rPr>
          <w:bCs/>
          <w:sz w:val="24"/>
          <w:szCs w:val="24"/>
          <w:lang w:val="pt-BR"/>
        </w:rPr>
        <w:t>no</w:t>
      </w:r>
      <w:r>
        <w:rPr>
          <w:bCs/>
          <w:sz w:val="24"/>
          <w:szCs w:val="24"/>
        </w:rPr>
        <w:t>.</w:t>
      </w:r>
      <w:r>
        <w:rPr>
          <w:bCs/>
          <w:sz w:val="24"/>
          <w:szCs w:val="24"/>
          <w:lang w:val="pt-BR"/>
        </w:rPr>
        <w:t xml:space="preserve"> 2 concerning the carrying out of the inventory for the identification of notorious bottlenecks in the national transport system which have been abandoned or dismantled as a result of investments made at the national transport system within the framework of the programs of rehabilitation and modernization and development carried out and the transmission of the results </w:t>
      </w:r>
      <w:r>
        <w:rPr>
          <w:bCs/>
          <w:sz w:val="24"/>
          <w:szCs w:val="24"/>
        </w:rPr>
        <w:t xml:space="preserve">ANMR </w:t>
      </w:r>
      <w:r>
        <w:rPr>
          <w:bCs/>
          <w:sz w:val="24"/>
          <w:szCs w:val="24"/>
          <w:lang w:val="pt-BR"/>
        </w:rPr>
        <w:t xml:space="preserve">for initiating the </w:t>
      </w:r>
      <w:r>
        <w:rPr>
          <w:bCs/>
          <w:sz w:val="24"/>
          <w:szCs w:val="24"/>
        </w:rPr>
        <w:t xml:space="preserve">conclusion </w:t>
      </w:r>
      <w:r>
        <w:rPr>
          <w:bCs/>
          <w:sz w:val="24"/>
          <w:szCs w:val="24"/>
          <w:lang w:val="pt-BR"/>
        </w:rPr>
        <w:t>by the government for the approval of the transition from the state public domain in the private field of the state with a view to their removal from service.</w:t>
      </w:r>
      <w:proofErr w:type="gramEnd"/>
      <w:r>
        <w:rPr>
          <w:bCs/>
          <w:sz w:val="24"/>
          <w:szCs w:val="24"/>
          <w:lang w:val="pt-BR"/>
        </w:rPr>
        <w:t xml:space="preserve"> Internal rules by the procedure of the decommissioning, disposal and recovery of the parties in the National Transport System of dismantled following the work of rehabilitation, modernization and development carried out by the sole concessionaire;</w:t>
      </w:r>
    </w:p>
    <w:p w:rsidR="00452793" w:rsidRDefault="00452793" w:rsidP="00452793">
      <w:pPr>
        <w:ind w:left="780"/>
        <w:jc w:val="both"/>
        <w:rPr>
          <w:bCs/>
          <w:sz w:val="24"/>
          <w:szCs w:val="24"/>
          <w:lang w:val="pt-BR"/>
        </w:rPr>
      </w:pPr>
    </w:p>
    <w:p w:rsidR="00452793" w:rsidRDefault="00452793" w:rsidP="00D87DA4">
      <w:pPr>
        <w:widowControl/>
        <w:numPr>
          <w:ilvl w:val="0"/>
          <w:numId w:val="49"/>
        </w:numPr>
        <w:autoSpaceDE/>
        <w:autoSpaceDN/>
        <w:adjustRightInd/>
        <w:jc w:val="both"/>
        <w:rPr>
          <w:bCs/>
          <w:sz w:val="24"/>
          <w:szCs w:val="24"/>
          <w:lang w:val="pt-BR"/>
        </w:rPr>
      </w:pPr>
      <w:r>
        <w:rPr>
          <w:bCs/>
          <w:sz w:val="24"/>
          <w:szCs w:val="24"/>
        </w:rPr>
        <w:t>Measure</w:t>
      </w:r>
      <w:r>
        <w:rPr>
          <w:bCs/>
          <w:sz w:val="24"/>
          <w:szCs w:val="24"/>
          <w:lang w:val="pt-BR"/>
        </w:rPr>
        <w:t xml:space="preserve"> no </w:t>
      </w:r>
      <w:proofErr w:type="gramStart"/>
      <w:r>
        <w:rPr>
          <w:bCs/>
          <w:sz w:val="24"/>
          <w:szCs w:val="24"/>
          <w:lang w:val="pt-BR"/>
        </w:rPr>
        <w:t>3</w:t>
      </w:r>
      <w:proofErr w:type="gramEnd"/>
      <w:r>
        <w:rPr>
          <w:bCs/>
          <w:sz w:val="24"/>
          <w:szCs w:val="24"/>
          <w:lang w:val="pt-BR"/>
        </w:rPr>
        <w:t xml:space="preserve"> on </w:t>
      </w:r>
      <w:r>
        <w:rPr>
          <w:bCs/>
          <w:sz w:val="24"/>
          <w:szCs w:val="24"/>
        </w:rPr>
        <w:t xml:space="preserve">passing </w:t>
      </w:r>
      <w:r>
        <w:rPr>
          <w:bCs/>
          <w:sz w:val="24"/>
          <w:szCs w:val="24"/>
          <w:lang w:val="pt-BR"/>
        </w:rPr>
        <w:t xml:space="preserve">the </w:t>
      </w:r>
      <w:r>
        <w:rPr>
          <w:bCs/>
          <w:sz w:val="24"/>
          <w:szCs w:val="24"/>
        </w:rPr>
        <w:t xml:space="preserve">sum </w:t>
      </w:r>
      <w:r>
        <w:rPr>
          <w:bCs/>
          <w:sz w:val="24"/>
          <w:szCs w:val="24"/>
          <w:lang w:val="pt-BR"/>
        </w:rPr>
        <w:t xml:space="preserve">of </w:t>
      </w:r>
      <w:r>
        <w:rPr>
          <w:bCs/>
          <w:sz w:val="24"/>
          <w:szCs w:val="24"/>
        </w:rPr>
        <w:t xml:space="preserve">RON </w:t>
      </w:r>
      <w:r>
        <w:rPr>
          <w:bCs/>
          <w:sz w:val="24"/>
          <w:szCs w:val="24"/>
          <w:lang w:val="pt-BR"/>
        </w:rPr>
        <w:t xml:space="preserve">927.154,06 representing </w:t>
      </w:r>
      <w:r>
        <w:rPr>
          <w:bCs/>
          <w:sz w:val="24"/>
          <w:szCs w:val="24"/>
        </w:rPr>
        <w:t xml:space="preserve">income </w:t>
      </w:r>
      <w:r>
        <w:rPr>
          <w:bCs/>
          <w:sz w:val="24"/>
          <w:szCs w:val="24"/>
          <w:lang w:val="pt-BR"/>
        </w:rPr>
        <w:t xml:space="preserve">to the state budget </w:t>
      </w:r>
      <w:r>
        <w:rPr>
          <w:bCs/>
          <w:sz w:val="24"/>
          <w:szCs w:val="24"/>
        </w:rPr>
        <w:t>by exploiting</w:t>
      </w:r>
      <w:r>
        <w:rPr>
          <w:bCs/>
          <w:sz w:val="24"/>
          <w:szCs w:val="24"/>
          <w:lang w:val="pt-BR"/>
        </w:rPr>
        <w:t xml:space="preserve"> the </w:t>
      </w:r>
      <w:r>
        <w:rPr>
          <w:bCs/>
          <w:sz w:val="24"/>
          <w:szCs w:val="24"/>
        </w:rPr>
        <w:t xml:space="preserve">tubular </w:t>
      </w:r>
      <w:r>
        <w:rPr>
          <w:bCs/>
          <w:sz w:val="24"/>
          <w:szCs w:val="24"/>
          <w:lang w:val="pt-BR"/>
        </w:rPr>
        <w:t>material result</w:t>
      </w:r>
      <w:r>
        <w:rPr>
          <w:bCs/>
          <w:sz w:val="24"/>
          <w:szCs w:val="24"/>
        </w:rPr>
        <w:t>ed</w:t>
      </w:r>
      <w:r>
        <w:rPr>
          <w:bCs/>
          <w:sz w:val="24"/>
          <w:szCs w:val="24"/>
          <w:lang w:val="pt-BR"/>
        </w:rPr>
        <w:t xml:space="preserve"> from the decommissioning of parts of the tangible assets belonging to the state public domain, together with interest and penalties relating thereto, up-to-date at </w:t>
      </w:r>
      <w:r>
        <w:rPr>
          <w:bCs/>
          <w:sz w:val="24"/>
          <w:szCs w:val="24"/>
        </w:rPr>
        <w:t xml:space="preserve">the date of </w:t>
      </w:r>
      <w:r>
        <w:rPr>
          <w:bCs/>
          <w:sz w:val="24"/>
          <w:szCs w:val="24"/>
          <w:lang w:val="pt-BR"/>
        </w:rPr>
        <w:t>payment. Extension of the check</w:t>
      </w:r>
      <w:r>
        <w:rPr>
          <w:bCs/>
          <w:sz w:val="24"/>
          <w:szCs w:val="24"/>
        </w:rPr>
        <w:t>-ups</w:t>
      </w:r>
      <w:r>
        <w:rPr>
          <w:bCs/>
          <w:sz w:val="24"/>
          <w:szCs w:val="24"/>
          <w:lang w:val="pt-BR"/>
        </w:rPr>
        <w:t xml:space="preserve"> in order to identify all net amounts resulting from</w:t>
      </w:r>
      <w:r>
        <w:rPr>
          <w:bCs/>
          <w:sz w:val="24"/>
          <w:szCs w:val="24"/>
        </w:rPr>
        <w:t xml:space="preserve"> exploiting </w:t>
      </w:r>
      <w:r>
        <w:rPr>
          <w:bCs/>
          <w:sz w:val="24"/>
          <w:szCs w:val="24"/>
          <w:lang w:val="pt-BR"/>
        </w:rPr>
        <w:t xml:space="preserve">tangible assets belonging to the state public domain dismantled, and turning them to the state budget, </w:t>
      </w:r>
      <w:r>
        <w:rPr>
          <w:bCs/>
          <w:sz w:val="24"/>
          <w:szCs w:val="24"/>
        </w:rPr>
        <w:t xml:space="preserve">for </w:t>
      </w:r>
      <w:r>
        <w:rPr>
          <w:bCs/>
          <w:sz w:val="24"/>
          <w:szCs w:val="24"/>
          <w:lang w:val="pt-BR"/>
        </w:rPr>
        <w:t xml:space="preserve">the </w:t>
      </w:r>
      <w:r>
        <w:rPr>
          <w:bCs/>
          <w:sz w:val="24"/>
          <w:szCs w:val="24"/>
        </w:rPr>
        <w:t xml:space="preserve">updated </w:t>
      </w:r>
      <w:r>
        <w:rPr>
          <w:bCs/>
          <w:sz w:val="24"/>
          <w:szCs w:val="24"/>
          <w:lang w:val="pt-BR"/>
        </w:rPr>
        <w:t>value.</w:t>
      </w:r>
    </w:p>
    <w:p w:rsidR="00452793" w:rsidRDefault="00452793" w:rsidP="00452793">
      <w:pPr>
        <w:jc w:val="both"/>
        <w:rPr>
          <w:bCs/>
          <w:sz w:val="24"/>
          <w:szCs w:val="24"/>
          <w:lang w:val="pt-BR"/>
        </w:rPr>
      </w:pPr>
      <w:r>
        <w:rPr>
          <w:bCs/>
          <w:sz w:val="24"/>
          <w:szCs w:val="24"/>
          <w:lang w:val="pt-BR"/>
        </w:rPr>
        <w:t xml:space="preserve">     3. </w:t>
      </w:r>
      <w:r>
        <w:rPr>
          <w:bCs/>
          <w:sz w:val="24"/>
          <w:szCs w:val="24"/>
        </w:rPr>
        <w:t xml:space="preserve">Canceling </w:t>
      </w:r>
      <w:r>
        <w:rPr>
          <w:bCs/>
          <w:sz w:val="24"/>
          <w:szCs w:val="24"/>
          <w:lang w:val="pt-BR"/>
        </w:rPr>
        <w:t xml:space="preserve">the measures laid down by Decision </w:t>
      </w:r>
      <w:proofErr w:type="gramStart"/>
      <w:r>
        <w:rPr>
          <w:bCs/>
          <w:sz w:val="24"/>
          <w:szCs w:val="24"/>
          <w:lang w:val="pt-BR"/>
        </w:rPr>
        <w:t>No</w:t>
      </w:r>
      <w:proofErr w:type="gramEnd"/>
      <w:r>
        <w:rPr>
          <w:bCs/>
          <w:sz w:val="24"/>
          <w:szCs w:val="24"/>
          <w:lang w:val="pt-BR"/>
        </w:rPr>
        <w:t xml:space="preserve"> 14/21.06.2017, issued by the Chamber of Auditors</w:t>
      </w:r>
      <w:r>
        <w:rPr>
          <w:bCs/>
          <w:sz w:val="24"/>
          <w:szCs w:val="24"/>
        </w:rPr>
        <w:t xml:space="preserve"> of </w:t>
      </w:r>
      <w:r>
        <w:rPr>
          <w:bCs/>
          <w:sz w:val="24"/>
          <w:szCs w:val="24"/>
          <w:lang w:val="pt-BR"/>
        </w:rPr>
        <w:t xml:space="preserve">Prahova county, </w:t>
      </w:r>
      <w:r>
        <w:rPr>
          <w:bCs/>
          <w:sz w:val="24"/>
          <w:szCs w:val="24"/>
        </w:rPr>
        <w:t xml:space="preserve">points </w:t>
      </w:r>
      <w:r>
        <w:rPr>
          <w:bCs/>
          <w:sz w:val="24"/>
          <w:szCs w:val="24"/>
          <w:lang w:val="pt-BR"/>
        </w:rPr>
        <w:t>no</w:t>
      </w:r>
      <w:r>
        <w:rPr>
          <w:bCs/>
          <w:sz w:val="24"/>
          <w:szCs w:val="24"/>
        </w:rPr>
        <w:t xml:space="preserve">. </w:t>
      </w:r>
      <w:r>
        <w:rPr>
          <w:bCs/>
          <w:sz w:val="24"/>
          <w:szCs w:val="24"/>
          <w:lang w:val="pt-BR"/>
        </w:rPr>
        <w:t>I.2 and I.3, 2 and 3 respectively, until the final settlement of the case.</w:t>
      </w:r>
    </w:p>
    <w:p w:rsidR="00452793" w:rsidRDefault="00452793" w:rsidP="00452793">
      <w:pPr>
        <w:jc w:val="both"/>
        <w:rPr>
          <w:bCs/>
          <w:sz w:val="24"/>
          <w:szCs w:val="24"/>
          <w:lang w:val="pt-BR"/>
        </w:rPr>
      </w:pPr>
      <w:r>
        <w:rPr>
          <w:b/>
          <w:bCs/>
          <w:sz w:val="24"/>
          <w:szCs w:val="24"/>
        </w:rPr>
        <w:t>Clarifications</w:t>
      </w:r>
      <w:r>
        <w:rPr>
          <w:b/>
          <w:bCs/>
          <w:sz w:val="24"/>
          <w:szCs w:val="24"/>
          <w:lang w:val="pt-BR"/>
        </w:rPr>
        <w:t>:</w:t>
      </w:r>
      <w:r>
        <w:rPr>
          <w:bCs/>
          <w:sz w:val="24"/>
          <w:szCs w:val="24"/>
          <w:lang w:val="pt-BR"/>
        </w:rPr>
        <w:t xml:space="preserve"> By the end of </w:t>
      </w:r>
      <w:proofErr w:type="gramStart"/>
      <w:r>
        <w:rPr>
          <w:bCs/>
          <w:sz w:val="24"/>
          <w:szCs w:val="24"/>
          <w:lang w:val="pt-BR"/>
        </w:rPr>
        <w:t>23</w:t>
      </w:r>
      <w:r>
        <w:rPr>
          <w:bCs/>
          <w:sz w:val="24"/>
          <w:szCs w:val="24"/>
          <w:vertAlign w:val="superscript"/>
        </w:rPr>
        <w:t>rd</w:t>
      </w:r>
      <w:proofErr w:type="gramEnd"/>
      <w:r>
        <w:rPr>
          <w:bCs/>
          <w:sz w:val="24"/>
          <w:szCs w:val="24"/>
        </w:rPr>
        <w:t xml:space="preserve"> Feb </w:t>
      </w:r>
      <w:r>
        <w:rPr>
          <w:bCs/>
          <w:sz w:val="24"/>
          <w:szCs w:val="24"/>
          <w:lang w:val="pt-BR"/>
        </w:rPr>
        <w:t xml:space="preserve">2018 Prahova Court rejected the request to suspend the execution of the administrative act as </w:t>
      </w:r>
      <w:r>
        <w:rPr>
          <w:bCs/>
          <w:sz w:val="24"/>
          <w:szCs w:val="24"/>
        </w:rPr>
        <w:t>unfounded</w:t>
      </w:r>
      <w:r>
        <w:rPr>
          <w:bCs/>
          <w:sz w:val="24"/>
          <w:szCs w:val="24"/>
          <w:lang w:val="pt-BR"/>
        </w:rPr>
        <w:t xml:space="preserve">. The </w:t>
      </w:r>
      <w:r>
        <w:rPr>
          <w:bCs/>
          <w:sz w:val="24"/>
          <w:szCs w:val="24"/>
        </w:rPr>
        <w:t>sentence</w:t>
      </w:r>
      <w:r>
        <w:rPr>
          <w:bCs/>
          <w:sz w:val="24"/>
          <w:szCs w:val="24"/>
          <w:lang w:val="pt-BR"/>
        </w:rPr>
        <w:t xml:space="preserve"> </w:t>
      </w:r>
      <w:r>
        <w:rPr>
          <w:bCs/>
          <w:sz w:val="24"/>
          <w:szCs w:val="24"/>
        </w:rPr>
        <w:t xml:space="preserve">was appealed by </w:t>
      </w:r>
      <w:r>
        <w:rPr>
          <w:bCs/>
          <w:sz w:val="24"/>
          <w:szCs w:val="24"/>
          <w:lang w:val="pt-BR"/>
        </w:rPr>
        <w:t xml:space="preserve">Conpet. The deadline for the </w:t>
      </w:r>
      <w:r>
        <w:rPr>
          <w:bCs/>
          <w:sz w:val="24"/>
          <w:szCs w:val="24"/>
        </w:rPr>
        <w:t>sentence</w:t>
      </w:r>
      <w:r>
        <w:rPr>
          <w:bCs/>
          <w:sz w:val="24"/>
          <w:szCs w:val="24"/>
          <w:lang w:val="pt-BR"/>
        </w:rPr>
        <w:t xml:space="preserve"> of the appeal against the conclusion of </w:t>
      </w:r>
      <w:r>
        <w:rPr>
          <w:bCs/>
          <w:sz w:val="24"/>
          <w:szCs w:val="24"/>
        </w:rPr>
        <w:t xml:space="preserve"> </w:t>
      </w:r>
      <w:r>
        <w:rPr>
          <w:bCs/>
          <w:sz w:val="24"/>
          <w:szCs w:val="24"/>
          <w:lang w:val="pt-BR"/>
        </w:rPr>
        <w:t>23</w:t>
      </w:r>
      <w:r>
        <w:rPr>
          <w:bCs/>
          <w:sz w:val="24"/>
          <w:szCs w:val="24"/>
          <w:vertAlign w:val="superscript"/>
        </w:rPr>
        <w:t>rd</w:t>
      </w:r>
      <w:r>
        <w:rPr>
          <w:bCs/>
          <w:sz w:val="24"/>
          <w:szCs w:val="24"/>
        </w:rPr>
        <w:t xml:space="preserve"> Feb </w:t>
      </w:r>
      <w:r>
        <w:rPr>
          <w:bCs/>
          <w:sz w:val="24"/>
          <w:szCs w:val="24"/>
          <w:lang w:val="pt-BR"/>
        </w:rPr>
        <w:t xml:space="preserve">2018 by which the court in Prahova county rejected the request to suspend </w:t>
      </w:r>
      <w:r>
        <w:rPr>
          <w:bCs/>
          <w:sz w:val="24"/>
          <w:szCs w:val="24"/>
          <w:lang w:val="pt-BR"/>
        </w:rPr>
        <w:lastRenderedPageBreak/>
        <w:t>the enforcement of the administrative act: 06</w:t>
      </w:r>
      <w:r>
        <w:rPr>
          <w:bCs/>
          <w:sz w:val="24"/>
          <w:szCs w:val="24"/>
          <w:vertAlign w:val="superscript"/>
        </w:rPr>
        <w:t>th</w:t>
      </w:r>
      <w:r>
        <w:rPr>
          <w:bCs/>
          <w:sz w:val="24"/>
          <w:szCs w:val="24"/>
        </w:rPr>
        <w:t xml:space="preserve"> Sept </w:t>
      </w:r>
      <w:r>
        <w:rPr>
          <w:bCs/>
          <w:sz w:val="24"/>
          <w:szCs w:val="24"/>
          <w:lang w:val="pt-BR"/>
        </w:rPr>
        <w:t>2018</w:t>
      </w:r>
    </w:p>
    <w:p w:rsidR="00452793" w:rsidRDefault="00452793" w:rsidP="00452793">
      <w:pPr>
        <w:jc w:val="both"/>
        <w:rPr>
          <w:bCs/>
          <w:sz w:val="24"/>
          <w:szCs w:val="24"/>
          <w:lang w:val="pt-BR"/>
        </w:rPr>
      </w:pPr>
      <w:r>
        <w:rPr>
          <w:bCs/>
          <w:sz w:val="24"/>
          <w:szCs w:val="24"/>
        </w:rPr>
        <w:t xml:space="preserve">Stage of </w:t>
      </w:r>
      <w:proofErr w:type="gramStart"/>
      <w:r>
        <w:rPr>
          <w:bCs/>
          <w:sz w:val="24"/>
          <w:szCs w:val="24"/>
        </w:rPr>
        <w:t>trial</w:t>
      </w:r>
      <w:r>
        <w:rPr>
          <w:bCs/>
          <w:sz w:val="24"/>
          <w:szCs w:val="24"/>
          <w:lang w:val="pt-BR"/>
        </w:rPr>
        <w:t xml:space="preserve"> :</w:t>
      </w:r>
      <w:r>
        <w:rPr>
          <w:bCs/>
          <w:sz w:val="24"/>
          <w:szCs w:val="24"/>
        </w:rPr>
        <w:t>First</w:t>
      </w:r>
      <w:proofErr w:type="gramEnd"/>
      <w:r>
        <w:rPr>
          <w:bCs/>
          <w:sz w:val="24"/>
          <w:szCs w:val="24"/>
        </w:rPr>
        <w:t xml:space="preserve"> Instance</w:t>
      </w:r>
    </w:p>
    <w:p w:rsidR="00452793" w:rsidRDefault="00452793" w:rsidP="00452793">
      <w:pPr>
        <w:jc w:val="both"/>
        <w:rPr>
          <w:bCs/>
          <w:sz w:val="24"/>
          <w:szCs w:val="24"/>
          <w:lang w:val="pt-BR"/>
        </w:rPr>
      </w:pPr>
      <w:r>
        <w:rPr>
          <w:bCs/>
          <w:sz w:val="24"/>
          <w:szCs w:val="24"/>
          <w:lang w:val="pt-BR"/>
        </w:rPr>
        <w:t> </w:t>
      </w:r>
      <w:r>
        <w:rPr>
          <w:bCs/>
          <w:sz w:val="24"/>
          <w:szCs w:val="24"/>
        </w:rPr>
        <w:t>Hearing</w:t>
      </w:r>
      <w:r>
        <w:rPr>
          <w:bCs/>
          <w:sz w:val="24"/>
          <w:szCs w:val="24"/>
          <w:lang w:val="pt-BR"/>
        </w:rPr>
        <w:t>:</w:t>
      </w:r>
      <w:r>
        <w:rPr>
          <w:bCs/>
          <w:sz w:val="24"/>
          <w:szCs w:val="24"/>
        </w:rPr>
        <w:t xml:space="preserve"> </w:t>
      </w:r>
      <w:proofErr w:type="gramStart"/>
      <w:r>
        <w:rPr>
          <w:bCs/>
          <w:sz w:val="24"/>
          <w:szCs w:val="24"/>
          <w:lang w:val="pt-BR"/>
        </w:rPr>
        <w:t>27</w:t>
      </w:r>
      <w:r>
        <w:rPr>
          <w:bCs/>
          <w:sz w:val="24"/>
          <w:szCs w:val="24"/>
          <w:vertAlign w:val="superscript"/>
        </w:rPr>
        <w:t>th</w:t>
      </w:r>
      <w:proofErr w:type="gramEnd"/>
      <w:r>
        <w:rPr>
          <w:bCs/>
          <w:sz w:val="24"/>
          <w:szCs w:val="24"/>
        </w:rPr>
        <w:t xml:space="preserve"> Sept </w:t>
      </w:r>
      <w:r>
        <w:rPr>
          <w:bCs/>
          <w:sz w:val="24"/>
          <w:szCs w:val="24"/>
          <w:lang w:val="pt-BR"/>
        </w:rPr>
        <w:t xml:space="preserve">2018 </w:t>
      </w:r>
    </w:p>
    <w:p w:rsidR="00452793" w:rsidRDefault="00452793" w:rsidP="00452793">
      <w:pPr>
        <w:jc w:val="both"/>
        <w:rPr>
          <w:bCs/>
          <w:sz w:val="24"/>
          <w:szCs w:val="24"/>
          <w:lang w:val="pt-BR"/>
        </w:rPr>
      </w:pPr>
    </w:p>
    <w:p w:rsidR="00452793" w:rsidRDefault="00452793" w:rsidP="00452793">
      <w:pPr>
        <w:jc w:val="both"/>
        <w:rPr>
          <w:b/>
          <w:sz w:val="24"/>
          <w:szCs w:val="24"/>
          <w:lang w:val="it-IT"/>
        </w:rPr>
      </w:pPr>
      <w:r>
        <w:rPr>
          <w:b/>
          <w:sz w:val="24"/>
          <w:szCs w:val="24"/>
          <w:lang w:val="it-IT"/>
        </w:rPr>
        <w:t xml:space="preserve">33. </w:t>
      </w:r>
      <w:r>
        <w:rPr>
          <w:b/>
          <w:sz w:val="24"/>
          <w:szCs w:val="24"/>
        </w:rPr>
        <w:t>File</w:t>
      </w:r>
      <w:r>
        <w:rPr>
          <w:b/>
          <w:sz w:val="24"/>
          <w:szCs w:val="24"/>
          <w:lang w:val="it-IT"/>
        </w:rPr>
        <w:t xml:space="preserve"> No 19873/281/2017 - Court of Ploiesti. </w:t>
      </w:r>
    </w:p>
    <w:p w:rsidR="00452793" w:rsidRDefault="00452793" w:rsidP="00452793">
      <w:pPr>
        <w:jc w:val="both"/>
        <w:rPr>
          <w:sz w:val="24"/>
          <w:szCs w:val="24"/>
          <w:lang w:val="it-IT"/>
        </w:rPr>
      </w:pPr>
      <w:r>
        <w:rPr>
          <w:b/>
          <w:sz w:val="24"/>
          <w:szCs w:val="24"/>
          <w:lang w:val="it-IT"/>
        </w:rPr>
        <w:t>The parties:</w:t>
      </w:r>
      <w:r>
        <w:rPr>
          <w:sz w:val="24"/>
          <w:szCs w:val="24"/>
          <w:lang w:val="it-IT"/>
        </w:rPr>
        <w:t xml:space="preserve"> Conpet - the </w:t>
      </w:r>
      <w:r>
        <w:rPr>
          <w:sz w:val="24"/>
          <w:szCs w:val="24"/>
        </w:rPr>
        <w:t>plaintiff</w:t>
      </w:r>
    </w:p>
    <w:p w:rsidR="00452793" w:rsidRDefault="00452793" w:rsidP="00452793">
      <w:pPr>
        <w:jc w:val="both"/>
        <w:rPr>
          <w:sz w:val="24"/>
          <w:szCs w:val="24"/>
          <w:lang w:val="it-IT"/>
        </w:rPr>
      </w:pPr>
      <w:r>
        <w:rPr>
          <w:sz w:val="24"/>
          <w:szCs w:val="24"/>
          <w:lang w:val="it-IT"/>
        </w:rPr>
        <w:t xml:space="preserve">           EURONET SRL - </w:t>
      </w:r>
      <w:r>
        <w:rPr>
          <w:sz w:val="24"/>
          <w:szCs w:val="24"/>
        </w:rPr>
        <w:t>defendant</w:t>
      </w:r>
    </w:p>
    <w:p w:rsidR="00452793" w:rsidRDefault="00452793" w:rsidP="00452793">
      <w:pPr>
        <w:jc w:val="both"/>
        <w:rPr>
          <w:sz w:val="24"/>
          <w:szCs w:val="24"/>
          <w:lang w:val="it-IT"/>
        </w:rPr>
      </w:pPr>
      <w:r>
        <w:rPr>
          <w:b/>
          <w:sz w:val="24"/>
          <w:szCs w:val="24"/>
          <w:lang w:val="it-IT"/>
        </w:rPr>
        <w:t>Subject:</w:t>
      </w:r>
      <w:r>
        <w:rPr>
          <w:sz w:val="24"/>
          <w:szCs w:val="24"/>
          <w:lang w:val="it-IT"/>
        </w:rPr>
        <w:t> </w:t>
      </w:r>
      <w:r>
        <w:rPr>
          <w:b/>
          <w:bCs/>
          <w:sz w:val="24"/>
          <w:szCs w:val="24"/>
        </w:rPr>
        <w:t>Claims</w:t>
      </w:r>
      <w:r>
        <w:rPr>
          <w:sz w:val="24"/>
          <w:szCs w:val="24"/>
          <w:lang w:val="it-IT"/>
        </w:rPr>
        <w:t>. Conpet f</w:t>
      </w:r>
      <w:r>
        <w:rPr>
          <w:sz w:val="24"/>
          <w:szCs w:val="24"/>
        </w:rPr>
        <w:t>iled a trial requesting the court</w:t>
      </w:r>
      <w:r>
        <w:rPr>
          <w:sz w:val="24"/>
          <w:szCs w:val="24"/>
          <w:lang w:val="it-IT"/>
        </w:rPr>
        <w:t xml:space="preserve"> to:</w:t>
      </w:r>
    </w:p>
    <w:p w:rsidR="00452793" w:rsidRDefault="00452793" w:rsidP="00452793">
      <w:pPr>
        <w:jc w:val="both"/>
        <w:rPr>
          <w:sz w:val="24"/>
          <w:szCs w:val="24"/>
          <w:lang w:val="it-IT"/>
        </w:rPr>
      </w:pPr>
      <w:r>
        <w:rPr>
          <w:sz w:val="24"/>
          <w:szCs w:val="24"/>
          <w:lang w:val="it-IT"/>
        </w:rPr>
        <w:t xml:space="preserve">- </w:t>
      </w:r>
      <w:r>
        <w:rPr>
          <w:sz w:val="24"/>
          <w:szCs w:val="24"/>
        </w:rPr>
        <w:t>Order</w:t>
      </w:r>
      <w:r>
        <w:rPr>
          <w:sz w:val="24"/>
          <w:szCs w:val="24"/>
          <w:lang w:val="it-IT"/>
        </w:rPr>
        <w:t xml:space="preserve"> the defendant to the payment of the amount of </w:t>
      </w:r>
      <w:r>
        <w:rPr>
          <w:sz w:val="24"/>
          <w:szCs w:val="24"/>
        </w:rPr>
        <w:t xml:space="preserve">RON </w:t>
      </w:r>
      <w:r>
        <w:rPr>
          <w:sz w:val="24"/>
          <w:szCs w:val="24"/>
          <w:lang w:val="it-IT"/>
        </w:rPr>
        <w:t>17.400</w:t>
      </w:r>
      <w:r>
        <w:rPr>
          <w:sz w:val="24"/>
          <w:szCs w:val="24"/>
        </w:rPr>
        <w:t xml:space="preserve"> </w:t>
      </w:r>
      <w:r>
        <w:rPr>
          <w:sz w:val="24"/>
          <w:szCs w:val="24"/>
          <w:lang w:val="it-IT"/>
        </w:rPr>
        <w:t xml:space="preserve">representing damages </w:t>
      </w:r>
      <w:r>
        <w:rPr>
          <w:sz w:val="24"/>
          <w:szCs w:val="24"/>
        </w:rPr>
        <w:t xml:space="preserve">of </w:t>
      </w:r>
      <w:r>
        <w:rPr>
          <w:sz w:val="24"/>
          <w:szCs w:val="24"/>
          <w:lang w:val="it-IT"/>
        </w:rPr>
        <w:t>20 % the value of the contract;</w:t>
      </w:r>
    </w:p>
    <w:p w:rsidR="00452793" w:rsidRDefault="00452793" w:rsidP="00452793">
      <w:pPr>
        <w:jc w:val="both"/>
        <w:rPr>
          <w:sz w:val="24"/>
          <w:szCs w:val="24"/>
          <w:lang w:val="it-IT"/>
        </w:rPr>
      </w:pPr>
      <w:r>
        <w:rPr>
          <w:sz w:val="24"/>
          <w:szCs w:val="24"/>
          <w:lang w:val="it-IT"/>
        </w:rPr>
        <w:t xml:space="preserve">- </w:t>
      </w:r>
      <w:r>
        <w:rPr>
          <w:sz w:val="24"/>
          <w:szCs w:val="24"/>
        </w:rPr>
        <w:t>Order</w:t>
      </w:r>
      <w:r>
        <w:rPr>
          <w:sz w:val="24"/>
          <w:szCs w:val="24"/>
          <w:lang w:val="it-IT"/>
        </w:rPr>
        <w:t xml:space="preserve"> the defendant to the payment of </w:t>
      </w:r>
      <w:r>
        <w:rPr>
          <w:sz w:val="24"/>
          <w:szCs w:val="24"/>
        </w:rPr>
        <w:t>trial expenses.</w:t>
      </w:r>
    </w:p>
    <w:p w:rsidR="00452793" w:rsidRDefault="00452793" w:rsidP="00452793">
      <w:pPr>
        <w:jc w:val="both"/>
        <w:rPr>
          <w:sz w:val="24"/>
          <w:szCs w:val="24"/>
        </w:rPr>
      </w:pPr>
      <w:r>
        <w:rPr>
          <w:b/>
          <w:sz w:val="24"/>
          <w:szCs w:val="24"/>
        </w:rPr>
        <w:t>Clarifications</w:t>
      </w:r>
      <w:r>
        <w:rPr>
          <w:b/>
          <w:sz w:val="24"/>
          <w:szCs w:val="24"/>
          <w:lang w:val="it-IT"/>
        </w:rPr>
        <w:t>:</w:t>
      </w:r>
      <w:r>
        <w:rPr>
          <w:sz w:val="24"/>
          <w:szCs w:val="24"/>
          <w:lang w:val="it-IT"/>
        </w:rPr>
        <w:t> </w:t>
      </w:r>
      <w:r>
        <w:rPr>
          <w:sz w:val="24"/>
          <w:szCs w:val="24"/>
        </w:rPr>
        <w:t xml:space="preserve">By </w:t>
      </w:r>
      <w:r>
        <w:rPr>
          <w:sz w:val="24"/>
          <w:szCs w:val="24"/>
          <w:lang w:val="it-IT"/>
        </w:rPr>
        <w:t>the </w:t>
      </w:r>
      <w:r>
        <w:rPr>
          <w:b/>
          <w:sz w:val="24"/>
          <w:szCs w:val="24"/>
        </w:rPr>
        <w:t>order</w:t>
      </w:r>
      <w:r>
        <w:rPr>
          <w:b/>
          <w:sz w:val="24"/>
          <w:szCs w:val="24"/>
          <w:lang w:val="it-IT"/>
        </w:rPr>
        <w:t xml:space="preserve"> no. </w:t>
      </w:r>
      <w:proofErr w:type="gramStart"/>
      <w:r>
        <w:rPr>
          <w:b/>
          <w:sz w:val="24"/>
          <w:szCs w:val="24"/>
        </w:rPr>
        <w:t>269/19.01.2018</w:t>
      </w:r>
      <w:proofErr w:type="gramEnd"/>
      <w:r>
        <w:rPr>
          <w:sz w:val="24"/>
          <w:szCs w:val="24"/>
        </w:rPr>
        <w:t xml:space="preserve"> Ploiesti Court admitted, in part, the application of the Summoning in court. Orders the defendant to pay the amount of RON 13.050, representing damages under the contract no. S-as-CD 75/09.03.2016. Order the defendant to pay the plaintiff the amount of RON 732, representing the legal costs, judicial stamp tax. The sentence </w:t>
      </w:r>
      <w:proofErr w:type="gramStart"/>
      <w:r>
        <w:rPr>
          <w:sz w:val="24"/>
          <w:szCs w:val="24"/>
        </w:rPr>
        <w:t>can be appealed</w:t>
      </w:r>
      <w:proofErr w:type="gramEnd"/>
      <w:r>
        <w:rPr>
          <w:sz w:val="24"/>
          <w:szCs w:val="24"/>
        </w:rPr>
        <w:t xml:space="preserve"> after communication.</w:t>
      </w:r>
    </w:p>
    <w:p w:rsidR="00452793" w:rsidRDefault="00452793" w:rsidP="00452793">
      <w:pPr>
        <w:jc w:val="both"/>
        <w:rPr>
          <w:sz w:val="24"/>
          <w:szCs w:val="24"/>
          <w:lang w:val="it-IT"/>
        </w:rPr>
      </w:pPr>
      <w:r>
        <w:rPr>
          <w:b/>
          <w:sz w:val="24"/>
          <w:szCs w:val="24"/>
        </w:rPr>
        <w:t>Stage of trial</w:t>
      </w:r>
      <w:r>
        <w:rPr>
          <w:b/>
          <w:sz w:val="24"/>
          <w:szCs w:val="24"/>
          <w:lang w:val="it-IT"/>
        </w:rPr>
        <w:t>:</w:t>
      </w:r>
      <w:r>
        <w:rPr>
          <w:sz w:val="24"/>
          <w:szCs w:val="24"/>
          <w:lang w:val="it-IT"/>
        </w:rPr>
        <w:t> --</w:t>
      </w:r>
    </w:p>
    <w:p w:rsidR="00452793" w:rsidRDefault="00452793" w:rsidP="00452793">
      <w:pPr>
        <w:jc w:val="both"/>
        <w:rPr>
          <w:sz w:val="24"/>
          <w:szCs w:val="24"/>
          <w:lang w:val="it-IT"/>
        </w:rPr>
      </w:pPr>
      <w:r>
        <w:rPr>
          <w:b/>
          <w:sz w:val="24"/>
          <w:szCs w:val="24"/>
        </w:rPr>
        <w:t>Hearing</w:t>
      </w:r>
      <w:r>
        <w:rPr>
          <w:b/>
          <w:sz w:val="24"/>
          <w:szCs w:val="24"/>
          <w:lang w:val="it-IT"/>
        </w:rPr>
        <w:t>:</w:t>
      </w:r>
      <w:r>
        <w:rPr>
          <w:sz w:val="24"/>
          <w:szCs w:val="24"/>
          <w:lang w:val="it-IT"/>
        </w:rPr>
        <w:t> --</w:t>
      </w:r>
    </w:p>
    <w:p w:rsidR="00452793" w:rsidRDefault="00452793" w:rsidP="00452793">
      <w:pPr>
        <w:jc w:val="both"/>
        <w:rPr>
          <w:bCs/>
          <w:sz w:val="24"/>
          <w:szCs w:val="24"/>
          <w:lang w:val="pt-BR"/>
        </w:rPr>
      </w:pPr>
    </w:p>
    <w:p w:rsidR="00452793" w:rsidRDefault="00452793" w:rsidP="00452793">
      <w:pPr>
        <w:jc w:val="both"/>
        <w:rPr>
          <w:b/>
          <w:sz w:val="24"/>
          <w:szCs w:val="24"/>
        </w:rPr>
      </w:pPr>
      <w:r>
        <w:rPr>
          <w:b/>
          <w:sz w:val="24"/>
          <w:szCs w:val="24"/>
          <w:lang w:val="it-IT"/>
        </w:rPr>
        <w:t xml:space="preserve">34. </w:t>
      </w:r>
      <w:r>
        <w:rPr>
          <w:b/>
          <w:sz w:val="24"/>
          <w:szCs w:val="24"/>
        </w:rPr>
        <w:t>F</w:t>
      </w:r>
      <w:r>
        <w:rPr>
          <w:b/>
          <w:sz w:val="24"/>
          <w:szCs w:val="24"/>
          <w:lang w:val="it-IT"/>
        </w:rPr>
        <w:t>ile no. </w:t>
      </w:r>
      <w:r>
        <w:rPr>
          <w:b/>
          <w:sz w:val="24"/>
          <w:szCs w:val="24"/>
        </w:rPr>
        <w:t xml:space="preserve">689/42/2017 - Ploiesti Appeal Court </w:t>
      </w:r>
    </w:p>
    <w:p w:rsidR="00452793" w:rsidRDefault="00452793" w:rsidP="00452793">
      <w:pPr>
        <w:jc w:val="both"/>
        <w:rPr>
          <w:sz w:val="24"/>
          <w:szCs w:val="24"/>
          <w:lang w:val="it-IT"/>
        </w:rPr>
      </w:pPr>
      <w:r>
        <w:rPr>
          <w:b/>
          <w:sz w:val="24"/>
          <w:szCs w:val="24"/>
          <w:lang w:val="it-IT"/>
        </w:rPr>
        <w:t>The parties:</w:t>
      </w:r>
      <w:r>
        <w:rPr>
          <w:sz w:val="24"/>
          <w:szCs w:val="24"/>
          <w:lang w:val="it-IT"/>
        </w:rPr>
        <w:t xml:space="preserve"> Conpet - the </w:t>
      </w:r>
      <w:r>
        <w:rPr>
          <w:sz w:val="24"/>
          <w:szCs w:val="24"/>
        </w:rPr>
        <w:t>plaintiff</w:t>
      </w:r>
    </w:p>
    <w:p w:rsidR="00452793" w:rsidRDefault="00452793" w:rsidP="00452793">
      <w:pPr>
        <w:jc w:val="both"/>
        <w:rPr>
          <w:sz w:val="24"/>
          <w:szCs w:val="24"/>
        </w:rPr>
      </w:pPr>
      <w:r>
        <w:rPr>
          <w:sz w:val="24"/>
          <w:szCs w:val="24"/>
        </w:rPr>
        <w:t>           The National Agency for Fiscal Administration - the general direction of the Settlement of Disputes - defendant</w:t>
      </w:r>
    </w:p>
    <w:p w:rsidR="00452793" w:rsidRDefault="00452793" w:rsidP="00452793">
      <w:pPr>
        <w:jc w:val="both"/>
        <w:rPr>
          <w:sz w:val="24"/>
          <w:szCs w:val="24"/>
        </w:rPr>
      </w:pPr>
      <w:r>
        <w:rPr>
          <w:sz w:val="24"/>
          <w:szCs w:val="24"/>
        </w:rPr>
        <w:t xml:space="preserve">       </w:t>
      </w:r>
      <w:r>
        <w:rPr>
          <w:sz w:val="24"/>
          <w:szCs w:val="24"/>
        </w:rPr>
        <w:tab/>
      </w:r>
      <w:r>
        <w:rPr>
          <w:sz w:val="24"/>
          <w:szCs w:val="24"/>
        </w:rPr>
        <w:tab/>
        <w:t>Regional Directorate General of Public Finances in Galati - the administration of public finances in Buzau County - defendant</w:t>
      </w:r>
    </w:p>
    <w:p w:rsidR="00452793" w:rsidRDefault="00452793" w:rsidP="00452793">
      <w:pPr>
        <w:jc w:val="both"/>
        <w:rPr>
          <w:sz w:val="24"/>
          <w:szCs w:val="24"/>
        </w:rPr>
      </w:pPr>
      <w:r>
        <w:rPr>
          <w:b/>
          <w:sz w:val="24"/>
          <w:szCs w:val="24"/>
        </w:rPr>
        <w:t>Subject: Appeal for fiscal administrative act</w:t>
      </w:r>
      <w:r>
        <w:rPr>
          <w:sz w:val="24"/>
          <w:szCs w:val="24"/>
        </w:rPr>
        <w:t>. Conpet files a trial requesting by the </w:t>
      </w:r>
      <w:r>
        <w:rPr>
          <w:bCs/>
          <w:sz w:val="24"/>
          <w:szCs w:val="24"/>
        </w:rPr>
        <w:t>sentence of the court, the following:</w:t>
      </w:r>
    </w:p>
    <w:p w:rsidR="00452793" w:rsidRDefault="00452793" w:rsidP="00452793">
      <w:pPr>
        <w:jc w:val="both"/>
        <w:rPr>
          <w:sz w:val="24"/>
          <w:szCs w:val="24"/>
          <w:lang w:val="fr-FR"/>
        </w:rPr>
      </w:pPr>
      <w:r>
        <w:rPr>
          <w:b/>
          <w:bCs/>
          <w:sz w:val="24"/>
          <w:szCs w:val="24"/>
          <w:lang w:val="pt-BR"/>
        </w:rPr>
        <w:t>1. Cancellation of the Decision No 114/06.04.2017 </w:t>
      </w:r>
      <w:r>
        <w:rPr>
          <w:sz w:val="24"/>
          <w:szCs w:val="24"/>
        </w:rPr>
        <w:t>issued by ANAF - the general direction of the settlement of disputes;</w:t>
      </w:r>
    </w:p>
    <w:p w:rsidR="00452793" w:rsidRDefault="00452793" w:rsidP="00452793">
      <w:pPr>
        <w:jc w:val="both"/>
        <w:rPr>
          <w:sz w:val="24"/>
          <w:szCs w:val="24"/>
        </w:rPr>
      </w:pPr>
      <w:r>
        <w:rPr>
          <w:b/>
          <w:bCs/>
          <w:sz w:val="24"/>
          <w:szCs w:val="24"/>
          <w:lang w:val="fr-FR"/>
        </w:rPr>
        <w:t>2. Cancellation of the Decision imposing no F-BZ 436/31.10.2016</w:t>
      </w:r>
      <w:r>
        <w:rPr>
          <w:sz w:val="24"/>
          <w:szCs w:val="24"/>
          <w:lang w:val="fr-FR"/>
        </w:rPr>
        <w:t xml:space="preserve">, regarding the payment of additional tax obligations </w:t>
      </w:r>
      <w:r>
        <w:rPr>
          <w:sz w:val="24"/>
          <w:szCs w:val="24"/>
        </w:rPr>
        <w:t>completed</w:t>
      </w:r>
      <w:r>
        <w:rPr>
          <w:sz w:val="24"/>
          <w:szCs w:val="24"/>
          <w:lang w:val="fr-FR"/>
        </w:rPr>
        <w:t xml:space="preserve"> by the tax inspection to legal persons, issued by the </w:t>
      </w:r>
      <w:r>
        <w:rPr>
          <w:sz w:val="24"/>
          <w:szCs w:val="24"/>
        </w:rPr>
        <w:t>Regional Directorate General of Public Finances in Galati - the administration of the Buzau County Public Finance;</w:t>
      </w:r>
    </w:p>
    <w:p w:rsidR="00452793" w:rsidRDefault="00452793" w:rsidP="00452793">
      <w:pPr>
        <w:jc w:val="both"/>
        <w:rPr>
          <w:sz w:val="24"/>
          <w:szCs w:val="24"/>
          <w:lang w:val="fr-FR"/>
        </w:rPr>
      </w:pPr>
      <w:r>
        <w:rPr>
          <w:b/>
          <w:bCs/>
          <w:sz w:val="24"/>
          <w:szCs w:val="24"/>
        </w:rPr>
        <w:t>3. Cancellation of </w:t>
      </w:r>
      <w:r>
        <w:rPr>
          <w:b/>
          <w:bCs/>
          <w:sz w:val="24"/>
          <w:szCs w:val="24"/>
          <w:lang w:val="fr-FR"/>
        </w:rPr>
        <w:t xml:space="preserve">the </w:t>
      </w:r>
      <w:r>
        <w:rPr>
          <w:b/>
          <w:bCs/>
          <w:sz w:val="24"/>
          <w:szCs w:val="24"/>
        </w:rPr>
        <w:t>Fiscal I</w:t>
      </w:r>
      <w:r>
        <w:rPr>
          <w:b/>
          <w:bCs/>
          <w:sz w:val="24"/>
          <w:szCs w:val="24"/>
          <w:lang w:val="fr-FR"/>
        </w:rPr>
        <w:t xml:space="preserve">nspection </w:t>
      </w:r>
      <w:r>
        <w:rPr>
          <w:b/>
          <w:bCs/>
          <w:sz w:val="24"/>
          <w:szCs w:val="24"/>
        </w:rPr>
        <w:t>R</w:t>
      </w:r>
      <w:r>
        <w:rPr>
          <w:b/>
          <w:bCs/>
          <w:sz w:val="24"/>
          <w:szCs w:val="24"/>
          <w:lang w:val="fr-FR"/>
        </w:rPr>
        <w:t>eport No. F-BZ 584/ 31.10.2016</w:t>
      </w:r>
      <w:r>
        <w:rPr>
          <w:sz w:val="24"/>
          <w:szCs w:val="24"/>
          <w:lang w:val="fr-FR"/>
        </w:rPr>
        <w:t xml:space="preserve">, signed by inspectors of the National Agency for Fiscal Administration - Regional General Directorate of Public Finances in Galati - the administration of public finances in Buzau County - </w:t>
      </w:r>
      <w:r>
        <w:rPr>
          <w:sz w:val="24"/>
          <w:szCs w:val="24"/>
        </w:rPr>
        <w:t xml:space="preserve">Fiscal </w:t>
      </w:r>
      <w:r>
        <w:rPr>
          <w:sz w:val="24"/>
          <w:szCs w:val="24"/>
          <w:lang w:val="fr-FR"/>
        </w:rPr>
        <w:t>Inspection Service.</w:t>
      </w:r>
    </w:p>
    <w:p w:rsidR="00452793" w:rsidRDefault="00452793" w:rsidP="00452793">
      <w:pPr>
        <w:jc w:val="both"/>
        <w:rPr>
          <w:sz w:val="24"/>
          <w:szCs w:val="24"/>
          <w:lang w:val="fr-FR"/>
        </w:rPr>
      </w:pPr>
      <w:r>
        <w:rPr>
          <w:b/>
          <w:sz w:val="24"/>
          <w:szCs w:val="24"/>
          <w:lang w:val="fr-FR"/>
        </w:rPr>
        <w:t xml:space="preserve">4. </w:t>
      </w:r>
      <w:r>
        <w:rPr>
          <w:b/>
          <w:sz w:val="24"/>
          <w:szCs w:val="24"/>
        </w:rPr>
        <w:t xml:space="preserve">Order the defendats </w:t>
      </w:r>
      <w:r>
        <w:rPr>
          <w:sz w:val="24"/>
          <w:szCs w:val="24"/>
          <w:lang w:val="fr-FR"/>
        </w:rPr>
        <w:t xml:space="preserve">to payment of </w:t>
      </w:r>
      <w:r>
        <w:rPr>
          <w:sz w:val="24"/>
          <w:szCs w:val="24"/>
        </w:rPr>
        <w:t xml:space="preserve">trial </w:t>
      </w:r>
      <w:r>
        <w:rPr>
          <w:sz w:val="24"/>
          <w:szCs w:val="24"/>
          <w:lang w:val="fr-FR"/>
        </w:rPr>
        <w:t>costs</w:t>
      </w:r>
    </w:p>
    <w:p w:rsidR="00452793" w:rsidRDefault="00452793" w:rsidP="00452793">
      <w:pPr>
        <w:jc w:val="both"/>
        <w:rPr>
          <w:b/>
          <w:sz w:val="24"/>
          <w:szCs w:val="24"/>
          <w:lang w:val="fr-FR"/>
        </w:rPr>
      </w:pPr>
      <w:r>
        <w:rPr>
          <w:b/>
          <w:sz w:val="24"/>
          <w:szCs w:val="24"/>
        </w:rPr>
        <w:t>Clarifications</w:t>
      </w:r>
      <w:r>
        <w:rPr>
          <w:b/>
          <w:sz w:val="24"/>
          <w:szCs w:val="24"/>
          <w:lang w:val="fr-FR"/>
        </w:rPr>
        <w:t>: --</w:t>
      </w:r>
    </w:p>
    <w:p w:rsidR="00452793" w:rsidRDefault="00452793" w:rsidP="00452793">
      <w:pPr>
        <w:jc w:val="both"/>
        <w:rPr>
          <w:sz w:val="24"/>
          <w:szCs w:val="24"/>
          <w:lang w:val="fr-FR"/>
        </w:rPr>
      </w:pPr>
      <w:r>
        <w:rPr>
          <w:sz w:val="24"/>
          <w:szCs w:val="24"/>
          <w:lang w:val="fr-FR"/>
        </w:rPr>
        <w:t> </w:t>
      </w:r>
      <w:r>
        <w:rPr>
          <w:b/>
          <w:bCs/>
          <w:sz w:val="24"/>
          <w:szCs w:val="24"/>
        </w:rPr>
        <w:t xml:space="preserve">Stage of </w:t>
      </w:r>
      <w:proofErr w:type="gramStart"/>
      <w:r>
        <w:rPr>
          <w:b/>
          <w:bCs/>
          <w:sz w:val="24"/>
          <w:szCs w:val="24"/>
        </w:rPr>
        <w:t>trial</w:t>
      </w:r>
      <w:r>
        <w:rPr>
          <w:sz w:val="24"/>
          <w:szCs w:val="24"/>
          <w:lang w:val="fr-FR"/>
        </w:rPr>
        <w:t xml:space="preserve"> :</w:t>
      </w:r>
      <w:r>
        <w:rPr>
          <w:sz w:val="24"/>
          <w:szCs w:val="24"/>
        </w:rPr>
        <w:t>First</w:t>
      </w:r>
      <w:proofErr w:type="gramEnd"/>
      <w:r>
        <w:rPr>
          <w:sz w:val="24"/>
          <w:szCs w:val="24"/>
        </w:rPr>
        <w:t xml:space="preserve"> Instance</w:t>
      </w:r>
    </w:p>
    <w:p w:rsidR="00452793" w:rsidRDefault="00452793" w:rsidP="00452793">
      <w:pPr>
        <w:jc w:val="both"/>
        <w:rPr>
          <w:sz w:val="24"/>
          <w:szCs w:val="24"/>
          <w:lang w:val="fr-FR"/>
        </w:rPr>
      </w:pPr>
      <w:r>
        <w:rPr>
          <w:sz w:val="24"/>
          <w:szCs w:val="24"/>
          <w:lang w:val="fr-FR"/>
        </w:rPr>
        <w:t> </w:t>
      </w:r>
      <w:r>
        <w:rPr>
          <w:b/>
          <w:bCs/>
          <w:sz w:val="24"/>
          <w:szCs w:val="24"/>
        </w:rPr>
        <w:t>Hearing</w:t>
      </w:r>
      <w:r>
        <w:rPr>
          <w:sz w:val="24"/>
          <w:szCs w:val="24"/>
        </w:rPr>
        <w:t xml:space="preserve">: </w:t>
      </w:r>
      <w:proofErr w:type="gramStart"/>
      <w:r>
        <w:rPr>
          <w:sz w:val="24"/>
          <w:szCs w:val="24"/>
          <w:lang w:val="fr-FR"/>
        </w:rPr>
        <w:t>25</w:t>
      </w:r>
      <w:r>
        <w:rPr>
          <w:sz w:val="24"/>
          <w:szCs w:val="24"/>
          <w:vertAlign w:val="superscript"/>
        </w:rPr>
        <w:t>th</w:t>
      </w:r>
      <w:proofErr w:type="gramEnd"/>
      <w:r>
        <w:rPr>
          <w:sz w:val="24"/>
          <w:szCs w:val="24"/>
        </w:rPr>
        <w:t xml:space="preserve"> Sept </w:t>
      </w:r>
      <w:r>
        <w:rPr>
          <w:sz w:val="24"/>
          <w:szCs w:val="24"/>
          <w:lang w:val="fr-FR"/>
        </w:rPr>
        <w:t>2018</w:t>
      </w:r>
    </w:p>
    <w:p w:rsidR="00452793" w:rsidRDefault="00452793" w:rsidP="00452793">
      <w:pPr>
        <w:jc w:val="both"/>
        <w:rPr>
          <w:sz w:val="24"/>
          <w:szCs w:val="24"/>
          <w:lang w:val="fr-FR"/>
        </w:rPr>
      </w:pPr>
    </w:p>
    <w:p w:rsidR="00452793" w:rsidRDefault="00452793" w:rsidP="00452793">
      <w:pPr>
        <w:jc w:val="both"/>
        <w:rPr>
          <w:sz w:val="24"/>
          <w:szCs w:val="24"/>
          <w:lang w:val="fr-FR"/>
        </w:rPr>
      </w:pPr>
    </w:p>
    <w:p w:rsidR="00452793" w:rsidRDefault="00452793" w:rsidP="00452793">
      <w:pPr>
        <w:jc w:val="both"/>
        <w:rPr>
          <w:b/>
          <w:sz w:val="24"/>
          <w:szCs w:val="24"/>
          <w:lang w:val="ro-RO"/>
        </w:rPr>
      </w:pPr>
      <w:r>
        <w:rPr>
          <w:b/>
          <w:sz w:val="24"/>
          <w:szCs w:val="24"/>
          <w:lang w:val="fr-FR"/>
        </w:rPr>
        <w:t xml:space="preserve">35. </w:t>
      </w:r>
      <w:r>
        <w:rPr>
          <w:b/>
          <w:sz w:val="24"/>
          <w:szCs w:val="24"/>
        </w:rPr>
        <w:t>File</w:t>
      </w:r>
      <w:r>
        <w:rPr>
          <w:b/>
          <w:sz w:val="24"/>
          <w:szCs w:val="24"/>
          <w:lang w:val="fr-FR"/>
        </w:rPr>
        <w:t xml:space="preserve"> No </w:t>
      </w:r>
      <w:r>
        <w:rPr>
          <w:b/>
          <w:sz w:val="24"/>
          <w:szCs w:val="24"/>
        </w:rPr>
        <w:t>31709/212/2017 </w:t>
      </w:r>
      <w:r>
        <w:rPr>
          <w:b/>
          <w:sz w:val="24"/>
          <w:szCs w:val="24"/>
          <w:lang w:val="fr-FR"/>
        </w:rPr>
        <w:t>- Constanta Court </w:t>
      </w:r>
    </w:p>
    <w:p w:rsidR="00452793" w:rsidRDefault="00452793" w:rsidP="00452793">
      <w:pPr>
        <w:jc w:val="both"/>
        <w:rPr>
          <w:sz w:val="24"/>
          <w:szCs w:val="24"/>
          <w:lang w:val="ro-RO"/>
        </w:rPr>
      </w:pPr>
      <w:r>
        <w:rPr>
          <w:sz w:val="24"/>
          <w:szCs w:val="24"/>
          <w:lang w:val="ro-RO"/>
        </w:rPr>
        <w:t> - Conpet</w:t>
      </w:r>
      <w:r>
        <w:rPr>
          <w:sz w:val="24"/>
          <w:szCs w:val="24"/>
        </w:rPr>
        <w:t>: complainant</w:t>
      </w:r>
    </w:p>
    <w:p w:rsidR="00452793" w:rsidRDefault="00452793" w:rsidP="00452793">
      <w:pPr>
        <w:jc w:val="both"/>
        <w:rPr>
          <w:sz w:val="24"/>
          <w:szCs w:val="24"/>
          <w:lang w:val="ro-RO"/>
        </w:rPr>
      </w:pPr>
      <w:r>
        <w:rPr>
          <w:sz w:val="24"/>
          <w:szCs w:val="24"/>
          <w:lang w:val="ro-RO"/>
        </w:rPr>
        <w:t> </w:t>
      </w:r>
      <w:r>
        <w:rPr>
          <w:sz w:val="24"/>
          <w:szCs w:val="24"/>
        </w:rPr>
        <w:t xml:space="preserve">- </w:t>
      </w:r>
      <w:r>
        <w:rPr>
          <w:sz w:val="24"/>
          <w:szCs w:val="24"/>
          <w:lang w:val="ro-RO"/>
        </w:rPr>
        <w:t xml:space="preserve">SPIT Constanta - </w:t>
      </w:r>
      <w:r>
        <w:rPr>
          <w:sz w:val="24"/>
          <w:szCs w:val="24"/>
        </w:rPr>
        <w:t>respondent</w:t>
      </w:r>
    </w:p>
    <w:p w:rsidR="00452793" w:rsidRDefault="00452793" w:rsidP="00452793">
      <w:pPr>
        <w:jc w:val="both"/>
        <w:rPr>
          <w:sz w:val="24"/>
          <w:szCs w:val="24"/>
          <w:lang w:val="ro-RO"/>
        </w:rPr>
      </w:pPr>
      <w:r>
        <w:rPr>
          <w:b/>
          <w:sz w:val="24"/>
          <w:szCs w:val="24"/>
          <w:lang w:val="ro-RO"/>
        </w:rPr>
        <w:t xml:space="preserve">Subject: </w:t>
      </w:r>
      <w:r>
        <w:rPr>
          <w:b/>
          <w:sz w:val="24"/>
          <w:szCs w:val="24"/>
        </w:rPr>
        <w:t>Felony complaint</w:t>
      </w:r>
      <w:r>
        <w:rPr>
          <w:sz w:val="24"/>
          <w:szCs w:val="24"/>
          <w:lang w:val="ro-RO"/>
        </w:rPr>
        <w:t xml:space="preserve">. Conpet </w:t>
      </w:r>
      <w:r>
        <w:rPr>
          <w:sz w:val="24"/>
          <w:szCs w:val="24"/>
        </w:rPr>
        <w:t xml:space="preserve">filed felony complaint </w:t>
      </w:r>
      <w:r>
        <w:rPr>
          <w:sz w:val="24"/>
          <w:szCs w:val="24"/>
          <w:lang w:val="ro-RO"/>
        </w:rPr>
        <w:t xml:space="preserve">against the </w:t>
      </w:r>
      <w:r>
        <w:rPr>
          <w:sz w:val="24"/>
          <w:szCs w:val="24"/>
        </w:rPr>
        <w:t>record of findings and penalties in regards to contraventions</w:t>
      </w:r>
      <w:r>
        <w:rPr>
          <w:sz w:val="24"/>
          <w:szCs w:val="24"/>
          <w:lang w:val="ro-RO"/>
        </w:rPr>
        <w:t xml:space="preserve"> no EPJ0001652 from 16</w:t>
      </w:r>
      <w:r>
        <w:rPr>
          <w:sz w:val="24"/>
          <w:szCs w:val="24"/>
          <w:vertAlign w:val="superscript"/>
        </w:rPr>
        <w:t>th</w:t>
      </w:r>
      <w:r>
        <w:rPr>
          <w:sz w:val="24"/>
          <w:szCs w:val="24"/>
        </w:rPr>
        <w:t xml:space="preserve"> Oct </w:t>
      </w:r>
      <w:r>
        <w:rPr>
          <w:sz w:val="24"/>
          <w:szCs w:val="24"/>
          <w:lang w:val="ro-RO"/>
        </w:rPr>
        <w:t xml:space="preserve">2017 concluded by Public </w:t>
      </w:r>
      <w:r>
        <w:rPr>
          <w:sz w:val="24"/>
          <w:szCs w:val="24"/>
        </w:rPr>
        <w:t xml:space="preserve">Tax and Fees Office, requesting </w:t>
      </w:r>
      <w:r>
        <w:rPr>
          <w:sz w:val="24"/>
          <w:szCs w:val="24"/>
          <w:lang w:val="ro-RO"/>
        </w:rPr>
        <w:t>admission</w:t>
      </w:r>
      <w:r>
        <w:rPr>
          <w:sz w:val="24"/>
          <w:szCs w:val="24"/>
        </w:rPr>
        <w:t xml:space="preserve"> of the</w:t>
      </w:r>
      <w:r>
        <w:rPr>
          <w:sz w:val="24"/>
          <w:szCs w:val="24"/>
          <w:lang w:val="ro-RO"/>
        </w:rPr>
        <w:t xml:space="preserve"> complaint requesting the cancellation of the minutes and our company's exemption from the </w:t>
      </w:r>
      <w:r>
        <w:rPr>
          <w:sz w:val="24"/>
          <w:szCs w:val="24"/>
          <w:lang w:val="ro-RO"/>
        </w:rPr>
        <w:lastRenderedPageBreak/>
        <w:t>payment of the fine (1,500 lei), and secondarily replacing the fine with the warning</w:t>
      </w:r>
      <w:r>
        <w:rPr>
          <w:sz w:val="24"/>
          <w:szCs w:val="24"/>
        </w:rPr>
        <w:t xml:space="preserve"> </w:t>
      </w:r>
      <w:r>
        <w:rPr>
          <w:sz w:val="24"/>
          <w:szCs w:val="24"/>
          <w:lang w:val="ro-RO"/>
        </w:rPr>
        <w:t>sanction.</w:t>
      </w:r>
    </w:p>
    <w:p w:rsidR="00452793" w:rsidRDefault="00452793" w:rsidP="00452793">
      <w:pPr>
        <w:jc w:val="both"/>
        <w:rPr>
          <w:sz w:val="24"/>
          <w:szCs w:val="24"/>
        </w:rPr>
      </w:pPr>
      <w:r>
        <w:rPr>
          <w:b/>
          <w:sz w:val="24"/>
          <w:szCs w:val="24"/>
        </w:rPr>
        <w:t>Clarifications</w:t>
      </w:r>
      <w:r>
        <w:rPr>
          <w:b/>
          <w:sz w:val="24"/>
          <w:szCs w:val="24"/>
          <w:lang w:val="ro-RO"/>
        </w:rPr>
        <w:t>: </w:t>
      </w:r>
      <w:r>
        <w:rPr>
          <w:sz w:val="24"/>
          <w:szCs w:val="24"/>
          <w:lang w:val="ro-RO"/>
        </w:rPr>
        <w:t>By the </w:t>
      </w:r>
      <w:r>
        <w:rPr>
          <w:b/>
          <w:bCs/>
          <w:sz w:val="24"/>
          <w:szCs w:val="24"/>
        </w:rPr>
        <w:t xml:space="preserve">order </w:t>
      </w:r>
      <w:r>
        <w:rPr>
          <w:b/>
          <w:sz w:val="24"/>
          <w:szCs w:val="24"/>
          <w:lang w:val="ro-RO"/>
        </w:rPr>
        <w:t>of the</w:t>
      </w:r>
      <w:r>
        <w:rPr>
          <w:sz w:val="24"/>
          <w:szCs w:val="24"/>
          <w:lang w:val="ro-RO"/>
        </w:rPr>
        <w:t> Constanta Court 20</w:t>
      </w:r>
      <w:r>
        <w:rPr>
          <w:sz w:val="24"/>
          <w:szCs w:val="24"/>
          <w:vertAlign w:val="superscript"/>
        </w:rPr>
        <w:t>th</w:t>
      </w:r>
      <w:r>
        <w:rPr>
          <w:sz w:val="24"/>
          <w:szCs w:val="24"/>
        </w:rPr>
        <w:t xml:space="preserve"> March </w:t>
      </w:r>
      <w:r>
        <w:rPr>
          <w:sz w:val="24"/>
          <w:szCs w:val="24"/>
          <w:lang w:val="ro-RO"/>
        </w:rPr>
        <w:t xml:space="preserve">2018 suspended the </w:t>
      </w:r>
      <w:r>
        <w:rPr>
          <w:sz w:val="24"/>
          <w:szCs w:val="24"/>
        </w:rPr>
        <w:t>file</w:t>
      </w:r>
      <w:r>
        <w:rPr>
          <w:sz w:val="24"/>
          <w:szCs w:val="24"/>
          <w:lang w:val="ro-RO"/>
        </w:rPr>
        <w:t xml:space="preserve">s no. 2768/118/2017 and no. 4323/118/2017- on the role of the </w:t>
      </w:r>
      <w:r>
        <w:rPr>
          <w:sz w:val="24"/>
          <w:szCs w:val="24"/>
        </w:rPr>
        <w:t>sentence</w:t>
      </w:r>
      <w:r>
        <w:rPr>
          <w:sz w:val="24"/>
          <w:szCs w:val="24"/>
          <w:lang w:val="ro-RO"/>
        </w:rPr>
        <w:t xml:space="preserve"> of the Constanta</w:t>
      </w:r>
      <w:r>
        <w:rPr>
          <w:sz w:val="24"/>
          <w:szCs w:val="24"/>
        </w:rPr>
        <w:t xml:space="preserve"> </w:t>
      </w:r>
      <w:r>
        <w:rPr>
          <w:sz w:val="24"/>
          <w:szCs w:val="24"/>
          <w:lang w:val="ro-RO"/>
        </w:rPr>
        <w:t>Court, until final settlement</w:t>
      </w:r>
      <w:r>
        <w:rPr>
          <w:sz w:val="24"/>
          <w:szCs w:val="24"/>
        </w:rPr>
        <w:t xml:space="preserve">, </w:t>
      </w:r>
      <w:r>
        <w:rPr>
          <w:sz w:val="24"/>
          <w:szCs w:val="24"/>
          <w:lang w:val="ro-RO"/>
        </w:rPr>
        <w:t xml:space="preserve">the </w:t>
      </w:r>
      <w:r>
        <w:rPr>
          <w:sz w:val="24"/>
          <w:szCs w:val="24"/>
        </w:rPr>
        <w:t xml:space="preserve">trial of the felony </w:t>
      </w:r>
      <w:r>
        <w:rPr>
          <w:sz w:val="24"/>
          <w:szCs w:val="24"/>
          <w:lang w:val="ro-RO"/>
        </w:rPr>
        <w:t xml:space="preserve">complaint. The conclusion was </w:t>
      </w:r>
      <w:r>
        <w:rPr>
          <w:sz w:val="24"/>
          <w:szCs w:val="24"/>
        </w:rPr>
        <w:t>appealed by SPIT</w:t>
      </w:r>
      <w:r>
        <w:rPr>
          <w:sz w:val="24"/>
          <w:szCs w:val="24"/>
          <w:lang w:val="ro-RO"/>
        </w:rPr>
        <w:t xml:space="preserve">. </w:t>
      </w:r>
      <w:r>
        <w:rPr>
          <w:sz w:val="24"/>
          <w:szCs w:val="24"/>
        </w:rPr>
        <w:t xml:space="preserve">Deadline for </w:t>
      </w:r>
      <w:r>
        <w:rPr>
          <w:sz w:val="24"/>
          <w:szCs w:val="24"/>
          <w:lang w:val="ro-RO"/>
        </w:rPr>
        <w:t xml:space="preserve">appeal: </w:t>
      </w:r>
      <w:proofErr w:type="gramStart"/>
      <w:r>
        <w:rPr>
          <w:sz w:val="24"/>
          <w:szCs w:val="24"/>
          <w:lang w:val="ro-RO"/>
        </w:rPr>
        <w:t>05</w:t>
      </w:r>
      <w:r>
        <w:rPr>
          <w:sz w:val="24"/>
          <w:szCs w:val="24"/>
          <w:vertAlign w:val="superscript"/>
        </w:rPr>
        <w:t>th</w:t>
      </w:r>
      <w:proofErr w:type="gramEnd"/>
      <w:r>
        <w:rPr>
          <w:sz w:val="24"/>
          <w:szCs w:val="24"/>
        </w:rPr>
        <w:t xml:space="preserve"> Sept </w:t>
      </w:r>
      <w:r>
        <w:rPr>
          <w:sz w:val="24"/>
          <w:szCs w:val="24"/>
          <w:lang w:val="ro-RO"/>
        </w:rPr>
        <w:t>2018</w:t>
      </w:r>
    </w:p>
    <w:p w:rsidR="00452793" w:rsidRDefault="00452793" w:rsidP="00452793">
      <w:pPr>
        <w:jc w:val="both"/>
        <w:rPr>
          <w:sz w:val="24"/>
          <w:szCs w:val="24"/>
          <w:lang w:val="ro-RO"/>
        </w:rPr>
      </w:pPr>
      <w:r>
        <w:rPr>
          <w:b/>
          <w:sz w:val="24"/>
          <w:szCs w:val="24"/>
          <w:lang w:val="ro-RO"/>
        </w:rPr>
        <w:t xml:space="preserve">Procesual stage: </w:t>
      </w:r>
      <w:r>
        <w:rPr>
          <w:b/>
          <w:sz w:val="24"/>
          <w:szCs w:val="24"/>
        </w:rPr>
        <w:t>First Instance</w:t>
      </w:r>
      <w:r>
        <w:rPr>
          <w:sz w:val="24"/>
          <w:szCs w:val="24"/>
          <w:lang w:val="ro-RO"/>
        </w:rPr>
        <w:t>- Suspended</w:t>
      </w:r>
    </w:p>
    <w:p w:rsidR="00452793" w:rsidRDefault="00452793" w:rsidP="00452793">
      <w:pPr>
        <w:jc w:val="both"/>
        <w:rPr>
          <w:b/>
          <w:sz w:val="24"/>
          <w:szCs w:val="24"/>
          <w:lang w:val="ro-RO"/>
        </w:rPr>
      </w:pPr>
      <w:r>
        <w:rPr>
          <w:b/>
          <w:sz w:val="24"/>
          <w:szCs w:val="24"/>
        </w:rPr>
        <w:t>Hearing</w:t>
      </w:r>
      <w:r>
        <w:rPr>
          <w:b/>
          <w:sz w:val="24"/>
          <w:szCs w:val="24"/>
          <w:lang w:val="ro-RO"/>
        </w:rPr>
        <w:t>: </w:t>
      </w:r>
      <w:r>
        <w:rPr>
          <w:sz w:val="24"/>
          <w:szCs w:val="24"/>
          <w:lang w:val="ro-RO"/>
        </w:rPr>
        <w:t>--</w:t>
      </w:r>
    </w:p>
    <w:p w:rsidR="00452793" w:rsidRDefault="00452793" w:rsidP="00452793">
      <w:pPr>
        <w:jc w:val="both"/>
        <w:rPr>
          <w:bCs/>
          <w:sz w:val="24"/>
          <w:szCs w:val="24"/>
          <w:lang w:val="pt-BR"/>
        </w:rPr>
      </w:pPr>
    </w:p>
    <w:p w:rsidR="00452793" w:rsidRDefault="00452793" w:rsidP="00452793">
      <w:pPr>
        <w:jc w:val="both"/>
        <w:rPr>
          <w:b/>
          <w:sz w:val="24"/>
          <w:szCs w:val="24"/>
        </w:rPr>
      </w:pPr>
      <w:r>
        <w:rPr>
          <w:b/>
          <w:sz w:val="24"/>
          <w:szCs w:val="24"/>
        </w:rPr>
        <w:t>36. The file No 23166/281/2017 - Court of Ploiesti. </w:t>
      </w:r>
    </w:p>
    <w:p w:rsidR="00452793" w:rsidRDefault="00452793" w:rsidP="00452793">
      <w:pPr>
        <w:jc w:val="both"/>
        <w:rPr>
          <w:sz w:val="24"/>
          <w:szCs w:val="24"/>
        </w:rPr>
      </w:pPr>
      <w:r>
        <w:rPr>
          <w:b/>
          <w:sz w:val="24"/>
          <w:szCs w:val="24"/>
        </w:rPr>
        <w:t>The parties:</w:t>
      </w:r>
      <w:r>
        <w:rPr>
          <w:sz w:val="24"/>
          <w:szCs w:val="24"/>
        </w:rPr>
        <w:t> Conpet - complainant</w:t>
      </w:r>
    </w:p>
    <w:p w:rsidR="00452793" w:rsidRDefault="00452793" w:rsidP="00452793">
      <w:pPr>
        <w:jc w:val="both"/>
        <w:rPr>
          <w:sz w:val="24"/>
          <w:szCs w:val="24"/>
        </w:rPr>
      </w:pPr>
      <w:r>
        <w:rPr>
          <w:sz w:val="24"/>
          <w:szCs w:val="24"/>
        </w:rPr>
        <w:t>           Dobrogeanu Dumitru - respondent</w:t>
      </w:r>
    </w:p>
    <w:p w:rsidR="00452793" w:rsidRDefault="00452793" w:rsidP="00452793">
      <w:pPr>
        <w:jc w:val="both"/>
        <w:rPr>
          <w:sz w:val="24"/>
          <w:szCs w:val="24"/>
        </w:rPr>
      </w:pPr>
      <w:r>
        <w:rPr>
          <w:sz w:val="24"/>
          <w:szCs w:val="24"/>
        </w:rPr>
        <w:t>           Beige Goslan and Left - respondent</w:t>
      </w:r>
    </w:p>
    <w:p w:rsidR="00452793" w:rsidRDefault="00452793" w:rsidP="00452793">
      <w:pPr>
        <w:jc w:val="both"/>
        <w:rPr>
          <w:sz w:val="24"/>
          <w:szCs w:val="24"/>
        </w:rPr>
      </w:pPr>
      <w:r>
        <w:rPr>
          <w:b/>
          <w:sz w:val="24"/>
          <w:szCs w:val="24"/>
        </w:rPr>
        <w:t>Subject: Backing of enforcement procedure</w:t>
      </w:r>
      <w:r>
        <w:rPr>
          <w:sz w:val="24"/>
          <w:szCs w:val="24"/>
        </w:rPr>
        <w:t xml:space="preserve">. </w:t>
      </w:r>
      <w:proofErr w:type="gramStart"/>
      <w:r>
        <w:rPr>
          <w:sz w:val="24"/>
          <w:szCs w:val="24"/>
        </w:rPr>
        <w:t>Conpet files a trial and requests by the sentence of the court, to back the enforcement procedure which is carried out under the executory title represented by Decision No 669 of the Prahova Court 20</w:t>
      </w:r>
      <w:r>
        <w:rPr>
          <w:sz w:val="24"/>
          <w:szCs w:val="24"/>
          <w:vertAlign w:val="superscript"/>
        </w:rPr>
        <w:t>th</w:t>
      </w:r>
      <w:r>
        <w:rPr>
          <w:sz w:val="24"/>
          <w:szCs w:val="24"/>
        </w:rPr>
        <w:t xml:space="preserve"> Dec 2011 in the enforcement file no.771/2012 of the B.E.J. Goslan Mihai, restoring partly  the previous situation of enforcement, within the meaning of ordering the defendant DOBROGEANU DUMITRU (under Article 723 Civil Code) to the payment of the following amounts:</w:t>
      </w:r>
      <w:proofErr w:type="gramEnd"/>
    </w:p>
    <w:p w:rsidR="00452793" w:rsidRDefault="00452793" w:rsidP="00452793">
      <w:pPr>
        <w:jc w:val="both"/>
        <w:rPr>
          <w:sz w:val="24"/>
          <w:szCs w:val="24"/>
        </w:rPr>
      </w:pPr>
      <w:proofErr w:type="gramStart"/>
      <w:r>
        <w:rPr>
          <w:sz w:val="24"/>
          <w:szCs w:val="24"/>
        </w:rPr>
        <w:t>- RON 96.698,02 representing the amount wrongly charged by the defendant in the case of enforcement no.771/2012 on the basis of lack of use updated for the period 03</w:t>
      </w:r>
      <w:r>
        <w:rPr>
          <w:sz w:val="24"/>
          <w:szCs w:val="24"/>
          <w:vertAlign w:val="superscript"/>
        </w:rPr>
        <w:t>rd</w:t>
      </w:r>
      <w:r>
        <w:rPr>
          <w:sz w:val="24"/>
          <w:szCs w:val="24"/>
        </w:rPr>
        <w:t xml:space="preserve"> Nov 2006 - 15</w:t>
      </w:r>
      <w:r>
        <w:rPr>
          <w:sz w:val="24"/>
          <w:szCs w:val="24"/>
          <w:vertAlign w:val="superscript"/>
        </w:rPr>
        <w:t>th</w:t>
      </w:r>
      <w:r>
        <w:rPr>
          <w:sz w:val="24"/>
          <w:szCs w:val="24"/>
        </w:rPr>
        <w:t xml:space="preserve"> Aug 2012, updated with the index of inflation in the period from 20</w:t>
      </w:r>
      <w:r>
        <w:rPr>
          <w:sz w:val="24"/>
          <w:szCs w:val="24"/>
          <w:vertAlign w:val="superscript"/>
        </w:rPr>
        <w:t>th</w:t>
      </w:r>
      <w:r>
        <w:rPr>
          <w:sz w:val="24"/>
          <w:szCs w:val="24"/>
        </w:rPr>
        <w:t xml:space="preserve"> Dec 2011 - 15</w:t>
      </w:r>
      <w:r>
        <w:rPr>
          <w:sz w:val="24"/>
          <w:szCs w:val="24"/>
          <w:vertAlign w:val="superscript"/>
        </w:rPr>
        <w:t>th</w:t>
      </w:r>
      <w:r>
        <w:rPr>
          <w:sz w:val="24"/>
          <w:szCs w:val="24"/>
        </w:rPr>
        <w:t xml:space="preserve"> Aug 2012; ( RON 377906 Stoica Sever expertise report as he was paid by the executor by the protocol for releasing amounts of 4</w:t>
      </w:r>
      <w:r>
        <w:rPr>
          <w:sz w:val="24"/>
          <w:szCs w:val="24"/>
          <w:vertAlign w:val="superscript"/>
        </w:rPr>
        <w:t>th</w:t>
      </w:r>
      <w:r>
        <w:rPr>
          <w:sz w:val="24"/>
          <w:szCs w:val="24"/>
        </w:rPr>
        <w:t xml:space="preserve"> Oct 2012- RON 281207.98, report Anton Petre = 96698,02)</w:t>
      </w:r>
      <w:proofErr w:type="gramEnd"/>
    </w:p>
    <w:p w:rsidR="00452793" w:rsidRDefault="00452793" w:rsidP="00452793">
      <w:pPr>
        <w:jc w:val="both"/>
        <w:rPr>
          <w:sz w:val="24"/>
          <w:szCs w:val="24"/>
        </w:rPr>
      </w:pPr>
      <w:r>
        <w:rPr>
          <w:sz w:val="24"/>
          <w:szCs w:val="24"/>
        </w:rPr>
        <w:t xml:space="preserve">-RON 3.500 representing the undue amount levied </w:t>
      </w:r>
      <w:proofErr w:type="gramStart"/>
      <w:r>
        <w:rPr>
          <w:sz w:val="24"/>
          <w:szCs w:val="24"/>
        </w:rPr>
        <w:t>on the basis of</w:t>
      </w:r>
      <w:proofErr w:type="gramEnd"/>
      <w:r>
        <w:rPr>
          <w:sz w:val="24"/>
          <w:szCs w:val="24"/>
        </w:rPr>
        <w:t xml:space="preserve"> the expenditure (lawyer fee).</w:t>
      </w:r>
    </w:p>
    <w:p w:rsidR="00452793" w:rsidRDefault="00452793" w:rsidP="00452793">
      <w:pPr>
        <w:jc w:val="both"/>
        <w:rPr>
          <w:sz w:val="24"/>
          <w:szCs w:val="24"/>
        </w:rPr>
      </w:pPr>
      <w:r>
        <w:rPr>
          <w:sz w:val="24"/>
          <w:szCs w:val="24"/>
        </w:rPr>
        <w:t xml:space="preserve">- RON 2,000 representing the amount transferred unduly paid </w:t>
      </w:r>
      <w:proofErr w:type="gramStart"/>
      <w:r>
        <w:rPr>
          <w:sz w:val="24"/>
          <w:szCs w:val="24"/>
        </w:rPr>
        <w:t>on account</w:t>
      </w:r>
      <w:proofErr w:type="gramEnd"/>
      <w:r>
        <w:rPr>
          <w:sz w:val="24"/>
          <w:szCs w:val="24"/>
        </w:rPr>
        <w:t xml:space="preserve"> of expert Stoica Sever</w:t>
      </w:r>
    </w:p>
    <w:p w:rsidR="00452793" w:rsidRDefault="00452793" w:rsidP="00452793">
      <w:pPr>
        <w:jc w:val="both"/>
        <w:rPr>
          <w:sz w:val="24"/>
          <w:szCs w:val="24"/>
        </w:rPr>
      </w:pPr>
      <w:r>
        <w:rPr>
          <w:sz w:val="24"/>
          <w:szCs w:val="24"/>
        </w:rPr>
        <w:t>-RON 1.000 trial expenses;</w:t>
      </w:r>
    </w:p>
    <w:p w:rsidR="00452793" w:rsidRDefault="00452793" w:rsidP="00452793">
      <w:pPr>
        <w:jc w:val="both"/>
        <w:rPr>
          <w:sz w:val="24"/>
          <w:szCs w:val="24"/>
        </w:rPr>
      </w:pPr>
      <w:r>
        <w:rPr>
          <w:sz w:val="24"/>
          <w:szCs w:val="24"/>
        </w:rPr>
        <w:t>- RON 1.822,32 representing fee wrongly charged by the Office of the bailiff Mihai Goslan   </w:t>
      </w:r>
    </w:p>
    <w:p w:rsidR="00452793" w:rsidRDefault="00452793" w:rsidP="00452793">
      <w:pPr>
        <w:jc w:val="both"/>
        <w:rPr>
          <w:sz w:val="24"/>
          <w:szCs w:val="24"/>
        </w:rPr>
      </w:pPr>
      <w:r>
        <w:rPr>
          <w:sz w:val="24"/>
          <w:szCs w:val="24"/>
        </w:rPr>
        <w:t>Secondarily, the enforcement of BEJ Mihai Goslan to payment of the following amounts:</w:t>
      </w:r>
    </w:p>
    <w:p w:rsidR="00452793" w:rsidRDefault="00452793" w:rsidP="00452793">
      <w:pPr>
        <w:jc w:val="both"/>
        <w:rPr>
          <w:sz w:val="24"/>
          <w:szCs w:val="24"/>
        </w:rPr>
      </w:pPr>
      <w:r>
        <w:rPr>
          <w:sz w:val="24"/>
          <w:szCs w:val="24"/>
        </w:rPr>
        <w:t xml:space="preserve">- RON 1.822,32 representing the unduly charged fee </w:t>
      </w:r>
    </w:p>
    <w:p w:rsidR="00452793" w:rsidRDefault="00452793" w:rsidP="00452793">
      <w:pPr>
        <w:jc w:val="both"/>
        <w:rPr>
          <w:sz w:val="24"/>
          <w:szCs w:val="24"/>
        </w:rPr>
      </w:pPr>
      <w:r>
        <w:rPr>
          <w:sz w:val="24"/>
          <w:szCs w:val="24"/>
        </w:rPr>
        <w:t xml:space="preserve">- RON 2,000 representing the amount transferred unduly paid </w:t>
      </w:r>
      <w:proofErr w:type="gramStart"/>
      <w:r>
        <w:rPr>
          <w:sz w:val="24"/>
          <w:szCs w:val="24"/>
        </w:rPr>
        <w:t>on account</w:t>
      </w:r>
      <w:proofErr w:type="gramEnd"/>
      <w:r>
        <w:rPr>
          <w:sz w:val="24"/>
          <w:szCs w:val="24"/>
        </w:rPr>
        <w:t xml:space="preserve"> of expert Stoica Sever</w:t>
      </w:r>
    </w:p>
    <w:p w:rsidR="00452793" w:rsidRDefault="00452793" w:rsidP="00452793">
      <w:pPr>
        <w:jc w:val="both"/>
        <w:rPr>
          <w:sz w:val="24"/>
          <w:szCs w:val="24"/>
        </w:rPr>
      </w:pPr>
      <w:r>
        <w:rPr>
          <w:sz w:val="24"/>
          <w:szCs w:val="24"/>
        </w:rPr>
        <w:t>Also requires the update with the legal interest of amounts of RON 96.698,02 RON3.500, RON2</w:t>
      </w:r>
      <w:proofErr w:type="gramStart"/>
      <w:r>
        <w:rPr>
          <w:sz w:val="24"/>
          <w:szCs w:val="24"/>
        </w:rPr>
        <w:t>,000</w:t>
      </w:r>
      <w:proofErr w:type="gramEnd"/>
      <w:r>
        <w:rPr>
          <w:sz w:val="24"/>
          <w:szCs w:val="24"/>
        </w:rPr>
        <w:t xml:space="preserve"> and RON 1.822,32, starting with the date of 04</w:t>
      </w:r>
      <w:r>
        <w:rPr>
          <w:sz w:val="24"/>
          <w:szCs w:val="24"/>
          <w:vertAlign w:val="superscript"/>
        </w:rPr>
        <w:t>th</w:t>
      </w:r>
      <w:r>
        <w:rPr>
          <w:sz w:val="24"/>
          <w:szCs w:val="24"/>
        </w:rPr>
        <w:t xml:space="preserve"> Oct 2012 (the date of completion of the protocols for releasing amounts in the case of enforcement no.771/2012) up-to-date and continue until the date of actual payment.</w:t>
      </w:r>
    </w:p>
    <w:p w:rsidR="00452793" w:rsidRDefault="00452793" w:rsidP="00452793">
      <w:pPr>
        <w:jc w:val="both"/>
        <w:rPr>
          <w:sz w:val="24"/>
          <w:szCs w:val="24"/>
        </w:rPr>
      </w:pPr>
      <w:r>
        <w:rPr>
          <w:sz w:val="24"/>
          <w:szCs w:val="24"/>
        </w:rPr>
        <w:t>With trial expenses.</w:t>
      </w:r>
    </w:p>
    <w:p w:rsidR="00452793" w:rsidRDefault="00452793" w:rsidP="00452793">
      <w:pPr>
        <w:jc w:val="both"/>
        <w:rPr>
          <w:b/>
          <w:sz w:val="24"/>
          <w:szCs w:val="24"/>
        </w:rPr>
      </w:pPr>
      <w:r>
        <w:rPr>
          <w:b/>
          <w:sz w:val="24"/>
          <w:szCs w:val="24"/>
        </w:rPr>
        <w:t>Clarifications:</w:t>
      </w:r>
    </w:p>
    <w:p w:rsidR="00452793" w:rsidRDefault="00452793" w:rsidP="00452793">
      <w:pPr>
        <w:jc w:val="both"/>
        <w:rPr>
          <w:sz w:val="24"/>
          <w:szCs w:val="24"/>
        </w:rPr>
      </w:pPr>
      <w:r>
        <w:rPr>
          <w:b/>
          <w:sz w:val="24"/>
          <w:szCs w:val="24"/>
        </w:rPr>
        <w:t> </w:t>
      </w:r>
      <w:r>
        <w:rPr>
          <w:b/>
          <w:bCs/>
          <w:sz w:val="24"/>
          <w:szCs w:val="24"/>
        </w:rPr>
        <w:t>Stage of trial</w:t>
      </w:r>
      <w:proofErr w:type="gramStart"/>
      <w:r>
        <w:rPr>
          <w:sz w:val="24"/>
          <w:szCs w:val="24"/>
        </w:rPr>
        <w:t>:First</w:t>
      </w:r>
      <w:proofErr w:type="gramEnd"/>
      <w:r>
        <w:rPr>
          <w:sz w:val="24"/>
          <w:szCs w:val="24"/>
        </w:rPr>
        <w:t xml:space="preserve"> instance</w:t>
      </w:r>
    </w:p>
    <w:p w:rsidR="00452793" w:rsidRDefault="00452793" w:rsidP="00452793">
      <w:pPr>
        <w:jc w:val="both"/>
        <w:rPr>
          <w:sz w:val="24"/>
          <w:szCs w:val="24"/>
        </w:rPr>
      </w:pPr>
      <w:r>
        <w:rPr>
          <w:sz w:val="24"/>
          <w:szCs w:val="24"/>
        </w:rPr>
        <w:t> </w:t>
      </w:r>
      <w:r>
        <w:rPr>
          <w:b/>
          <w:bCs/>
          <w:sz w:val="24"/>
          <w:szCs w:val="24"/>
        </w:rPr>
        <w:t>Hearing</w:t>
      </w:r>
      <w:r>
        <w:rPr>
          <w:sz w:val="24"/>
          <w:szCs w:val="24"/>
        </w:rPr>
        <w:t>: Postpone of the sentence: 09</w:t>
      </w:r>
      <w:r>
        <w:rPr>
          <w:sz w:val="24"/>
          <w:szCs w:val="24"/>
          <w:vertAlign w:val="superscript"/>
        </w:rPr>
        <w:t>th</w:t>
      </w:r>
      <w:r>
        <w:rPr>
          <w:sz w:val="24"/>
          <w:szCs w:val="24"/>
        </w:rPr>
        <w:t xml:space="preserve"> July 2018</w:t>
      </w:r>
    </w:p>
    <w:p w:rsidR="00452793" w:rsidRDefault="00452793" w:rsidP="00452793">
      <w:pPr>
        <w:jc w:val="both"/>
        <w:rPr>
          <w:sz w:val="24"/>
          <w:szCs w:val="24"/>
        </w:rPr>
      </w:pPr>
    </w:p>
    <w:p w:rsidR="00452793" w:rsidRDefault="00452793" w:rsidP="00452793">
      <w:pPr>
        <w:jc w:val="both"/>
        <w:rPr>
          <w:b/>
          <w:sz w:val="24"/>
          <w:szCs w:val="24"/>
        </w:rPr>
      </w:pPr>
      <w:r>
        <w:rPr>
          <w:b/>
          <w:sz w:val="24"/>
          <w:szCs w:val="24"/>
        </w:rPr>
        <w:t>37. The file No 23486/281/2017 - Ploiesti Court</w:t>
      </w:r>
    </w:p>
    <w:p w:rsidR="00452793" w:rsidRDefault="00452793" w:rsidP="00452793">
      <w:pPr>
        <w:jc w:val="both"/>
        <w:rPr>
          <w:sz w:val="24"/>
          <w:szCs w:val="24"/>
        </w:rPr>
      </w:pPr>
      <w:r>
        <w:rPr>
          <w:b/>
          <w:sz w:val="24"/>
          <w:szCs w:val="24"/>
        </w:rPr>
        <w:t>The parties:</w:t>
      </w:r>
      <w:r>
        <w:rPr>
          <w:sz w:val="24"/>
          <w:szCs w:val="24"/>
        </w:rPr>
        <w:t> Conpet - the plaintiff</w:t>
      </w:r>
    </w:p>
    <w:p w:rsidR="00452793" w:rsidRDefault="00452793" w:rsidP="00452793">
      <w:pPr>
        <w:jc w:val="both"/>
        <w:rPr>
          <w:sz w:val="24"/>
          <w:szCs w:val="24"/>
        </w:rPr>
      </w:pPr>
      <w:r>
        <w:rPr>
          <w:sz w:val="24"/>
          <w:szCs w:val="24"/>
        </w:rPr>
        <w:t>           Terrestrial Infrastructure Consulting CONSIT SA- defendant</w:t>
      </w:r>
    </w:p>
    <w:p w:rsidR="00452793" w:rsidRDefault="00452793" w:rsidP="00452793">
      <w:pPr>
        <w:jc w:val="both"/>
        <w:rPr>
          <w:sz w:val="24"/>
          <w:szCs w:val="24"/>
        </w:rPr>
      </w:pPr>
      <w:r>
        <w:rPr>
          <w:b/>
          <w:sz w:val="24"/>
          <w:szCs w:val="24"/>
        </w:rPr>
        <w:lastRenderedPageBreak/>
        <w:t>Subject:</w:t>
      </w:r>
      <w:r>
        <w:rPr>
          <w:sz w:val="24"/>
          <w:szCs w:val="24"/>
        </w:rPr>
        <w:t> </w:t>
      </w:r>
      <w:r>
        <w:rPr>
          <w:b/>
          <w:bCs/>
          <w:sz w:val="24"/>
          <w:szCs w:val="24"/>
        </w:rPr>
        <w:t>Claims</w:t>
      </w:r>
      <w:r>
        <w:rPr>
          <w:sz w:val="24"/>
          <w:szCs w:val="24"/>
        </w:rPr>
        <w:t>. Conpet files a trial requesting a</w:t>
      </w:r>
      <w:r>
        <w:rPr>
          <w:sz w:val="24"/>
          <w:szCs w:val="24"/>
          <w:lang w:val="it-IT"/>
        </w:rPr>
        <w:t xml:space="preserve"> </w:t>
      </w:r>
      <w:r>
        <w:rPr>
          <w:sz w:val="24"/>
          <w:szCs w:val="24"/>
        </w:rPr>
        <w:t>sentence</w:t>
      </w:r>
      <w:r>
        <w:rPr>
          <w:sz w:val="24"/>
          <w:szCs w:val="24"/>
          <w:lang w:val="it-IT"/>
        </w:rPr>
        <w:t xml:space="preserve"> for the terrestrial </w:t>
      </w:r>
      <w:r>
        <w:rPr>
          <w:sz w:val="24"/>
          <w:szCs w:val="24"/>
        </w:rPr>
        <w:t xml:space="preserve">to order the defendant </w:t>
      </w:r>
      <w:r>
        <w:rPr>
          <w:sz w:val="24"/>
          <w:szCs w:val="24"/>
          <w:lang w:val="it-IT"/>
        </w:rPr>
        <w:t>INFRASTRUCTURE CONSULTING CONSIT S.A.</w:t>
      </w:r>
      <w:r>
        <w:rPr>
          <w:sz w:val="24"/>
          <w:szCs w:val="24"/>
        </w:rPr>
        <w:t xml:space="preserve"> to payment of the following amounts:</w:t>
      </w:r>
    </w:p>
    <w:p w:rsidR="00452793" w:rsidRDefault="00452793" w:rsidP="00452793">
      <w:pPr>
        <w:jc w:val="both"/>
        <w:rPr>
          <w:sz w:val="24"/>
          <w:szCs w:val="24"/>
        </w:rPr>
      </w:pPr>
      <w:r>
        <w:rPr>
          <w:bCs/>
          <w:sz w:val="24"/>
          <w:szCs w:val="24"/>
        </w:rPr>
        <w:t xml:space="preserve">- RON 2700 </w:t>
      </w:r>
      <w:r>
        <w:rPr>
          <w:sz w:val="24"/>
          <w:szCs w:val="24"/>
        </w:rPr>
        <w:t>representing damages in accordance with the provisions of Article 17.3 of the Contract no. S-85/21.03.2016 communicated by notification of termination no21580/30.05.2017;</w:t>
      </w:r>
    </w:p>
    <w:p w:rsidR="00452793" w:rsidRDefault="00452793" w:rsidP="00452793">
      <w:pPr>
        <w:jc w:val="both"/>
        <w:rPr>
          <w:sz w:val="24"/>
          <w:szCs w:val="24"/>
        </w:rPr>
      </w:pPr>
      <w:r>
        <w:rPr>
          <w:bCs/>
          <w:sz w:val="24"/>
          <w:szCs w:val="24"/>
        </w:rPr>
        <w:t xml:space="preserve">- RON 14.715 </w:t>
      </w:r>
      <w:r>
        <w:rPr>
          <w:sz w:val="24"/>
          <w:szCs w:val="24"/>
        </w:rPr>
        <w:t>representing the delay penalties, according to the contract no. S-85/21.03.2016 calculated up to the date of 07</w:t>
      </w:r>
      <w:r>
        <w:rPr>
          <w:sz w:val="24"/>
          <w:szCs w:val="24"/>
          <w:vertAlign w:val="superscript"/>
        </w:rPr>
        <w:t>th</w:t>
      </w:r>
      <w:r>
        <w:rPr>
          <w:sz w:val="24"/>
          <w:szCs w:val="24"/>
        </w:rPr>
        <w:t xml:space="preserve"> June2017- the date of contract termination.                                                 </w:t>
      </w:r>
    </w:p>
    <w:p w:rsidR="00452793" w:rsidRDefault="00452793" w:rsidP="00452793">
      <w:pPr>
        <w:jc w:val="both"/>
        <w:rPr>
          <w:sz w:val="24"/>
          <w:szCs w:val="24"/>
        </w:rPr>
      </w:pPr>
      <w:r>
        <w:rPr>
          <w:sz w:val="24"/>
          <w:szCs w:val="24"/>
        </w:rPr>
        <w:t> - Trial expenses. </w:t>
      </w:r>
    </w:p>
    <w:p w:rsidR="00452793" w:rsidRDefault="00452793" w:rsidP="00452793">
      <w:pPr>
        <w:jc w:val="both"/>
        <w:rPr>
          <w:sz w:val="24"/>
          <w:szCs w:val="24"/>
        </w:rPr>
      </w:pPr>
      <w:r>
        <w:rPr>
          <w:b/>
          <w:sz w:val="24"/>
          <w:szCs w:val="24"/>
        </w:rPr>
        <w:t>Clarifications:</w:t>
      </w:r>
      <w:r>
        <w:rPr>
          <w:sz w:val="24"/>
          <w:szCs w:val="24"/>
        </w:rPr>
        <w:t> -- </w:t>
      </w:r>
    </w:p>
    <w:p w:rsidR="00452793" w:rsidRDefault="00452793" w:rsidP="00452793">
      <w:pPr>
        <w:jc w:val="both"/>
        <w:rPr>
          <w:sz w:val="24"/>
          <w:szCs w:val="24"/>
        </w:rPr>
      </w:pPr>
      <w:r>
        <w:rPr>
          <w:b/>
          <w:bCs/>
          <w:sz w:val="24"/>
          <w:szCs w:val="24"/>
        </w:rPr>
        <w:t> Stage of trial</w:t>
      </w:r>
      <w:r>
        <w:rPr>
          <w:sz w:val="24"/>
          <w:szCs w:val="24"/>
        </w:rPr>
        <w:t xml:space="preserve">: </w:t>
      </w:r>
      <w:proofErr w:type="gramStart"/>
      <w:r>
        <w:rPr>
          <w:sz w:val="24"/>
          <w:szCs w:val="24"/>
        </w:rPr>
        <w:t>14</w:t>
      </w:r>
      <w:r>
        <w:rPr>
          <w:sz w:val="24"/>
          <w:szCs w:val="24"/>
          <w:vertAlign w:val="superscript"/>
        </w:rPr>
        <w:t>th</w:t>
      </w:r>
      <w:proofErr w:type="gramEnd"/>
      <w:r>
        <w:rPr>
          <w:sz w:val="24"/>
          <w:szCs w:val="24"/>
        </w:rPr>
        <w:t xml:space="preserve"> Sept 2018 </w:t>
      </w:r>
    </w:p>
    <w:p w:rsidR="00452793" w:rsidRDefault="00452793" w:rsidP="00452793">
      <w:pPr>
        <w:jc w:val="both"/>
        <w:rPr>
          <w:sz w:val="24"/>
          <w:szCs w:val="24"/>
        </w:rPr>
      </w:pPr>
      <w:r>
        <w:rPr>
          <w:b/>
          <w:bCs/>
          <w:sz w:val="24"/>
          <w:szCs w:val="24"/>
        </w:rPr>
        <w:t>Hearing</w:t>
      </w:r>
      <w:r>
        <w:rPr>
          <w:sz w:val="24"/>
          <w:szCs w:val="24"/>
        </w:rPr>
        <w:t>:</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 xml:space="preserve">38. File no. 9696/315/2017 - Targoviste Court </w:t>
      </w:r>
    </w:p>
    <w:p w:rsidR="00452793" w:rsidRDefault="00452793" w:rsidP="00452793">
      <w:pPr>
        <w:jc w:val="both"/>
        <w:rPr>
          <w:sz w:val="24"/>
          <w:szCs w:val="24"/>
        </w:rPr>
      </w:pPr>
      <w:r>
        <w:rPr>
          <w:b/>
          <w:sz w:val="24"/>
          <w:szCs w:val="24"/>
        </w:rPr>
        <w:t>The parties:</w:t>
      </w:r>
      <w:r>
        <w:rPr>
          <w:sz w:val="24"/>
          <w:szCs w:val="24"/>
        </w:rPr>
        <w:t> Conpet - the plaintiff</w:t>
      </w:r>
    </w:p>
    <w:p w:rsidR="00452793" w:rsidRDefault="00452793" w:rsidP="00452793">
      <w:pPr>
        <w:jc w:val="both"/>
        <w:rPr>
          <w:sz w:val="24"/>
          <w:szCs w:val="24"/>
        </w:rPr>
      </w:pPr>
      <w:r>
        <w:rPr>
          <w:sz w:val="24"/>
          <w:szCs w:val="24"/>
        </w:rPr>
        <w:t>           Cretu Catalin - defendant </w:t>
      </w:r>
    </w:p>
    <w:p w:rsidR="00452793" w:rsidRDefault="00452793" w:rsidP="00452793">
      <w:pPr>
        <w:jc w:val="both"/>
        <w:rPr>
          <w:sz w:val="24"/>
          <w:szCs w:val="24"/>
        </w:rPr>
      </w:pPr>
      <w:r>
        <w:rPr>
          <w:sz w:val="24"/>
          <w:szCs w:val="24"/>
        </w:rPr>
        <w:t>           Cretu Gheorghe - defendant </w:t>
      </w:r>
    </w:p>
    <w:p w:rsidR="00452793" w:rsidRDefault="00452793" w:rsidP="00452793">
      <w:pPr>
        <w:jc w:val="both"/>
        <w:rPr>
          <w:sz w:val="24"/>
          <w:szCs w:val="24"/>
        </w:rPr>
      </w:pPr>
      <w:r>
        <w:rPr>
          <w:sz w:val="24"/>
          <w:szCs w:val="24"/>
        </w:rPr>
        <w:t>           Nita Ionut - Bogdan - defendant  </w:t>
      </w:r>
    </w:p>
    <w:p w:rsidR="00452793" w:rsidRDefault="00452793" w:rsidP="00452793">
      <w:pPr>
        <w:jc w:val="both"/>
        <w:rPr>
          <w:sz w:val="24"/>
          <w:szCs w:val="24"/>
        </w:rPr>
      </w:pPr>
      <w:r>
        <w:rPr>
          <w:sz w:val="24"/>
          <w:szCs w:val="24"/>
        </w:rPr>
        <w:t>           Roman Lucian - Marin - defendant </w:t>
      </w:r>
    </w:p>
    <w:p w:rsidR="00452793" w:rsidRDefault="00452793" w:rsidP="00452793">
      <w:pPr>
        <w:jc w:val="both"/>
        <w:rPr>
          <w:sz w:val="24"/>
          <w:szCs w:val="24"/>
        </w:rPr>
      </w:pPr>
      <w:r>
        <w:rPr>
          <w:sz w:val="24"/>
          <w:szCs w:val="24"/>
        </w:rPr>
        <w:t>           Vasile Andrei - defendant </w:t>
      </w:r>
    </w:p>
    <w:p w:rsidR="00452793" w:rsidRDefault="00452793" w:rsidP="00452793">
      <w:pPr>
        <w:jc w:val="both"/>
        <w:rPr>
          <w:sz w:val="24"/>
          <w:szCs w:val="24"/>
        </w:rPr>
      </w:pPr>
      <w:r>
        <w:rPr>
          <w:sz w:val="24"/>
          <w:szCs w:val="24"/>
        </w:rPr>
        <w:t>           Dumitrica Aurelian - defendant </w:t>
      </w:r>
    </w:p>
    <w:p w:rsidR="00452793" w:rsidRDefault="00452793" w:rsidP="00452793">
      <w:pPr>
        <w:jc w:val="both"/>
        <w:rPr>
          <w:sz w:val="24"/>
          <w:szCs w:val="24"/>
          <w:lang w:val="pt-BR"/>
        </w:rPr>
      </w:pPr>
      <w:proofErr w:type="gramStart"/>
      <w:r>
        <w:rPr>
          <w:b/>
          <w:sz w:val="24"/>
          <w:szCs w:val="24"/>
        </w:rPr>
        <w:t>Subject:</w:t>
      </w:r>
      <w:r>
        <w:rPr>
          <w:sz w:val="24"/>
          <w:szCs w:val="24"/>
        </w:rPr>
        <w:t> Conpet files a trial requesting that by the sentence of the court to be ordered that the defendants shall jointly pay the </w:t>
      </w:r>
      <w:r>
        <w:rPr>
          <w:sz w:val="24"/>
          <w:szCs w:val="24"/>
          <w:lang w:val="ro-RO"/>
        </w:rPr>
        <w:t>amount of </w:t>
      </w:r>
      <w:r>
        <w:rPr>
          <w:sz w:val="24"/>
          <w:szCs w:val="24"/>
        </w:rPr>
        <w:t xml:space="preserve">RON </w:t>
      </w:r>
      <w:r>
        <w:rPr>
          <w:b/>
          <w:sz w:val="24"/>
          <w:szCs w:val="24"/>
          <w:lang w:val="ro-RO"/>
        </w:rPr>
        <w:t xml:space="preserve">37.872,18 </w:t>
      </w:r>
      <w:r>
        <w:rPr>
          <w:sz w:val="24"/>
          <w:szCs w:val="24"/>
        </w:rPr>
        <w:t>as</w:t>
      </w:r>
      <w:r>
        <w:rPr>
          <w:sz w:val="24"/>
          <w:szCs w:val="24"/>
          <w:lang w:val="ro-RO"/>
        </w:rPr>
        <w:t xml:space="preserve"> civil compensations - </w:t>
      </w:r>
      <w:r>
        <w:rPr>
          <w:sz w:val="24"/>
          <w:szCs w:val="24"/>
          <w:lang w:val="it-IT"/>
        </w:rPr>
        <w:t xml:space="preserve">representing the </w:t>
      </w:r>
      <w:r>
        <w:rPr>
          <w:sz w:val="24"/>
          <w:szCs w:val="24"/>
        </w:rPr>
        <w:t xml:space="preserve">consideration </w:t>
      </w:r>
      <w:r>
        <w:rPr>
          <w:sz w:val="24"/>
          <w:szCs w:val="24"/>
          <w:lang w:val="it-IT"/>
        </w:rPr>
        <w:t>of the work of replacing</w:t>
      </w:r>
      <w:r>
        <w:rPr>
          <w:sz w:val="24"/>
          <w:szCs w:val="24"/>
        </w:rPr>
        <w:t xml:space="preserve"> </w:t>
      </w:r>
      <w:r>
        <w:rPr>
          <w:sz w:val="24"/>
          <w:szCs w:val="24"/>
          <w:lang w:val="it-IT"/>
        </w:rPr>
        <w:t>stolen pipe (</w:t>
      </w:r>
      <w:r>
        <w:rPr>
          <w:sz w:val="24"/>
          <w:szCs w:val="24"/>
        </w:rPr>
        <w:t xml:space="preserve">RON </w:t>
      </w:r>
      <w:r>
        <w:rPr>
          <w:sz w:val="24"/>
          <w:szCs w:val="24"/>
          <w:lang w:val="it-IT"/>
        </w:rPr>
        <w:t xml:space="preserve">5.472,32) and to fix the fiber-optic cable destroyed by </w:t>
      </w:r>
      <w:r>
        <w:rPr>
          <w:sz w:val="24"/>
          <w:szCs w:val="24"/>
        </w:rPr>
        <w:t xml:space="preserve">the defendants </w:t>
      </w:r>
      <w:r>
        <w:rPr>
          <w:sz w:val="24"/>
          <w:szCs w:val="24"/>
          <w:lang w:val="it-IT"/>
        </w:rPr>
        <w:t>(</w:t>
      </w:r>
      <w:r>
        <w:rPr>
          <w:sz w:val="24"/>
          <w:szCs w:val="24"/>
        </w:rPr>
        <w:t xml:space="preserve">RON </w:t>
      </w:r>
      <w:r>
        <w:rPr>
          <w:sz w:val="24"/>
          <w:szCs w:val="24"/>
          <w:lang w:val="it-IT"/>
        </w:rPr>
        <w:t>32.054), the necessary work aim</w:t>
      </w:r>
      <w:r>
        <w:rPr>
          <w:sz w:val="24"/>
          <w:szCs w:val="24"/>
        </w:rPr>
        <w:t>ed to bringing the pipe</w:t>
      </w:r>
      <w:r>
        <w:rPr>
          <w:sz w:val="24"/>
          <w:szCs w:val="24"/>
          <w:lang w:val="it-IT"/>
        </w:rPr>
        <w:t xml:space="preserve"> to the state before the commitment of the deed, i.e. in operation</w:t>
      </w:r>
      <w:r>
        <w:rPr>
          <w:sz w:val="24"/>
          <w:szCs w:val="24"/>
        </w:rPr>
        <w:t>,</w:t>
      </w:r>
      <w:r>
        <w:rPr>
          <w:sz w:val="24"/>
          <w:szCs w:val="24"/>
          <w:lang w:val="it-IT"/>
        </w:rPr>
        <w:t xml:space="preserve"> as well as the equivalent of the traveling at the place the commitment of the deed with a view to finding its consequences (</w:t>
      </w:r>
      <w:r>
        <w:rPr>
          <w:sz w:val="24"/>
          <w:szCs w:val="24"/>
        </w:rPr>
        <w:t xml:space="preserve">RON </w:t>
      </w:r>
      <w:r>
        <w:rPr>
          <w:sz w:val="24"/>
          <w:szCs w:val="24"/>
          <w:lang w:val="it-IT"/>
        </w:rPr>
        <w:t>345,86).</w:t>
      </w:r>
      <w:proofErr w:type="gramEnd"/>
      <w:r>
        <w:rPr>
          <w:sz w:val="24"/>
          <w:szCs w:val="24"/>
          <w:lang w:val="it-IT"/>
        </w:rPr>
        <w:t xml:space="preserve"> </w:t>
      </w:r>
      <w:r>
        <w:rPr>
          <w:sz w:val="24"/>
          <w:szCs w:val="24"/>
        </w:rPr>
        <w:t>It a</w:t>
      </w:r>
      <w:r>
        <w:rPr>
          <w:sz w:val="24"/>
          <w:szCs w:val="24"/>
          <w:lang w:val="it-IT"/>
        </w:rPr>
        <w:t>lso require</w:t>
      </w:r>
      <w:r>
        <w:rPr>
          <w:sz w:val="24"/>
          <w:szCs w:val="24"/>
        </w:rPr>
        <w:t>s</w:t>
      </w:r>
      <w:r>
        <w:rPr>
          <w:sz w:val="24"/>
          <w:szCs w:val="24"/>
          <w:lang w:val="it-IT"/>
        </w:rPr>
        <w:t xml:space="preserve"> the updating of this amount with legal interest from the date of 10</w:t>
      </w:r>
      <w:r>
        <w:rPr>
          <w:sz w:val="24"/>
          <w:szCs w:val="24"/>
          <w:vertAlign w:val="superscript"/>
        </w:rPr>
        <w:t>th</w:t>
      </w:r>
      <w:r>
        <w:rPr>
          <w:sz w:val="24"/>
          <w:szCs w:val="24"/>
        </w:rPr>
        <w:t xml:space="preserve"> April</w:t>
      </w:r>
      <w:r>
        <w:rPr>
          <w:sz w:val="24"/>
          <w:szCs w:val="24"/>
          <w:lang w:val="it-IT"/>
        </w:rPr>
        <w:t>2011, the date of the commitment of the deed, and until the date of actual payment. </w:t>
      </w:r>
      <w:r>
        <w:rPr>
          <w:sz w:val="24"/>
          <w:szCs w:val="24"/>
        </w:rPr>
        <w:t>It also requests an order that the defendants pay the trial expenses caused by the matter in question.</w:t>
      </w:r>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b/>
          <w:sz w:val="24"/>
          <w:szCs w:val="24"/>
        </w:rPr>
      </w:pPr>
      <w:r>
        <w:rPr>
          <w:b/>
          <w:sz w:val="24"/>
          <w:szCs w:val="24"/>
        </w:rPr>
        <w:t>Stage of trial:--</w:t>
      </w:r>
    </w:p>
    <w:p w:rsidR="00452793" w:rsidRDefault="00452793" w:rsidP="00452793">
      <w:pPr>
        <w:jc w:val="both"/>
        <w:rPr>
          <w:bCs/>
          <w:sz w:val="24"/>
          <w:szCs w:val="24"/>
          <w:lang w:val="pt-BR"/>
        </w:rPr>
      </w:pPr>
      <w:r>
        <w:rPr>
          <w:b/>
          <w:sz w:val="24"/>
          <w:szCs w:val="24"/>
        </w:rPr>
        <w:t> Hearing: P</w:t>
      </w:r>
      <w:r>
        <w:rPr>
          <w:sz w:val="24"/>
          <w:szCs w:val="24"/>
        </w:rPr>
        <w:t>ostpone of the sentence: 17</w:t>
      </w:r>
      <w:r>
        <w:rPr>
          <w:sz w:val="24"/>
          <w:szCs w:val="24"/>
          <w:vertAlign w:val="superscript"/>
        </w:rPr>
        <w:t>th</w:t>
      </w:r>
      <w:r>
        <w:rPr>
          <w:sz w:val="24"/>
          <w:szCs w:val="24"/>
        </w:rPr>
        <w:t xml:space="preserve"> July 2018</w:t>
      </w:r>
    </w:p>
    <w:p w:rsidR="00452793" w:rsidRDefault="00452793" w:rsidP="00452793">
      <w:pPr>
        <w:jc w:val="both"/>
        <w:rPr>
          <w:sz w:val="24"/>
          <w:szCs w:val="24"/>
        </w:rPr>
      </w:pPr>
    </w:p>
    <w:p w:rsidR="00452793" w:rsidRDefault="00452793" w:rsidP="00452793">
      <w:pPr>
        <w:jc w:val="both"/>
        <w:rPr>
          <w:b/>
          <w:sz w:val="24"/>
          <w:szCs w:val="24"/>
          <w:lang w:val="ro-RO"/>
        </w:rPr>
      </w:pPr>
      <w:r>
        <w:rPr>
          <w:b/>
          <w:sz w:val="24"/>
          <w:szCs w:val="24"/>
        </w:rPr>
        <w:t>39. The file No 950/281/2018 - Prahova Court</w:t>
      </w:r>
    </w:p>
    <w:p w:rsidR="00452793" w:rsidRDefault="00452793" w:rsidP="00452793">
      <w:pPr>
        <w:jc w:val="both"/>
        <w:rPr>
          <w:sz w:val="24"/>
          <w:szCs w:val="24"/>
          <w:lang w:val="ro-RO"/>
        </w:rPr>
      </w:pPr>
      <w:r>
        <w:rPr>
          <w:b/>
          <w:sz w:val="24"/>
          <w:szCs w:val="24"/>
          <w:lang w:val="ro-RO"/>
        </w:rPr>
        <w:t> </w:t>
      </w:r>
      <w:r>
        <w:rPr>
          <w:sz w:val="24"/>
          <w:szCs w:val="24"/>
          <w:lang w:val="ro-RO"/>
        </w:rPr>
        <w:t xml:space="preserve">- </w:t>
      </w:r>
      <w:r>
        <w:rPr>
          <w:sz w:val="24"/>
          <w:szCs w:val="24"/>
        </w:rPr>
        <w:t xml:space="preserve">Parties: </w:t>
      </w:r>
      <w:r>
        <w:rPr>
          <w:sz w:val="24"/>
          <w:szCs w:val="24"/>
          <w:lang w:val="ro-RO"/>
        </w:rPr>
        <w:t xml:space="preserve">Conpet </w:t>
      </w:r>
      <w:r>
        <w:rPr>
          <w:sz w:val="24"/>
          <w:szCs w:val="24"/>
        </w:rPr>
        <w:t>- complainant</w:t>
      </w:r>
      <w:r>
        <w:rPr>
          <w:sz w:val="24"/>
          <w:szCs w:val="24"/>
          <w:lang w:val="ro-RO"/>
        </w:rPr>
        <w:t> </w:t>
      </w:r>
    </w:p>
    <w:p w:rsidR="00452793" w:rsidRDefault="00452793" w:rsidP="00452793">
      <w:pPr>
        <w:jc w:val="both"/>
        <w:rPr>
          <w:sz w:val="24"/>
          <w:szCs w:val="24"/>
          <w:lang w:val="ro-RO"/>
        </w:rPr>
      </w:pPr>
      <w:r>
        <w:rPr>
          <w:sz w:val="24"/>
          <w:szCs w:val="24"/>
          <w:lang w:val="ro-RO"/>
        </w:rPr>
        <w:t xml:space="preserve">           Dobrogenu Dumitru - </w:t>
      </w:r>
      <w:r>
        <w:rPr>
          <w:sz w:val="24"/>
          <w:szCs w:val="24"/>
        </w:rPr>
        <w:t>respondent</w:t>
      </w:r>
    </w:p>
    <w:p w:rsidR="00452793" w:rsidRDefault="00452793" w:rsidP="00452793">
      <w:pPr>
        <w:jc w:val="both"/>
        <w:rPr>
          <w:sz w:val="24"/>
          <w:szCs w:val="24"/>
          <w:lang w:val="ro-RO"/>
        </w:rPr>
      </w:pPr>
      <w:r>
        <w:rPr>
          <w:sz w:val="24"/>
          <w:szCs w:val="24"/>
          <w:lang w:val="ro-RO"/>
        </w:rPr>
        <w:t xml:space="preserve">           Beige Mihai Goslan - </w:t>
      </w:r>
      <w:r>
        <w:rPr>
          <w:sz w:val="24"/>
          <w:szCs w:val="24"/>
        </w:rPr>
        <w:t>respondent</w:t>
      </w:r>
    </w:p>
    <w:p w:rsidR="00452793" w:rsidRDefault="00452793" w:rsidP="00452793">
      <w:pPr>
        <w:jc w:val="both"/>
        <w:rPr>
          <w:sz w:val="24"/>
          <w:szCs w:val="24"/>
          <w:lang w:val="it-IT"/>
        </w:rPr>
      </w:pPr>
      <w:r>
        <w:rPr>
          <w:b/>
          <w:sz w:val="24"/>
          <w:szCs w:val="24"/>
          <w:lang w:val="ro-RO"/>
        </w:rPr>
        <w:t>Subject:</w:t>
      </w:r>
      <w:r>
        <w:rPr>
          <w:sz w:val="24"/>
          <w:szCs w:val="24"/>
          <w:lang w:val="ro-RO"/>
        </w:rPr>
        <w:t xml:space="preserve"> Conpet has made a request for the </w:t>
      </w:r>
      <w:r>
        <w:rPr>
          <w:sz w:val="24"/>
          <w:szCs w:val="24"/>
        </w:rPr>
        <w:t xml:space="preserve">back </w:t>
      </w:r>
      <w:r>
        <w:rPr>
          <w:sz w:val="24"/>
          <w:szCs w:val="24"/>
          <w:lang w:val="ro-RO"/>
        </w:rPr>
        <w:t xml:space="preserve">of the </w:t>
      </w:r>
      <w:r>
        <w:rPr>
          <w:sz w:val="24"/>
          <w:szCs w:val="24"/>
        </w:rPr>
        <w:t xml:space="preserve">enforcement, </w:t>
      </w:r>
      <w:r>
        <w:rPr>
          <w:sz w:val="24"/>
          <w:szCs w:val="24"/>
          <w:lang w:val="ro-RO"/>
        </w:rPr>
        <w:t xml:space="preserve">requesting </w:t>
      </w:r>
      <w:r>
        <w:rPr>
          <w:sz w:val="24"/>
          <w:szCs w:val="24"/>
        </w:rPr>
        <w:t xml:space="preserve">a </w:t>
      </w:r>
      <w:r>
        <w:rPr>
          <w:sz w:val="24"/>
          <w:szCs w:val="24"/>
          <w:lang w:val="ro-RO"/>
        </w:rPr>
        <w:t xml:space="preserve"> </w:t>
      </w:r>
      <w:r>
        <w:rPr>
          <w:sz w:val="24"/>
          <w:szCs w:val="24"/>
        </w:rPr>
        <w:t>sentence</w:t>
      </w:r>
      <w:r>
        <w:rPr>
          <w:sz w:val="24"/>
          <w:szCs w:val="24"/>
          <w:lang w:val="ro-RO"/>
        </w:rPr>
        <w:t xml:space="preserve"> of the Court</w:t>
      </w:r>
      <w:r>
        <w:rPr>
          <w:sz w:val="24"/>
          <w:szCs w:val="24"/>
        </w:rPr>
        <w:t xml:space="preserve"> to</w:t>
      </w:r>
      <w:r>
        <w:rPr>
          <w:sz w:val="24"/>
          <w:szCs w:val="24"/>
          <w:lang w:val="ro-RO"/>
        </w:rPr>
        <w:t xml:space="preserve"> </w:t>
      </w:r>
      <w:r>
        <w:rPr>
          <w:sz w:val="24"/>
          <w:szCs w:val="24"/>
        </w:rPr>
        <w:t xml:space="preserve">back </w:t>
      </w:r>
      <w:r>
        <w:rPr>
          <w:sz w:val="24"/>
          <w:szCs w:val="24"/>
          <w:lang w:val="ro-RO"/>
        </w:rPr>
        <w:t>t</w:t>
      </w:r>
      <w:r>
        <w:rPr>
          <w:sz w:val="24"/>
          <w:szCs w:val="24"/>
        </w:rPr>
        <w:t>the enforcement</w:t>
      </w:r>
      <w:r>
        <w:rPr>
          <w:sz w:val="24"/>
          <w:szCs w:val="24"/>
          <w:lang w:val="ro-RO"/>
        </w:rPr>
        <w:t xml:space="preserve"> carried out under the executory title represented by Decision No 669 of 20.12.2011 The Prahova County Court in the case of enforcement No 710/2013 of B.E.J. Goslan Mihai, restoring the part of the previous situation of enforcement, </w:t>
      </w:r>
      <w:r>
        <w:rPr>
          <w:sz w:val="24"/>
          <w:szCs w:val="24"/>
        </w:rPr>
        <w:t>to order</w:t>
      </w:r>
      <w:r>
        <w:rPr>
          <w:sz w:val="24"/>
          <w:szCs w:val="24"/>
          <w:lang w:val="ro-RO"/>
        </w:rPr>
        <w:t xml:space="preserve"> the </w:t>
      </w:r>
      <w:r>
        <w:rPr>
          <w:sz w:val="24"/>
          <w:szCs w:val="24"/>
        </w:rPr>
        <w:t>defendant</w:t>
      </w:r>
      <w:r>
        <w:rPr>
          <w:sz w:val="24"/>
          <w:szCs w:val="24"/>
          <w:lang w:val="ro-RO"/>
        </w:rPr>
        <w:t xml:space="preserve"> Dobrogeanu Dumitru (under Article 723 Proc Code Civil Code) to the payment of the following amounts:</w:t>
      </w:r>
    </w:p>
    <w:p w:rsidR="00452793" w:rsidRDefault="00452793" w:rsidP="00452793">
      <w:pPr>
        <w:jc w:val="both"/>
        <w:rPr>
          <w:sz w:val="24"/>
          <w:szCs w:val="24"/>
          <w:lang w:val="it-IT"/>
        </w:rPr>
      </w:pPr>
      <w:r>
        <w:rPr>
          <w:sz w:val="24"/>
          <w:szCs w:val="24"/>
          <w:lang w:val="it-IT"/>
        </w:rPr>
        <w:t xml:space="preserve">- </w:t>
      </w:r>
      <w:r>
        <w:rPr>
          <w:sz w:val="24"/>
          <w:szCs w:val="24"/>
        </w:rPr>
        <w:t xml:space="preserve">RON </w:t>
      </w:r>
      <w:r>
        <w:rPr>
          <w:sz w:val="24"/>
          <w:szCs w:val="24"/>
          <w:lang w:val="it-IT"/>
        </w:rPr>
        <w:t>1,000 representing the undue amount levied on the basis of the expenditure (fee of lawyer).</w:t>
      </w:r>
    </w:p>
    <w:p w:rsidR="00452793" w:rsidRDefault="00452793" w:rsidP="00452793">
      <w:pPr>
        <w:jc w:val="both"/>
        <w:rPr>
          <w:sz w:val="24"/>
          <w:szCs w:val="24"/>
        </w:rPr>
      </w:pPr>
      <w:r>
        <w:rPr>
          <w:sz w:val="24"/>
          <w:szCs w:val="24"/>
          <w:lang w:val="it-IT"/>
        </w:rPr>
        <w:lastRenderedPageBreak/>
        <w:t xml:space="preserve">- </w:t>
      </w:r>
      <w:r>
        <w:rPr>
          <w:sz w:val="24"/>
          <w:szCs w:val="24"/>
        </w:rPr>
        <w:t xml:space="preserve">RON </w:t>
      </w:r>
      <w:r>
        <w:rPr>
          <w:sz w:val="24"/>
          <w:szCs w:val="24"/>
          <w:lang w:val="it-IT"/>
        </w:rPr>
        <w:t>1.062,3 representing the fee wrongly charged by the </w:t>
      </w:r>
      <w:r>
        <w:rPr>
          <w:sz w:val="24"/>
          <w:szCs w:val="24"/>
        </w:rPr>
        <w:t>Office of the bailiff Mihai Goslan  </w:t>
      </w:r>
    </w:p>
    <w:p w:rsidR="00452793" w:rsidRDefault="00452793" w:rsidP="00452793">
      <w:pPr>
        <w:jc w:val="both"/>
        <w:rPr>
          <w:sz w:val="24"/>
          <w:szCs w:val="24"/>
          <w:lang w:val="it-IT"/>
        </w:rPr>
      </w:pPr>
      <w:r>
        <w:rPr>
          <w:sz w:val="24"/>
          <w:szCs w:val="24"/>
        </w:rPr>
        <w:t xml:space="preserve">- RON 111, representing consideration of copying enforcement </w:t>
      </w:r>
      <w:proofErr w:type="gramStart"/>
      <w:r>
        <w:rPr>
          <w:sz w:val="24"/>
          <w:szCs w:val="24"/>
        </w:rPr>
        <w:t>file . </w:t>
      </w:r>
      <w:proofErr w:type="gramEnd"/>
    </w:p>
    <w:p w:rsidR="00452793" w:rsidRDefault="00452793" w:rsidP="00452793">
      <w:pPr>
        <w:jc w:val="both"/>
        <w:rPr>
          <w:sz w:val="24"/>
          <w:szCs w:val="24"/>
          <w:lang w:val="it-IT"/>
        </w:rPr>
      </w:pPr>
      <w:r>
        <w:rPr>
          <w:sz w:val="24"/>
          <w:szCs w:val="24"/>
          <w:lang w:val="it-IT"/>
        </w:rPr>
        <w:t>Secondarily, Conpet require</w:t>
      </w:r>
      <w:r>
        <w:rPr>
          <w:sz w:val="24"/>
          <w:szCs w:val="24"/>
        </w:rPr>
        <w:t>s</w:t>
      </w:r>
      <w:r>
        <w:rPr>
          <w:sz w:val="24"/>
          <w:szCs w:val="24"/>
          <w:lang w:val="it-IT"/>
        </w:rPr>
        <w:t xml:space="preserve"> the obligation of </w:t>
      </w:r>
      <w:r>
        <w:rPr>
          <w:sz w:val="24"/>
          <w:szCs w:val="24"/>
        </w:rPr>
        <w:t>BEJ Mihai Goslan to the payment of the amount of RON1.062,3 representing the charged fee unduly paid. </w:t>
      </w:r>
    </w:p>
    <w:p w:rsidR="00452793" w:rsidRDefault="00452793" w:rsidP="00452793">
      <w:pPr>
        <w:jc w:val="both"/>
        <w:rPr>
          <w:sz w:val="24"/>
          <w:szCs w:val="24"/>
          <w:lang w:val="it-IT"/>
        </w:rPr>
      </w:pPr>
      <w:r>
        <w:rPr>
          <w:sz w:val="24"/>
          <w:szCs w:val="24"/>
        </w:rPr>
        <w:t>Trial expenses</w:t>
      </w:r>
      <w:r>
        <w:rPr>
          <w:sz w:val="24"/>
          <w:szCs w:val="24"/>
          <w:lang w:val="it-IT"/>
        </w:rPr>
        <w:t>.</w:t>
      </w:r>
    </w:p>
    <w:p w:rsidR="00452793" w:rsidRDefault="00452793" w:rsidP="00452793">
      <w:pPr>
        <w:jc w:val="both"/>
        <w:rPr>
          <w:sz w:val="24"/>
          <w:szCs w:val="24"/>
        </w:rPr>
      </w:pPr>
      <w:r>
        <w:rPr>
          <w:b/>
          <w:sz w:val="24"/>
          <w:szCs w:val="24"/>
        </w:rPr>
        <w:t>Clarifications</w:t>
      </w:r>
      <w:r>
        <w:rPr>
          <w:b/>
          <w:sz w:val="24"/>
          <w:szCs w:val="24"/>
          <w:lang w:val="it-IT"/>
        </w:rPr>
        <w:t>: </w:t>
      </w:r>
      <w:r>
        <w:rPr>
          <w:sz w:val="24"/>
          <w:szCs w:val="24"/>
        </w:rPr>
        <w:t xml:space="preserve">by </w:t>
      </w:r>
      <w:r>
        <w:rPr>
          <w:sz w:val="24"/>
          <w:szCs w:val="24"/>
          <w:lang w:val="it-IT"/>
        </w:rPr>
        <w:t>the </w:t>
      </w:r>
      <w:r>
        <w:rPr>
          <w:b/>
          <w:sz w:val="24"/>
          <w:szCs w:val="24"/>
        </w:rPr>
        <w:t>sentence</w:t>
      </w:r>
      <w:r>
        <w:rPr>
          <w:b/>
          <w:sz w:val="24"/>
          <w:szCs w:val="24"/>
          <w:lang w:val="it-IT"/>
        </w:rPr>
        <w:t xml:space="preserve"> of the</w:t>
      </w:r>
      <w:proofErr w:type="gramStart"/>
      <w:r>
        <w:rPr>
          <w:b/>
          <w:sz w:val="24"/>
          <w:szCs w:val="24"/>
          <w:lang w:val="it-IT"/>
        </w:rPr>
        <w:t> </w:t>
      </w:r>
      <w:r>
        <w:rPr>
          <w:sz w:val="24"/>
          <w:szCs w:val="24"/>
        </w:rPr>
        <w:t> Ploiesti</w:t>
      </w:r>
      <w:proofErr w:type="gramEnd"/>
      <w:r>
        <w:rPr>
          <w:sz w:val="24"/>
          <w:szCs w:val="24"/>
        </w:rPr>
        <w:t xml:space="preserve"> Court No. 4557/25.05.2018 admits the lack of law liabilities plea of the BEJ Mihai Goslan and consequently rejected the request made by the plaintiff CONPET in arguing with this defendant as being made against a person without law liabilities. It partly admits the application. It backs the enforcement carried out in the case of enforcement of B.E.J. no. 710/2013 Mihai Goslan Conpet by repayment to the plaintiff by the defendant Dobrogeanu Dumitru the amount of RON 2.062,3. It orders the defendant Dobrogeanu Dumitru to pay the plaintiff the amount of RON 189</w:t>
      </w:r>
      <w:proofErr w:type="gramStart"/>
      <w:r>
        <w:rPr>
          <w:sz w:val="24"/>
          <w:szCs w:val="24"/>
        </w:rPr>
        <w:t>,23</w:t>
      </w:r>
      <w:proofErr w:type="gramEnd"/>
      <w:r>
        <w:rPr>
          <w:sz w:val="24"/>
          <w:szCs w:val="24"/>
        </w:rPr>
        <w:t xml:space="preserve">, with the title of trial expenses. </w:t>
      </w:r>
      <w:proofErr w:type="gramStart"/>
      <w:r>
        <w:rPr>
          <w:sz w:val="24"/>
          <w:szCs w:val="24"/>
        </w:rPr>
        <w:t>The sentence has been appealed by Dobrogeanu Dumitru</w:t>
      </w:r>
      <w:proofErr w:type="gramEnd"/>
      <w:r>
        <w:rPr>
          <w:sz w:val="24"/>
          <w:szCs w:val="24"/>
        </w:rPr>
        <w:t>. </w:t>
      </w:r>
    </w:p>
    <w:p w:rsidR="00452793" w:rsidRDefault="00452793" w:rsidP="00452793">
      <w:pPr>
        <w:jc w:val="both"/>
        <w:rPr>
          <w:sz w:val="24"/>
          <w:szCs w:val="24"/>
          <w:lang w:val="it-IT"/>
        </w:rPr>
      </w:pPr>
      <w:r>
        <w:rPr>
          <w:sz w:val="24"/>
          <w:szCs w:val="24"/>
          <w:lang w:val="it-IT"/>
        </w:rPr>
        <w:t> </w:t>
      </w:r>
      <w:r>
        <w:rPr>
          <w:sz w:val="24"/>
          <w:szCs w:val="24"/>
        </w:rPr>
        <w:t>Stage of trial</w:t>
      </w:r>
      <w:r>
        <w:rPr>
          <w:sz w:val="24"/>
          <w:szCs w:val="24"/>
          <w:lang w:val="it-IT"/>
        </w:rPr>
        <w:t>:</w:t>
      </w:r>
      <w:r>
        <w:rPr>
          <w:sz w:val="24"/>
          <w:szCs w:val="24"/>
        </w:rPr>
        <w:t xml:space="preserve"> Appeal</w:t>
      </w:r>
    </w:p>
    <w:p w:rsidR="00452793" w:rsidRDefault="00452793" w:rsidP="00452793">
      <w:pPr>
        <w:jc w:val="both"/>
        <w:rPr>
          <w:sz w:val="24"/>
          <w:szCs w:val="24"/>
          <w:lang w:val="it-IT"/>
        </w:rPr>
      </w:pPr>
      <w:r>
        <w:rPr>
          <w:b/>
          <w:sz w:val="24"/>
          <w:szCs w:val="24"/>
        </w:rPr>
        <w:t>Hearing</w:t>
      </w:r>
      <w:r>
        <w:rPr>
          <w:b/>
          <w:sz w:val="24"/>
          <w:szCs w:val="24"/>
          <w:lang w:val="it-IT"/>
        </w:rPr>
        <w:t>: </w:t>
      </w:r>
      <w:r>
        <w:rPr>
          <w:sz w:val="24"/>
          <w:szCs w:val="24"/>
          <w:lang w:val="it-IT"/>
        </w:rPr>
        <w:t>--</w:t>
      </w:r>
    </w:p>
    <w:p w:rsidR="00452793" w:rsidRDefault="00452793" w:rsidP="00452793">
      <w:pPr>
        <w:jc w:val="both"/>
        <w:rPr>
          <w:b/>
          <w:sz w:val="24"/>
          <w:szCs w:val="24"/>
          <w:lang w:val="it-IT"/>
        </w:rPr>
      </w:pPr>
    </w:p>
    <w:p w:rsidR="00452793" w:rsidRDefault="00452793" w:rsidP="00452793">
      <w:pPr>
        <w:jc w:val="both"/>
        <w:rPr>
          <w:b/>
          <w:sz w:val="24"/>
          <w:szCs w:val="24"/>
          <w:lang w:val="it-IT"/>
        </w:rPr>
      </w:pPr>
    </w:p>
    <w:p w:rsidR="00452793" w:rsidRDefault="00452793" w:rsidP="00452793">
      <w:pPr>
        <w:jc w:val="both"/>
        <w:rPr>
          <w:b/>
          <w:sz w:val="24"/>
          <w:szCs w:val="24"/>
          <w:lang w:val="ro-RO"/>
        </w:rPr>
      </w:pPr>
      <w:r>
        <w:rPr>
          <w:b/>
          <w:sz w:val="24"/>
          <w:szCs w:val="24"/>
          <w:lang w:val="it-IT"/>
        </w:rPr>
        <w:t>40. </w:t>
      </w:r>
      <w:r>
        <w:rPr>
          <w:b/>
          <w:sz w:val="24"/>
          <w:szCs w:val="24"/>
        </w:rPr>
        <w:t>F</w:t>
      </w:r>
      <w:r>
        <w:rPr>
          <w:b/>
          <w:sz w:val="24"/>
          <w:szCs w:val="24"/>
          <w:lang w:val="ro-RO"/>
        </w:rPr>
        <w:t>ile no. 4991/281/218 - Ploiesti</w:t>
      </w:r>
      <w:r>
        <w:rPr>
          <w:b/>
          <w:sz w:val="24"/>
          <w:szCs w:val="24"/>
        </w:rPr>
        <w:t xml:space="preserve"> Court</w:t>
      </w:r>
      <w:r>
        <w:rPr>
          <w:b/>
          <w:sz w:val="24"/>
          <w:szCs w:val="24"/>
          <w:lang w:val="ro-RO"/>
        </w:rPr>
        <w:t>.</w:t>
      </w:r>
    </w:p>
    <w:p w:rsidR="00452793" w:rsidRDefault="00452793" w:rsidP="00452793">
      <w:pPr>
        <w:jc w:val="both"/>
        <w:rPr>
          <w:sz w:val="24"/>
          <w:szCs w:val="24"/>
          <w:lang w:val="ro-RO"/>
        </w:rPr>
      </w:pPr>
      <w:r>
        <w:rPr>
          <w:b/>
          <w:sz w:val="24"/>
          <w:szCs w:val="24"/>
        </w:rPr>
        <w:t>P</w:t>
      </w:r>
      <w:r>
        <w:rPr>
          <w:b/>
          <w:sz w:val="24"/>
          <w:szCs w:val="24"/>
          <w:lang w:val="ro-RO"/>
        </w:rPr>
        <w:t>arties:</w:t>
      </w:r>
      <w:r>
        <w:rPr>
          <w:sz w:val="24"/>
          <w:szCs w:val="24"/>
          <w:lang w:val="ro-RO"/>
        </w:rPr>
        <w:t xml:space="preserve"> Conpet - </w:t>
      </w:r>
      <w:r>
        <w:rPr>
          <w:sz w:val="24"/>
          <w:szCs w:val="24"/>
        </w:rPr>
        <w:t>complainant</w:t>
      </w:r>
    </w:p>
    <w:p w:rsidR="00452793" w:rsidRDefault="00452793" w:rsidP="00452793">
      <w:pPr>
        <w:jc w:val="both"/>
        <w:rPr>
          <w:sz w:val="24"/>
          <w:szCs w:val="24"/>
          <w:lang w:val="ro-RO"/>
        </w:rPr>
      </w:pPr>
      <w:r>
        <w:rPr>
          <w:sz w:val="24"/>
          <w:szCs w:val="24"/>
          <w:lang w:val="ro-RO"/>
        </w:rPr>
        <w:t xml:space="preserve">           Dobrogeanu Dumitru - </w:t>
      </w:r>
      <w:r>
        <w:rPr>
          <w:sz w:val="24"/>
          <w:szCs w:val="24"/>
        </w:rPr>
        <w:t>respondent</w:t>
      </w:r>
    </w:p>
    <w:p w:rsidR="00452793" w:rsidRDefault="00452793" w:rsidP="00452793">
      <w:pPr>
        <w:jc w:val="both"/>
        <w:rPr>
          <w:sz w:val="24"/>
          <w:szCs w:val="24"/>
          <w:lang w:val="ro-RO"/>
        </w:rPr>
      </w:pPr>
      <w:r>
        <w:rPr>
          <w:b/>
          <w:sz w:val="24"/>
          <w:szCs w:val="24"/>
          <w:lang w:val="ro-RO"/>
        </w:rPr>
        <w:t>Subject:</w:t>
      </w:r>
      <w:r>
        <w:rPr>
          <w:sz w:val="24"/>
          <w:szCs w:val="24"/>
          <w:lang w:val="ro-RO"/>
        </w:rPr>
        <w:t xml:space="preserve"> Conpet </w:t>
      </w:r>
      <w:r>
        <w:rPr>
          <w:sz w:val="24"/>
          <w:szCs w:val="24"/>
        </w:rPr>
        <w:t xml:space="preserve">complains </w:t>
      </w:r>
      <w:r>
        <w:rPr>
          <w:sz w:val="24"/>
          <w:szCs w:val="24"/>
          <w:lang w:val="ro-RO"/>
        </w:rPr>
        <w:t xml:space="preserve">against the enforcement of implementing acts drawn up by Societatea Civilă Profesională de Executori Judecătorești Goslan </w:t>
      </w:r>
      <w:r>
        <w:rPr>
          <w:sz w:val="24"/>
          <w:szCs w:val="24"/>
        </w:rPr>
        <w:t>Si Stanga</w:t>
      </w:r>
      <w:r>
        <w:rPr>
          <w:sz w:val="24"/>
          <w:szCs w:val="24"/>
          <w:lang w:val="ro-RO"/>
        </w:rPr>
        <w:t>, as follows:</w:t>
      </w:r>
    </w:p>
    <w:p w:rsidR="00452793" w:rsidRDefault="00452793" w:rsidP="00452793">
      <w:pPr>
        <w:jc w:val="both"/>
        <w:rPr>
          <w:sz w:val="24"/>
          <w:szCs w:val="24"/>
          <w:lang w:val="ro-RO"/>
        </w:rPr>
      </w:pPr>
      <w:r>
        <w:rPr>
          <w:sz w:val="24"/>
          <w:szCs w:val="24"/>
          <w:lang w:val="ro-RO"/>
        </w:rPr>
        <w:t xml:space="preserve">-The </w:t>
      </w:r>
      <w:r>
        <w:rPr>
          <w:sz w:val="24"/>
          <w:szCs w:val="24"/>
        </w:rPr>
        <w:t xml:space="preserve">Order </w:t>
      </w:r>
      <w:r>
        <w:rPr>
          <w:sz w:val="24"/>
          <w:szCs w:val="24"/>
          <w:lang w:val="ro-RO"/>
        </w:rPr>
        <w:t>o</w:t>
      </w:r>
      <w:r>
        <w:rPr>
          <w:sz w:val="24"/>
          <w:szCs w:val="24"/>
        </w:rPr>
        <w:t>n</w:t>
      </w:r>
      <w:r>
        <w:rPr>
          <w:sz w:val="24"/>
          <w:szCs w:val="24"/>
          <w:lang w:val="ro-RO"/>
        </w:rPr>
        <w:t xml:space="preserve"> 06</w:t>
      </w:r>
      <w:r>
        <w:rPr>
          <w:sz w:val="24"/>
          <w:szCs w:val="24"/>
          <w:vertAlign w:val="superscript"/>
        </w:rPr>
        <w:t>th</w:t>
      </w:r>
      <w:r>
        <w:rPr>
          <w:sz w:val="24"/>
          <w:szCs w:val="24"/>
          <w:lang w:val="ro-RO"/>
        </w:rPr>
        <w:t xml:space="preserve"> February 2018;</w:t>
      </w:r>
    </w:p>
    <w:p w:rsidR="00452793" w:rsidRDefault="00452793" w:rsidP="00452793">
      <w:pPr>
        <w:jc w:val="both"/>
        <w:rPr>
          <w:sz w:val="24"/>
          <w:szCs w:val="24"/>
          <w:lang w:val="ro-RO"/>
        </w:rPr>
      </w:pPr>
      <w:r>
        <w:rPr>
          <w:sz w:val="24"/>
          <w:szCs w:val="24"/>
          <w:lang w:val="ro-RO"/>
        </w:rPr>
        <w:t>- The notification of 06</w:t>
      </w:r>
      <w:r>
        <w:rPr>
          <w:sz w:val="24"/>
          <w:szCs w:val="24"/>
          <w:vertAlign w:val="superscript"/>
        </w:rPr>
        <w:t>th</w:t>
      </w:r>
      <w:r>
        <w:rPr>
          <w:sz w:val="24"/>
          <w:szCs w:val="24"/>
        </w:rPr>
        <w:t xml:space="preserve"> </w:t>
      </w:r>
      <w:r>
        <w:rPr>
          <w:sz w:val="24"/>
          <w:szCs w:val="24"/>
          <w:lang w:val="ro-RO"/>
        </w:rPr>
        <w:t>February 2018;</w:t>
      </w:r>
    </w:p>
    <w:p w:rsidR="00452793" w:rsidRDefault="00452793" w:rsidP="00452793">
      <w:pPr>
        <w:jc w:val="both"/>
        <w:rPr>
          <w:sz w:val="24"/>
          <w:szCs w:val="24"/>
          <w:lang w:val="ro-RO"/>
        </w:rPr>
      </w:pPr>
      <w:r>
        <w:rPr>
          <w:sz w:val="24"/>
          <w:szCs w:val="24"/>
          <w:lang w:val="ro-RO"/>
        </w:rPr>
        <w:t>-</w:t>
      </w:r>
      <w:r>
        <w:rPr>
          <w:sz w:val="24"/>
          <w:szCs w:val="24"/>
        </w:rPr>
        <w:t xml:space="preserve">Explanatory notice </w:t>
      </w:r>
      <w:r>
        <w:rPr>
          <w:sz w:val="24"/>
          <w:szCs w:val="24"/>
          <w:lang w:val="ro-RO"/>
        </w:rPr>
        <w:t>dated 01</w:t>
      </w:r>
      <w:r>
        <w:rPr>
          <w:sz w:val="24"/>
          <w:szCs w:val="24"/>
          <w:vertAlign w:val="superscript"/>
        </w:rPr>
        <w:t>st</w:t>
      </w:r>
      <w:r>
        <w:rPr>
          <w:sz w:val="24"/>
          <w:szCs w:val="24"/>
          <w:lang w:val="ro-RO"/>
        </w:rPr>
        <w:t xml:space="preserve"> March 2018 </w:t>
      </w:r>
      <w:r>
        <w:rPr>
          <w:sz w:val="24"/>
          <w:szCs w:val="24"/>
        </w:rPr>
        <w:t>for the summon</w:t>
      </w:r>
      <w:r>
        <w:rPr>
          <w:sz w:val="24"/>
          <w:szCs w:val="24"/>
          <w:lang w:val="ro-RO"/>
        </w:rPr>
        <w:t xml:space="preserve"> </w:t>
      </w:r>
      <w:r>
        <w:rPr>
          <w:sz w:val="24"/>
          <w:szCs w:val="24"/>
        </w:rPr>
        <w:t xml:space="preserve">on </w:t>
      </w:r>
      <w:r>
        <w:rPr>
          <w:sz w:val="24"/>
          <w:szCs w:val="24"/>
          <w:lang w:val="ro-RO"/>
        </w:rPr>
        <w:t>06</w:t>
      </w:r>
      <w:r>
        <w:rPr>
          <w:sz w:val="24"/>
          <w:szCs w:val="24"/>
          <w:vertAlign w:val="superscript"/>
        </w:rPr>
        <w:t>th</w:t>
      </w:r>
      <w:r>
        <w:rPr>
          <w:sz w:val="24"/>
          <w:szCs w:val="24"/>
          <w:lang w:val="ro-RO"/>
        </w:rPr>
        <w:t xml:space="preserve"> February 2018</w:t>
      </w:r>
      <w:r>
        <w:rPr>
          <w:sz w:val="24"/>
          <w:szCs w:val="24"/>
        </w:rPr>
        <w:t xml:space="preserve"> a</w:t>
      </w:r>
      <w:r>
        <w:rPr>
          <w:sz w:val="24"/>
          <w:szCs w:val="24"/>
          <w:lang w:val="ro-RO"/>
        </w:rPr>
        <w:t>nd requests:</w:t>
      </w:r>
    </w:p>
    <w:p w:rsidR="00452793" w:rsidRDefault="00452793" w:rsidP="00D87DA4">
      <w:pPr>
        <w:widowControl/>
        <w:numPr>
          <w:ilvl w:val="0"/>
          <w:numId w:val="50"/>
        </w:numPr>
        <w:autoSpaceDE/>
        <w:autoSpaceDN/>
        <w:adjustRightInd/>
        <w:jc w:val="both"/>
        <w:rPr>
          <w:sz w:val="24"/>
          <w:szCs w:val="24"/>
          <w:lang w:val="ro-RO"/>
        </w:rPr>
      </w:pPr>
      <w:r>
        <w:rPr>
          <w:sz w:val="24"/>
          <w:szCs w:val="24"/>
          <w:lang w:val="ro-RO"/>
        </w:rPr>
        <w:t>Cancel</w:t>
      </w:r>
      <w:r>
        <w:rPr>
          <w:sz w:val="24"/>
          <w:szCs w:val="24"/>
        </w:rPr>
        <w:t xml:space="preserve">ing </w:t>
      </w:r>
      <w:r>
        <w:rPr>
          <w:sz w:val="24"/>
          <w:szCs w:val="24"/>
          <w:lang w:val="ro-RO"/>
        </w:rPr>
        <w:t xml:space="preserve">the </w:t>
      </w:r>
      <w:r>
        <w:rPr>
          <w:sz w:val="24"/>
          <w:szCs w:val="24"/>
        </w:rPr>
        <w:t xml:space="preserve">order </w:t>
      </w:r>
      <w:r>
        <w:rPr>
          <w:sz w:val="24"/>
          <w:szCs w:val="24"/>
          <w:lang w:val="ro-RO"/>
        </w:rPr>
        <w:t>o</w:t>
      </w:r>
      <w:r>
        <w:rPr>
          <w:sz w:val="24"/>
          <w:szCs w:val="24"/>
        </w:rPr>
        <w:t>n</w:t>
      </w:r>
      <w:r>
        <w:rPr>
          <w:sz w:val="24"/>
          <w:szCs w:val="24"/>
          <w:lang w:val="ro-RO"/>
        </w:rPr>
        <w:t xml:space="preserve"> 06</w:t>
      </w:r>
      <w:r>
        <w:rPr>
          <w:sz w:val="24"/>
          <w:szCs w:val="24"/>
          <w:vertAlign w:val="superscript"/>
        </w:rPr>
        <w:t>th</w:t>
      </w:r>
      <w:r>
        <w:rPr>
          <w:sz w:val="24"/>
          <w:szCs w:val="24"/>
          <w:lang w:val="ro-RO"/>
        </w:rPr>
        <w:t xml:space="preserve"> February 2018 issued in the file no. 4526/2017 on </w:t>
      </w:r>
      <w:r>
        <w:rPr>
          <w:sz w:val="24"/>
          <w:szCs w:val="24"/>
        </w:rPr>
        <w:t xml:space="preserve">setting the </w:t>
      </w:r>
      <w:r>
        <w:rPr>
          <w:sz w:val="24"/>
          <w:szCs w:val="24"/>
          <w:lang w:val="ro-RO"/>
        </w:rPr>
        <w:t>costs of enforcement measures.</w:t>
      </w:r>
    </w:p>
    <w:p w:rsidR="00452793" w:rsidRDefault="00452793" w:rsidP="00D87DA4">
      <w:pPr>
        <w:widowControl/>
        <w:numPr>
          <w:ilvl w:val="0"/>
          <w:numId w:val="50"/>
        </w:numPr>
        <w:autoSpaceDE/>
        <w:autoSpaceDN/>
        <w:adjustRightInd/>
        <w:jc w:val="both"/>
        <w:rPr>
          <w:sz w:val="24"/>
          <w:szCs w:val="24"/>
          <w:lang w:val="ro-RO"/>
        </w:rPr>
      </w:pPr>
      <w:r>
        <w:rPr>
          <w:sz w:val="24"/>
          <w:szCs w:val="24"/>
          <w:lang w:val="ro-RO"/>
        </w:rPr>
        <w:t>Cancellation Notification dated 06</w:t>
      </w:r>
      <w:r>
        <w:rPr>
          <w:sz w:val="24"/>
          <w:szCs w:val="24"/>
          <w:vertAlign w:val="superscript"/>
        </w:rPr>
        <w:t>th</w:t>
      </w:r>
      <w:r>
        <w:rPr>
          <w:sz w:val="24"/>
          <w:szCs w:val="24"/>
          <w:lang w:val="ro-RO"/>
        </w:rPr>
        <w:t xml:space="preserve"> February 2018 issued in the file no. 4526/2017 concerning the prosecution against CONPET triggering </w:t>
      </w:r>
      <w:r>
        <w:rPr>
          <w:sz w:val="24"/>
          <w:szCs w:val="24"/>
        </w:rPr>
        <w:t xml:space="preserve">legal seizure regarding an </w:t>
      </w:r>
      <w:r>
        <w:rPr>
          <w:sz w:val="24"/>
          <w:szCs w:val="24"/>
          <w:lang w:val="ro-RO"/>
        </w:rPr>
        <w:t>update with inflation rate of the debt established in the title of the enforceable represented by the civil Decision No 669/20.12.2011, from the date of 20</w:t>
      </w:r>
      <w:r>
        <w:rPr>
          <w:sz w:val="24"/>
          <w:szCs w:val="24"/>
          <w:vertAlign w:val="superscript"/>
        </w:rPr>
        <w:t>th</w:t>
      </w:r>
      <w:r>
        <w:rPr>
          <w:sz w:val="24"/>
          <w:szCs w:val="24"/>
        </w:rPr>
        <w:t xml:space="preserve"> Nov </w:t>
      </w:r>
      <w:r>
        <w:rPr>
          <w:sz w:val="24"/>
          <w:szCs w:val="24"/>
          <w:lang w:val="ro-RO"/>
        </w:rPr>
        <w:t xml:space="preserve">2011 until the date of actual payment, pronounced by the Prahova </w:t>
      </w:r>
      <w:r>
        <w:rPr>
          <w:sz w:val="24"/>
          <w:szCs w:val="24"/>
        </w:rPr>
        <w:t xml:space="preserve">Court </w:t>
      </w:r>
      <w:r>
        <w:rPr>
          <w:sz w:val="24"/>
          <w:szCs w:val="24"/>
          <w:lang w:val="ro-RO"/>
        </w:rPr>
        <w:t xml:space="preserve">in the </w:t>
      </w:r>
      <w:r>
        <w:rPr>
          <w:sz w:val="24"/>
          <w:szCs w:val="24"/>
        </w:rPr>
        <w:t>file</w:t>
      </w:r>
      <w:r>
        <w:rPr>
          <w:sz w:val="24"/>
          <w:szCs w:val="24"/>
          <w:lang w:val="ro-RO"/>
        </w:rPr>
        <w:t xml:space="preserve"> No 14660/281/2005;</w:t>
      </w:r>
    </w:p>
    <w:p w:rsidR="00452793" w:rsidRDefault="00452793" w:rsidP="00D87DA4">
      <w:pPr>
        <w:widowControl/>
        <w:numPr>
          <w:ilvl w:val="0"/>
          <w:numId w:val="50"/>
        </w:numPr>
        <w:autoSpaceDE/>
        <w:autoSpaceDN/>
        <w:adjustRightInd/>
        <w:jc w:val="both"/>
        <w:rPr>
          <w:sz w:val="24"/>
          <w:szCs w:val="24"/>
          <w:lang w:val="ro-RO"/>
        </w:rPr>
      </w:pPr>
      <w:r>
        <w:rPr>
          <w:sz w:val="24"/>
          <w:szCs w:val="24"/>
        </w:rPr>
        <w:t xml:space="preserve">Canceling the Explanatory notice </w:t>
      </w:r>
      <w:r>
        <w:rPr>
          <w:sz w:val="24"/>
          <w:szCs w:val="24"/>
          <w:lang w:val="ro-RO"/>
        </w:rPr>
        <w:t>dated 01</w:t>
      </w:r>
      <w:r>
        <w:rPr>
          <w:sz w:val="24"/>
          <w:szCs w:val="24"/>
          <w:vertAlign w:val="superscript"/>
        </w:rPr>
        <w:t>st</w:t>
      </w:r>
      <w:r>
        <w:rPr>
          <w:sz w:val="24"/>
          <w:szCs w:val="24"/>
          <w:lang w:val="ro-RO"/>
        </w:rPr>
        <w:t xml:space="preserve"> March 2018 </w:t>
      </w:r>
      <w:r>
        <w:rPr>
          <w:sz w:val="24"/>
          <w:szCs w:val="24"/>
        </w:rPr>
        <w:t>for the summon</w:t>
      </w:r>
      <w:r>
        <w:rPr>
          <w:sz w:val="24"/>
          <w:szCs w:val="24"/>
          <w:lang w:val="ro-RO"/>
        </w:rPr>
        <w:t xml:space="preserve"> </w:t>
      </w:r>
      <w:r>
        <w:rPr>
          <w:sz w:val="24"/>
          <w:szCs w:val="24"/>
        </w:rPr>
        <w:t xml:space="preserve">on </w:t>
      </w:r>
      <w:r>
        <w:rPr>
          <w:sz w:val="24"/>
          <w:szCs w:val="24"/>
          <w:lang w:val="ro-RO"/>
        </w:rPr>
        <w:t>06</w:t>
      </w:r>
      <w:r>
        <w:rPr>
          <w:sz w:val="24"/>
          <w:szCs w:val="24"/>
          <w:vertAlign w:val="superscript"/>
        </w:rPr>
        <w:t>th</w:t>
      </w:r>
      <w:r>
        <w:rPr>
          <w:sz w:val="24"/>
          <w:szCs w:val="24"/>
          <w:lang w:val="ro-RO"/>
        </w:rPr>
        <w:t xml:space="preserve"> February 2018</w:t>
      </w:r>
      <w:r>
        <w:rPr>
          <w:sz w:val="24"/>
          <w:szCs w:val="24"/>
        </w:rPr>
        <w:t xml:space="preserve"> </w:t>
      </w:r>
      <w:r>
        <w:rPr>
          <w:sz w:val="24"/>
          <w:szCs w:val="24"/>
          <w:lang w:val="ro-RO"/>
        </w:rPr>
        <w:t xml:space="preserve">issued in the file no.4526/2017, on payment by CONPET </w:t>
      </w:r>
      <w:r>
        <w:rPr>
          <w:sz w:val="24"/>
          <w:szCs w:val="24"/>
        </w:rPr>
        <w:t xml:space="preserve">of </w:t>
      </w:r>
      <w:r>
        <w:rPr>
          <w:sz w:val="24"/>
          <w:szCs w:val="24"/>
          <w:lang w:val="ro-RO"/>
        </w:rPr>
        <w:t xml:space="preserve">only </w:t>
      </w:r>
      <w:r>
        <w:rPr>
          <w:sz w:val="24"/>
          <w:szCs w:val="24"/>
        </w:rPr>
        <w:t xml:space="preserve">the </w:t>
      </w:r>
      <w:r>
        <w:rPr>
          <w:sz w:val="24"/>
          <w:szCs w:val="24"/>
          <w:lang w:val="ro-RO"/>
        </w:rPr>
        <w:t>update</w:t>
      </w:r>
      <w:r>
        <w:rPr>
          <w:sz w:val="24"/>
          <w:szCs w:val="24"/>
        </w:rPr>
        <w:t xml:space="preserve"> of</w:t>
      </w:r>
      <w:r>
        <w:rPr>
          <w:sz w:val="24"/>
          <w:szCs w:val="24"/>
          <w:lang w:val="ro-RO"/>
        </w:rPr>
        <w:t xml:space="preserve"> the claim</w:t>
      </w:r>
      <w:r>
        <w:rPr>
          <w:sz w:val="24"/>
          <w:szCs w:val="24"/>
        </w:rPr>
        <w:t>-</w:t>
      </w:r>
      <w:r>
        <w:rPr>
          <w:sz w:val="24"/>
          <w:szCs w:val="24"/>
          <w:lang w:val="ro-RO"/>
        </w:rPr>
        <w:t xml:space="preserve"> </w:t>
      </w:r>
      <w:r>
        <w:rPr>
          <w:sz w:val="24"/>
          <w:szCs w:val="24"/>
        </w:rPr>
        <w:t xml:space="preserve">RON </w:t>
      </w:r>
      <w:r>
        <w:rPr>
          <w:sz w:val="24"/>
          <w:szCs w:val="24"/>
          <w:lang w:val="ro-RO"/>
        </w:rPr>
        <w:t xml:space="preserve">53.116,00 </w:t>
      </w:r>
      <w:r>
        <w:rPr>
          <w:sz w:val="24"/>
          <w:szCs w:val="24"/>
        </w:rPr>
        <w:t>in</w:t>
      </w:r>
      <w:r>
        <w:rPr>
          <w:sz w:val="24"/>
          <w:szCs w:val="24"/>
          <w:lang w:val="ro-RO"/>
        </w:rPr>
        <w:t xml:space="preserve"> 2014.</w:t>
      </w:r>
    </w:p>
    <w:p w:rsidR="00452793" w:rsidRDefault="00452793" w:rsidP="00D87DA4">
      <w:pPr>
        <w:widowControl/>
        <w:numPr>
          <w:ilvl w:val="0"/>
          <w:numId w:val="50"/>
        </w:numPr>
        <w:autoSpaceDE/>
        <w:autoSpaceDN/>
        <w:adjustRightInd/>
        <w:jc w:val="both"/>
        <w:rPr>
          <w:sz w:val="24"/>
          <w:szCs w:val="24"/>
          <w:lang w:val="ro-RO"/>
        </w:rPr>
      </w:pPr>
      <w:r>
        <w:rPr>
          <w:sz w:val="24"/>
          <w:szCs w:val="24"/>
        </w:rPr>
        <w:t xml:space="preserve"> Backing </w:t>
      </w:r>
      <w:r>
        <w:rPr>
          <w:sz w:val="24"/>
          <w:szCs w:val="24"/>
          <w:lang w:val="ro-RO"/>
        </w:rPr>
        <w:t xml:space="preserve">the </w:t>
      </w:r>
      <w:r>
        <w:rPr>
          <w:sz w:val="24"/>
          <w:szCs w:val="24"/>
        </w:rPr>
        <w:t xml:space="preserve">enforcement by </w:t>
      </w:r>
      <w:r>
        <w:rPr>
          <w:sz w:val="24"/>
          <w:szCs w:val="24"/>
          <w:lang w:val="ro-RO"/>
        </w:rPr>
        <w:t>restoring the previous situation.</w:t>
      </w:r>
    </w:p>
    <w:p w:rsidR="00452793" w:rsidRDefault="00452793" w:rsidP="00D87DA4">
      <w:pPr>
        <w:widowControl/>
        <w:numPr>
          <w:ilvl w:val="0"/>
          <w:numId w:val="50"/>
        </w:numPr>
        <w:autoSpaceDE/>
        <w:autoSpaceDN/>
        <w:adjustRightInd/>
        <w:jc w:val="both"/>
        <w:rPr>
          <w:sz w:val="24"/>
          <w:szCs w:val="24"/>
          <w:lang w:val="ro-RO"/>
        </w:rPr>
      </w:pPr>
      <w:r>
        <w:rPr>
          <w:sz w:val="24"/>
          <w:szCs w:val="24"/>
          <w:lang w:val="ro-RO"/>
        </w:rPr>
        <w:t>The court expenses.</w:t>
      </w:r>
    </w:p>
    <w:p w:rsidR="00452793" w:rsidRDefault="00452793" w:rsidP="00452793">
      <w:pPr>
        <w:jc w:val="both"/>
        <w:rPr>
          <w:sz w:val="24"/>
          <w:szCs w:val="24"/>
        </w:rPr>
      </w:pPr>
      <w:r>
        <w:rPr>
          <w:b/>
          <w:sz w:val="24"/>
          <w:szCs w:val="24"/>
        </w:rPr>
        <w:t>Clarifications</w:t>
      </w:r>
      <w:r>
        <w:rPr>
          <w:b/>
          <w:sz w:val="24"/>
          <w:szCs w:val="24"/>
          <w:lang w:val="ro-RO"/>
        </w:rPr>
        <w:t>: </w:t>
      </w:r>
      <w:r>
        <w:rPr>
          <w:sz w:val="24"/>
          <w:szCs w:val="24"/>
          <w:lang w:val="ro-RO"/>
        </w:rPr>
        <w:t>By </w:t>
      </w:r>
      <w:r>
        <w:rPr>
          <w:b/>
          <w:sz w:val="24"/>
          <w:szCs w:val="24"/>
          <w:lang w:val="ro-RO"/>
        </w:rPr>
        <w:t>conclu</w:t>
      </w:r>
      <w:r>
        <w:rPr>
          <w:b/>
          <w:sz w:val="24"/>
          <w:szCs w:val="24"/>
        </w:rPr>
        <w:t>sion</w:t>
      </w:r>
      <w:r>
        <w:rPr>
          <w:b/>
          <w:sz w:val="24"/>
          <w:szCs w:val="24"/>
          <w:lang w:val="ro-RO"/>
        </w:rPr>
        <w:t xml:space="preserve"> No. 1515/19.06.2018</w:t>
      </w:r>
      <w:r>
        <w:rPr>
          <w:sz w:val="24"/>
          <w:szCs w:val="24"/>
          <w:lang w:val="ro-RO"/>
        </w:rPr>
        <w:t xml:space="preserve"> Ploiesti Court admitted </w:t>
      </w:r>
      <w:r>
        <w:rPr>
          <w:sz w:val="24"/>
          <w:szCs w:val="24"/>
        </w:rPr>
        <w:t xml:space="preserve">the unstamp plea </w:t>
      </w:r>
      <w:r>
        <w:rPr>
          <w:sz w:val="24"/>
          <w:szCs w:val="24"/>
          <w:lang w:val="ro-RO"/>
        </w:rPr>
        <w:t xml:space="preserve">for the application of the Summoning in </w:t>
      </w:r>
      <w:r>
        <w:rPr>
          <w:sz w:val="24"/>
          <w:szCs w:val="24"/>
        </w:rPr>
        <w:t>sentence</w:t>
      </w:r>
      <w:r>
        <w:rPr>
          <w:sz w:val="24"/>
          <w:szCs w:val="24"/>
          <w:lang w:val="ro-RO"/>
        </w:rPr>
        <w:t xml:space="preserve">, invoked ex officio. Cancels the request that </w:t>
      </w:r>
      <w:r>
        <w:rPr>
          <w:sz w:val="24"/>
          <w:szCs w:val="24"/>
        </w:rPr>
        <w:t>was not stamped</w:t>
      </w:r>
      <w:r>
        <w:rPr>
          <w:sz w:val="24"/>
          <w:szCs w:val="24"/>
          <w:lang w:val="ro-RO"/>
        </w:rPr>
        <w:t xml:space="preserve">. The </w:t>
      </w:r>
      <w:r>
        <w:rPr>
          <w:sz w:val="24"/>
          <w:szCs w:val="24"/>
        </w:rPr>
        <w:t>sentence</w:t>
      </w:r>
      <w:r>
        <w:rPr>
          <w:sz w:val="24"/>
          <w:szCs w:val="24"/>
          <w:lang w:val="ro-RO"/>
        </w:rPr>
        <w:t xml:space="preserve"> can be </w:t>
      </w:r>
      <w:r>
        <w:rPr>
          <w:sz w:val="24"/>
          <w:szCs w:val="24"/>
        </w:rPr>
        <w:t xml:space="preserve">appealed </w:t>
      </w:r>
      <w:r>
        <w:rPr>
          <w:sz w:val="24"/>
          <w:szCs w:val="24"/>
          <w:lang w:val="ro-RO"/>
        </w:rPr>
        <w:t>after communication. </w:t>
      </w:r>
    </w:p>
    <w:p w:rsidR="00452793" w:rsidRDefault="00452793" w:rsidP="00452793">
      <w:pPr>
        <w:jc w:val="both"/>
        <w:rPr>
          <w:sz w:val="24"/>
          <w:szCs w:val="24"/>
          <w:lang w:val="ro-RO"/>
        </w:rPr>
      </w:pPr>
      <w:r>
        <w:rPr>
          <w:b/>
          <w:sz w:val="24"/>
          <w:szCs w:val="24"/>
          <w:lang w:val="ro-RO"/>
        </w:rPr>
        <w:t>Procesual stage: </w:t>
      </w:r>
      <w:r>
        <w:rPr>
          <w:sz w:val="24"/>
          <w:szCs w:val="24"/>
          <w:lang w:val="ro-RO"/>
        </w:rPr>
        <w:t>--</w:t>
      </w:r>
    </w:p>
    <w:p w:rsidR="00452793" w:rsidRDefault="00452793" w:rsidP="00452793">
      <w:pPr>
        <w:jc w:val="both"/>
        <w:rPr>
          <w:sz w:val="24"/>
          <w:szCs w:val="24"/>
          <w:lang w:val="ro-RO"/>
        </w:rPr>
      </w:pPr>
      <w:r>
        <w:rPr>
          <w:b/>
          <w:sz w:val="24"/>
          <w:szCs w:val="24"/>
          <w:lang w:val="ro-RO"/>
        </w:rPr>
        <w:t>Period: </w:t>
      </w:r>
      <w:r>
        <w:rPr>
          <w:sz w:val="24"/>
          <w:szCs w:val="24"/>
          <w:lang w:val="ro-RO"/>
        </w:rPr>
        <w:t>--</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lang w:val="ro-RO"/>
        </w:rPr>
        <w:t xml:space="preserve">41. </w:t>
      </w:r>
      <w:r>
        <w:rPr>
          <w:b/>
          <w:sz w:val="24"/>
          <w:szCs w:val="24"/>
        </w:rPr>
        <w:t>File</w:t>
      </w:r>
      <w:r>
        <w:rPr>
          <w:b/>
          <w:sz w:val="24"/>
          <w:szCs w:val="24"/>
          <w:lang w:val="ro-RO"/>
        </w:rPr>
        <w:t xml:space="preserve"> No </w:t>
      </w:r>
      <w:r>
        <w:rPr>
          <w:b/>
          <w:sz w:val="24"/>
          <w:szCs w:val="24"/>
        </w:rPr>
        <w:t xml:space="preserve">611/310/2018 - Sinaia Courthouse </w:t>
      </w:r>
    </w:p>
    <w:p w:rsidR="00452793" w:rsidRDefault="00452793" w:rsidP="00452793">
      <w:pPr>
        <w:jc w:val="both"/>
        <w:rPr>
          <w:sz w:val="24"/>
          <w:szCs w:val="24"/>
        </w:rPr>
      </w:pPr>
      <w:r>
        <w:rPr>
          <w:b/>
          <w:sz w:val="24"/>
          <w:szCs w:val="24"/>
        </w:rPr>
        <w:lastRenderedPageBreak/>
        <w:t>The parties: </w:t>
      </w:r>
      <w:r>
        <w:rPr>
          <w:sz w:val="24"/>
          <w:szCs w:val="24"/>
        </w:rPr>
        <w:t>Conpet - complainant</w:t>
      </w:r>
    </w:p>
    <w:p w:rsidR="00452793" w:rsidRDefault="00452793" w:rsidP="00452793">
      <w:pPr>
        <w:jc w:val="both"/>
        <w:rPr>
          <w:sz w:val="24"/>
          <w:szCs w:val="24"/>
        </w:rPr>
      </w:pPr>
      <w:r>
        <w:rPr>
          <w:sz w:val="24"/>
          <w:szCs w:val="24"/>
        </w:rPr>
        <w:t xml:space="preserve">            U.A.T. Sinaia City by Mayor- </w:t>
      </w:r>
      <w:proofErr w:type="gramStart"/>
      <w:r>
        <w:rPr>
          <w:sz w:val="24"/>
          <w:szCs w:val="24"/>
        </w:rPr>
        <w:t>defendant</w:t>
      </w:r>
      <w:proofErr w:type="gramEnd"/>
    </w:p>
    <w:p w:rsidR="00452793" w:rsidRDefault="00452793" w:rsidP="00452793">
      <w:pPr>
        <w:jc w:val="both"/>
        <w:rPr>
          <w:sz w:val="24"/>
          <w:szCs w:val="24"/>
        </w:rPr>
      </w:pPr>
      <w:r>
        <w:rPr>
          <w:b/>
          <w:sz w:val="24"/>
          <w:szCs w:val="24"/>
        </w:rPr>
        <w:t>Subject:</w:t>
      </w:r>
      <w:r>
        <w:rPr>
          <w:sz w:val="24"/>
          <w:szCs w:val="24"/>
        </w:rPr>
        <w:t> Conpet filed a complaint against the record of findings and penalties no. 4 dated 05</w:t>
      </w:r>
      <w:r>
        <w:rPr>
          <w:sz w:val="24"/>
          <w:szCs w:val="24"/>
          <w:vertAlign w:val="superscript"/>
        </w:rPr>
        <w:t>th</w:t>
      </w:r>
      <w:r>
        <w:rPr>
          <w:sz w:val="24"/>
          <w:szCs w:val="24"/>
        </w:rPr>
        <w:t xml:space="preserve"> March 2018 concluded by U.A.T. Sinaia town, requesting the admission process of the grievance and cancellation of the record of findings and </w:t>
      </w:r>
      <w:proofErr w:type="gramStart"/>
      <w:r>
        <w:rPr>
          <w:sz w:val="24"/>
          <w:szCs w:val="24"/>
        </w:rPr>
        <w:t>penalties ,</w:t>
      </w:r>
      <w:proofErr w:type="gramEnd"/>
      <w:r>
        <w:rPr>
          <w:sz w:val="24"/>
          <w:szCs w:val="24"/>
        </w:rPr>
        <w:t xml:space="preserve"> and secondarily, the replacement of the sanction with caution. </w:t>
      </w:r>
      <w:proofErr w:type="gramStart"/>
      <w:r>
        <w:rPr>
          <w:sz w:val="24"/>
          <w:szCs w:val="24"/>
        </w:rPr>
        <w:t>By the attacked record, the inspector Naparus Georgeta within U.A.T. Sinaia town, after a check carried out on 05</w:t>
      </w:r>
      <w:r>
        <w:rPr>
          <w:sz w:val="24"/>
          <w:szCs w:val="24"/>
          <w:vertAlign w:val="superscript"/>
        </w:rPr>
        <w:t>th</w:t>
      </w:r>
      <w:r>
        <w:rPr>
          <w:sz w:val="24"/>
          <w:szCs w:val="24"/>
        </w:rPr>
        <w:t xml:space="preserve"> March 2018, 15.00, at Sinaia, the Cota 2000 - Bucegi Mountains, shelter 2000, Prahova County, found the following: "The works were carried out in contravention of authorisation to construct no. 70/29.08.2016 that: the roof on the rear end panel has a breaking of the slope along the whole length of the front end panel; this change causes exceeding of: built area &gt; 150,00 mp, POT&gt; 18%, carried out area&gt; 230,00 mp, CUT &gt; 0,36; to support the wall plate a wall support was built; the works have been carried out in the year 2017." .</w:t>
      </w:r>
      <w:proofErr w:type="gramEnd"/>
      <w:r>
        <w:rPr>
          <w:sz w:val="24"/>
          <w:szCs w:val="24"/>
        </w:rPr>
        <w:t xml:space="preserve"> In its resolution on the imposition of the sanction the mayor of the town of Sinaia has applied the penalty of a fine amounting to RON 50,000 in accordance with Article 26(b) of Law No 50/1991 and ordered the measures of seizing of the activity and regularization.</w:t>
      </w:r>
    </w:p>
    <w:p w:rsidR="00452793" w:rsidRDefault="00452793" w:rsidP="00452793">
      <w:pPr>
        <w:jc w:val="both"/>
        <w:rPr>
          <w:b/>
          <w:sz w:val="24"/>
          <w:szCs w:val="24"/>
        </w:rPr>
      </w:pPr>
      <w:r>
        <w:rPr>
          <w:b/>
          <w:sz w:val="24"/>
          <w:szCs w:val="24"/>
        </w:rPr>
        <w:t>Clarifications: --</w:t>
      </w:r>
    </w:p>
    <w:p w:rsidR="00452793" w:rsidRDefault="00452793" w:rsidP="00452793">
      <w:pPr>
        <w:jc w:val="both"/>
        <w:rPr>
          <w:sz w:val="24"/>
          <w:szCs w:val="24"/>
        </w:rPr>
      </w:pPr>
      <w:r>
        <w:rPr>
          <w:sz w:val="24"/>
          <w:szCs w:val="24"/>
        </w:rPr>
        <w:t xml:space="preserve">Stage of </w:t>
      </w:r>
      <w:proofErr w:type="gramStart"/>
      <w:r>
        <w:rPr>
          <w:sz w:val="24"/>
          <w:szCs w:val="24"/>
        </w:rPr>
        <w:t>trial :</w:t>
      </w:r>
      <w:proofErr w:type="gramEnd"/>
    </w:p>
    <w:p w:rsidR="00452793" w:rsidRDefault="00452793" w:rsidP="00452793">
      <w:pPr>
        <w:jc w:val="both"/>
        <w:rPr>
          <w:b/>
          <w:sz w:val="24"/>
          <w:szCs w:val="24"/>
        </w:rPr>
      </w:pPr>
      <w:r>
        <w:rPr>
          <w:b/>
          <w:sz w:val="24"/>
          <w:szCs w:val="24"/>
        </w:rPr>
        <w:t> </w:t>
      </w:r>
      <w:r>
        <w:rPr>
          <w:sz w:val="24"/>
          <w:szCs w:val="24"/>
        </w:rPr>
        <w:t xml:space="preserve">Hearing: </w:t>
      </w:r>
      <w:proofErr w:type="gramStart"/>
      <w:r>
        <w:rPr>
          <w:sz w:val="24"/>
          <w:szCs w:val="24"/>
        </w:rPr>
        <w:t>21</w:t>
      </w:r>
      <w:r>
        <w:rPr>
          <w:sz w:val="24"/>
          <w:szCs w:val="24"/>
          <w:vertAlign w:val="superscript"/>
        </w:rPr>
        <w:t>st</w:t>
      </w:r>
      <w:proofErr w:type="gramEnd"/>
      <w:r>
        <w:rPr>
          <w:sz w:val="24"/>
          <w:szCs w:val="24"/>
        </w:rPr>
        <w:t xml:space="preserve"> Aug 2018 </w:t>
      </w:r>
    </w:p>
    <w:p w:rsidR="00452793" w:rsidRDefault="00452793" w:rsidP="00452793">
      <w:pPr>
        <w:jc w:val="both"/>
        <w:rPr>
          <w:bCs/>
          <w:sz w:val="24"/>
          <w:szCs w:val="24"/>
        </w:rPr>
      </w:pPr>
      <w:r>
        <w:rPr>
          <w:bCs/>
          <w:sz w:val="24"/>
          <w:szCs w:val="24"/>
        </w:rPr>
        <w:t>                   </w:t>
      </w:r>
    </w:p>
    <w:p w:rsidR="00452793" w:rsidRDefault="00452793" w:rsidP="00452793">
      <w:pPr>
        <w:jc w:val="both"/>
        <w:rPr>
          <w:bCs/>
          <w:sz w:val="24"/>
          <w:szCs w:val="24"/>
        </w:rPr>
      </w:pPr>
    </w:p>
    <w:p w:rsidR="00452793" w:rsidRDefault="00452793" w:rsidP="00452793">
      <w:pPr>
        <w:jc w:val="both"/>
        <w:rPr>
          <w:b/>
          <w:bCs/>
          <w:sz w:val="24"/>
          <w:szCs w:val="24"/>
        </w:rPr>
      </w:pPr>
      <w:r>
        <w:rPr>
          <w:b/>
          <w:bCs/>
          <w:sz w:val="24"/>
          <w:szCs w:val="24"/>
        </w:rPr>
        <w:t>42</w:t>
      </w:r>
      <w:proofErr w:type="gramStart"/>
      <w:r>
        <w:rPr>
          <w:b/>
          <w:bCs/>
          <w:sz w:val="24"/>
          <w:szCs w:val="24"/>
        </w:rPr>
        <w:t>.File</w:t>
      </w:r>
      <w:proofErr w:type="gramEnd"/>
      <w:r>
        <w:rPr>
          <w:b/>
          <w:bCs/>
          <w:sz w:val="24"/>
          <w:szCs w:val="24"/>
        </w:rPr>
        <w:t xml:space="preserve"> no. 1064/192/2018 - Bolintin village Valley Courthouse </w:t>
      </w:r>
    </w:p>
    <w:p w:rsidR="00452793" w:rsidRDefault="00452793" w:rsidP="00452793">
      <w:pPr>
        <w:jc w:val="both"/>
        <w:rPr>
          <w:bCs/>
          <w:sz w:val="24"/>
          <w:szCs w:val="24"/>
        </w:rPr>
      </w:pPr>
      <w:r>
        <w:rPr>
          <w:b/>
          <w:bCs/>
          <w:sz w:val="24"/>
          <w:szCs w:val="24"/>
        </w:rPr>
        <w:t>The parties:</w:t>
      </w:r>
      <w:r>
        <w:rPr>
          <w:bCs/>
          <w:sz w:val="24"/>
          <w:szCs w:val="24"/>
        </w:rPr>
        <w:t xml:space="preserve"> Conpet - </w:t>
      </w:r>
      <w:r>
        <w:rPr>
          <w:sz w:val="24"/>
          <w:szCs w:val="24"/>
        </w:rPr>
        <w:t>complainant</w:t>
      </w:r>
    </w:p>
    <w:p w:rsidR="00452793" w:rsidRDefault="00452793" w:rsidP="00452793">
      <w:pPr>
        <w:jc w:val="both"/>
        <w:rPr>
          <w:bCs/>
          <w:sz w:val="24"/>
          <w:szCs w:val="24"/>
        </w:rPr>
      </w:pPr>
      <w:r>
        <w:rPr>
          <w:bCs/>
          <w:sz w:val="24"/>
          <w:szCs w:val="24"/>
        </w:rPr>
        <w:t>           The City Hall Gaiseni - respondent</w:t>
      </w:r>
    </w:p>
    <w:p w:rsidR="00452793" w:rsidRDefault="00452793" w:rsidP="00452793">
      <w:pPr>
        <w:jc w:val="both"/>
        <w:rPr>
          <w:bCs/>
          <w:sz w:val="24"/>
          <w:szCs w:val="24"/>
        </w:rPr>
      </w:pPr>
      <w:r>
        <w:rPr>
          <w:b/>
          <w:bCs/>
          <w:sz w:val="24"/>
          <w:szCs w:val="24"/>
        </w:rPr>
        <w:t>Subject: Felony complaint.</w:t>
      </w:r>
      <w:r>
        <w:rPr>
          <w:bCs/>
          <w:sz w:val="24"/>
          <w:szCs w:val="24"/>
        </w:rPr>
        <w:t> </w:t>
      </w:r>
      <w:proofErr w:type="gramStart"/>
      <w:r>
        <w:rPr>
          <w:bCs/>
          <w:sz w:val="24"/>
          <w:szCs w:val="24"/>
        </w:rPr>
        <w:t>Conpet filed felony complaint against the irregularity Report No 78/21.02.2018 concluded by the City Hall Gaiseni requesting cancellation and exemption from the payment of the fine (RON 500) applied pursuant to Article 493(5) of the Law no. 207/2015 regarding the Fiscal Code for an infringement of Article 461(2) of the Law No. 207/2015 (misreporting buildings prior to deadline).</w:t>
      </w:r>
      <w:proofErr w:type="gramEnd"/>
    </w:p>
    <w:p w:rsidR="00452793" w:rsidRDefault="00452793" w:rsidP="00452793">
      <w:pPr>
        <w:jc w:val="both"/>
        <w:rPr>
          <w:bCs/>
          <w:sz w:val="24"/>
          <w:szCs w:val="24"/>
        </w:rPr>
      </w:pPr>
      <w:r>
        <w:rPr>
          <w:b/>
          <w:bCs/>
          <w:sz w:val="24"/>
          <w:szCs w:val="24"/>
        </w:rPr>
        <w:t>Details:</w:t>
      </w:r>
      <w:r>
        <w:rPr>
          <w:bCs/>
          <w:sz w:val="24"/>
          <w:szCs w:val="24"/>
        </w:rPr>
        <w:t xml:space="preserve"> through the sentence of the Bolintin village Valley Court No 911/03.07.2018 accepts the complaint. The sentence </w:t>
      </w:r>
      <w:proofErr w:type="gramStart"/>
      <w:r>
        <w:rPr>
          <w:bCs/>
          <w:sz w:val="24"/>
          <w:szCs w:val="24"/>
        </w:rPr>
        <w:t>can be appealed</w:t>
      </w:r>
      <w:proofErr w:type="gramEnd"/>
      <w:r>
        <w:rPr>
          <w:bCs/>
          <w:sz w:val="24"/>
          <w:szCs w:val="24"/>
        </w:rPr>
        <w:t xml:space="preserve"> after communication.</w:t>
      </w:r>
    </w:p>
    <w:p w:rsidR="00452793" w:rsidRDefault="00452793" w:rsidP="00452793">
      <w:pPr>
        <w:jc w:val="both"/>
        <w:rPr>
          <w:bCs/>
          <w:sz w:val="24"/>
          <w:szCs w:val="24"/>
        </w:rPr>
      </w:pPr>
      <w:r>
        <w:rPr>
          <w:b/>
          <w:bCs/>
          <w:sz w:val="24"/>
          <w:szCs w:val="24"/>
        </w:rPr>
        <w:t>Stage of trial:</w:t>
      </w:r>
      <w:r>
        <w:rPr>
          <w:bCs/>
          <w:sz w:val="24"/>
          <w:szCs w:val="24"/>
        </w:rPr>
        <w:t> --</w:t>
      </w:r>
    </w:p>
    <w:p w:rsidR="00452793" w:rsidRDefault="00452793" w:rsidP="00452793">
      <w:pPr>
        <w:jc w:val="both"/>
        <w:rPr>
          <w:bCs/>
          <w:sz w:val="24"/>
          <w:szCs w:val="24"/>
        </w:rPr>
      </w:pPr>
      <w:r>
        <w:rPr>
          <w:b/>
          <w:bCs/>
          <w:sz w:val="24"/>
          <w:szCs w:val="24"/>
        </w:rPr>
        <w:t>Hearing:</w:t>
      </w:r>
      <w:r>
        <w:rPr>
          <w:bCs/>
          <w:sz w:val="24"/>
          <w:szCs w:val="24"/>
        </w:rPr>
        <w:t> --</w:t>
      </w:r>
    </w:p>
    <w:p w:rsidR="00452793" w:rsidRDefault="00452793" w:rsidP="00452793">
      <w:pPr>
        <w:jc w:val="both"/>
        <w:rPr>
          <w:bCs/>
          <w:sz w:val="24"/>
          <w:szCs w:val="24"/>
        </w:rPr>
      </w:pPr>
    </w:p>
    <w:p w:rsidR="00452793" w:rsidRDefault="00452793" w:rsidP="00452793">
      <w:pPr>
        <w:jc w:val="both"/>
        <w:rPr>
          <w:bCs/>
          <w:sz w:val="24"/>
          <w:szCs w:val="24"/>
        </w:rPr>
      </w:pPr>
    </w:p>
    <w:p w:rsidR="00452793" w:rsidRDefault="00452793" w:rsidP="00452793">
      <w:pPr>
        <w:jc w:val="both"/>
        <w:rPr>
          <w:b/>
          <w:bCs/>
          <w:sz w:val="24"/>
          <w:szCs w:val="24"/>
        </w:rPr>
      </w:pPr>
      <w:r>
        <w:rPr>
          <w:b/>
          <w:bCs/>
          <w:sz w:val="24"/>
          <w:szCs w:val="24"/>
        </w:rPr>
        <w:t>43. File no. 8615/280/2018 - Pitesti court</w:t>
      </w:r>
    </w:p>
    <w:p w:rsidR="00452793" w:rsidRDefault="00452793" w:rsidP="00452793">
      <w:pPr>
        <w:jc w:val="both"/>
        <w:rPr>
          <w:bCs/>
          <w:sz w:val="24"/>
          <w:szCs w:val="24"/>
        </w:rPr>
      </w:pPr>
      <w:r>
        <w:rPr>
          <w:bCs/>
          <w:sz w:val="24"/>
          <w:szCs w:val="24"/>
        </w:rPr>
        <w:t xml:space="preserve"> - Parties: Conpet - </w:t>
      </w:r>
      <w:r>
        <w:rPr>
          <w:sz w:val="24"/>
          <w:szCs w:val="24"/>
        </w:rPr>
        <w:t>complainant</w:t>
      </w:r>
    </w:p>
    <w:p w:rsidR="00452793" w:rsidRDefault="00452793" w:rsidP="00452793">
      <w:pPr>
        <w:jc w:val="both"/>
        <w:rPr>
          <w:bCs/>
          <w:sz w:val="24"/>
          <w:szCs w:val="24"/>
        </w:rPr>
      </w:pPr>
      <w:r>
        <w:rPr>
          <w:bCs/>
          <w:sz w:val="24"/>
          <w:szCs w:val="24"/>
        </w:rPr>
        <w:t>           LAVI STAR 2007 SRL - respondent</w:t>
      </w:r>
    </w:p>
    <w:p w:rsidR="00452793" w:rsidRDefault="00452793" w:rsidP="00452793">
      <w:pPr>
        <w:jc w:val="both"/>
        <w:rPr>
          <w:bCs/>
          <w:sz w:val="24"/>
          <w:szCs w:val="24"/>
        </w:rPr>
      </w:pPr>
      <w:r>
        <w:rPr>
          <w:bCs/>
          <w:sz w:val="24"/>
          <w:szCs w:val="24"/>
        </w:rPr>
        <w:t>           BEJ Copaci Vasile Dorel din cadrul Biroului Asociat al Executorilor Judecătorești Bucescu Emanoil Aron și Copaci Vasile Dorel- respondent</w:t>
      </w:r>
    </w:p>
    <w:p w:rsidR="00452793" w:rsidRDefault="00452793" w:rsidP="00452793">
      <w:pPr>
        <w:jc w:val="both"/>
        <w:rPr>
          <w:bCs/>
          <w:sz w:val="24"/>
          <w:szCs w:val="24"/>
          <w:lang w:val="ro-RO"/>
        </w:rPr>
      </w:pPr>
      <w:r>
        <w:rPr>
          <w:b/>
          <w:bCs/>
          <w:sz w:val="24"/>
          <w:szCs w:val="24"/>
        </w:rPr>
        <w:t>Subject:</w:t>
      </w:r>
      <w:r>
        <w:rPr>
          <w:bCs/>
          <w:sz w:val="24"/>
          <w:szCs w:val="24"/>
        </w:rPr>
        <w:t xml:space="preserve"> Opposition to enforcement. </w:t>
      </w:r>
      <w:proofErr w:type="gramStart"/>
      <w:r>
        <w:rPr>
          <w:bCs/>
          <w:sz w:val="24"/>
          <w:szCs w:val="24"/>
        </w:rPr>
        <w:t xml:space="preserve">Conpet files appeal </w:t>
      </w:r>
      <w:r>
        <w:rPr>
          <w:bCs/>
          <w:sz w:val="24"/>
          <w:szCs w:val="24"/>
          <w:lang w:val="ro-RO"/>
        </w:rPr>
        <w:t xml:space="preserve">against </w:t>
      </w:r>
      <w:r>
        <w:rPr>
          <w:bCs/>
          <w:sz w:val="24"/>
          <w:szCs w:val="24"/>
          <w:lang w:val="pt-BR"/>
        </w:rPr>
        <w:t xml:space="preserve">conclusion of the cessation of </w:t>
      </w:r>
      <w:r>
        <w:rPr>
          <w:bCs/>
          <w:sz w:val="24"/>
          <w:szCs w:val="24"/>
        </w:rPr>
        <w:t>enforcement</w:t>
      </w:r>
      <w:r>
        <w:rPr>
          <w:bCs/>
          <w:sz w:val="24"/>
          <w:szCs w:val="24"/>
          <w:lang w:val="pt-BR"/>
        </w:rPr>
        <w:t xml:space="preserve"> of 14</w:t>
      </w:r>
      <w:r>
        <w:rPr>
          <w:bCs/>
          <w:sz w:val="24"/>
          <w:szCs w:val="24"/>
          <w:vertAlign w:val="superscript"/>
        </w:rPr>
        <w:t>th</w:t>
      </w:r>
      <w:r>
        <w:rPr>
          <w:bCs/>
          <w:sz w:val="24"/>
          <w:szCs w:val="24"/>
        </w:rPr>
        <w:t xml:space="preserve"> May </w:t>
      </w:r>
      <w:r>
        <w:rPr>
          <w:bCs/>
          <w:sz w:val="24"/>
          <w:szCs w:val="24"/>
          <w:lang w:val="pt-BR"/>
        </w:rPr>
        <w:t>2018 ordered in the case of enforcement No 228/2018 of</w:t>
      </w:r>
      <w:r>
        <w:rPr>
          <w:bCs/>
          <w:sz w:val="24"/>
          <w:szCs w:val="24"/>
        </w:rPr>
        <w:t xml:space="preserve"> by Copaci Vasile Dorel from Biroul Asociat al Executorilor Judecătorești Bucescu Emanoil Aron și Copaci </w:t>
      </w:r>
      <w:r>
        <w:rPr>
          <w:bCs/>
          <w:sz w:val="24"/>
          <w:szCs w:val="24"/>
          <w:lang w:val="pt-BR"/>
        </w:rPr>
        <w:t xml:space="preserve">Vasile Dorel asking the court </w:t>
      </w:r>
      <w:r>
        <w:rPr>
          <w:bCs/>
          <w:sz w:val="24"/>
          <w:szCs w:val="24"/>
        </w:rPr>
        <w:t>to order the</w:t>
      </w:r>
      <w:r>
        <w:rPr>
          <w:bCs/>
          <w:sz w:val="24"/>
          <w:szCs w:val="24"/>
          <w:lang w:val="pt-BR"/>
        </w:rPr>
        <w:t xml:space="preserve"> cancellation of the conclusion of the cessation of forced execution no. 228/2018 dated 14</w:t>
      </w:r>
      <w:r>
        <w:rPr>
          <w:bCs/>
          <w:sz w:val="24"/>
          <w:szCs w:val="24"/>
        </w:rPr>
        <w:t>thMay</w:t>
      </w:r>
      <w:r>
        <w:rPr>
          <w:bCs/>
          <w:sz w:val="24"/>
          <w:szCs w:val="24"/>
          <w:lang w:val="pt-BR"/>
        </w:rPr>
        <w:t xml:space="preserve">2018 </w:t>
      </w:r>
      <w:r>
        <w:rPr>
          <w:bCs/>
          <w:sz w:val="24"/>
          <w:szCs w:val="24"/>
        </w:rPr>
        <w:t>by t</w:t>
      </w:r>
      <w:r>
        <w:rPr>
          <w:bCs/>
          <w:sz w:val="24"/>
          <w:szCs w:val="24"/>
          <w:lang w:val="pt-BR"/>
        </w:rPr>
        <w:t>he bailiff</w:t>
      </w:r>
      <w:r>
        <w:rPr>
          <w:bCs/>
          <w:sz w:val="24"/>
          <w:szCs w:val="24"/>
        </w:rPr>
        <w:t xml:space="preserve"> Copaci </w:t>
      </w:r>
      <w:r>
        <w:rPr>
          <w:bCs/>
          <w:sz w:val="24"/>
          <w:szCs w:val="24"/>
          <w:lang w:val="pt-BR"/>
        </w:rPr>
        <w:t xml:space="preserve">Vasile Dorel and </w:t>
      </w:r>
      <w:r>
        <w:rPr>
          <w:bCs/>
          <w:sz w:val="24"/>
          <w:szCs w:val="24"/>
        </w:rPr>
        <w:t xml:space="preserve">ordering </w:t>
      </w:r>
      <w:r>
        <w:rPr>
          <w:bCs/>
          <w:sz w:val="24"/>
          <w:szCs w:val="24"/>
          <w:lang w:val="pt-BR"/>
        </w:rPr>
        <w:t xml:space="preserve">it to continue to levy of execution for the purposes of calculating and recovery from </w:t>
      </w:r>
      <w:r>
        <w:rPr>
          <w:bCs/>
          <w:sz w:val="24"/>
          <w:szCs w:val="24"/>
        </w:rPr>
        <w:t xml:space="preserve">debtor </w:t>
      </w:r>
      <w:r>
        <w:rPr>
          <w:bCs/>
          <w:sz w:val="24"/>
          <w:szCs w:val="24"/>
          <w:lang w:val="pt-BR"/>
        </w:rPr>
        <w:t>LAVI STAR 2007 SRL to the amount representing the main flow</w:t>
      </w:r>
      <w:r>
        <w:rPr>
          <w:bCs/>
          <w:sz w:val="24"/>
          <w:szCs w:val="24"/>
        </w:rPr>
        <w:t>,</w:t>
      </w:r>
      <w:r>
        <w:rPr>
          <w:bCs/>
          <w:sz w:val="24"/>
          <w:szCs w:val="24"/>
          <w:lang w:val="pt-BR"/>
        </w:rPr>
        <w:t xml:space="preserve"> updated with the legal interest from the date of the definitive </w:t>
      </w:r>
      <w:r>
        <w:rPr>
          <w:bCs/>
          <w:sz w:val="24"/>
          <w:szCs w:val="24"/>
        </w:rPr>
        <w:t xml:space="preserve">from </w:t>
      </w:r>
      <w:r>
        <w:rPr>
          <w:bCs/>
          <w:sz w:val="24"/>
          <w:szCs w:val="24"/>
          <w:lang w:val="pt-BR"/>
        </w:rPr>
        <w:t>the executory title represented by the </w:t>
      </w:r>
      <w:r>
        <w:rPr>
          <w:bCs/>
          <w:sz w:val="24"/>
          <w:szCs w:val="24"/>
          <w:lang w:val="ro-RO"/>
        </w:rPr>
        <w:t xml:space="preserve">civil </w:t>
      </w:r>
      <w:r>
        <w:rPr>
          <w:bCs/>
          <w:sz w:val="24"/>
          <w:szCs w:val="24"/>
        </w:rPr>
        <w:t>order/conclusion</w:t>
      </w:r>
      <w:r>
        <w:rPr>
          <w:bCs/>
          <w:sz w:val="24"/>
          <w:szCs w:val="24"/>
          <w:lang w:val="pt-BR"/>
        </w:rPr>
        <w:t xml:space="preserve"> no. </w:t>
      </w:r>
      <w:r>
        <w:rPr>
          <w:bCs/>
          <w:sz w:val="24"/>
          <w:szCs w:val="24"/>
          <w:lang w:val="pt-BR"/>
        </w:rPr>
        <w:lastRenderedPageBreak/>
        <w:t>8072/11.09.2014 and up to the full</w:t>
      </w:r>
      <w:r>
        <w:rPr>
          <w:bCs/>
          <w:sz w:val="24"/>
          <w:szCs w:val="24"/>
        </w:rPr>
        <w:t xml:space="preserve"> payment of t</w:t>
      </w:r>
      <w:r>
        <w:rPr>
          <w:bCs/>
          <w:sz w:val="24"/>
          <w:szCs w:val="24"/>
          <w:lang w:val="pt-BR"/>
        </w:rPr>
        <w:t>he main flow. </w:t>
      </w:r>
      <w:proofErr w:type="gramEnd"/>
      <w:r>
        <w:rPr>
          <w:bCs/>
          <w:sz w:val="24"/>
          <w:szCs w:val="24"/>
        </w:rPr>
        <w:t>It a</w:t>
      </w:r>
      <w:r>
        <w:rPr>
          <w:bCs/>
          <w:sz w:val="24"/>
          <w:szCs w:val="24"/>
          <w:lang w:val="ro-RO"/>
        </w:rPr>
        <w:t>lso require</w:t>
      </w:r>
      <w:r>
        <w:rPr>
          <w:bCs/>
          <w:sz w:val="24"/>
          <w:szCs w:val="24"/>
        </w:rPr>
        <w:t>s</w:t>
      </w:r>
      <w:r>
        <w:rPr>
          <w:bCs/>
          <w:sz w:val="24"/>
          <w:szCs w:val="24"/>
          <w:lang w:val="ro-RO"/>
        </w:rPr>
        <w:t xml:space="preserve"> the obligation of </w:t>
      </w:r>
      <w:r>
        <w:rPr>
          <w:bCs/>
          <w:sz w:val="24"/>
          <w:szCs w:val="24"/>
        </w:rPr>
        <w:t>defendant</w:t>
      </w:r>
      <w:r>
        <w:rPr>
          <w:bCs/>
          <w:sz w:val="24"/>
          <w:szCs w:val="24"/>
          <w:lang w:val="ro-RO"/>
        </w:rPr>
        <w:t xml:space="preserve">s to pay the </w:t>
      </w:r>
      <w:r>
        <w:rPr>
          <w:bCs/>
          <w:sz w:val="24"/>
          <w:szCs w:val="24"/>
        </w:rPr>
        <w:t xml:space="preserve">trial </w:t>
      </w:r>
      <w:r>
        <w:rPr>
          <w:bCs/>
          <w:sz w:val="24"/>
          <w:szCs w:val="24"/>
          <w:lang w:val="ro-RO"/>
        </w:rPr>
        <w:t xml:space="preserve">costs </w:t>
      </w:r>
      <w:r>
        <w:rPr>
          <w:bCs/>
          <w:sz w:val="24"/>
          <w:szCs w:val="24"/>
        </w:rPr>
        <w:t>appeared during the matter</w:t>
      </w:r>
      <w:r>
        <w:rPr>
          <w:bCs/>
          <w:sz w:val="24"/>
          <w:szCs w:val="24"/>
          <w:lang w:val="ro-RO"/>
        </w:rPr>
        <w:t xml:space="preserve"> in question.</w:t>
      </w:r>
    </w:p>
    <w:p w:rsidR="00452793" w:rsidRDefault="00452793" w:rsidP="00452793">
      <w:pPr>
        <w:jc w:val="both"/>
        <w:rPr>
          <w:bCs/>
          <w:sz w:val="24"/>
          <w:szCs w:val="24"/>
          <w:lang w:val="ro-RO"/>
        </w:rPr>
      </w:pPr>
      <w:r>
        <w:rPr>
          <w:b/>
          <w:bCs/>
          <w:sz w:val="24"/>
          <w:szCs w:val="24"/>
        </w:rPr>
        <w:t>Clarifications</w:t>
      </w:r>
      <w:r>
        <w:rPr>
          <w:b/>
          <w:bCs/>
          <w:sz w:val="24"/>
          <w:szCs w:val="24"/>
          <w:lang w:val="ro-RO"/>
        </w:rPr>
        <w:t>:</w:t>
      </w:r>
      <w:r>
        <w:rPr>
          <w:bCs/>
          <w:sz w:val="24"/>
          <w:szCs w:val="24"/>
          <w:lang w:val="ro-RO"/>
        </w:rPr>
        <w:t> --</w:t>
      </w:r>
    </w:p>
    <w:p w:rsidR="00452793" w:rsidRDefault="00452793" w:rsidP="00452793">
      <w:pPr>
        <w:jc w:val="both"/>
        <w:rPr>
          <w:bCs/>
          <w:sz w:val="24"/>
          <w:szCs w:val="24"/>
          <w:lang w:val="ro-RO"/>
        </w:rPr>
      </w:pPr>
      <w:r>
        <w:rPr>
          <w:bCs/>
          <w:sz w:val="24"/>
          <w:szCs w:val="24"/>
          <w:lang w:val="ro-RO"/>
        </w:rPr>
        <w:t> </w:t>
      </w:r>
      <w:r>
        <w:rPr>
          <w:bCs/>
          <w:sz w:val="24"/>
          <w:szCs w:val="24"/>
        </w:rPr>
        <w:t>Stage of trial</w:t>
      </w:r>
      <w:r>
        <w:rPr>
          <w:bCs/>
          <w:sz w:val="24"/>
          <w:szCs w:val="24"/>
          <w:lang w:val="ro-RO"/>
        </w:rPr>
        <w:t>:</w:t>
      </w:r>
    </w:p>
    <w:p w:rsidR="00452793" w:rsidRDefault="00452793" w:rsidP="00452793">
      <w:pPr>
        <w:jc w:val="both"/>
        <w:rPr>
          <w:bCs/>
          <w:sz w:val="24"/>
          <w:szCs w:val="24"/>
          <w:lang w:val="ro-RO"/>
        </w:rPr>
      </w:pPr>
      <w:r>
        <w:rPr>
          <w:b/>
          <w:bCs/>
          <w:sz w:val="24"/>
          <w:szCs w:val="24"/>
          <w:lang w:val="ro-RO"/>
        </w:rPr>
        <w:t>Period:</w:t>
      </w:r>
      <w:r>
        <w:rPr>
          <w:bCs/>
          <w:sz w:val="24"/>
          <w:szCs w:val="24"/>
          <w:lang w:val="ro-RO"/>
        </w:rPr>
        <w:t> --</w:t>
      </w:r>
    </w:p>
    <w:p w:rsidR="00452793" w:rsidRDefault="00452793" w:rsidP="00452793">
      <w:pPr>
        <w:jc w:val="both"/>
        <w:rPr>
          <w:bCs/>
          <w:color w:val="FF0000"/>
          <w:sz w:val="24"/>
          <w:szCs w:val="24"/>
        </w:rPr>
      </w:pPr>
    </w:p>
    <w:p w:rsidR="00452793" w:rsidRDefault="00452793" w:rsidP="00452793">
      <w:pPr>
        <w:jc w:val="both"/>
        <w:rPr>
          <w:bCs/>
          <w:color w:val="FF0000"/>
          <w:sz w:val="24"/>
          <w:szCs w:val="24"/>
        </w:rPr>
      </w:pPr>
    </w:p>
    <w:p w:rsidR="00452793" w:rsidRDefault="00452793" w:rsidP="00452793">
      <w:pPr>
        <w:jc w:val="both"/>
        <w:rPr>
          <w:b/>
          <w:bCs/>
          <w:sz w:val="24"/>
          <w:szCs w:val="24"/>
        </w:rPr>
      </w:pPr>
      <w:r>
        <w:rPr>
          <w:b/>
          <w:bCs/>
          <w:sz w:val="24"/>
          <w:szCs w:val="24"/>
        </w:rPr>
        <w:t>44. File No 13560/281/2018 - Ploiesti Court.</w:t>
      </w:r>
    </w:p>
    <w:p w:rsidR="00452793" w:rsidRDefault="00452793" w:rsidP="00452793">
      <w:pPr>
        <w:jc w:val="both"/>
        <w:rPr>
          <w:bCs/>
          <w:sz w:val="24"/>
          <w:szCs w:val="24"/>
        </w:rPr>
      </w:pPr>
      <w:r>
        <w:rPr>
          <w:bCs/>
          <w:sz w:val="24"/>
          <w:szCs w:val="24"/>
        </w:rPr>
        <w:t xml:space="preserve"> -  Parties: Conpet- plaintiff </w:t>
      </w:r>
    </w:p>
    <w:p w:rsidR="00452793" w:rsidRDefault="00452793" w:rsidP="00452793">
      <w:pPr>
        <w:jc w:val="both"/>
        <w:rPr>
          <w:bCs/>
          <w:sz w:val="24"/>
          <w:szCs w:val="24"/>
        </w:rPr>
      </w:pPr>
      <w:r>
        <w:rPr>
          <w:bCs/>
          <w:sz w:val="24"/>
          <w:szCs w:val="24"/>
        </w:rPr>
        <w:t>           The Prosecutor's Office - Ploiesti Court - respondent</w:t>
      </w:r>
    </w:p>
    <w:p w:rsidR="00452793" w:rsidRDefault="00452793" w:rsidP="00452793">
      <w:pPr>
        <w:jc w:val="both"/>
        <w:rPr>
          <w:bCs/>
          <w:sz w:val="24"/>
          <w:szCs w:val="24"/>
          <w:lang w:val="pt-BR"/>
        </w:rPr>
      </w:pPr>
      <w:r>
        <w:rPr>
          <w:b/>
          <w:bCs/>
          <w:sz w:val="24"/>
          <w:szCs w:val="24"/>
          <w:lang w:val="pt-BR"/>
        </w:rPr>
        <w:t>Subject:</w:t>
      </w:r>
      <w:r>
        <w:rPr>
          <w:bCs/>
          <w:sz w:val="24"/>
          <w:szCs w:val="24"/>
          <w:lang w:val="pt-BR"/>
        </w:rPr>
        <w:t xml:space="preserve"> Conpet </w:t>
      </w:r>
      <w:r>
        <w:rPr>
          <w:bCs/>
          <w:sz w:val="24"/>
          <w:szCs w:val="24"/>
        </w:rPr>
        <w:t>files</w:t>
      </w:r>
      <w:r>
        <w:rPr>
          <w:bCs/>
          <w:sz w:val="24"/>
          <w:szCs w:val="24"/>
          <w:lang w:val="pt-BR"/>
        </w:rPr>
        <w:t xml:space="preserve"> a complaint against the </w:t>
      </w:r>
      <w:r>
        <w:rPr>
          <w:bCs/>
          <w:sz w:val="24"/>
          <w:szCs w:val="24"/>
          <w:lang w:val="fr-FR"/>
        </w:rPr>
        <w:t xml:space="preserve">ordinance for rejecting a complaint No 94/II/2/2018 </w:t>
      </w:r>
      <w:r>
        <w:rPr>
          <w:bCs/>
          <w:sz w:val="24"/>
          <w:szCs w:val="24"/>
        </w:rPr>
        <w:t xml:space="preserve">ordered </w:t>
      </w:r>
      <w:r>
        <w:rPr>
          <w:bCs/>
          <w:sz w:val="24"/>
          <w:szCs w:val="24"/>
          <w:lang w:val="fr-FR"/>
        </w:rPr>
        <w:t>on 22</w:t>
      </w:r>
      <w:r>
        <w:rPr>
          <w:bCs/>
          <w:sz w:val="24"/>
          <w:szCs w:val="24"/>
          <w:vertAlign w:val="superscript"/>
        </w:rPr>
        <w:t>nd</w:t>
      </w:r>
      <w:r>
        <w:rPr>
          <w:bCs/>
          <w:sz w:val="24"/>
          <w:szCs w:val="24"/>
        </w:rPr>
        <w:t xml:space="preserve"> May </w:t>
      </w:r>
      <w:r>
        <w:rPr>
          <w:bCs/>
          <w:sz w:val="24"/>
          <w:szCs w:val="24"/>
          <w:lang w:val="fr-FR"/>
        </w:rPr>
        <w:t xml:space="preserve">2018 </w:t>
      </w:r>
      <w:r>
        <w:rPr>
          <w:bCs/>
          <w:sz w:val="24"/>
          <w:szCs w:val="24"/>
        </w:rPr>
        <w:t xml:space="preserve">by </w:t>
      </w:r>
      <w:r>
        <w:rPr>
          <w:bCs/>
          <w:sz w:val="24"/>
          <w:szCs w:val="24"/>
          <w:lang w:val="fr-FR"/>
        </w:rPr>
        <w:t>prime prosecutor of the Prosecutor's Office of the Court of Ploiesti whereby</w:t>
      </w:r>
      <w:r>
        <w:rPr>
          <w:bCs/>
          <w:sz w:val="24"/>
          <w:szCs w:val="24"/>
          <w:lang w:val="pt-BR"/>
        </w:rPr>
        <w:t>, in the wrong way, was rejected the complaint Conpet S.A. against the </w:t>
      </w:r>
      <w:r>
        <w:rPr>
          <w:bCs/>
          <w:sz w:val="24"/>
          <w:szCs w:val="24"/>
          <w:lang w:val="fr-FR"/>
        </w:rPr>
        <w:t xml:space="preserve">ordinance for classifying </w:t>
      </w:r>
      <w:r>
        <w:rPr>
          <w:bCs/>
          <w:sz w:val="24"/>
          <w:szCs w:val="24"/>
        </w:rPr>
        <w:t xml:space="preserve">the order </w:t>
      </w:r>
      <w:r>
        <w:rPr>
          <w:bCs/>
          <w:sz w:val="24"/>
          <w:szCs w:val="24"/>
          <w:lang w:val="fr-FR"/>
        </w:rPr>
        <w:t>on 29</w:t>
      </w:r>
      <w:r>
        <w:rPr>
          <w:bCs/>
          <w:sz w:val="24"/>
          <w:szCs w:val="24"/>
          <w:vertAlign w:val="superscript"/>
        </w:rPr>
        <w:t>th</w:t>
      </w:r>
      <w:r>
        <w:rPr>
          <w:bCs/>
          <w:sz w:val="24"/>
          <w:szCs w:val="24"/>
        </w:rPr>
        <w:t xml:space="preserve"> Jan </w:t>
      </w:r>
      <w:r>
        <w:rPr>
          <w:bCs/>
          <w:sz w:val="24"/>
          <w:szCs w:val="24"/>
          <w:lang w:val="fr-FR"/>
        </w:rPr>
        <w:t>2018 by the </w:t>
      </w:r>
      <w:r>
        <w:rPr>
          <w:bCs/>
          <w:sz w:val="24"/>
          <w:szCs w:val="24"/>
          <w:lang w:val="pt-BR"/>
        </w:rPr>
        <w:t xml:space="preserve">Prosecutor's Office of the Court of Ploiesti, in the file no. 7598/P/2008, concerning the perpetration of the offense of attempted theft, the deed provided for in Article 32 </w:t>
      </w:r>
      <w:r>
        <w:rPr>
          <w:bCs/>
          <w:sz w:val="24"/>
          <w:szCs w:val="24"/>
        </w:rPr>
        <w:t xml:space="preserve">regarding </w:t>
      </w:r>
      <w:r>
        <w:rPr>
          <w:bCs/>
          <w:sz w:val="24"/>
          <w:szCs w:val="24"/>
          <w:lang w:val="pt-BR"/>
        </w:rPr>
        <w:t xml:space="preserve">Article 228(1), 229(3)(a) of the </w:t>
      </w:r>
    </w:p>
    <w:p w:rsidR="00452793" w:rsidRDefault="00452793" w:rsidP="00452793">
      <w:pPr>
        <w:jc w:val="both"/>
        <w:rPr>
          <w:bCs/>
          <w:sz w:val="24"/>
          <w:szCs w:val="24"/>
          <w:lang w:val="it-IT"/>
        </w:rPr>
      </w:pPr>
      <w:proofErr w:type="gramStart"/>
      <w:r>
        <w:rPr>
          <w:bCs/>
          <w:sz w:val="24"/>
          <w:szCs w:val="24"/>
        </w:rPr>
        <w:t xml:space="preserve">Criminal </w:t>
      </w:r>
      <w:r>
        <w:rPr>
          <w:bCs/>
          <w:sz w:val="24"/>
          <w:szCs w:val="24"/>
          <w:lang w:val="pt-BR"/>
        </w:rPr>
        <w:t xml:space="preserve">Code and we </w:t>
      </w:r>
      <w:r>
        <w:rPr>
          <w:bCs/>
          <w:sz w:val="24"/>
          <w:szCs w:val="24"/>
        </w:rPr>
        <w:t xml:space="preserve">request </w:t>
      </w:r>
      <w:r>
        <w:rPr>
          <w:bCs/>
          <w:sz w:val="24"/>
          <w:szCs w:val="24"/>
          <w:lang w:val="pt-BR"/>
        </w:rPr>
        <w:t xml:space="preserve">the dismantlement of the ordinances, the continuation of the criminal prosecution and investigation to identify offenders and pull them to the penal liability for damage, for the purpose of the avoidance of product tanker pipe, Transport crude oil </w:t>
      </w:r>
      <w:r>
        <w:rPr>
          <w:bCs/>
          <w:sz w:val="24"/>
          <w:szCs w:val="24"/>
        </w:rPr>
        <w:t>Calareti</w:t>
      </w:r>
      <w:r>
        <w:rPr>
          <w:bCs/>
          <w:sz w:val="24"/>
          <w:szCs w:val="24"/>
          <w:lang w:val="pt-BR"/>
        </w:rPr>
        <w:t>- Ploiesti, in the area of the locality Berceni, Prahova County, the deed recorded in the date of 21.08.2008.</w:t>
      </w:r>
      <w:proofErr w:type="gramEnd"/>
    </w:p>
    <w:p w:rsidR="00452793" w:rsidRDefault="00452793" w:rsidP="00452793">
      <w:pPr>
        <w:jc w:val="both"/>
        <w:rPr>
          <w:bCs/>
          <w:sz w:val="24"/>
          <w:szCs w:val="24"/>
          <w:lang w:val="it-IT"/>
        </w:rPr>
      </w:pPr>
      <w:r>
        <w:rPr>
          <w:b/>
          <w:bCs/>
          <w:sz w:val="24"/>
          <w:szCs w:val="24"/>
          <w:lang w:val="it-IT"/>
        </w:rPr>
        <w:t>Details:</w:t>
      </w:r>
      <w:r>
        <w:rPr>
          <w:bCs/>
          <w:sz w:val="24"/>
          <w:szCs w:val="24"/>
          <w:lang w:val="it-IT"/>
        </w:rPr>
        <w:t> --</w:t>
      </w:r>
    </w:p>
    <w:p w:rsidR="00452793" w:rsidRDefault="00452793" w:rsidP="00452793">
      <w:pPr>
        <w:jc w:val="both"/>
        <w:rPr>
          <w:bCs/>
          <w:sz w:val="24"/>
          <w:szCs w:val="24"/>
          <w:lang w:val="it-IT"/>
        </w:rPr>
      </w:pPr>
      <w:r>
        <w:rPr>
          <w:bCs/>
          <w:sz w:val="24"/>
          <w:szCs w:val="24"/>
          <w:lang w:val="it-IT"/>
        </w:rPr>
        <w:t> </w:t>
      </w:r>
      <w:r>
        <w:rPr>
          <w:bCs/>
          <w:sz w:val="24"/>
          <w:szCs w:val="24"/>
        </w:rPr>
        <w:t>Stage of trial</w:t>
      </w:r>
      <w:r>
        <w:rPr>
          <w:bCs/>
          <w:sz w:val="24"/>
          <w:szCs w:val="24"/>
          <w:lang w:val="it-IT"/>
        </w:rPr>
        <w:t>:</w:t>
      </w:r>
    </w:p>
    <w:p w:rsidR="00452793" w:rsidRDefault="00452793" w:rsidP="00452793">
      <w:pPr>
        <w:jc w:val="both"/>
        <w:rPr>
          <w:bCs/>
          <w:sz w:val="24"/>
          <w:szCs w:val="24"/>
          <w:lang w:val="it-IT"/>
        </w:rPr>
      </w:pPr>
      <w:r>
        <w:rPr>
          <w:bCs/>
          <w:sz w:val="24"/>
          <w:szCs w:val="24"/>
          <w:lang w:val="it-IT"/>
        </w:rPr>
        <w:t> </w:t>
      </w:r>
      <w:r>
        <w:rPr>
          <w:bCs/>
          <w:sz w:val="24"/>
          <w:szCs w:val="24"/>
        </w:rPr>
        <w:t xml:space="preserve">Hearing: </w:t>
      </w:r>
      <w:r>
        <w:rPr>
          <w:bCs/>
          <w:sz w:val="24"/>
          <w:szCs w:val="24"/>
          <w:lang w:val="it-IT"/>
        </w:rPr>
        <w:t>09</w:t>
      </w:r>
      <w:r>
        <w:rPr>
          <w:bCs/>
          <w:sz w:val="24"/>
          <w:szCs w:val="24"/>
          <w:vertAlign w:val="superscript"/>
        </w:rPr>
        <w:t>th</w:t>
      </w:r>
      <w:r>
        <w:rPr>
          <w:bCs/>
          <w:sz w:val="24"/>
          <w:szCs w:val="24"/>
        </w:rPr>
        <w:t xml:space="preserve"> Aug.</w:t>
      </w:r>
      <w:r>
        <w:rPr>
          <w:bCs/>
          <w:sz w:val="24"/>
          <w:szCs w:val="24"/>
          <w:lang w:val="it-IT"/>
        </w:rPr>
        <w:t xml:space="preserve">2018 </w:t>
      </w:r>
    </w:p>
    <w:p w:rsidR="00452793" w:rsidRDefault="00452793" w:rsidP="00452793">
      <w:pPr>
        <w:jc w:val="both"/>
        <w:rPr>
          <w:bCs/>
          <w:sz w:val="24"/>
          <w:szCs w:val="24"/>
        </w:rPr>
      </w:pPr>
    </w:p>
    <w:p w:rsidR="00452793" w:rsidRDefault="00452793" w:rsidP="00452793">
      <w:pPr>
        <w:jc w:val="both"/>
        <w:rPr>
          <w:b/>
          <w:bCs/>
          <w:sz w:val="24"/>
          <w:szCs w:val="24"/>
        </w:rPr>
      </w:pPr>
      <w:r>
        <w:rPr>
          <w:b/>
          <w:bCs/>
          <w:sz w:val="24"/>
          <w:szCs w:val="24"/>
        </w:rPr>
        <w:t>45. The file No 13561/281/2018 - Court of Ploiesti.</w:t>
      </w:r>
    </w:p>
    <w:p w:rsidR="00452793" w:rsidRDefault="00452793" w:rsidP="00452793">
      <w:pPr>
        <w:jc w:val="both"/>
        <w:rPr>
          <w:bCs/>
          <w:sz w:val="24"/>
          <w:szCs w:val="24"/>
        </w:rPr>
      </w:pPr>
      <w:r>
        <w:rPr>
          <w:bCs/>
          <w:sz w:val="24"/>
          <w:szCs w:val="24"/>
        </w:rPr>
        <w:t xml:space="preserve">Parties: Conpet- plaintiff </w:t>
      </w:r>
    </w:p>
    <w:p w:rsidR="00452793" w:rsidRDefault="00452793" w:rsidP="00452793">
      <w:pPr>
        <w:jc w:val="both"/>
        <w:rPr>
          <w:bCs/>
          <w:sz w:val="24"/>
          <w:szCs w:val="24"/>
        </w:rPr>
      </w:pPr>
      <w:r>
        <w:rPr>
          <w:bCs/>
          <w:sz w:val="24"/>
          <w:szCs w:val="24"/>
        </w:rPr>
        <w:t xml:space="preserve">   </w:t>
      </w:r>
      <w:r>
        <w:rPr>
          <w:bCs/>
          <w:sz w:val="24"/>
          <w:szCs w:val="24"/>
        </w:rPr>
        <w:tab/>
      </w:r>
      <w:r>
        <w:rPr>
          <w:bCs/>
          <w:sz w:val="24"/>
          <w:szCs w:val="24"/>
        </w:rPr>
        <w:tab/>
        <w:t>The Prosecutor's Office - Ploiesti Court - respondent</w:t>
      </w:r>
    </w:p>
    <w:p w:rsidR="00452793" w:rsidRDefault="00452793" w:rsidP="00452793">
      <w:pPr>
        <w:jc w:val="both"/>
        <w:rPr>
          <w:bCs/>
          <w:sz w:val="24"/>
          <w:szCs w:val="24"/>
          <w:lang w:val="it-IT"/>
        </w:rPr>
      </w:pPr>
      <w:r>
        <w:rPr>
          <w:b/>
          <w:bCs/>
          <w:sz w:val="24"/>
          <w:szCs w:val="24"/>
          <w:lang w:val="pt-BR"/>
        </w:rPr>
        <w:t>Subject:</w:t>
      </w:r>
      <w:r>
        <w:rPr>
          <w:bCs/>
          <w:sz w:val="24"/>
          <w:szCs w:val="24"/>
          <w:lang w:val="pt-BR"/>
        </w:rPr>
        <w:t> Conpet f</w:t>
      </w:r>
      <w:r>
        <w:rPr>
          <w:bCs/>
          <w:sz w:val="24"/>
          <w:szCs w:val="24"/>
        </w:rPr>
        <w:t>iles</w:t>
      </w:r>
      <w:r>
        <w:rPr>
          <w:bCs/>
          <w:sz w:val="24"/>
          <w:szCs w:val="24"/>
          <w:lang w:val="pt-BR"/>
        </w:rPr>
        <w:t xml:space="preserve"> a complaint against the </w:t>
      </w:r>
      <w:r>
        <w:rPr>
          <w:bCs/>
          <w:sz w:val="24"/>
          <w:szCs w:val="24"/>
          <w:lang w:val="fr-FR"/>
        </w:rPr>
        <w:t>ordinance for rejecting a complaint No 9</w:t>
      </w:r>
      <w:r>
        <w:rPr>
          <w:bCs/>
          <w:sz w:val="24"/>
          <w:szCs w:val="24"/>
        </w:rPr>
        <w:t>8</w:t>
      </w:r>
      <w:r>
        <w:rPr>
          <w:bCs/>
          <w:sz w:val="24"/>
          <w:szCs w:val="24"/>
          <w:lang w:val="fr-FR"/>
        </w:rPr>
        <w:t xml:space="preserve">/II/2/2018 </w:t>
      </w:r>
      <w:r>
        <w:rPr>
          <w:bCs/>
          <w:sz w:val="24"/>
          <w:szCs w:val="24"/>
        </w:rPr>
        <w:t xml:space="preserve">ordered </w:t>
      </w:r>
      <w:r>
        <w:rPr>
          <w:bCs/>
          <w:sz w:val="24"/>
          <w:szCs w:val="24"/>
          <w:lang w:val="fr-FR"/>
        </w:rPr>
        <w:t>on 2</w:t>
      </w:r>
      <w:r>
        <w:rPr>
          <w:bCs/>
          <w:sz w:val="24"/>
          <w:szCs w:val="24"/>
        </w:rPr>
        <w:t>1</w:t>
      </w:r>
      <w:r>
        <w:rPr>
          <w:bCs/>
          <w:sz w:val="24"/>
          <w:szCs w:val="24"/>
          <w:vertAlign w:val="superscript"/>
        </w:rPr>
        <w:t>st</w:t>
      </w:r>
      <w:r>
        <w:rPr>
          <w:bCs/>
          <w:sz w:val="24"/>
          <w:szCs w:val="24"/>
        </w:rPr>
        <w:t xml:space="preserve"> May </w:t>
      </w:r>
      <w:r>
        <w:rPr>
          <w:bCs/>
          <w:sz w:val="24"/>
          <w:szCs w:val="24"/>
          <w:lang w:val="fr-FR"/>
        </w:rPr>
        <w:t xml:space="preserve">2018 </w:t>
      </w:r>
      <w:r>
        <w:rPr>
          <w:bCs/>
          <w:sz w:val="24"/>
          <w:szCs w:val="24"/>
        </w:rPr>
        <w:t xml:space="preserve">by </w:t>
      </w:r>
      <w:r>
        <w:rPr>
          <w:bCs/>
          <w:sz w:val="24"/>
          <w:szCs w:val="24"/>
          <w:lang w:val="fr-FR"/>
        </w:rPr>
        <w:t>prime prosecutor of the Prosecutor's Office of the Court of Ploiesti whereby </w:t>
      </w:r>
      <w:r>
        <w:rPr>
          <w:bCs/>
          <w:sz w:val="24"/>
          <w:szCs w:val="24"/>
          <w:lang w:val="pt-BR"/>
        </w:rPr>
        <w:t>, i</w:t>
      </w:r>
      <w:r>
        <w:rPr>
          <w:bCs/>
          <w:sz w:val="24"/>
          <w:szCs w:val="24"/>
        </w:rPr>
        <w:t xml:space="preserve">t </w:t>
      </w:r>
      <w:r>
        <w:rPr>
          <w:bCs/>
          <w:sz w:val="24"/>
          <w:szCs w:val="24"/>
          <w:lang w:val="pt-BR"/>
        </w:rPr>
        <w:t xml:space="preserve">was </w:t>
      </w:r>
      <w:r>
        <w:rPr>
          <w:bCs/>
          <w:sz w:val="24"/>
          <w:szCs w:val="24"/>
        </w:rPr>
        <w:t xml:space="preserve">wrongly </w:t>
      </w:r>
      <w:r>
        <w:rPr>
          <w:bCs/>
          <w:sz w:val="24"/>
          <w:szCs w:val="24"/>
          <w:lang w:val="pt-BR"/>
        </w:rPr>
        <w:t xml:space="preserve">rejected the complaint </w:t>
      </w:r>
      <w:r>
        <w:rPr>
          <w:bCs/>
          <w:sz w:val="24"/>
          <w:szCs w:val="24"/>
        </w:rPr>
        <w:t xml:space="preserve">of </w:t>
      </w:r>
      <w:r>
        <w:rPr>
          <w:bCs/>
          <w:sz w:val="24"/>
          <w:szCs w:val="24"/>
          <w:lang w:val="pt-BR"/>
        </w:rPr>
        <w:t>Conpet S.A. against the </w:t>
      </w:r>
      <w:r>
        <w:rPr>
          <w:bCs/>
          <w:sz w:val="24"/>
          <w:szCs w:val="24"/>
          <w:lang w:val="fr-FR"/>
        </w:rPr>
        <w:t xml:space="preserve">ordinance for classifying </w:t>
      </w:r>
      <w:r>
        <w:rPr>
          <w:bCs/>
          <w:sz w:val="24"/>
          <w:szCs w:val="24"/>
        </w:rPr>
        <w:t xml:space="preserve">ordered </w:t>
      </w:r>
      <w:r>
        <w:rPr>
          <w:bCs/>
          <w:sz w:val="24"/>
          <w:szCs w:val="24"/>
          <w:lang w:val="fr-FR"/>
        </w:rPr>
        <w:t>on 22</w:t>
      </w:r>
      <w:r>
        <w:rPr>
          <w:bCs/>
          <w:sz w:val="24"/>
          <w:szCs w:val="24"/>
          <w:vertAlign w:val="superscript"/>
        </w:rPr>
        <w:t>nd</w:t>
      </w:r>
      <w:r>
        <w:rPr>
          <w:bCs/>
          <w:sz w:val="24"/>
          <w:szCs w:val="24"/>
        </w:rPr>
        <w:t xml:space="preserve"> Nov </w:t>
      </w:r>
      <w:r>
        <w:rPr>
          <w:bCs/>
          <w:sz w:val="24"/>
          <w:szCs w:val="24"/>
          <w:lang w:val="fr-FR"/>
        </w:rPr>
        <w:t>2017 by the </w:t>
      </w:r>
      <w:r>
        <w:rPr>
          <w:bCs/>
          <w:sz w:val="24"/>
          <w:szCs w:val="24"/>
          <w:lang w:val="pt-BR"/>
        </w:rPr>
        <w:t>Prosecutor's Office of the Court of Ploiesti, in the file no. 8572/P/2012, concerning the perpetration of the offense of </w:t>
      </w:r>
      <w:r>
        <w:rPr>
          <w:bCs/>
          <w:sz w:val="24"/>
          <w:szCs w:val="24"/>
          <w:lang w:val="it-IT"/>
        </w:rPr>
        <w:t>destruction provided for in Article 253 paragraph 1 Penal Code and require</w:t>
      </w:r>
      <w:r>
        <w:rPr>
          <w:bCs/>
          <w:sz w:val="24"/>
          <w:szCs w:val="24"/>
        </w:rPr>
        <w:t>s</w:t>
      </w:r>
      <w:r>
        <w:rPr>
          <w:bCs/>
          <w:sz w:val="24"/>
          <w:szCs w:val="24"/>
          <w:lang w:val="it-IT"/>
        </w:rPr>
        <w:t xml:space="preserve"> the dismantlement of the ordinances, the continuation of the criminal prosecution and investigation to identify offenders and pull them to the penal liability for damage</w:t>
      </w:r>
      <w:r>
        <w:rPr>
          <w:bCs/>
          <w:sz w:val="24"/>
          <w:szCs w:val="24"/>
        </w:rPr>
        <w:t xml:space="preserve"> of </w:t>
      </w:r>
      <w:r>
        <w:rPr>
          <w:bCs/>
          <w:sz w:val="24"/>
          <w:szCs w:val="24"/>
          <w:lang w:val="it-IT"/>
        </w:rPr>
        <w:t xml:space="preserve">a pipe Ø 3½" Boldesti - Ploiesti, in </w:t>
      </w:r>
      <w:r>
        <w:rPr>
          <w:bCs/>
          <w:sz w:val="24"/>
          <w:szCs w:val="24"/>
        </w:rPr>
        <w:t>Hearing</w:t>
      </w:r>
      <w:r>
        <w:rPr>
          <w:bCs/>
          <w:sz w:val="24"/>
          <w:szCs w:val="24"/>
          <w:lang w:val="it-IT"/>
        </w:rPr>
        <w:t xml:space="preserve"> of 10</w:t>
      </w:r>
      <w:r>
        <w:rPr>
          <w:bCs/>
          <w:sz w:val="24"/>
          <w:szCs w:val="24"/>
          <w:vertAlign w:val="superscript"/>
        </w:rPr>
        <w:t>th</w:t>
      </w:r>
      <w:r>
        <w:rPr>
          <w:bCs/>
          <w:sz w:val="24"/>
          <w:szCs w:val="24"/>
        </w:rPr>
        <w:t xml:space="preserve"> July </w:t>
      </w:r>
      <w:r>
        <w:rPr>
          <w:bCs/>
          <w:sz w:val="24"/>
          <w:szCs w:val="24"/>
          <w:lang w:val="it-IT"/>
        </w:rPr>
        <w:t xml:space="preserve">2012, </w:t>
      </w:r>
      <w:r>
        <w:rPr>
          <w:bCs/>
          <w:sz w:val="24"/>
          <w:szCs w:val="24"/>
        </w:rPr>
        <w:t xml:space="preserve">with </w:t>
      </w:r>
      <w:r>
        <w:rPr>
          <w:bCs/>
          <w:sz w:val="24"/>
          <w:szCs w:val="24"/>
          <w:lang w:val="it-IT"/>
        </w:rPr>
        <w:t xml:space="preserve">the purpose of </w:t>
      </w:r>
      <w:r>
        <w:rPr>
          <w:bCs/>
          <w:sz w:val="24"/>
          <w:szCs w:val="24"/>
        </w:rPr>
        <w:t>stealing</w:t>
      </w:r>
      <w:r>
        <w:rPr>
          <w:bCs/>
          <w:sz w:val="24"/>
          <w:szCs w:val="24"/>
          <w:lang w:val="it-IT"/>
        </w:rPr>
        <w:t xml:space="preserve"> gazolina, in the area of the locality Boldesti Scaieni, county Prahova (injury</w:t>
      </w:r>
      <w:r>
        <w:rPr>
          <w:bCs/>
          <w:sz w:val="24"/>
          <w:szCs w:val="24"/>
        </w:rPr>
        <w:t xml:space="preserve"> RON</w:t>
      </w:r>
      <w:r>
        <w:rPr>
          <w:bCs/>
          <w:sz w:val="24"/>
          <w:szCs w:val="24"/>
          <w:lang w:val="it-IT"/>
        </w:rPr>
        <w:t xml:space="preserve"> 864,68). </w:t>
      </w:r>
    </w:p>
    <w:p w:rsidR="00452793" w:rsidRDefault="00452793" w:rsidP="00452793">
      <w:pPr>
        <w:jc w:val="both"/>
        <w:rPr>
          <w:bCs/>
          <w:sz w:val="24"/>
          <w:szCs w:val="24"/>
          <w:lang w:val="it-IT"/>
        </w:rPr>
      </w:pPr>
      <w:r>
        <w:rPr>
          <w:b/>
          <w:bCs/>
          <w:sz w:val="24"/>
          <w:szCs w:val="24"/>
        </w:rPr>
        <w:t>Clarrifications</w:t>
      </w:r>
      <w:r>
        <w:rPr>
          <w:b/>
          <w:bCs/>
          <w:sz w:val="24"/>
          <w:szCs w:val="24"/>
          <w:lang w:val="it-IT"/>
        </w:rPr>
        <w:t>:</w:t>
      </w:r>
      <w:r>
        <w:rPr>
          <w:bCs/>
          <w:sz w:val="24"/>
          <w:szCs w:val="24"/>
          <w:lang w:val="it-IT"/>
        </w:rPr>
        <w:t> --</w:t>
      </w:r>
    </w:p>
    <w:p w:rsidR="00452793" w:rsidRDefault="00452793" w:rsidP="00452793">
      <w:pPr>
        <w:jc w:val="both"/>
        <w:rPr>
          <w:bCs/>
          <w:sz w:val="24"/>
          <w:szCs w:val="24"/>
          <w:lang w:val="it-IT"/>
        </w:rPr>
      </w:pPr>
      <w:r>
        <w:rPr>
          <w:bCs/>
          <w:sz w:val="24"/>
          <w:szCs w:val="24"/>
          <w:lang w:val="it-IT"/>
        </w:rPr>
        <w:t> </w:t>
      </w:r>
      <w:r>
        <w:rPr>
          <w:bCs/>
          <w:sz w:val="24"/>
          <w:szCs w:val="24"/>
        </w:rPr>
        <w:t>Stage of trial</w:t>
      </w:r>
      <w:r>
        <w:rPr>
          <w:bCs/>
          <w:sz w:val="24"/>
          <w:szCs w:val="24"/>
          <w:lang w:val="it-IT"/>
        </w:rPr>
        <w:t>:</w:t>
      </w:r>
    </w:p>
    <w:p w:rsidR="00452793" w:rsidRDefault="00452793" w:rsidP="00452793">
      <w:pPr>
        <w:jc w:val="both"/>
        <w:rPr>
          <w:bCs/>
          <w:sz w:val="24"/>
          <w:szCs w:val="24"/>
          <w:lang w:val="it-IT"/>
        </w:rPr>
      </w:pPr>
      <w:r>
        <w:rPr>
          <w:bCs/>
          <w:sz w:val="24"/>
          <w:szCs w:val="24"/>
          <w:lang w:val="it-IT"/>
        </w:rPr>
        <w:t xml:space="preserve">  </w:t>
      </w:r>
      <w:r>
        <w:rPr>
          <w:bCs/>
          <w:sz w:val="24"/>
          <w:szCs w:val="24"/>
        </w:rPr>
        <w:t>Hearing</w:t>
      </w:r>
      <w:r>
        <w:rPr>
          <w:bCs/>
          <w:sz w:val="24"/>
          <w:szCs w:val="24"/>
          <w:lang w:val="it-IT"/>
        </w:rPr>
        <w:t>:</w:t>
      </w:r>
      <w:r>
        <w:rPr>
          <w:bCs/>
          <w:sz w:val="24"/>
          <w:szCs w:val="24"/>
        </w:rPr>
        <w:t xml:space="preserve"> </w:t>
      </w:r>
      <w:proofErr w:type="gramStart"/>
      <w:r>
        <w:rPr>
          <w:bCs/>
          <w:sz w:val="24"/>
          <w:szCs w:val="24"/>
          <w:lang w:val="it-IT"/>
        </w:rPr>
        <w:t>06</w:t>
      </w:r>
      <w:r>
        <w:rPr>
          <w:bCs/>
          <w:sz w:val="24"/>
          <w:szCs w:val="24"/>
          <w:vertAlign w:val="superscript"/>
        </w:rPr>
        <w:t>th</w:t>
      </w:r>
      <w:proofErr w:type="gramEnd"/>
      <w:r>
        <w:rPr>
          <w:bCs/>
          <w:sz w:val="24"/>
          <w:szCs w:val="24"/>
        </w:rPr>
        <w:t xml:space="preserve"> Sept </w:t>
      </w:r>
      <w:r>
        <w:rPr>
          <w:bCs/>
          <w:sz w:val="24"/>
          <w:szCs w:val="24"/>
          <w:lang w:val="it-IT"/>
        </w:rPr>
        <w:t>2018</w:t>
      </w:r>
    </w:p>
    <w:p w:rsidR="00452793" w:rsidRDefault="00452793" w:rsidP="00452793">
      <w:pPr>
        <w:jc w:val="both"/>
        <w:rPr>
          <w:bCs/>
          <w:sz w:val="24"/>
          <w:szCs w:val="24"/>
          <w:lang w:val="it-IT"/>
        </w:rPr>
      </w:pPr>
    </w:p>
    <w:p w:rsidR="00452793" w:rsidRDefault="00452793" w:rsidP="00452793">
      <w:pPr>
        <w:jc w:val="both"/>
        <w:rPr>
          <w:bCs/>
          <w:sz w:val="24"/>
          <w:szCs w:val="24"/>
          <w:lang w:val="it-IT"/>
        </w:rPr>
      </w:pPr>
    </w:p>
    <w:p w:rsidR="00452793" w:rsidRDefault="00452793" w:rsidP="00452793">
      <w:pPr>
        <w:jc w:val="both"/>
        <w:rPr>
          <w:bCs/>
          <w:sz w:val="24"/>
          <w:szCs w:val="24"/>
          <w:lang w:val="it-IT"/>
        </w:rPr>
      </w:pPr>
    </w:p>
    <w:p w:rsidR="00452793" w:rsidRDefault="00452793" w:rsidP="00452793">
      <w:pPr>
        <w:jc w:val="both"/>
        <w:rPr>
          <w:b/>
          <w:bCs/>
          <w:sz w:val="24"/>
          <w:szCs w:val="24"/>
          <w:lang w:val="ro-RO"/>
        </w:rPr>
      </w:pPr>
      <w:r>
        <w:rPr>
          <w:b/>
          <w:bCs/>
          <w:sz w:val="24"/>
          <w:szCs w:val="24"/>
          <w:lang w:val="ro-RO"/>
        </w:rPr>
        <w:t xml:space="preserve">46. The </w:t>
      </w:r>
      <w:r>
        <w:rPr>
          <w:b/>
          <w:bCs/>
          <w:sz w:val="24"/>
          <w:szCs w:val="24"/>
        </w:rPr>
        <w:t>file</w:t>
      </w:r>
      <w:r>
        <w:rPr>
          <w:b/>
          <w:bCs/>
          <w:sz w:val="24"/>
          <w:szCs w:val="24"/>
          <w:lang w:val="ro-RO"/>
        </w:rPr>
        <w:t xml:space="preserve"> No 14772/281/2018 - Ploiesti</w:t>
      </w:r>
      <w:r>
        <w:rPr>
          <w:b/>
          <w:bCs/>
          <w:sz w:val="24"/>
          <w:szCs w:val="24"/>
        </w:rPr>
        <w:t xml:space="preserve"> </w:t>
      </w:r>
      <w:r>
        <w:rPr>
          <w:b/>
          <w:bCs/>
          <w:sz w:val="24"/>
          <w:szCs w:val="24"/>
          <w:lang w:val="ro-RO"/>
        </w:rPr>
        <w:t>Court</w:t>
      </w:r>
    </w:p>
    <w:p w:rsidR="00452793" w:rsidRDefault="00452793" w:rsidP="00452793">
      <w:pPr>
        <w:jc w:val="both"/>
        <w:rPr>
          <w:bCs/>
          <w:sz w:val="24"/>
          <w:szCs w:val="24"/>
          <w:lang w:val="ro-RO"/>
        </w:rPr>
      </w:pPr>
      <w:r>
        <w:rPr>
          <w:b/>
          <w:bCs/>
          <w:sz w:val="24"/>
          <w:szCs w:val="24"/>
          <w:lang w:val="ro-RO"/>
        </w:rPr>
        <w:t>The parties:</w:t>
      </w:r>
      <w:r>
        <w:rPr>
          <w:bCs/>
          <w:sz w:val="24"/>
          <w:szCs w:val="24"/>
          <w:lang w:val="ro-RO"/>
        </w:rPr>
        <w:t xml:space="preserve"> Conpet - the </w:t>
      </w:r>
      <w:r>
        <w:rPr>
          <w:bCs/>
          <w:sz w:val="24"/>
          <w:szCs w:val="24"/>
        </w:rPr>
        <w:t>plaintiff</w:t>
      </w:r>
    </w:p>
    <w:p w:rsidR="00452793" w:rsidRDefault="00452793" w:rsidP="00452793">
      <w:pPr>
        <w:jc w:val="both"/>
        <w:rPr>
          <w:bCs/>
          <w:sz w:val="24"/>
          <w:szCs w:val="24"/>
          <w:lang w:val="ro-RO"/>
        </w:rPr>
      </w:pPr>
      <w:r>
        <w:rPr>
          <w:bCs/>
          <w:sz w:val="24"/>
          <w:szCs w:val="24"/>
          <w:lang w:val="ro-RO"/>
        </w:rPr>
        <w:t xml:space="preserve">           Valin Construction Project SRL - </w:t>
      </w:r>
      <w:r>
        <w:rPr>
          <w:bCs/>
          <w:sz w:val="24"/>
          <w:szCs w:val="24"/>
        </w:rPr>
        <w:t>defendant</w:t>
      </w:r>
    </w:p>
    <w:p w:rsidR="00452793" w:rsidRDefault="00452793" w:rsidP="00452793">
      <w:pPr>
        <w:jc w:val="both"/>
        <w:rPr>
          <w:bCs/>
          <w:sz w:val="24"/>
          <w:szCs w:val="24"/>
          <w:lang w:val="ro-RO"/>
        </w:rPr>
      </w:pPr>
      <w:r>
        <w:rPr>
          <w:b/>
          <w:bCs/>
          <w:sz w:val="24"/>
          <w:szCs w:val="24"/>
          <w:lang w:val="ro-RO"/>
        </w:rPr>
        <w:t>Subject:</w:t>
      </w:r>
      <w:r>
        <w:rPr>
          <w:bCs/>
          <w:sz w:val="24"/>
          <w:szCs w:val="24"/>
          <w:lang w:val="ro-RO"/>
        </w:rPr>
        <w:t xml:space="preserve"> Conpet shall </w:t>
      </w:r>
      <w:r>
        <w:rPr>
          <w:bCs/>
          <w:sz w:val="24"/>
          <w:szCs w:val="24"/>
        </w:rPr>
        <w:t>file for a trial,</w:t>
      </w:r>
      <w:r>
        <w:rPr>
          <w:bCs/>
          <w:sz w:val="24"/>
          <w:szCs w:val="24"/>
          <w:lang w:val="ro-RO"/>
        </w:rPr>
        <w:t xml:space="preserve"> </w:t>
      </w:r>
      <w:r>
        <w:rPr>
          <w:bCs/>
          <w:sz w:val="24"/>
          <w:szCs w:val="24"/>
        </w:rPr>
        <w:t>requesting</w:t>
      </w:r>
      <w:r>
        <w:rPr>
          <w:bCs/>
          <w:sz w:val="24"/>
          <w:szCs w:val="24"/>
          <w:lang w:val="ro-RO"/>
        </w:rPr>
        <w:t>:</w:t>
      </w:r>
    </w:p>
    <w:p w:rsidR="00452793" w:rsidRDefault="00452793" w:rsidP="00452793">
      <w:pPr>
        <w:jc w:val="both"/>
        <w:rPr>
          <w:bCs/>
          <w:sz w:val="24"/>
          <w:szCs w:val="24"/>
          <w:lang w:val="ro-RO"/>
        </w:rPr>
      </w:pPr>
      <w:r>
        <w:rPr>
          <w:bCs/>
          <w:sz w:val="24"/>
          <w:szCs w:val="24"/>
          <w:lang w:val="ro-RO"/>
        </w:rPr>
        <w:lastRenderedPageBreak/>
        <w:t xml:space="preserve">- The </w:t>
      </w:r>
      <w:r>
        <w:rPr>
          <w:bCs/>
          <w:sz w:val="24"/>
          <w:szCs w:val="24"/>
        </w:rPr>
        <w:t>order that</w:t>
      </w:r>
      <w:r>
        <w:rPr>
          <w:bCs/>
          <w:sz w:val="24"/>
          <w:szCs w:val="24"/>
          <w:lang w:val="ro-RO"/>
        </w:rPr>
        <w:t xml:space="preserve"> the defendant pay</w:t>
      </w:r>
      <w:r>
        <w:rPr>
          <w:bCs/>
          <w:sz w:val="24"/>
          <w:szCs w:val="24"/>
        </w:rPr>
        <w:t>s</w:t>
      </w:r>
      <w:r>
        <w:rPr>
          <w:bCs/>
          <w:sz w:val="24"/>
          <w:szCs w:val="24"/>
          <w:lang w:val="ro-RO"/>
        </w:rPr>
        <w:t xml:space="preserve"> to Conpet the </w:t>
      </w:r>
      <w:r>
        <w:rPr>
          <w:bCs/>
          <w:sz w:val="24"/>
          <w:szCs w:val="24"/>
        </w:rPr>
        <w:t xml:space="preserve">sum </w:t>
      </w:r>
      <w:r>
        <w:rPr>
          <w:bCs/>
          <w:sz w:val="24"/>
          <w:szCs w:val="24"/>
          <w:lang w:val="ro-RO"/>
        </w:rPr>
        <w:t xml:space="preserve">of </w:t>
      </w:r>
      <w:r>
        <w:rPr>
          <w:bCs/>
          <w:sz w:val="24"/>
          <w:szCs w:val="24"/>
        </w:rPr>
        <w:t xml:space="preserve">RON </w:t>
      </w:r>
      <w:r>
        <w:rPr>
          <w:bCs/>
          <w:sz w:val="24"/>
          <w:szCs w:val="24"/>
          <w:lang w:val="ro-RO"/>
        </w:rPr>
        <w:t>529,80 according to the invoice no. PH</w:t>
      </w:r>
      <w:r>
        <w:rPr>
          <w:bCs/>
          <w:sz w:val="24"/>
          <w:szCs w:val="24"/>
        </w:rPr>
        <w:t xml:space="preserve"> CON</w:t>
      </w:r>
      <w:r>
        <w:rPr>
          <w:bCs/>
          <w:sz w:val="24"/>
          <w:szCs w:val="24"/>
          <w:lang w:val="ro-RO"/>
        </w:rPr>
        <w:t xml:space="preserve"> FA 3378/26.04.2016, representing the </w:t>
      </w:r>
      <w:r>
        <w:rPr>
          <w:bCs/>
          <w:sz w:val="24"/>
          <w:szCs w:val="24"/>
        </w:rPr>
        <w:t xml:space="preserve">consideration </w:t>
      </w:r>
      <w:r>
        <w:rPr>
          <w:bCs/>
          <w:sz w:val="24"/>
          <w:szCs w:val="24"/>
          <w:lang w:val="ro-RO"/>
        </w:rPr>
        <w:t xml:space="preserve"> of hiring on 24</w:t>
      </w:r>
      <w:r>
        <w:rPr>
          <w:bCs/>
          <w:sz w:val="24"/>
          <w:szCs w:val="24"/>
          <w:vertAlign w:val="superscript"/>
        </w:rPr>
        <w:t>th</w:t>
      </w:r>
      <w:r>
        <w:rPr>
          <w:bCs/>
          <w:sz w:val="24"/>
          <w:szCs w:val="24"/>
        </w:rPr>
        <w:t xml:space="preserve"> April </w:t>
      </w:r>
      <w:r>
        <w:rPr>
          <w:bCs/>
          <w:sz w:val="24"/>
          <w:szCs w:val="24"/>
          <w:lang w:val="ro-RO"/>
        </w:rPr>
        <w:t xml:space="preserve">2016 </w:t>
      </w:r>
      <w:r>
        <w:rPr>
          <w:bCs/>
          <w:sz w:val="24"/>
          <w:szCs w:val="24"/>
        </w:rPr>
        <w:t>t</w:t>
      </w:r>
      <w:r>
        <w:rPr>
          <w:bCs/>
          <w:sz w:val="24"/>
          <w:szCs w:val="24"/>
          <w:lang w:val="ro-RO"/>
        </w:rPr>
        <w:t>he</w:t>
      </w:r>
      <w:r>
        <w:rPr>
          <w:bCs/>
          <w:sz w:val="24"/>
          <w:szCs w:val="24"/>
        </w:rPr>
        <w:t xml:space="preserve"> special</w:t>
      </w:r>
      <w:r>
        <w:rPr>
          <w:bCs/>
          <w:sz w:val="24"/>
          <w:szCs w:val="24"/>
          <w:lang w:val="ro-RO"/>
        </w:rPr>
        <w:t xml:space="preserve"> vehicle TATRA electric </w:t>
      </w:r>
      <w:r>
        <w:rPr>
          <w:bCs/>
          <w:sz w:val="24"/>
          <w:szCs w:val="24"/>
        </w:rPr>
        <w:t xml:space="preserve">mobile crane </w:t>
      </w:r>
      <w:r>
        <w:rPr>
          <w:bCs/>
          <w:sz w:val="24"/>
          <w:szCs w:val="24"/>
          <w:lang w:val="ro-RO"/>
        </w:rPr>
        <w:t>with registration number PH-58-ZZZ, Conpet</w:t>
      </w:r>
      <w:r>
        <w:rPr>
          <w:bCs/>
          <w:sz w:val="24"/>
          <w:szCs w:val="24"/>
        </w:rPr>
        <w:t>’s</w:t>
      </w:r>
      <w:r>
        <w:rPr>
          <w:bCs/>
          <w:sz w:val="24"/>
          <w:szCs w:val="24"/>
          <w:lang w:val="ro-RO"/>
        </w:rPr>
        <w:t xml:space="preserve"> property;</w:t>
      </w:r>
    </w:p>
    <w:p w:rsidR="00452793" w:rsidRDefault="00452793" w:rsidP="00452793">
      <w:pPr>
        <w:jc w:val="both"/>
        <w:rPr>
          <w:bCs/>
          <w:sz w:val="24"/>
          <w:szCs w:val="24"/>
          <w:lang w:val="ro-RO"/>
        </w:rPr>
      </w:pPr>
      <w:r>
        <w:rPr>
          <w:bCs/>
          <w:sz w:val="24"/>
          <w:szCs w:val="24"/>
          <w:lang w:val="ro-RO"/>
        </w:rPr>
        <w:t xml:space="preserve">- The </w:t>
      </w:r>
      <w:r>
        <w:rPr>
          <w:bCs/>
          <w:sz w:val="24"/>
          <w:szCs w:val="24"/>
        </w:rPr>
        <w:t>order that</w:t>
      </w:r>
      <w:r>
        <w:rPr>
          <w:bCs/>
          <w:sz w:val="24"/>
          <w:szCs w:val="24"/>
          <w:lang w:val="ro-RO"/>
        </w:rPr>
        <w:t xml:space="preserve"> the defendant pay</w:t>
      </w:r>
      <w:r>
        <w:rPr>
          <w:bCs/>
          <w:sz w:val="24"/>
          <w:szCs w:val="24"/>
        </w:rPr>
        <w:t>s</w:t>
      </w:r>
      <w:r>
        <w:rPr>
          <w:bCs/>
          <w:sz w:val="24"/>
          <w:szCs w:val="24"/>
          <w:lang w:val="ro-RO"/>
        </w:rPr>
        <w:t xml:space="preserve"> </w:t>
      </w:r>
      <w:r>
        <w:rPr>
          <w:bCs/>
          <w:sz w:val="24"/>
          <w:szCs w:val="24"/>
        </w:rPr>
        <w:t xml:space="preserve">legal </w:t>
      </w:r>
      <w:r>
        <w:rPr>
          <w:bCs/>
          <w:sz w:val="24"/>
          <w:szCs w:val="24"/>
          <w:lang w:val="ro-RO"/>
        </w:rPr>
        <w:t xml:space="preserve">interest </w:t>
      </w:r>
      <w:r>
        <w:rPr>
          <w:bCs/>
          <w:sz w:val="24"/>
          <w:szCs w:val="24"/>
        </w:rPr>
        <w:t xml:space="preserve">to </w:t>
      </w:r>
      <w:r>
        <w:rPr>
          <w:bCs/>
          <w:sz w:val="24"/>
          <w:szCs w:val="24"/>
          <w:lang w:val="ro-RO"/>
        </w:rPr>
        <w:t xml:space="preserve">Conpet in the amount of </w:t>
      </w:r>
      <w:r>
        <w:rPr>
          <w:bCs/>
          <w:sz w:val="24"/>
          <w:szCs w:val="24"/>
        </w:rPr>
        <w:t xml:space="preserve">RON </w:t>
      </w:r>
      <w:r>
        <w:rPr>
          <w:bCs/>
          <w:sz w:val="24"/>
          <w:szCs w:val="24"/>
          <w:lang w:val="ro-RO"/>
        </w:rPr>
        <w:t>114,06, calculated up to the date of 2</w:t>
      </w:r>
      <w:r>
        <w:rPr>
          <w:bCs/>
          <w:sz w:val="24"/>
          <w:szCs w:val="24"/>
          <w:vertAlign w:val="superscript"/>
        </w:rPr>
        <w:t>nd</w:t>
      </w:r>
      <w:r>
        <w:rPr>
          <w:bCs/>
          <w:sz w:val="24"/>
          <w:szCs w:val="24"/>
        </w:rPr>
        <w:t xml:space="preserve"> July </w:t>
      </w:r>
      <w:r>
        <w:rPr>
          <w:bCs/>
          <w:sz w:val="24"/>
          <w:szCs w:val="24"/>
          <w:lang w:val="ro-RO"/>
        </w:rPr>
        <w:t>2018, as well as the payment of the</w:t>
      </w:r>
      <w:r>
        <w:rPr>
          <w:bCs/>
          <w:sz w:val="24"/>
          <w:szCs w:val="24"/>
        </w:rPr>
        <w:t xml:space="preserve">se until </w:t>
      </w:r>
      <w:r>
        <w:rPr>
          <w:bCs/>
          <w:sz w:val="24"/>
          <w:szCs w:val="24"/>
          <w:lang w:val="ro-RO"/>
        </w:rPr>
        <w:t>pay</w:t>
      </w:r>
      <w:r>
        <w:rPr>
          <w:bCs/>
          <w:sz w:val="24"/>
          <w:szCs w:val="24"/>
        </w:rPr>
        <w:t>ment of</w:t>
      </w:r>
      <w:r>
        <w:rPr>
          <w:bCs/>
          <w:sz w:val="24"/>
          <w:szCs w:val="24"/>
          <w:lang w:val="ro-RO"/>
        </w:rPr>
        <w:t xml:space="preserve"> the full flow;</w:t>
      </w:r>
    </w:p>
    <w:p w:rsidR="00452793" w:rsidRDefault="00452793" w:rsidP="00452793">
      <w:pPr>
        <w:jc w:val="both"/>
        <w:rPr>
          <w:bCs/>
          <w:sz w:val="24"/>
          <w:szCs w:val="24"/>
          <w:lang w:val="ro-RO"/>
        </w:rPr>
      </w:pPr>
      <w:r>
        <w:rPr>
          <w:bCs/>
          <w:sz w:val="24"/>
          <w:szCs w:val="24"/>
          <w:lang w:val="ro-RO"/>
        </w:rPr>
        <w:t xml:space="preserve">- The </w:t>
      </w:r>
      <w:r>
        <w:rPr>
          <w:bCs/>
          <w:sz w:val="24"/>
          <w:szCs w:val="24"/>
        </w:rPr>
        <w:t xml:space="preserve">order that </w:t>
      </w:r>
      <w:r>
        <w:rPr>
          <w:bCs/>
          <w:sz w:val="24"/>
          <w:szCs w:val="24"/>
          <w:lang w:val="ro-RO"/>
        </w:rPr>
        <w:t>the defendant pay</w:t>
      </w:r>
      <w:r>
        <w:rPr>
          <w:bCs/>
          <w:sz w:val="24"/>
          <w:szCs w:val="24"/>
        </w:rPr>
        <w:t>s</w:t>
      </w:r>
      <w:r>
        <w:rPr>
          <w:bCs/>
          <w:sz w:val="24"/>
          <w:szCs w:val="24"/>
          <w:lang w:val="ro-RO"/>
        </w:rPr>
        <w:t xml:space="preserve"> of </w:t>
      </w:r>
      <w:r>
        <w:rPr>
          <w:bCs/>
          <w:sz w:val="24"/>
          <w:szCs w:val="24"/>
        </w:rPr>
        <w:t>trial expenses</w:t>
      </w:r>
      <w:r>
        <w:rPr>
          <w:bCs/>
          <w:sz w:val="24"/>
          <w:szCs w:val="24"/>
          <w:lang w:val="ro-RO"/>
        </w:rPr>
        <w:t>.</w:t>
      </w:r>
    </w:p>
    <w:p w:rsidR="00452793" w:rsidRDefault="00452793" w:rsidP="00452793">
      <w:pPr>
        <w:jc w:val="both"/>
        <w:rPr>
          <w:bCs/>
          <w:sz w:val="24"/>
          <w:szCs w:val="24"/>
          <w:lang w:val="ro-RO"/>
        </w:rPr>
      </w:pPr>
      <w:r>
        <w:rPr>
          <w:b/>
          <w:bCs/>
          <w:sz w:val="24"/>
          <w:szCs w:val="24"/>
          <w:lang w:val="ro-RO"/>
        </w:rPr>
        <w:t>Details:</w:t>
      </w:r>
      <w:r>
        <w:rPr>
          <w:bCs/>
          <w:sz w:val="24"/>
          <w:szCs w:val="24"/>
          <w:lang w:val="ro-RO"/>
        </w:rPr>
        <w:t> --</w:t>
      </w:r>
    </w:p>
    <w:p w:rsidR="00452793" w:rsidRDefault="00452793" w:rsidP="00452793">
      <w:pPr>
        <w:jc w:val="both"/>
        <w:rPr>
          <w:bCs/>
          <w:sz w:val="24"/>
          <w:szCs w:val="24"/>
          <w:lang w:val="ro-RO"/>
        </w:rPr>
      </w:pPr>
      <w:r>
        <w:rPr>
          <w:bCs/>
          <w:sz w:val="24"/>
          <w:szCs w:val="24"/>
        </w:rPr>
        <w:t xml:space="preserve">Stage of </w:t>
      </w:r>
      <w:proofErr w:type="gramStart"/>
      <w:r>
        <w:rPr>
          <w:bCs/>
          <w:sz w:val="24"/>
          <w:szCs w:val="24"/>
        </w:rPr>
        <w:t>trial</w:t>
      </w:r>
      <w:r>
        <w:rPr>
          <w:bCs/>
          <w:sz w:val="24"/>
          <w:szCs w:val="24"/>
          <w:lang w:val="ro-RO"/>
        </w:rPr>
        <w:t xml:space="preserve"> :</w:t>
      </w:r>
      <w:proofErr w:type="gramEnd"/>
    </w:p>
    <w:p w:rsidR="00452793" w:rsidRDefault="00452793" w:rsidP="00452793">
      <w:pPr>
        <w:jc w:val="both"/>
        <w:rPr>
          <w:bCs/>
          <w:sz w:val="24"/>
          <w:szCs w:val="24"/>
          <w:lang w:val="ro-RO"/>
        </w:rPr>
      </w:pPr>
      <w:r>
        <w:rPr>
          <w:b/>
          <w:bCs/>
          <w:sz w:val="24"/>
          <w:szCs w:val="24"/>
          <w:lang w:val="ro-RO"/>
        </w:rPr>
        <w:t>Period:</w:t>
      </w:r>
      <w:r>
        <w:rPr>
          <w:bCs/>
          <w:sz w:val="24"/>
          <w:szCs w:val="24"/>
          <w:lang w:val="ro-RO"/>
        </w:rPr>
        <w:t> --</w:t>
      </w:r>
    </w:p>
    <w:p w:rsidR="00452793" w:rsidRDefault="00452793" w:rsidP="00452793">
      <w:pPr>
        <w:jc w:val="both"/>
        <w:rPr>
          <w:sz w:val="24"/>
          <w:szCs w:val="24"/>
        </w:rPr>
      </w:pPr>
    </w:p>
    <w:p w:rsidR="00452793" w:rsidRDefault="00452793" w:rsidP="00452793">
      <w:pPr>
        <w:jc w:val="both"/>
        <w:rPr>
          <w:b/>
          <w:sz w:val="24"/>
          <w:szCs w:val="24"/>
        </w:rPr>
      </w:pPr>
    </w:p>
    <w:p w:rsidR="00452793" w:rsidRDefault="00452793" w:rsidP="00452793">
      <w:pPr>
        <w:jc w:val="both"/>
        <w:rPr>
          <w:b/>
          <w:sz w:val="24"/>
          <w:szCs w:val="24"/>
          <w:lang w:val="it-IT"/>
        </w:rPr>
      </w:pPr>
    </w:p>
    <w:p w:rsidR="00452793" w:rsidRDefault="00452793" w:rsidP="00452793">
      <w:pPr>
        <w:spacing w:after="200" w:line="276" w:lineRule="auto"/>
        <w:rPr>
          <w:lang w:val="ro-RO"/>
        </w:rPr>
      </w:pPr>
      <w:r>
        <w:rPr>
          <w:b/>
          <w:lang w:val="ro-RO"/>
        </w:rPr>
        <w:t>(B). Litigation IN WHICH THE COMPANY CONPET S.A. HAS THE CAPACITY OF THE DEFENDANT</w:t>
      </w:r>
      <w:r>
        <w:rPr>
          <w:lang w:val="ro-RO"/>
        </w:rPr>
        <w:t>:</w:t>
      </w:r>
    </w:p>
    <w:p w:rsidR="00452793" w:rsidRDefault="00452793" w:rsidP="00452793">
      <w:pPr>
        <w:jc w:val="both"/>
        <w:rPr>
          <w:b/>
          <w:sz w:val="24"/>
          <w:szCs w:val="24"/>
          <w:lang w:val="it-IT"/>
        </w:rPr>
      </w:pPr>
      <w:r>
        <w:rPr>
          <w:b/>
          <w:sz w:val="24"/>
          <w:szCs w:val="24"/>
          <w:lang w:val="it-IT"/>
        </w:rPr>
        <w:t xml:space="preserve">1. </w:t>
      </w:r>
      <w:r>
        <w:rPr>
          <w:b/>
          <w:sz w:val="24"/>
          <w:szCs w:val="24"/>
        </w:rPr>
        <w:t>F</w:t>
      </w:r>
      <w:r>
        <w:rPr>
          <w:b/>
          <w:sz w:val="24"/>
          <w:szCs w:val="24"/>
          <w:lang w:val="it-IT"/>
        </w:rPr>
        <w:t>ile no. 8296/281/2007 - Ploiesti</w:t>
      </w:r>
      <w:r>
        <w:rPr>
          <w:b/>
          <w:sz w:val="24"/>
          <w:szCs w:val="24"/>
        </w:rPr>
        <w:t xml:space="preserve"> </w:t>
      </w:r>
      <w:r>
        <w:rPr>
          <w:b/>
          <w:sz w:val="24"/>
          <w:szCs w:val="24"/>
          <w:lang w:val="it-IT"/>
        </w:rPr>
        <w:t xml:space="preserve">Court </w:t>
      </w:r>
    </w:p>
    <w:p w:rsidR="00452793" w:rsidRDefault="00452793" w:rsidP="00452793">
      <w:pPr>
        <w:jc w:val="both"/>
        <w:rPr>
          <w:sz w:val="24"/>
          <w:szCs w:val="24"/>
          <w:lang w:val="it-IT"/>
        </w:rPr>
      </w:pPr>
      <w:r>
        <w:rPr>
          <w:b/>
          <w:sz w:val="24"/>
          <w:szCs w:val="24"/>
          <w:lang w:val="it-IT"/>
        </w:rPr>
        <w:t>The Parties :</w:t>
      </w:r>
      <w:r>
        <w:rPr>
          <w:sz w:val="24"/>
          <w:szCs w:val="24"/>
          <w:lang w:val="it-IT"/>
        </w:rPr>
        <w:t xml:space="preserve"> Cornea Rodica Aurora - the </w:t>
      </w:r>
      <w:r>
        <w:rPr>
          <w:sz w:val="24"/>
          <w:szCs w:val="24"/>
        </w:rPr>
        <w:t>plaintiff</w:t>
      </w:r>
    </w:p>
    <w:p w:rsidR="00452793" w:rsidRDefault="00452793" w:rsidP="00452793">
      <w:pPr>
        <w:jc w:val="both"/>
        <w:rPr>
          <w:sz w:val="24"/>
          <w:szCs w:val="24"/>
          <w:lang w:val="it-IT"/>
        </w:rPr>
      </w:pPr>
      <w:r>
        <w:rPr>
          <w:sz w:val="24"/>
          <w:szCs w:val="24"/>
          <w:lang w:val="it-IT"/>
        </w:rPr>
        <w:t xml:space="preserve">Constanta Conpet S.A., S.A., Regional Transgaz Bucharest, the Ministry of Finance - </w:t>
      </w:r>
      <w:r>
        <w:rPr>
          <w:sz w:val="24"/>
          <w:szCs w:val="24"/>
        </w:rPr>
        <w:t>defendants</w:t>
      </w:r>
    </w:p>
    <w:p w:rsidR="00452793" w:rsidRDefault="00452793" w:rsidP="00452793">
      <w:pPr>
        <w:jc w:val="both"/>
        <w:rPr>
          <w:sz w:val="24"/>
          <w:szCs w:val="24"/>
          <w:lang w:val="it-IT"/>
        </w:rPr>
      </w:pPr>
      <w:r>
        <w:rPr>
          <w:b/>
          <w:sz w:val="24"/>
          <w:szCs w:val="24"/>
          <w:lang w:val="it-IT"/>
        </w:rPr>
        <w:t>Subject:</w:t>
      </w:r>
      <w:r>
        <w:rPr>
          <w:sz w:val="24"/>
          <w:szCs w:val="24"/>
          <w:lang w:val="it-IT"/>
        </w:rPr>
        <w:t> Cornea Rodica Aurora require</w:t>
      </w:r>
      <w:r>
        <w:rPr>
          <w:sz w:val="24"/>
          <w:szCs w:val="24"/>
        </w:rPr>
        <w:t>s</w:t>
      </w:r>
      <w:r>
        <w:rPr>
          <w:sz w:val="24"/>
          <w:szCs w:val="24"/>
          <w:lang w:val="it-IT"/>
        </w:rPr>
        <w:t xml:space="preserve"> the obligation </w:t>
      </w:r>
      <w:r>
        <w:rPr>
          <w:sz w:val="24"/>
          <w:szCs w:val="24"/>
        </w:rPr>
        <w:t xml:space="preserve">that the defendants jointly </w:t>
      </w:r>
      <w:r>
        <w:rPr>
          <w:sz w:val="24"/>
          <w:szCs w:val="24"/>
          <w:lang w:val="it-IT"/>
        </w:rPr>
        <w:t xml:space="preserve">pay </w:t>
      </w:r>
      <w:r>
        <w:rPr>
          <w:sz w:val="24"/>
          <w:szCs w:val="24"/>
        </w:rPr>
        <w:t xml:space="preserve">the </w:t>
      </w:r>
      <w:r>
        <w:rPr>
          <w:sz w:val="24"/>
          <w:szCs w:val="24"/>
          <w:lang w:val="it-IT"/>
        </w:rPr>
        <w:t xml:space="preserve">civil compensations in the amount of 74.000 euros representing the injury produced by the presence </w:t>
      </w:r>
      <w:r>
        <w:rPr>
          <w:sz w:val="24"/>
          <w:szCs w:val="24"/>
        </w:rPr>
        <w:t xml:space="preserve">of </w:t>
      </w:r>
      <w:r>
        <w:rPr>
          <w:sz w:val="24"/>
          <w:szCs w:val="24"/>
          <w:lang w:val="it-IT"/>
        </w:rPr>
        <w:t>pipes</w:t>
      </w:r>
      <w:r>
        <w:rPr>
          <w:sz w:val="24"/>
          <w:szCs w:val="24"/>
        </w:rPr>
        <w:t xml:space="preserve"> </w:t>
      </w:r>
      <w:r>
        <w:rPr>
          <w:sz w:val="24"/>
          <w:szCs w:val="24"/>
          <w:lang w:val="it-IT"/>
        </w:rPr>
        <w:t xml:space="preserve">which belong to the </w:t>
      </w:r>
      <w:r>
        <w:rPr>
          <w:sz w:val="24"/>
          <w:szCs w:val="24"/>
        </w:rPr>
        <w:t>defendants</w:t>
      </w:r>
      <w:r>
        <w:rPr>
          <w:sz w:val="24"/>
          <w:szCs w:val="24"/>
          <w:lang w:val="it-IT"/>
        </w:rPr>
        <w:t xml:space="preserve"> in the basement, the property of the </w:t>
      </w:r>
      <w:r>
        <w:rPr>
          <w:sz w:val="24"/>
          <w:szCs w:val="24"/>
        </w:rPr>
        <w:t>plaintiff</w:t>
      </w:r>
      <w:r>
        <w:rPr>
          <w:sz w:val="24"/>
          <w:szCs w:val="24"/>
          <w:lang w:val="it-IT"/>
        </w:rPr>
        <w:t xml:space="preserve"> and the payment of civil compensations assessed the provisional sum of 10,000 lei for the period from February 2004 - February 2006 as a result of the use of pipes that have crossed the property of the </w:t>
      </w:r>
      <w:r>
        <w:rPr>
          <w:sz w:val="24"/>
          <w:szCs w:val="24"/>
        </w:rPr>
        <w:t>plaintiff</w:t>
      </w:r>
      <w:r>
        <w:rPr>
          <w:sz w:val="24"/>
          <w:szCs w:val="24"/>
          <w:lang w:val="it-IT"/>
        </w:rPr>
        <w:t>.</w:t>
      </w:r>
    </w:p>
    <w:p w:rsidR="00452793" w:rsidRDefault="00452793" w:rsidP="00452793">
      <w:pPr>
        <w:jc w:val="both"/>
        <w:rPr>
          <w:sz w:val="24"/>
          <w:szCs w:val="24"/>
          <w:lang w:val="it-IT"/>
        </w:rPr>
      </w:pPr>
      <w:r>
        <w:rPr>
          <w:b/>
          <w:sz w:val="24"/>
          <w:szCs w:val="24"/>
        </w:rPr>
        <w:t>Clarifications</w:t>
      </w:r>
      <w:r>
        <w:rPr>
          <w:b/>
          <w:sz w:val="24"/>
          <w:szCs w:val="24"/>
          <w:lang w:val="it-IT"/>
        </w:rPr>
        <w:t>: The</w:t>
      </w:r>
      <w:r>
        <w:rPr>
          <w:sz w:val="24"/>
          <w:szCs w:val="24"/>
          <w:lang w:val="it-IT"/>
        </w:rPr>
        <w:t xml:space="preserve"> question is suspended </w:t>
      </w:r>
      <w:proofErr w:type="gramStart"/>
      <w:r>
        <w:rPr>
          <w:sz w:val="24"/>
          <w:szCs w:val="24"/>
          <w:lang w:val="it-IT"/>
        </w:rPr>
        <w:t>on the basis of</w:t>
      </w:r>
      <w:proofErr w:type="gramEnd"/>
      <w:r>
        <w:rPr>
          <w:sz w:val="24"/>
          <w:szCs w:val="24"/>
          <w:lang w:val="it-IT"/>
        </w:rPr>
        <w:t xml:space="preserve"> Article 36 of Law No 85/2006.</w:t>
      </w:r>
    </w:p>
    <w:p w:rsidR="00452793" w:rsidRDefault="00452793" w:rsidP="00452793">
      <w:pPr>
        <w:jc w:val="both"/>
        <w:rPr>
          <w:sz w:val="24"/>
          <w:szCs w:val="24"/>
          <w:lang w:val="it-IT"/>
        </w:rPr>
      </w:pPr>
      <w:r>
        <w:rPr>
          <w:sz w:val="24"/>
          <w:szCs w:val="24"/>
          <w:lang w:val="it-IT"/>
        </w:rPr>
        <w:t> </w:t>
      </w:r>
      <w:r>
        <w:rPr>
          <w:sz w:val="24"/>
          <w:szCs w:val="24"/>
        </w:rPr>
        <w:t>Stage of trial</w:t>
      </w:r>
      <w:r>
        <w:rPr>
          <w:sz w:val="24"/>
          <w:szCs w:val="24"/>
          <w:lang w:val="it-IT"/>
        </w:rPr>
        <w:t>:</w:t>
      </w:r>
    </w:p>
    <w:p w:rsidR="00452793" w:rsidRDefault="00452793" w:rsidP="00452793">
      <w:pPr>
        <w:jc w:val="both"/>
        <w:rPr>
          <w:b/>
          <w:sz w:val="24"/>
          <w:szCs w:val="24"/>
          <w:lang w:val="it-IT"/>
        </w:rPr>
      </w:pPr>
    </w:p>
    <w:p w:rsidR="00452793" w:rsidRDefault="00452793" w:rsidP="00452793">
      <w:pPr>
        <w:jc w:val="both"/>
        <w:rPr>
          <w:b/>
          <w:sz w:val="24"/>
          <w:szCs w:val="24"/>
          <w:lang w:val="it-IT"/>
        </w:rPr>
      </w:pPr>
    </w:p>
    <w:p w:rsidR="00452793" w:rsidRDefault="00452793" w:rsidP="00452793">
      <w:pPr>
        <w:jc w:val="both"/>
        <w:rPr>
          <w:b/>
          <w:sz w:val="24"/>
          <w:szCs w:val="24"/>
          <w:lang w:val="it-IT"/>
        </w:rPr>
      </w:pPr>
      <w:r>
        <w:rPr>
          <w:b/>
          <w:sz w:val="24"/>
          <w:szCs w:val="24"/>
          <w:lang w:val="it-IT"/>
        </w:rPr>
        <w:t>2. The file no. 8297/281/2007 - Ploiesti</w:t>
      </w:r>
      <w:r>
        <w:rPr>
          <w:b/>
          <w:sz w:val="24"/>
          <w:szCs w:val="24"/>
        </w:rPr>
        <w:t xml:space="preserve"> </w:t>
      </w:r>
      <w:r>
        <w:rPr>
          <w:b/>
          <w:sz w:val="24"/>
          <w:szCs w:val="24"/>
          <w:lang w:val="it-IT"/>
        </w:rPr>
        <w:t>Court</w:t>
      </w:r>
    </w:p>
    <w:p w:rsidR="00452793" w:rsidRDefault="00452793" w:rsidP="00452793">
      <w:pPr>
        <w:jc w:val="both"/>
        <w:rPr>
          <w:sz w:val="24"/>
          <w:szCs w:val="24"/>
          <w:lang w:val="it-IT"/>
        </w:rPr>
      </w:pPr>
      <w:r>
        <w:rPr>
          <w:b/>
          <w:sz w:val="24"/>
          <w:szCs w:val="24"/>
          <w:lang w:val="it-IT"/>
        </w:rPr>
        <w:t>The Parties :</w:t>
      </w:r>
      <w:r>
        <w:rPr>
          <w:sz w:val="24"/>
          <w:szCs w:val="24"/>
          <w:lang w:val="it-IT"/>
        </w:rPr>
        <w:t xml:space="preserve"> Rusu Mihaela - the </w:t>
      </w:r>
      <w:r>
        <w:rPr>
          <w:sz w:val="24"/>
          <w:szCs w:val="24"/>
        </w:rPr>
        <w:t>plaintiff</w:t>
      </w:r>
    </w:p>
    <w:p w:rsidR="00452793" w:rsidRDefault="00452793" w:rsidP="00452793">
      <w:pPr>
        <w:jc w:val="both"/>
        <w:rPr>
          <w:sz w:val="24"/>
          <w:szCs w:val="24"/>
          <w:lang w:val="it-IT"/>
        </w:rPr>
      </w:pPr>
      <w:r>
        <w:rPr>
          <w:sz w:val="24"/>
          <w:szCs w:val="24"/>
        </w:rPr>
        <w:t xml:space="preserve">Petrotrans </w:t>
      </w:r>
      <w:r>
        <w:rPr>
          <w:sz w:val="24"/>
          <w:szCs w:val="24"/>
          <w:lang w:val="it-IT"/>
        </w:rPr>
        <w:t>S.A.,</w:t>
      </w:r>
      <w:r>
        <w:rPr>
          <w:sz w:val="24"/>
          <w:szCs w:val="24"/>
        </w:rPr>
        <w:t xml:space="preserve"> </w:t>
      </w:r>
      <w:r>
        <w:rPr>
          <w:sz w:val="24"/>
          <w:szCs w:val="24"/>
          <w:lang w:val="it-IT"/>
        </w:rPr>
        <w:t xml:space="preserve">Conpet S.A., Regional Transgaz Bucharest, the Ministry of Finance - </w:t>
      </w:r>
      <w:r>
        <w:rPr>
          <w:sz w:val="24"/>
          <w:szCs w:val="24"/>
        </w:rPr>
        <w:t>defendants</w:t>
      </w:r>
    </w:p>
    <w:p w:rsidR="00452793" w:rsidRDefault="00452793" w:rsidP="00452793">
      <w:pPr>
        <w:jc w:val="both"/>
        <w:rPr>
          <w:sz w:val="24"/>
          <w:szCs w:val="24"/>
          <w:lang w:val="it-IT"/>
        </w:rPr>
      </w:pPr>
      <w:r>
        <w:rPr>
          <w:b/>
          <w:sz w:val="24"/>
          <w:szCs w:val="24"/>
          <w:lang w:val="it-IT"/>
        </w:rPr>
        <w:t>Subject :</w:t>
      </w:r>
      <w:r>
        <w:rPr>
          <w:sz w:val="24"/>
          <w:szCs w:val="24"/>
          <w:lang w:val="it-IT"/>
        </w:rPr>
        <w:t> Rusu Mihaela require</w:t>
      </w:r>
      <w:r>
        <w:rPr>
          <w:sz w:val="24"/>
          <w:szCs w:val="24"/>
        </w:rPr>
        <w:t>s</w:t>
      </w:r>
      <w:r>
        <w:rPr>
          <w:sz w:val="24"/>
          <w:szCs w:val="24"/>
          <w:lang w:val="it-IT"/>
        </w:rPr>
        <w:t xml:space="preserve"> the </w:t>
      </w:r>
      <w:r>
        <w:rPr>
          <w:sz w:val="24"/>
          <w:szCs w:val="24"/>
        </w:rPr>
        <w:t>order that the defendants jointly</w:t>
      </w:r>
      <w:r>
        <w:rPr>
          <w:sz w:val="24"/>
          <w:szCs w:val="24"/>
          <w:lang w:val="it-IT"/>
        </w:rPr>
        <w:t xml:space="preserve"> pay</w:t>
      </w:r>
      <w:r>
        <w:rPr>
          <w:sz w:val="24"/>
          <w:szCs w:val="24"/>
        </w:rPr>
        <w:t xml:space="preserve">                                                                 </w:t>
      </w:r>
      <w:r>
        <w:rPr>
          <w:sz w:val="24"/>
          <w:szCs w:val="24"/>
          <w:lang w:val="it-IT"/>
        </w:rPr>
        <w:t xml:space="preserve"> c</w:t>
      </w:r>
      <w:r>
        <w:rPr>
          <w:sz w:val="24"/>
          <w:szCs w:val="24"/>
        </w:rPr>
        <w:t>ivil c</w:t>
      </w:r>
      <w:r>
        <w:rPr>
          <w:sz w:val="24"/>
          <w:szCs w:val="24"/>
          <w:lang w:val="it-IT"/>
        </w:rPr>
        <w:t>ompensations in the amount of 74.000 euros representing the injury produced by the presence of</w:t>
      </w:r>
      <w:r>
        <w:rPr>
          <w:sz w:val="24"/>
          <w:szCs w:val="24"/>
        </w:rPr>
        <w:t xml:space="preserve"> </w:t>
      </w:r>
      <w:r>
        <w:rPr>
          <w:sz w:val="24"/>
          <w:szCs w:val="24"/>
          <w:lang w:val="it-IT"/>
        </w:rPr>
        <w:t xml:space="preserve">pipes which belong to the </w:t>
      </w:r>
      <w:r>
        <w:rPr>
          <w:sz w:val="24"/>
          <w:szCs w:val="24"/>
        </w:rPr>
        <w:t xml:space="preserve">defendants </w:t>
      </w:r>
      <w:r>
        <w:rPr>
          <w:sz w:val="24"/>
          <w:szCs w:val="24"/>
          <w:lang w:val="it-IT"/>
        </w:rPr>
        <w:t xml:space="preserve">in the basement, the property of the </w:t>
      </w:r>
      <w:r>
        <w:rPr>
          <w:sz w:val="24"/>
          <w:szCs w:val="24"/>
        </w:rPr>
        <w:t>plaintiff</w:t>
      </w:r>
      <w:r>
        <w:rPr>
          <w:sz w:val="24"/>
          <w:szCs w:val="24"/>
          <w:lang w:val="it-IT"/>
        </w:rPr>
        <w:t>.</w:t>
      </w:r>
    </w:p>
    <w:p w:rsidR="00452793" w:rsidRDefault="00452793" w:rsidP="00452793">
      <w:pPr>
        <w:jc w:val="both"/>
        <w:rPr>
          <w:sz w:val="24"/>
          <w:szCs w:val="24"/>
          <w:lang w:val="it-IT"/>
        </w:rPr>
      </w:pPr>
      <w:r>
        <w:rPr>
          <w:b/>
          <w:sz w:val="24"/>
          <w:szCs w:val="24"/>
          <w:lang w:val="it-IT"/>
        </w:rPr>
        <w:t>Details: The</w:t>
      </w:r>
      <w:r>
        <w:rPr>
          <w:sz w:val="24"/>
          <w:szCs w:val="24"/>
          <w:lang w:val="it-IT"/>
        </w:rPr>
        <w:t> </w:t>
      </w:r>
      <w:r>
        <w:rPr>
          <w:sz w:val="24"/>
          <w:szCs w:val="24"/>
        </w:rPr>
        <w:t xml:space="preserve">matter </w:t>
      </w:r>
      <w:r>
        <w:rPr>
          <w:sz w:val="24"/>
          <w:szCs w:val="24"/>
          <w:lang w:val="it-IT"/>
        </w:rPr>
        <w:t>is suspended on the basis of Article 36 of Law No 85/2006.</w:t>
      </w:r>
    </w:p>
    <w:p w:rsidR="00452793" w:rsidRDefault="00452793" w:rsidP="00452793">
      <w:pPr>
        <w:jc w:val="both"/>
        <w:rPr>
          <w:sz w:val="24"/>
          <w:szCs w:val="24"/>
          <w:lang w:val="it-IT"/>
        </w:rPr>
      </w:pPr>
      <w:r>
        <w:rPr>
          <w:sz w:val="24"/>
          <w:szCs w:val="24"/>
          <w:lang w:val="it-IT"/>
        </w:rPr>
        <w:t> </w:t>
      </w:r>
      <w:r>
        <w:rPr>
          <w:sz w:val="24"/>
          <w:szCs w:val="24"/>
        </w:rPr>
        <w:t>Stage of trial</w:t>
      </w:r>
      <w:r>
        <w:rPr>
          <w:sz w:val="24"/>
          <w:szCs w:val="24"/>
          <w:lang w:val="it-IT"/>
        </w:rPr>
        <w:t>:</w:t>
      </w:r>
    </w:p>
    <w:p w:rsidR="00452793" w:rsidRDefault="00452793" w:rsidP="00452793">
      <w:pPr>
        <w:jc w:val="both"/>
        <w:rPr>
          <w:b/>
          <w:sz w:val="24"/>
          <w:szCs w:val="24"/>
          <w:lang w:val="it-IT"/>
        </w:rPr>
      </w:pPr>
    </w:p>
    <w:p w:rsidR="00452793" w:rsidRDefault="00452793" w:rsidP="00452793">
      <w:pPr>
        <w:jc w:val="both"/>
        <w:rPr>
          <w:b/>
          <w:sz w:val="24"/>
          <w:szCs w:val="24"/>
          <w:lang w:val="it-IT"/>
        </w:rPr>
      </w:pPr>
    </w:p>
    <w:p w:rsidR="00452793" w:rsidRDefault="00452793" w:rsidP="00452793">
      <w:pPr>
        <w:jc w:val="both"/>
        <w:rPr>
          <w:b/>
          <w:sz w:val="24"/>
          <w:szCs w:val="24"/>
          <w:lang w:val="it-IT"/>
        </w:rPr>
      </w:pPr>
      <w:r>
        <w:rPr>
          <w:b/>
          <w:sz w:val="24"/>
          <w:szCs w:val="24"/>
          <w:lang w:val="it-IT"/>
        </w:rPr>
        <w:t>3. The file no. 2378/105/2009 - Prahova </w:t>
      </w:r>
      <w:r>
        <w:rPr>
          <w:b/>
          <w:sz w:val="24"/>
          <w:szCs w:val="24"/>
        </w:rPr>
        <w:t>Court</w:t>
      </w:r>
    </w:p>
    <w:p w:rsidR="00452793" w:rsidRDefault="00452793" w:rsidP="00452793">
      <w:pPr>
        <w:jc w:val="both"/>
        <w:rPr>
          <w:sz w:val="24"/>
          <w:szCs w:val="24"/>
          <w:lang w:val="it-IT"/>
        </w:rPr>
      </w:pPr>
      <w:r>
        <w:rPr>
          <w:b/>
          <w:sz w:val="24"/>
          <w:szCs w:val="24"/>
          <w:lang w:val="it-IT"/>
        </w:rPr>
        <w:t>The parties: </w:t>
      </w:r>
      <w:r>
        <w:rPr>
          <w:sz w:val="24"/>
          <w:szCs w:val="24"/>
          <w:lang w:val="it-IT"/>
        </w:rPr>
        <w:t>Cojocaru Irinel</w:t>
      </w:r>
      <w:r>
        <w:rPr>
          <w:b/>
          <w:sz w:val="24"/>
          <w:szCs w:val="24"/>
          <w:lang w:val="it-IT"/>
        </w:rPr>
        <w:t> (</w:t>
      </w:r>
      <w:r>
        <w:rPr>
          <w:sz w:val="24"/>
          <w:szCs w:val="24"/>
          <w:lang w:val="it-IT"/>
        </w:rPr>
        <w:t xml:space="preserve">Bojboiu Marilena) - </w:t>
      </w:r>
      <w:r>
        <w:rPr>
          <w:sz w:val="24"/>
          <w:szCs w:val="24"/>
        </w:rPr>
        <w:t>plaintiff</w:t>
      </w:r>
      <w:r>
        <w:rPr>
          <w:sz w:val="24"/>
          <w:szCs w:val="24"/>
          <w:lang w:val="it-IT"/>
        </w:rPr>
        <w:t> </w:t>
      </w:r>
    </w:p>
    <w:p w:rsidR="00452793" w:rsidRDefault="00452793" w:rsidP="00452793">
      <w:pPr>
        <w:jc w:val="both"/>
        <w:rPr>
          <w:sz w:val="24"/>
          <w:szCs w:val="24"/>
        </w:rPr>
      </w:pPr>
      <w:r>
        <w:rPr>
          <w:b/>
          <w:sz w:val="24"/>
          <w:szCs w:val="24"/>
        </w:rPr>
        <w:t> - </w:t>
      </w:r>
      <w:r>
        <w:rPr>
          <w:sz w:val="24"/>
          <w:szCs w:val="24"/>
        </w:rPr>
        <w:t xml:space="preserve">Conpet S.A. -defendant </w:t>
      </w:r>
    </w:p>
    <w:p w:rsidR="00452793" w:rsidRDefault="00452793" w:rsidP="00452793">
      <w:pPr>
        <w:jc w:val="both"/>
        <w:rPr>
          <w:b/>
          <w:sz w:val="24"/>
          <w:szCs w:val="24"/>
        </w:rPr>
      </w:pPr>
      <w:r>
        <w:rPr>
          <w:b/>
          <w:sz w:val="24"/>
          <w:szCs w:val="24"/>
          <w:lang w:val="it-IT"/>
        </w:rPr>
        <w:t>Subject: </w:t>
      </w:r>
      <w:r>
        <w:rPr>
          <w:sz w:val="24"/>
          <w:szCs w:val="24"/>
          <w:lang w:val="it-IT"/>
        </w:rPr>
        <w:t xml:space="preserve">Bojboiu Marilena </w:t>
      </w:r>
      <w:r>
        <w:rPr>
          <w:sz w:val="24"/>
          <w:szCs w:val="24"/>
        </w:rPr>
        <w:t>files a trial</w:t>
      </w:r>
      <w:r>
        <w:rPr>
          <w:sz w:val="24"/>
          <w:szCs w:val="24"/>
          <w:lang w:val="it-IT"/>
        </w:rPr>
        <w:t xml:space="preserve"> asking:</w:t>
      </w:r>
    </w:p>
    <w:p w:rsidR="00452793" w:rsidRDefault="00452793" w:rsidP="00D87DA4">
      <w:pPr>
        <w:widowControl/>
        <w:numPr>
          <w:ilvl w:val="0"/>
          <w:numId w:val="51"/>
        </w:numPr>
        <w:tabs>
          <w:tab w:val="left" w:pos="720"/>
        </w:tabs>
        <w:autoSpaceDE/>
        <w:autoSpaceDN/>
        <w:adjustRightInd/>
        <w:jc w:val="both"/>
        <w:rPr>
          <w:sz w:val="24"/>
          <w:szCs w:val="24"/>
          <w:lang w:val="it-IT"/>
        </w:rPr>
      </w:pPr>
      <w:r>
        <w:rPr>
          <w:sz w:val="24"/>
          <w:szCs w:val="24"/>
          <w:lang w:val="it-IT"/>
        </w:rPr>
        <w:t xml:space="preserve">The obligation of Conpet S.A. </w:t>
      </w:r>
      <w:r>
        <w:rPr>
          <w:sz w:val="24"/>
          <w:szCs w:val="24"/>
        </w:rPr>
        <w:t xml:space="preserve">to </w:t>
      </w:r>
      <w:r>
        <w:rPr>
          <w:sz w:val="24"/>
          <w:szCs w:val="24"/>
          <w:lang w:val="it-IT"/>
        </w:rPr>
        <w:t>the leav</w:t>
      </w:r>
      <w:r>
        <w:rPr>
          <w:sz w:val="24"/>
          <w:szCs w:val="24"/>
        </w:rPr>
        <w:t xml:space="preserve">e </w:t>
      </w:r>
      <w:r>
        <w:rPr>
          <w:sz w:val="24"/>
          <w:szCs w:val="24"/>
          <w:lang w:val="it-IT"/>
        </w:rPr>
        <w:t>in full possession of the property and land in the area of 2500 sq.m </w:t>
      </w:r>
      <w:r>
        <w:rPr>
          <w:b/>
          <w:sz w:val="24"/>
          <w:szCs w:val="24"/>
          <w:lang w:val="it-IT"/>
        </w:rPr>
        <w:t>(RON</w:t>
      </w:r>
      <w:r>
        <w:rPr>
          <w:b/>
          <w:sz w:val="24"/>
          <w:szCs w:val="24"/>
          <w:lang w:val="fr-FR"/>
        </w:rPr>
        <w:t> </w:t>
      </w:r>
      <w:r>
        <w:rPr>
          <w:b/>
          <w:sz w:val="24"/>
          <w:szCs w:val="24"/>
          <w:lang w:val="it-IT"/>
        </w:rPr>
        <w:t xml:space="preserve">551.518 </w:t>
      </w:r>
      <w:r>
        <w:rPr>
          <w:b/>
          <w:sz w:val="24"/>
          <w:szCs w:val="24"/>
          <w:lang w:val="fr-FR"/>
        </w:rPr>
        <w:t xml:space="preserve">- </w:t>
      </w:r>
      <w:r>
        <w:rPr>
          <w:b/>
          <w:sz w:val="24"/>
          <w:szCs w:val="24"/>
        </w:rPr>
        <w:t xml:space="preserve">consideration of </w:t>
      </w:r>
      <w:r>
        <w:rPr>
          <w:b/>
          <w:sz w:val="24"/>
          <w:szCs w:val="24"/>
          <w:lang w:val="fr-FR"/>
        </w:rPr>
        <w:t xml:space="preserve">2500 </w:t>
      </w:r>
      <w:r>
        <w:rPr>
          <w:b/>
          <w:sz w:val="24"/>
          <w:szCs w:val="24"/>
        </w:rPr>
        <w:t xml:space="preserve">sqm </w:t>
      </w:r>
      <w:r>
        <w:rPr>
          <w:b/>
          <w:sz w:val="24"/>
          <w:szCs w:val="24"/>
          <w:lang w:val="fr-FR"/>
        </w:rPr>
        <w:lastRenderedPageBreak/>
        <w:t>land</w:t>
      </w:r>
      <w:r>
        <w:rPr>
          <w:b/>
          <w:sz w:val="24"/>
          <w:szCs w:val="24"/>
          <w:lang w:val="it-IT"/>
        </w:rPr>
        <w:t> ) </w:t>
      </w:r>
      <w:r>
        <w:rPr>
          <w:sz w:val="24"/>
          <w:szCs w:val="24"/>
          <w:lang w:val="it-IT"/>
        </w:rPr>
        <w:t xml:space="preserve">located in Ploiesti, str. </w:t>
      </w:r>
      <w:r>
        <w:rPr>
          <w:sz w:val="24"/>
          <w:szCs w:val="24"/>
        </w:rPr>
        <w:t>Rezervoarelor</w:t>
      </w:r>
      <w:r>
        <w:rPr>
          <w:sz w:val="24"/>
          <w:szCs w:val="24"/>
          <w:lang w:val="it-IT"/>
        </w:rPr>
        <w:t>, F.</w:t>
      </w:r>
      <w:r>
        <w:rPr>
          <w:sz w:val="24"/>
          <w:szCs w:val="24"/>
        </w:rPr>
        <w:t>N</w:t>
      </w:r>
      <w:r>
        <w:rPr>
          <w:sz w:val="24"/>
          <w:szCs w:val="24"/>
          <w:lang w:val="it-IT"/>
        </w:rPr>
        <w:t>., located in its exclusive property;</w:t>
      </w:r>
    </w:p>
    <w:p w:rsidR="00452793" w:rsidRDefault="00452793" w:rsidP="00D87DA4">
      <w:pPr>
        <w:widowControl/>
        <w:numPr>
          <w:ilvl w:val="0"/>
          <w:numId w:val="51"/>
        </w:numPr>
        <w:tabs>
          <w:tab w:val="left" w:pos="720"/>
        </w:tabs>
        <w:autoSpaceDE/>
        <w:autoSpaceDN/>
        <w:adjustRightInd/>
        <w:jc w:val="both"/>
        <w:rPr>
          <w:sz w:val="24"/>
          <w:szCs w:val="24"/>
          <w:lang w:val="it-IT"/>
        </w:rPr>
      </w:pPr>
      <w:r>
        <w:rPr>
          <w:sz w:val="24"/>
          <w:szCs w:val="24"/>
          <w:lang w:val="it-IT"/>
        </w:rPr>
        <w:t>The establishment of the cornerstones between land and</w:t>
      </w:r>
      <w:r>
        <w:rPr>
          <w:sz w:val="24"/>
          <w:szCs w:val="24"/>
        </w:rPr>
        <w:t xml:space="preserve"> </w:t>
      </w:r>
      <w:r>
        <w:rPr>
          <w:sz w:val="24"/>
          <w:szCs w:val="24"/>
          <w:lang w:val="it-IT"/>
        </w:rPr>
        <w:t>neighboring properties;</w:t>
      </w:r>
    </w:p>
    <w:p w:rsidR="00452793" w:rsidRDefault="00452793" w:rsidP="00D87DA4">
      <w:pPr>
        <w:widowControl/>
        <w:numPr>
          <w:ilvl w:val="0"/>
          <w:numId w:val="51"/>
        </w:numPr>
        <w:tabs>
          <w:tab w:val="left" w:pos="720"/>
        </w:tabs>
        <w:autoSpaceDE/>
        <w:autoSpaceDN/>
        <w:adjustRightInd/>
        <w:jc w:val="both"/>
        <w:rPr>
          <w:sz w:val="24"/>
          <w:szCs w:val="24"/>
          <w:lang w:val="it-IT"/>
        </w:rPr>
      </w:pPr>
      <w:r>
        <w:rPr>
          <w:sz w:val="24"/>
          <w:szCs w:val="24"/>
        </w:rPr>
        <w:t>Trial expenses</w:t>
      </w:r>
      <w:r>
        <w:rPr>
          <w:sz w:val="24"/>
          <w:szCs w:val="24"/>
          <w:lang w:val="it-IT"/>
        </w:rPr>
        <w:t>;</w:t>
      </w:r>
    </w:p>
    <w:p w:rsidR="00452793" w:rsidRDefault="00452793" w:rsidP="00452793">
      <w:pPr>
        <w:jc w:val="both"/>
        <w:rPr>
          <w:sz w:val="24"/>
          <w:szCs w:val="24"/>
          <w:lang w:val="it-IT"/>
        </w:rPr>
      </w:pPr>
      <w:r>
        <w:rPr>
          <w:sz w:val="24"/>
          <w:szCs w:val="24"/>
          <w:lang w:val="it-IT"/>
        </w:rPr>
        <w:t xml:space="preserve">The </w:t>
      </w:r>
      <w:r>
        <w:rPr>
          <w:sz w:val="24"/>
          <w:szCs w:val="24"/>
        </w:rPr>
        <w:t>plaintiff</w:t>
      </w:r>
      <w:r>
        <w:rPr>
          <w:sz w:val="24"/>
          <w:szCs w:val="24"/>
          <w:lang w:val="it-IT"/>
        </w:rPr>
        <w:t xml:space="preserve"> stated the application within the meaning of that in the situation in which the court will not allow the end of the main application, the court have at their disposal:</w:t>
      </w:r>
    </w:p>
    <w:p w:rsidR="00452793" w:rsidRDefault="00452793" w:rsidP="00D87DA4">
      <w:pPr>
        <w:widowControl/>
        <w:numPr>
          <w:ilvl w:val="0"/>
          <w:numId w:val="51"/>
        </w:numPr>
        <w:tabs>
          <w:tab w:val="left" w:pos="720"/>
        </w:tabs>
        <w:autoSpaceDE/>
        <w:autoSpaceDN/>
        <w:adjustRightInd/>
        <w:jc w:val="both"/>
        <w:rPr>
          <w:sz w:val="24"/>
          <w:szCs w:val="24"/>
          <w:lang w:val="it-IT"/>
        </w:rPr>
      </w:pPr>
      <w:r>
        <w:rPr>
          <w:sz w:val="24"/>
          <w:szCs w:val="24"/>
          <w:lang w:val="it-IT"/>
        </w:rPr>
        <w:t>The obligation of Conpet to payment of compensation corresponding to the replacement value and the movement of the land in the area of 2500 m2, and secondarily, </w:t>
      </w:r>
    </w:p>
    <w:p w:rsidR="00452793" w:rsidRDefault="00452793" w:rsidP="00D87DA4">
      <w:pPr>
        <w:widowControl/>
        <w:numPr>
          <w:ilvl w:val="0"/>
          <w:numId w:val="51"/>
        </w:numPr>
        <w:tabs>
          <w:tab w:val="left" w:pos="720"/>
        </w:tabs>
        <w:autoSpaceDE/>
        <w:autoSpaceDN/>
        <w:adjustRightInd/>
        <w:jc w:val="both"/>
        <w:rPr>
          <w:sz w:val="24"/>
          <w:szCs w:val="24"/>
          <w:lang w:val="it-IT"/>
        </w:rPr>
      </w:pPr>
      <w:r>
        <w:rPr>
          <w:sz w:val="24"/>
          <w:szCs w:val="24"/>
          <w:lang w:val="it-IT"/>
        </w:rPr>
        <w:t xml:space="preserve">The establishment of a </w:t>
      </w:r>
      <w:r>
        <w:rPr>
          <w:sz w:val="24"/>
          <w:szCs w:val="24"/>
        </w:rPr>
        <w:t xml:space="preserve">building </w:t>
      </w:r>
      <w:r>
        <w:rPr>
          <w:sz w:val="24"/>
          <w:szCs w:val="24"/>
          <w:lang w:val="it-IT"/>
        </w:rPr>
        <w:t xml:space="preserve">right in favor of the defendant and obliging it to the Monthly payment </w:t>
      </w:r>
      <w:r>
        <w:rPr>
          <w:sz w:val="24"/>
          <w:szCs w:val="24"/>
        </w:rPr>
        <w:t xml:space="preserve">for the </w:t>
      </w:r>
      <w:r>
        <w:rPr>
          <w:sz w:val="24"/>
          <w:szCs w:val="24"/>
          <w:lang w:val="it-IT"/>
        </w:rPr>
        <w:t>lack of use for the land referred to above, in accordance with a fixed rent which will be laid down in the value of the movement of the land.</w:t>
      </w:r>
    </w:p>
    <w:p w:rsidR="00452793" w:rsidRDefault="00452793" w:rsidP="00452793">
      <w:pPr>
        <w:jc w:val="both"/>
        <w:rPr>
          <w:sz w:val="24"/>
          <w:szCs w:val="24"/>
          <w:lang w:val="it-IT"/>
        </w:rPr>
      </w:pPr>
      <w:r>
        <w:rPr>
          <w:b/>
          <w:sz w:val="24"/>
          <w:szCs w:val="24"/>
          <w:lang w:val="it-IT"/>
        </w:rPr>
        <w:t>Note: The</w:t>
      </w:r>
      <w:r>
        <w:rPr>
          <w:sz w:val="24"/>
          <w:szCs w:val="24"/>
          <w:lang w:val="it-IT"/>
        </w:rPr>
        <w:t xml:space="preserve"> plaintiff Cojocaru Irinel bought the rights of the issue of the former complainant Bojboiu Marilena. Therefore, </w:t>
      </w:r>
      <w:r>
        <w:rPr>
          <w:sz w:val="24"/>
          <w:szCs w:val="24"/>
        </w:rPr>
        <w:t xml:space="preserve">there </w:t>
      </w:r>
      <w:r>
        <w:rPr>
          <w:sz w:val="24"/>
          <w:szCs w:val="24"/>
          <w:lang w:val="it-IT"/>
        </w:rPr>
        <w:t xml:space="preserve">remained just </w:t>
      </w:r>
      <w:r>
        <w:rPr>
          <w:sz w:val="24"/>
          <w:szCs w:val="24"/>
        </w:rPr>
        <w:t xml:space="preserve">one complainant, </w:t>
      </w:r>
      <w:r>
        <w:rPr>
          <w:sz w:val="24"/>
          <w:szCs w:val="24"/>
          <w:lang w:val="it-IT"/>
        </w:rPr>
        <w:t>Cojocaru Irinel. </w:t>
      </w:r>
    </w:p>
    <w:p w:rsidR="00452793" w:rsidRDefault="00452793" w:rsidP="00452793">
      <w:pPr>
        <w:jc w:val="both"/>
        <w:rPr>
          <w:sz w:val="24"/>
          <w:szCs w:val="24"/>
          <w:lang w:val="it-IT"/>
        </w:rPr>
      </w:pPr>
      <w:r>
        <w:rPr>
          <w:b/>
          <w:sz w:val="24"/>
          <w:szCs w:val="24"/>
        </w:rPr>
        <w:t>Clarifications</w:t>
      </w:r>
      <w:r>
        <w:rPr>
          <w:b/>
          <w:sz w:val="24"/>
          <w:szCs w:val="24"/>
          <w:lang w:val="it-IT"/>
        </w:rPr>
        <w:t>: </w:t>
      </w:r>
      <w:r>
        <w:rPr>
          <w:sz w:val="24"/>
          <w:szCs w:val="24"/>
          <w:lang w:val="it-IT"/>
        </w:rPr>
        <w:t xml:space="preserve">By the end of </w:t>
      </w:r>
      <w:proofErr w:type="gramStart"/>
      <w:r>
        <w:rPr>
          <w:sz w:val="24"/>
          <w:szCs w:val="24"/>
          <w:lang w:val="it-IT"/>
        </w:rPr>
        <w:t>24</w:t>
      </w:r>
      <w:r>
        <w:rPr>
          <w:sz w:val="24"/>
          <w:szCs w:val="24"/>
          <w:vertAlign w:val="superscript"/>
        </w:rPr>
        <w:t>th</w:t>
      </w:r>
      <w:proofErr w:type="gramEnd"/>
      <w:r>
        <w:rPr>
          <w:sz w:val="24"/>
          <w:szCs w:val="24"/>
        </w:rPr>
        <w:t xml:space="preserve"> May </w:t>
      </w:r>
      <w:r>
        <w:rPr>
          <w:sz w:val="24"/>
          <w:szCs w:val="24"/>
          <w:lang w:val="it-IT"/>
        </w:rPr>
        <w:t xml:space="preserve">2011 The court suspended </w:t>
      </w:r>
      <w:r>
        <w:rPr>
          <w:sz w:val="24"/>
          <w:szCs w:val="24"/>
        </w:rPr>
        <w:t xml:space="preserve">the matter according </w:t>
      </w:r>
      <w:r>
        <w:rPr>
          <w:sz w:val="24"/>
          <w:szCs w:val="24"/>
          <w:lang w:val="it-IT"/>
        </w:rPr>
        <w:t>to Article 244(1) C</w:t>
      </w:r>
      <w:r>
        <w:rPr>
          <w:sz w:val="24"/>
          <w:szCs w:val="24"/>
        </w:rPr>
        <w:t>ivil P</w:t>
      </w:r>
      <w:r>
        <w:rPr>
          <w:sz w:val="24"/>
          <w:szCs w:val="24"/>
          <w:lang w:val="it-IT"/>
        </w:rPr>
        <w:t>roc</w:t>
      </w:r>
      <w:r>
        <w:rPr>
          <w:sz w:val="24"/>
          <w:szCs w:val="24"/>
        </w:rPr>
        <w:t>edure Law.</w:t>
      </w:r>
      <w:r>
        <w:rPr>
          <w:sz w:val="24"/>
          <w:szCs w:val="24"/>
          <w:lang w:val="it-IT"/>
        </w:rPr>
        <w:t xml:space="preserve"> 22</w:t>
      </w:r>
      <w:r>
        <w:rPr>
          <w:sz w:val="24"/>
          <w:szCs w:val="24"/>
          <w:vertAlign w:val="superscript"/>
        </w:rPr>
        <w:t>nd</w:t>
      </w:r>
      <w:r>
        <w:rPr>
          <w:sz w:val="24"/>
          <w:szCs w:val="24"/>
        </w:rPr>
        <w:t xml:space="preserve"> Oct </w:t>
      </w:r>
      <w:r>
        <w:rPr>
          <w:sz w:val="24"/>
          <w:szCs w:val="24"/>
          <w:lang w:val="it-IT"/>
        </w:rPr>
        <w:t xml:space="preserve">2014 </w:t>
      </w:r>
      <w:r>
        <w:rPr>
          <w:sz w:val="24"/>
          <w:szCs w:val="24"/>
        </w:rPr>
        <w:t>-t</w:t>
      </w:r>
      <w:r>
        <w:rPr>
          <w:sz w:val="24"/>
          <w:szCs w:val="24"/>
          <w:lang w:val="it-IT"/>
        </w:rPr>
        <w:t xml:space="preserve">he </w:t>
      </w:r>
      <w:r>
        <w:rPr>
          <w:sz w:val="24"/>
          <w:szCs w:val="24"/>
        </w:rPr>
        <w:t>file</w:t>
      </w:r>
      <w:r>
        <w:rPr>
          <w:sz w:val="24"/>
          <w:szCs w:val="24"/>
          <w:lang w:val="it-IT"/>
        </w:rPr>
        <w:t xml:space="preserve"> </w:t>
      </w:r>
      <w:r>
        <w:rPr>
          <w:sz w:val="24"/>
          <w:szCs w:val="24"/>
        </w:rPr>
        <w:t>is</w:t>
      </w:r>
      <w:r>
        <w:rPr>
          <w:sz w:val="24"/>
          <w:szCs w:val="24"/>
          <w:lang w:val="it-IT"/>
        </w:rPr>
        <w:t xml:space="preserve"> </w:t>
      </w:r>
      <w:r>
        <w:rPr>
          <w:sz w:val="24"/>
          <w:szCs w:val="24"/>
        </w:rPr>
        <w:t>pending</w:t>
      </w:r>
      <w:r>
        <w:rPr>
          <w:sz w:val="24"/>
          <w:szCs w:val="24"/>
          <w:lang w:val="it-IT"/>
        </w:rPr>
        <w:t>.</w:t>
      </w:r>
    </w:p>
    <w:p w:rsidR="00452793" w:rsidRDefault="00452793" w:rsidP="00452793">
      <w:pPr>
        <w:jc w:val="both"/>
        <w:rPr>
          <w:sz w:val="24"/>
          <w:szCs w:val="24"/>
          <w:lang w:val="it-IT"/>
        </w:rPr>
      </w:pPr>
      <w:r>
        <w:rPr>
          <w:sz w:val="24"/>
          <w:szCs w:val="24"/>
        </w:rPr>
        <w:t>Through the </w:t>
      </w:r>
      <w:r>
        <w:rPr>
          <w:b/>
          <w:sz w:val="24"/>
          <w:szCs w:val="24"/>
        </w:rPr>
        <w:t xml:space="preserve">order no. </w:t>
      </w:r>
      <w:proofErr w:type="gramStart"/>
      <w:r>
        <w:rPr>
          <w:b/>
          <w:sz w:val="24"/>
          <w:szCs w:val="24"/>
        </w:rPr>
        <w:t>5872/18.12.2017</w:t>
      </w:r>
      <w:proofErr w:type="gramEnd"/>
      <w:r>
        <w:rPr>
          <w:sz w:val="24"/>
          <w:szCs w:val="24"/>
        </w:rPr>
        <w:t xml:space="preserve"> Prahova Court rejected the action, as unfounded. The order </w:t>
      </w:r>
      <w:proofErr w:type="gramStart"/>
      <w:r>
        <w:rPr>
          <w:sz w:val="24"/>
          <w:szCs w:val="24"/>
        </w:rPr>
        <w:t>may be appealed</w:t>
      </w:r>
      <w:proofErr w:type="gramEnd"/>
      <w:r>
        <w:rPr>
          <w:sz w:val="24"/>
          <w:szCs w:val="24"/>
        </w:rPr>
        <w:t xml:space="preserve"> after the communication.</w:t>
      </w:r>
    </w:p>
    <w:p w:rsidR="00452793" w:rsidRDefault="00452793" w:rsidP="00452793">
      <w:pPr>
        <w:jc w:val="both"/>
        <w:rPr>
          <w:sz w:val="24"/>
          <w:szCs w:val="24"/>
          <w:lang w:val="it-IT"/>
        </w:rPr>
      </w:pPr>
      <w:r>
        <w:rPr>
          <w:b/>
          <w:sz w:val="24"/>
          <w:szCs w:val="24"/>
        </w:rPr>
        <w:t>S</w:t>
      </w:r>
      <w:r>
        <w:rPr>
          <w:b/>
          <w:sz w:val="24"/>
          <w:szCs w:val="24"/>
          <w:lang w:val="it-IT"/>
        </w:rPr>
        <w:t>tage</w:t>
      </w:r>
      <w:r>
        <w:rPr>
          <w:b/>
          <w:sz w:val="24"/>
          <w:szCs w:val="24"/>
        </w:rPr>
        <w:t xml:space="preserve"> of the trial</w:t>
      </w:r>
      <w:r>
        <w:rPr>
          <w:b/>
          <w:sz w:val="24"/>
          <w:szCs w:val="24"/>
          <w:lang w:val="it-IT"/>
        </w:rPr>
        <w:t>:</w:t>
      </w:r>
      <w:r>
        <w:rPr>
          <w:sz w:val="24"/>
          <w:szCs w:val="24"/>
          <w:lang w:val="it-IT"/>
        </w:rPr>
        <w:t> --</w:t>
      </w:r>
    </w:p>
    <w:p w:rsidR="00452793" w:rsidRDefault="00452793" w:rsidP="00452793">
      <w:pPr>
        <w:jc w:val="both"/>
        <w:rPr>
          <w:sz w:val="24"/>
          <w:szCs w:val="24"/>
          <w:lang w:val="it-IT"/>
        </w:rPr>
      </w:pPr>
      <w:r>
        <w:rPr>
          <w:b/>
          <w:sz w:val="24"/>
          <w:szCs w:val="24"/>
        </w:rPr>
        <w:t>Hearing</w:t>
      </w:r>
      <w:r>
        <w:rPr>
          <w:b/>
          <w:sz w:val="24"/>
          <w:szCs w:val="24"/>
          <w:lang w:val="it-IT"/>
        </w:rPr>
        <w:t>:</w:t>
      </w:r>
      <w:r>
        <w:rPr>
          <w:sz w:val="24"/>
          <w:szCs w:val="24"/>
          <w:lang w:val="it-IT"/>
        </w:rPr>
        <w:t> --</w:t>
      </w:r>
    </w:p>
    <w:p w:rsidR="00452793" w:rsidRDefault="00452793" w:rsidP="00452793">
      <w:pPr>
        <w:jc w:val="both"/>
        <w:rPr>
          <w:b/>
          <w:sz w:val="24"/>
          <w:szCs w:val="24"/>
          <w:lang w:val="it-IT"/>
        </w:rPr>
      </w:pPr>
    </w:p>
    <w:p w:rsidR="00452793" w:rsidRDefault="00452793" w:rsidP="00452793">
      <w:pPr>
        <w:jc w:val="both"/>
        <w:rPr>
          <w:b/>
          <w:sz w:val="24"/>
          <w:szCs w:val="24"/>
          <w:lang w:val="it-IT"/>
        </w:rPr>
      </w:pPr>
      <w:r>
        <w:rPr>
          <w:b/>
          <w:sz w:val="24"/>
          <w:szCs w:val="24"/>
          <w:lang w:val="it-IT"/>
        </w:rPr>
        <w:t>4. The file no. 6544/105/2011* - the Tribunal Prahova </w:t>
      </w:r>
    </w:p>
    <w:p w:rsidR="00452793" w:rsidRDefault="00452793" w:rsidP="00452793">
      <w:pPr>
        <w:jc w:val="both"/>
        <w:rPr>
          <w:sz w:val="24"/>
          <w:szCs w:val="24"/>
          <w:lang w:val="pt-BR"/>
        </w:rPr>
      </w:pPr>
      <w:r>
        <w:rPr>
          <w:b/>
          <w:sz w:val="24"/>
          <w:szCs w:val="24"/>
          <w:lang w:val="pt-BR"/>
        </w:rPr>
        <w:t>The parties:</w:t>
      </w:r>
      <w:r>
        <w:rPr>
          <w:sz w:val="24"/>
          <w:szCs w:val="24"/>
          <w:lang w:val="pt-BR"/>
        </w:rPr>
        <w:t xml:space="preserve">. Conpet S.A. - </w:t>
      </w:r>
      <w:r>
        <w:rPr>
          <w:sz w:val="24"/>
          <w:szCs w:val="24"/>
        </w:rPr>
        <w:t>defendant</w:t>
      </w:r>
    </w:p>
    <w:p w:rsidR="00452793" w:rsidRDefault="00452793" w:rsidP="00452793">
      <w:pPr>
        <w:jc w:val="both"/>
        <w:rPr>
          <w:sz w:val="24"/>
          <w:szCs w:val="24"/>
          <w:lang w:val="pt-BR"/>
        </w:rPr>
      </w:pPr>
      <w:r>
        <w:rPr>
          <w:sz w:val="24"/>
          <w:szCs w:val="24"/>
          <w:lang w:val="pt-BR"/>
        </w:rPr>
        <w:t xml:space="preserve">ICIM S.A.- </w:t>
      </w:r>
      <w:r>
        <w:rPr>
          <w:sz w:val="24"/>
          <w:szCs w:val="24"/>
        </w:rPr>
        <w:t>defendant</w:t>
      </w:r>
      <w:r>
        <w:rPr>
          <w:sz w:val="24"/>
          <w:szCs w:val="24"/>
          <w:lang w:val="pt-BR"/>
        </w:rPr>
        <w:t xml:space="preserve"> </w:t>
      </w:r>
    </w:p>
    <w:p w:rsidR="00452793" w:rsidRDefault="00452793" w:rsidP="00452793">
      <w:pPr>
        <w:jc w:val="both"/>
        <w:rPr>
          <w:sz w:val="24"/>
          <w:szCs w:val="24"/>
          <w:lang w:val="pt-BR"/>
        </w:rPr>
      </w:pPr>
      <w:r>
        <w:rPr>
          <w:sz w:val="24"/>
          <w:szCs w:val="24"/>
          <w:lang w:val="pt-BR"/>
        </w:rPr>
        <w:t xml:space="preserve">E.T.H. The architectural Systeme S.R.L. by the judicial liquidator company Dascalescu &amp; Co - </w:t>
      </w:r>
      <w:r>
        <w:rPr>
          <w:sz w:val="24"/>
          <w:szCs w:val="24"/>
        </w:rPr>
        <w:t>plaintiff</w:t>
      </w:r>
      <w:r>
        <w:rPr>
          <w:sz w:val="24"/>
          <w:szCs w:val="24"/>
          <w:lang w:val="pt-BR"/>
        </w:rPr>
        <w:t> </w:t>
      </w:r>
    </w:p>
    <w:p w:rsidR="00452793" w:rsidRDefault="00452793" w:rsidP="00452793">
      <w:pPr>
        <w:jc w:val="both"/>
        <w:rPr>
          <w:sz w:val="24"/>
          <w:szCs w:val="24"/>
          <w:lang w:val="pt-BR"/>
        </w:rPr>
      </w:pPr>
      <w:r>
        <w:rPr>
          <w:b/>
          <w:sz w:val="24"/>
          <w:szCs w:val="24"/>
          <w:lang w:val="pt-BR"/>
        </w:rPr>
        <w:t xml:space="preserve">Subject: </w:t>
      </w:r>
      <w:r>
        <w:rPr>
          <w:b/>
          <w:sz w:val="24"/>
          <w:szCs w:val="24"/>
        </w:rPr>
        <w:t>C</w:t>
      </w:r>
      <w:r>
        <w:rPr>
          <w:b/>
          <w:sz w:val="24"/>
          <w:szCs w:val="24"/>
          <w:lang w:val="pt-BR"/>
        </w:rPr>
        <w:t>laims</w:t>
      </w:r>
      <w:r>
        <w:rPr>
          <w:sz w:val="24"/>
          <w:szCs w:val="24"/>
          <w:lang w:val="pt-BR"/>
        </w:rPr>
        <w:t xml:space="preserve">. E.T.H. The architectural Systeme S.R.L. shall </w:t>
      </w:r>
      <w:r>
        <w:rPr>
          <w:sz w:val="24"/>
          <w:szCs w:val="24"/>
        </w:rPr>
        <w:t>file for a trial</w:t>
      </w:r>
      <w:r>
        <w:rPr>
          <w:sz w:val="24"/>
          <w:szCs w:val="24"/>
          <w:lang w:val="pt-BR"/>
        </w:rPr>
        <w:t xml:space="preserve"> asking:</w:t>
      </w:r>
    </w:p>
    <w:p w:rsidR="00452793" w:rsidRDefault="00452793" w:rsidP="00452793">
      <w:pPr>
        <w:jc w:val="both"/>
        <w:rPr>
          <w:sz w:val="24"/>
          <w:szCs w:val="24"/>
          <w:lang w:val="pt-BR"/>
        </w:rPr>
      </w:pPr>
      <w:r>
        <w:rPr>
          <w:sz w:val="24"/>
          <w:szCs w:val="24"/>
          <w:lang w:val="pt-BR"/>
        </w:rPr>
        <w:t>1. The obligation of the defendant ICIM mainly, to the extent that this</w:t>
      </w:r>
      <w:r>
        <w:rPr>
          <w:sz w:val="24"/>
          <w:szCs w:val="24"/>
        </w:rPr>
        <w:t>,</w:t>
      </w:r>
      <w:r>
        <w:rPr>
          <w:sz w:val="24"/>
          <w:szCs w:val="24"/>
          <w:lang w:val="pt-BR"/>
        </w:rPr>
        <w:t xml:space="preserve"> as a general contractor</w:t>
      </w:r>
      <w:r>
        <w:rPr>
          <w:sz w:val="24"/>
          <w:szCs w:val="24"/>
        </w:rPr>
        <w:t>,</w:t>
      </w:r>
      <w:r>
        <w:rPr>
          <w:sz w:val="24"/>
          <w:szCs w:val="24"/>
          <w:lang w:val="pt-BR"/>
        </w:rPr>
        <w:t xml:space="preserve"> has not received </w:t>
      </w:r>
      <w:r>
        <w:rPr>
          <w:sz w:val="24"/>
          <w:szCs w:val="24"/>
        </w:rPr>
        <w:t xml:space="preserve">a </w:t>
      </w:r>
      <w:r>
        <w:rPr>
          <w:sz w:val="24"/>
          <w:szCs w:val="24"/>
          <w:lang w:val="pt-BR"/>
        </w:rPr>
        <w:t xml:space="preserve">full consideration of the contract </w:t>
      </w:r>
      <w:r>
        <w:rPr>
          <w:sz w:val="24"/>
          <w:szCs w:val="24"/>
        </w:rPr>
        <w:t xml:space="preserve">from </w:t>
      </w:r>
      <w:r>
        <w:rPr>
          <w:sz w:val="24"/>
          <w:szCs w:val="24"/>
          <w:lang w:val="pt-BR"/>
        </w:rPr>
        <w:t>the contracting authority</w:t>
      </w:r>
      <w:r>
        <w:rPr>
          <w:sz w:val="24"/>
          <w:szCs w:val="24"/>
        </w:rPr>
        <w:t>,</w:t>
      </w:r>
      <w:r>
        <w:rPr>
          <w:sz w:val="24"/>
          <w:szCs w:val="24"/>
          <w:lang w:val="pt-BR"/>
        </w:rPr>
        <w:t xml:space="preserve"> the beneficiary Conpet</w:t>
      </w:r>
      <w:r>
        <w:rPr>
          <w:sz w:val="24"/>
          <w:szCs w:val="24"/>
        </w:rPr>
        <w:t>.</w:t>
      </w:r>
      <w:r>
        <w:rPr>
          <w:sz w:val="24"/>
          <w:szCs w:val="24"/>
          <w:lang w:val="pt-BR"/>
        </w:rPr>
        <w:t xml:space="preserve"> </w:t>
      </w:r>
      <w:r>
        <w:rPr>
          <w:sz w:val="24"/>
          <w:szCs w:val="24"/>
        </w:rPr>
        <w:t xml:space="preserve">An order that </w:t>
      </w:r>
      <w:r>
        <w:rPr>
          <w:sz w:val="24"/>
          <w:szCs w:val="24"/>
          <w:lang w:val="pt-BR"/>
        </w:rPr>
        <w:t>Conpet pay</w:t>
      </w:r>
      <w:r>
        <w:rPr>
          <w:sz w:val="24"/>
          <w:szCs w:val="24"/>
        </w:rPr>
        <w:t>s</w:t>
      </w:r>
      <w:r>
        <w:rPr>
          <w:sz w:val="24"/>
          <w:szCs w:val="24"/>
          <w:lang w:val="pt-BR"/>
        </w:rPr>
        <w:t xml:space="preserve"> the amount of </w:t>
      </w:r>
      <w:r>
        <w:rPr>
          <w:sz w:val="24"/>
          <w:szCs w:val="24"/>
        </w:rPr>
        <w:t xml:space="preserve">RON </w:t>
      </w:r>
      <w:r>
        <w:rPr>
          <w:sz w:val="24"/>
          <w:szCs w:val="24"/>
          <w:lang w:val="pt-BR"/>
        </w:rPr>
        <w:t xml:space="preserve">325.378,20 representing consideration </w:t>
      </w:r>
      <w:r>
        <w:rPr>
          <w:sz w:val="24"/>
          <w:szCs w:val="24"/>
        </w:rPr>
        <w:t>of</w:t>
      </w:r>
      <w:r>
        <w:rPr>
          <w:sz w:val="24"/>
          <w:szCs w:val="24"/>
          <w:lang w:val="pt-BR"/>
        </w:rPr>
        <w:t xml:space="preserve"> works carried out and claims as well as the obligation to pay the penalties related to this amount and up to the actual payment in accordance with the provisions of the contract; </w:t>
      </w:r>
    </w:p>
    <w:p w:rsidR="00452793" w:rsidRDefault="00452793" w:rsidP="00452793">
      <w:pPr>
        <w:jc w:val="both"/>
        <w:rPr>
          <w:sz w:val="24"/>
          <w:szCs w:val="24"/>
          <w:lang w:val="pt-BR"/>
        </w:rPr>
      </w:pPr>
      <w:r>
        <w:rPr>
          <w:sz w:val="24"/>
          <w:szCs w:val="24"/>
          <w:lang w:val="pt-BR"/>
        </w:rPr>
        <w:t xml:space="preserve">2. The obligation of the defendant ICIM mainly, to the extent that this as a general contractor has not received </w:t>
      </w:r>
      <w:r>
        <w:rPr>
          <w:sz w:val="24"/>
          <w:szCs w:val="24"/>
        </w:rPr>
        <w:t xml:space="preserve">a </w:t>
      </w:r>
      <w:r>
        <w:rPr>
          <w:sz w:val="24"/>
          <w:szCs w:val="24"/>
          <w:lang w:val="pt-BR"/>
        </w:rPr>
        <w:t xml:space="preserve">full consideration of the contract </w:t>
      </w:r>
      <w:r>
        <w:rPr>
          <w:sz w:val="24"/>
          <w:szCs w:val="24"/>
        </w:rPr>
        <w:t>from</w:t>
      </w:r>
      <w:r>
        <w:rPr>
          <w:sz w:val="24"/>
          <w:szCs w:val="24"/>
          <w:lang w:val="pt-BR"/>
        </w:rPr>
        <w:t xml:space="preserve"> the contracting authority Conpet, </w:t>
      </w:r>
      <w:r>
        <w:rPr>
          <w:sz w:val="24"/>
          <w:szCs w:val="24"/>
        </w:rPr>
        <w:t xml:space="preserve">an order for the beneficiary to </w:t>
      </w:r>
      <w:r>
        <w:rPr>
          <w:sz w:val="24"/>
          <w:szCs w:val="24"/>
          <w:lang w:val="pt-BR"/>
        </w:rPr>
        <w:t>payment of the delay penalties of 0.05 % per day of delay, applied to the amount of unpaid invoices; </w:t>
      </w:r>
    </w:p>
    <w:p w:rsidR="00452793" w:rsidRDefault="00452793" w:rsidP="00452793">
      <w:pPr>
        <w:jc w:val="both"/>
        <w:rPr>
          <w:sz w:val="24"/>
          <w:szCs w:val="24"/>
          <w:lang w:val="pt-BR"/>
        </w:rPr>
      </w:pPr>
      <w:r>
        <w:rPr>
          <w:sz w:val="24"/>
          <w:szCs w:val="24"/>
          <w:lang w:val="pt-BR"/>
        </w:rPr>
        <w:t>3. The obligation of the defendant ICIM mainly, to the extent that this as a general contractor has not received</w:t>
      </w:r>
      <w:r>
        <w:rPr>
          <w:sz w:val="24"/>
          <w:szCs w:val="24"/>
        </w:rPr>
        <w:t xml:space="preserve"> a</w:t>
      </w:r>
      <w:r>
        <w:rPr>
          <w:sz w:val="24"/>
          <w:szCs w:val="24"/>
          <w:lang w:val="pt-BR"/>
        </w:rPr>
        <w:t xml:space="preserve"> full consideration of the contract of the contracting authority Conpet, </w:t>
      </w:r>
      <w:r>
        <w:rPr>
          <w:sz w:val="24"/>
          <w:szCs w:val="24"/>
        </w:rPr>
        <w:t xml:space="preserve">an order for </w:t>
      </w:r>
      <w:r>
        <w:rPr>
          <w:sz w:val="24"/>
          <w:szCs w:val="24"/>
          <w:lang w:val="pt-BR"/>
        </w:rPr>
        <w:t xml:space="preserve">the beneficiary </w:t>
      </w:r>
      <w:r>
        <w:rPr>
          <w:sz w:val="24"/>
          <w:szCs w:val="24"/>
        </w:rPr>
        <w:t>to</w:t>
      </w:r>
      <w:r>
        <w:rPr>
          <w:sz w:val="24"/>
          <w:szCs w:val="24"/>
          <w:lang w:val="pt-BR"/>
        </w:rPr>
        <w:t xml:space="preserve"> payment of the amount of </w:t>
      </w:r>
      <w:r>
        <w:rPr>
          <w:b/>
          <w:sz w:val="24"/>
          <w:szCs w:val="24"/>
          <w:lang w:val="pt-BR"/>
        </w:rPr>
        <w:t>696.577,60 lei</w:t>
      </w:r>
      <w:r>
        <w:rPr>
          <w:sz w:val="24"/>
          <w:szCs w:val="24"/>
          <w:lang w:val="pt-BR"/>
        </w:rPr>
        <w:t xml:space="preserve"> according to the fiscal invoice No. 0002/27.06.2011 representing consideration </w:t>
      </w:r>
      <w:r>
        <w:rPr>
          <w:sz w:val="24"/>
          <w:szCs w:val="24"/>
        </w:rPr>
        <w:t>of</w:t>
      </w:r>
      <w:r>
        <w:rPr>
          <w:sz w:val="24"/>
          <w:szCs w:val="24"/>
          <w:lang w:val="pt-BR"/>
        </w:rPr>
        <w:t xml:space="preserve"> works carried out in addition, the amount paid up-to-date with the inflation rate as well as the obligation of the payment of interest/penalties related to this amount from the due date and up to the </w:t>
      </w:r>
      <w:r>
        <w:rPr>
          <w:sz w:val="24"/>
          <w:szCs w:val="24"/>
        </w:rPr>
        <w:t>e</w:t>
      </w:r>
      <w:r>
        <w:rPr>
          <w:sz w:val="24"/>
          <w:szCs w:val="24"/>
          <w:lang w:val="pt-BR"/>
        </w:rPr>
        <w:t>ffective payment to be calculated in accordance with Article 371 ind. 2(2) Code</w:t>
      </w:r>
      <w:r>
        <w:rPr>
          <w:sz w:val="24"/>
          <w:szCs w:val="24"/>
        </w:rPr>
        <w:t xml:space="preserve"> of </w:t>
      </w:r>
      <w:r>
        <w:rPr>
          <w:sz w:val="24"/>
          <w:szCs w:val="24"/>
          <w:lang w:val="pt-BR"/>
        </w:rPr>
        <w:t xml:space="preserve">Civil </w:t>
      </w:r>
      <w:r>
        <w:rPr>
          <w:sz w:val="24"/>
          <w:szCs w:val="24"/>
        </w:rPr>
        <w:t>Procedure</w:t>
      </w:r>
      <w:r>
        <w:rPr>
          <w:sz w:val="24"/>
          <w:szCs w:val="24"/>
          <w:lang w:val="pt-BR"/>
        </w:rPr>
        <w:t>; </w:t>
      </w:r>
    </w:p>
    <w:p w:rsidR="00452793" w:rsidRDefault="00452793" w:rsidP="00452793">
      <w:pPr>
        <w:jc w:val="both"/>
        <w:rPr>
          <w:sz w:val="24"/>
          <w:szCs w:val="24"/>
          <w:lang w:val="pt-BR"/>
        </w:rPr>
      </w:pPr>
      <w:r>
        <w:rPr>
          <w:sz w:val="24"/>
          <w:szCs w:val="24"/>
          <w:lang w:val="pt-BR"/>
        </w:rPr>
        <w:t xml:space="preserve">4. The obligation of the defendant ICIM to refund the performance </w:t>
      </w:r>
      <w:r>
        <w:rPr>
          <w:sz w:val="24"/>
          <w:szCs w:val="24"/>
        </w:rPr>
        <w:t>gu</w:t>
      </w:r>
      <w:r>
        <w:rPr>
          <w:sz w:val="24"/>
          <w:szCs w:val="24"/>
          <w:lang w:val="pt-BR"/>
        </w:rPr>
        <w:t>arant</w:t>
      </w:r>
      <w:r>
        <w:rPr>
          <w:sz w:val="24"/>
          <w:szCs w:val="24"/>
        </w:rPr>
        <w:t>ee</w:t>
      </w:r>
      <w:r>
        <w:rPr>
          <w:sz w:val="24"/>
          <w:szCs w:val="24"/>
          <w:lang w:val="pt-BR"/>
        </w:rPr>
        <w:t xml:space="preserve"> in the total amount of </w:t>
      </w:r>
      <w:r>
        <w:rPr>
          <w:sz w:val="24"/>
          <w:szCs w:val="24"/>
        </w:rPr>
        <w:t xml:space="preserve">RON </w:t>
      </w:r>
      <w:r>
        <w:rPr>
          <w:sz w:val="24"/>
          <w:szCs w:val="24"/>
          <w:lang w:val="pt-BR"/>
        </w:rPr>
        <w:t>232.017,18 withheld in accordance with the contract; </w:t>
      </w:r>
    </w:p>
    <w:p w:rsidR="00452793" w:rsidRDefault="00452793" w:rsidP="00452793">
      <w:pPr>
        <w:jc w:val="both"/>
        <w:rPr>
          <w:sz w:val="24"/>
          <w:szCs w:val="24"/>
          <w:lang w:val="pt-BR"/>
        </w:rPr>
      </w:pPr>
      <w:r>
        <w:rPr>
          <w:sz w:val="24"/>
          <w:szCs w:val="24"/>
          <w:lang w:val="pt-BR"/>
        </w:rPr>
        <w:t xml:space="preserve">5. The obligation of the defendant mainly ICIM so far as the general contractor has not </w:t>
      </w:r>
      <w:r>
        <w:rPr>
          <w:sz w:val="24"/>
          <w:szCs w:val="24"/>
          <w:lang w:val="pt-BR"/>
        </w:rPr>
        <w:lastRenderedPageBreak/>
        <w:t xml:space="preserve">received </w:t>
      </w:r>
      <w:r>
        <w:rPr>
          <w:sz w:val="24"/>
          <w:szCs w:val="24"/>
        </w:rPr>
        <w:t xml:space="preserve">a </w:t>
      </w:r>
      <w:r>
        <w:rPr>
          <w:sz w:val="24"/>
          <w:szCs w:val="24"/>
          <w:lang w:val="pt-BR"/>
        </w:rPr>
        <w:t xml:space="preserve">full consideration of the contract of the contracting authority Conpet, </w:t>
      </w:r>
      <w:r>
        <w:rPr>
          <w:sz w:val="24"/>
          <w:szCs w:val="24"/>
        </w:rPr>
        <w:t xml:space="preserve">an order for </w:t>
      </w:r>
      <w:r>
        <w:rPr>
          <w:sz w:val="24"/>
          <w:szCs w:val="24"/>
          <w:lang w:val="pt-BR"/>
        </w:rPr>
        <w:t xml:space="preserve">the beneficiary to payment of the amount of </w:t>
      </w:r>
      <w:r>
        <w:rPr>
          <w:sz w:val="24"/>
          <w:szCs w:val="24"/>
        </w:rPr>
        <w:t>RON</w:t>
      </w:r>
      <w:r>
        <w:rPr>
          <w:sz w:val="24"/>
          <w:szCs w:val="24"/>
          <w:lang w:val="pt-BR"/>
        </w:rPr>
        <w:t xml:space="preserve"> 124.828,9 penalties to the performance guarantee</w:t>
      </w:r>
      <w:r>
        <w:rPr>
          <w:sz w:val="24"/>
          <w:szCs w:val="24"/>
        </w:rPr>
        <w:t>, respectively</w:t>
      </w:r>
      <w:r>
        <w:rPr>
          <w:sz w:val="24"/>
          <w:szCs w:val="24"/>
          <w:lang w:val="pt-BR"/>
        </w:rPr>
        <w:t>:</w:t>
      </w:r>
    </w:p>
    <w:p w:rsidR="00452793" w:rsidRDefault="00452793" w:rsidP="00452793">
      <w:pPr>
        <w:jc w:val="both"/>
        <w:rPr>
          <w:sz w:val="24"/>
          <w:szCs w:val="24"/>
          <w:lang w:val="pt-BR"/>
        </w:rPr>
      </w:pPr>
      <w:r>
        <w:rPr>
          <w:sz w:val="24"/>
          <w:szCs w:val="24"/>
          <w:lang w:val="pt-BR"/>
        </w:rPr>
        <w:t xml:space="preserve"> (A) interest/penalties for the amount lodged a performance guarantee ought to be reimbursed in proportion of 50 % in the amount of </w:t>
      </w:r>
      <w:r>
        <w:rPr>
          <w:sz w:val="24"/>
          <w:szCs w:val="24"/>
        </w:rPr>
        <w:t xml:space="preserve">RON </w:t>
      </w:r>
      <w:r>
        <w:rPr>
          <w:sz w:val="24"/>
          <w:szCs w:val="24"/>
          <w:lang w:val="pt-BR"/>
        </w:rPr>
        <w:t>105.166,90;</w:t>
      </w:r>
    </w:p>
    <w:p w:rsidR="00452793" w:rsidRDefault="00452793" w:rsidP="00452793">
      <w:pPr>
        <w:jc w:val="both"/>
        <w:rPr>
          <w:sz w:val="24"/>
          <w:szCs w:val="24"/>
          <w:lang w:val="pt-BR"/>
        </w:rPr>
      </w:pPr>
      <w:r>
        <w:rPr>
          <w:sz w:val="24"/>
          <w:szCs w:val="24"/>
          <w:lang w:val="pt-BR"/>
        </w:rPr>
        <w:t xml:space="preserve"> (B) interest/penalties for the amount lodged a performance guarantee ought to be reimbursed in proportion of 30 % in the amount of </w:t>
      </w:r>
      <w:r>
        <w:rPr>
          <w:sz w:val="24"/>
          <w:szCs w:val="24"/>
        </w:rPr>
        <w:t xml:space="preserve">RON </w:t>
      </w:r>
      <w:r>
        <w:rPr>
          <w:sz w:val="24"/>
          <w:szCs w:val="24"/>
          <w:lang w:val="pt-BR"/>
        </w:rPr>
        <w:t>19.662 and costs.</w:t>
      </w:r>
    </w:p>
    <w:p w:rsidR="00452793" w:rsidRDefault="00452793" w:rsidP="00452793">
      <w:pPr>
        <w:jc w:val="both"/>
        <w:rPr>
          <w:sz w:val="24"/>
          <w:szCs w:val="24"/>
        </w:rPr>
      </w:pPr>
      <w:r>
        <w:rPr>
          <w:b/>
          <w:sz w:val="24"/>
          <w:szCs w:val="24"/>
          <w:lang w:val="pt-BR"/>
        </w:rPr>
        <w:t>Details:</w:t>
      </w:r>
      <w:r>
        <w:rPr>
          <w:sz w:val="24"/>
          <w:szCs w:val="24"/>
          <w:lang w:val="pt-BR"/>
        </w:rPr>
        <w:t> By the </w:t>
      </w:r>
      <w:r>
        <w:rPr>
          <w:b/>
          <w:sz w:val="24"/>
          <w:szCs w:val="24"/>
          <w:lang w:val="pt-BR"/>
        </w:rPr>
        <w:t>end of 11</w:t>
      </w:r>
      <w:r>
        <w:rPr>
          <w:b/>
          <w:sz w:val="24"/>
          <w:szCs w:val="24"/>
          <w:vertAlign w:val="superscript"/>
        </w:rPr>
        <w:t>th</w:t>
      </w:r>
      <w:r>
        <w:rPr>
          <w:b/>
          <w:sz w:val="24"/>
          <w:szCs w:val="24"/>
        </w:rPr>
        <w:t xml:space="preserve"> April </w:t>
      </w:r>
      <w:r>
        <w:rPr>
          <w:b/>
          <w:sz w:val="24"/>
          <w:szCs w:val="24"/>
          <w:lang w:val="pt-BR"/>
        </w:rPr>
        <w:t>2017</w:t>
      </w:r>
      <w:r>
        <w:rPr>
          <w:sz w:val="24"/>
          <w:szCs w:val="24"/>
          <w:lang w:val="pt-BR"/>
        </w:rPr>
        <w:t> the Prahova cou</w:t>
      </w:r>
      <w:r>
        <w:rPr>
          <w:sz w:val="24"/>
          <w:szCs w:val="24"/>
        </w:rPr>
        <w:t>rt</w:t>
      </w:r>
      <w:r>
        <w:rPr>
          <w:sz w:val="24"/>
          <w:szCs w:val="24"/>
          <w:lang w:val="pt-BR"/>
        </w:rPr>
        <w:t xml:space="preserve">, on the basis of the provisions of Article 262(4) of the Law no.85/2014 suspend </w:t>
      </w:r>
      <w:r>
        <w:rPr>
          <w:sz w:val="24"/>
          <w:szCs w:val="24"/>
        </w:rPr>
        <w:t>the sentence</w:t>
      </w:r>
      <w:r>
        <w:rPr>
          <w:sz w:val="24"/>
          <w:szCs w:val="24"/>
          <w:lang w:val="pt-BR"/>
        </w:rPr>
        <w:t xml:space="preserve">. The conclusion was attacked with appeal. It is the subject of the </w:t>
      </w:r>
      <w:r>
        <w:rPr>
          <w:sz w:val="24"/>
          <w:szCs w:val="24"/>
        </w:rPr>
        <w:t>file</w:t>
      </w:r>
      <w:r>
        <w:rPr>
          <w:sz w:val="24"/>
          <w:szCs w:val="24"/>
          <w:lang w:val="pt-BR"/>
        </w:rPr>
        <w:t xml:space="preserve"> No 6544/105/2011*/A1 on the role at the Court of Appeal in Ploiesti. By </w:t>
      </w:r>
      <w:r>
        <w:rPr>
          <w:b/>
          <w:sz w:val="24"/>
          <w:szCs w:val="24"/>
        </w:rPr>
        <w:t>Decision 1728/28.09.2017 </w:t>
      </w:r>
      <w:r>
        <w:rPr>
          <w:sz w:val="24"/>
          <w:szCs w:val="24"/>
        </w:rPr>
        <w:t xml:space="preserve">the Court of Appeal Ploiesti admitted the appeal. It changes in part the recurred conclusion and sends the matter for the continuation of the sentence of the action formulated in contradictory only with the defendant Conpet, the matter against ICIM </w:t>
      </w:r>
      <w:proofErr w:type="gramStart"/>
      <w:r>
        <w:rPr>
          <w:sz w:val="24"/>
          <w:szCs w:val="24"/>
        </w:rPr>
        <w:t>being suspended</w:t>
      </w:r>
      <w:proofErr w:type="gramEnd"/>
      <w:r>
        <w:rPr>
          <w:sz w:val="24"/>
          <w:szCs w:val="24"/>
        </w:rPr>
        <w:t>.</w:t>
      </w:r>
    </w:p>
    <w:p w:rsidR="00452793" w:rsidRDefault="00452793" w:rsidP="00452793">
      <w:pPr>
        <w:jc w:val="both"/>
        <w:rPr>
          <w:sz w:val="24"/>
          <w:szCs w:val="24"/>
          <w:lang w:val="pt-BR"/>
        </w:rPr>
      </w:pPr>
      <w:r>
        <w:rPr>
          <w:sz w:val="24"/>
          <w:szCs w:val="24"/>
        </w:rPr>
        <w:t>Through the </w:t>
      </w:r>
      <w:r>
        <w:rPr>
          <w:b/>
          <w:sz w:val="24"/>
          <w:szCs w:val="24"/>
        </w:rPr>
        <w:t xml:space="preserve">order no. </w:t>
      </w:r>
      <w:proofErr w:type="gramStart"/>
      <w:r>
        <w:rPr>
          <w:b/>
          <w:sz w:val="24"/>
          <w:szCs w:val="24"/>
        </w:rPr>
        <w:t>894/23.04.2018</w:t>
      </w:r>
      <w:proofErr w:type="gramEnd"/>
      <w:r>
        <w:rPr>
          <w:sz w:val="24"/>
          <w:szCs w:val="24"/>
        </w:rPr>
        <w:t xml:space="preserve"> the Prahova County Court admitted except for the lack of law liabilities, invoked by the defendant Conpet. It rejects the action as </w:t>
      </w:r>
      <w:proofErr w:type="gramStart"/>
      <w:r>
        <w:rPr>
          <w:sz w:val="24"/>
          <w:szCs w:val="24"/>
        </w:rPr>
        <w:t>being filed</w:t>
      </w:r>
      <w:proofErr w:type="gramEnd"/>
      <w:r>
        <w:rPr>
          <w:sz w:val="24"/>
          <w:szCs w:val="24"/>
        </w:rPr>
        <w:t xml:space="preserve"> by a person without quality. The sentence </w:t>
      </w:r>
      <w:proofErr w:type="gramStart"/>
      <w:r>
        <w:rPr>
          <w:sz w:val="24"/>
          <w:szCs w:val="24"/>
        </w:rPr>
        <w:t>can be appealed</w:t>
      </w:r>
      <w:proofErr w:type="gramEnd"/>
      <w:r>
        <w:rPr>
          <w:sz w:val="24"/>
          <w:szCs w:val="24"/>
        </w:rPr>
        <w:t xml:space="preserve"> after communication. </w:t>
      </w:r>
    </w:p>
    <w:p w:rsidR="00452793" w:rsidRDefault="00452793" w:rsidP="00452793">
      <w:pPr>
        <w:jc w:val="both"/>
        <w:rPr>
          <w:sz w:val="24"/>
          <w:szCs w:val="24"/>
          <w:lang w:val="pt-BR"/>
        </w:rPr>
      </w:pPr>
      <w:r>
        <w:rPr>
          <w:b/>
          <w:sz w:val="24"/>
          <w:szCs w:val="24"/>
          <w:lang w:val="pt-BR"/>
        </w:rPr>
        <w:t>Stage</w:t>
      </w:r>
      <w:r>
        <w:rPr>
          <w:b/>
          <w:sz w:val="24"/>
          <w:szCs w:val="24"/>
        </w:rPr>
        <w:t xml:space="preserve"> of trial</w:t>
      </w:r>
      <w:r>
        <w:rPr>
          <w:b/>
          <w:sz w:val="24"/>
          <w:szCs w:val="24"/>
          <w:lang w:val="pt-BR"/>
        </w:rPr>
        <w:t>:</w:t>
      </w:r>
      <w:r>
        <w:rPr>
          <w:sz w:val="24"/>
          <w:szCs w:val="24"/>
          <w:lang w:val="pt-BR"/>
        </w:rPr>
        <w:t> --</w:t>
      </w:r>
    </w:p>
    <w:p w:rsidR="00452793" w:rsidRDefault="00452793" w:rsidP="00452793">
      <w:pPr>
        <w:jc w:val="both"/>
        <w:rPr>
          <w:sz w:val="24"/>
          <w:szCs w:val="24"/>
          <w:lang w:val="pt-BR"/>
        </w:rPr>
      </w:pPr>
      <w:r>
        <w:rPr>
          <w:b/>
          <w:sz w:val="24"/>
          <w:szCs w:val="24"/>
        </w:rPr>
        <w:t>Hearing</w:t>
      </w:r>
      <w:r>
        <w:rPr>
          <w:b/>
          <w:sz w:val="24"/>
          <w:szCs w:val="24"/>
          <w:lang w:val="pt-BR"/>
        </w:rPr>
        <w:t>:</w:t>
      </w:r>
      <w:r>
        <w:rPr>
          <w:sz w:val="24"/>
          <w:szCs w:val="24"/>
          <w:lang w:val="pt-BR"/>
        </w:rPr>
        <w:t> --</w:t>
      </w:r>
    </w:p>
    <w:p w:rsidR="00452793" w:rsidRDefault="00452793" w:rsidP="00452793">
      <w:pPr>
        <w:jc w:val="both"/>
        <w:rPr>
          <w:sz w:val="24"/>
          <w:szCs w:val="24"/>
          <w:lang w:val="pt-BR"/>
        </w:rPr>
      </w:pPr>
    </w:p>
    <w:p w:rsidR="00452793" w:rsidRDefault="00452793" w:rsidP="00452793">
      <w:pPr>
        <w:jc w:val="both"/>
        <w:rPr>
          <w:sz w:val="24"/>
          <w:szCs w:val="24"/>
          <w:lang w:val="pt-BR"/>
        </w:rPr>
      </w:pPr>
    </w:p>
    <w:p w:rsidR="00452793" w:rsidRDefault="00452793" w:rsidP="00452793">
      <w:pPr>
        <w:jc w:val="both"/>
        <w:rPr>
          <w:sz w:val="24"/>
          <w:szCs w:val="24"/>
          <w:lang w:val="pt-BR"/>
        </w:rPr>
      </w:pPr>
      <w:r>
        <w:rPr>
          <w:b/>
          <w:sz w:val="24"/>
          <w:szCs w:val="24"/>
          <w:lang w:val="pt-BR"/>
        </w:rPr>
        <w:t xml:space="preserve">5. The </w:t>
      </w:r>
      <w:r>
        <w:rPr>
          <w:b/>
          <w:sz w:val="24"/>
          <w:szCs w:val="24"/>
        </w:rPr>
        <w:t>file</w:t>
      </w:r>
      <w:r>
        <w:rPr>
          <w:b/>
          <w:sz w:val="24"/>
          <w:szCs w:val="24"/>
          <w:lang w:val="pt-BR"/>
        </w:rPr>
        <w:t xml:space="preserve"> No 650/215/2013* - Dolj County Court </w:t>
      </w:r>
    </w:p>
    <w:p w:rsidR="00452793" w:rsidRDefault="00452793" w:rsidP="00452793">
      <w:pPr>
        <w:jc w:val="both"/>
        <w:rPr>
          <w:sz w:val="24"/>
          <w:szCs w:val="24"/>
          <w:lang w:val="pt-BR"/>
        </w:rPr>
      </w:pPr>
      <w:r>
        <w:rPr>
          <w:b/>
          <w:sz w:val="24"/>
          <w:szCs w:val="24"/>
          <w:lang w:val="pt-BR"/>
        </w:rPr>
        <w:t>The parties:</w:t>
      </w:r>
      <w:r>
        <w:rPr>
          <w:sz w:val="24"/>
          <w:szCs w:val="24"/>
          <w:lang w:val="pt-BR"/>
        </w:rPr>
        <w:t xml:space="preserve"> Conpet S.A. - </w:t>
      </w:r>
      <w:r>
        <w:rPr>
          <w:sz w:val="24"/>
          <w:szCs w:val="24"/>
        </w:rPr>
        <w:t>defendant</w:t>
      </w:r>
    </w:p>
    <w:p w:rsidR="00452793" w:rsidRDefault="00452793" w:rsidP="00452793">
      <w:pPr>
        <w:jc w:val="both"/>
        <w:rPr>
          <w:sz w:val="24"/>
          <w:szCs w:val="24"/>
          <w:lang w:val="pt-BR"/>
        </w:rPr>
      </w:pPr>
      <w:r>
        <w:rPr>
          <w:sz w:val="24"/>
          <w:szCs w:val="24"/>
          <w:lang w:val="pt-BR"/>
        </w:rPr>
        <w:t xml:space="preserve">           Mihai Constantin - the </w:t>
      </w:r>
      <w:r>
        <w:rPr>
          <w:sz w:val="24"/>
          <w:szCs w:val="24"/>
        </w:rPr>
        <w:t>plaintiff</w:t>
      </w:r>
    </w:p>
    <w:p w:rsidR="00452793" w:rsidRDefault="00452793" w:rsidP="00452793">
      <w:pPr>
        <w:jc w:val="both"/>
        <w:rPr>
          <w:sz w:val="24"/>
          <w:szCs w:val="24"/>
          <w:lang w:val="pt-BR"/>
        </w:rPr>
      </w:pPr>
      <w:r>
        <w:rPr>
          <w:sz w:val="24"/>
          <w:szCs w:val="24"/>
          <w:lang w:val="pt-BR"/>
        </w:rPr>
        <w:t xml:space="preserve">           Mihai Norica - the </w:t>
      </w:r>
      <w:r>
        <w:rPr>
          <w:sz w:val="24"/>
          <w:szCs w:val="24"/>
        </w:rPr>
        <w:t>plaintiff</w:t>
      </w:r>
    </w:p>
    <w:p w:rsidR="00452793" w:rsidRDefault="00452793" w:rsidP="00452793">
      <w:pPr>
        <w:jc w:val="both"/>
        <w:rPr>
          <w:sz w:val="24"/>
          <w:szCs w:val="24"/>
          <w:lang w:val="pt-BR"/>
        </w:rPr>
      </w:pPr>
      <w:r>
        <w:rPr>
          <w:b/>
          <w:sz w:val="24"/>
          <w:szCs w:val="24"/>
        </w:rPr>
        <w:t>Subject: Obligation of action. </w:t>
      </w:r>
      <w:r>
        <w:rPr>
          <w:sz w:val="24"/>
          <w:szCs w:val="24"/>
          <w:lang w:val="pt-BR"/>
        </w:rPr>
        <w:t xml:space="preserve">Mihai Constantin and Mihai Norica shall </w:t>
      </w:r>
      <w:r>
        <w:rPr>
          <w:sz w:val="24"/>
          <w:szCs w:val="24"/>
        </w:rPr>
        <w:t>file a trial</w:t>
      </w:r>
      <w:r>
        <w:rPr>
          <w:sz w:val="24"/>
          <w:szCs w:val="24"/>
          <w:lang w:val="pt-BR"/>
        </w:rPr>
        <w:t xml:space="preserve"> requesting that the decision to have:</w:t>
      </w:r>
    </w:p>
    <w:p w:rsidR="00452793" w:rsidRDefault="00452793" w:rsidP="00452793">
      <w:pPr>
        <w:jc w:val="both"/>
        <w:rPr>
          <w:sz w:val="24"/>
          <w:szCs w:val="24"/>
          <w:lang w:val="pt-BR"/>
        </w:rPr>
      </w:pPr>
      <w:r>
        <w:rPr>
          <w:sz w:val="24"/>
          <w:szCs w:val="24"/>
          <w:lang w:val="pt-BR"/>
        </w:rPr>
        <w:t xml:space="preserve">- On the basis of the art. 494 Civil Code, the defendant Conpet should be obliged to </w:t>
      </w:r>
      <w:r>
        <w:rPr>
          <w:sz w:val="24"/>
          <w:szCs w:val="24"/>
        </w:rPr>
        <w:t xml:space="preserve">lift </w:t>
      </w:r>
      <w:r>
        <w:rPr>
          <w:sz w:val="24"/>
          <w:szCs w:val="24"/>
          <w:lang w:val="pt-BR"/>
        </w:rPr>
        <w:t>the oil transport</w:t>
      </w:r>
      <w:r>
        <w:rPr>
          <w:sz w:val="24"/>
          <w:szCs w:val="24"/>
        </w:rPr>
        <w:t xml:space="preserve"> </w:t>
      </w:r>
      <w:r>
        <w:rPr>
          <w:sz w:val="24"/>
          <w:szCs w:val="24"/>
          <w:lang w:val="pt-BR"/>
        </w:rPr>
        <w:t>pipe; </w:t>
      </w:r>
    </w:p>
    <w:p w:rsidR="00452793" w:rsidRDefault="00452793" w:rsidP="00452793">
      <w:pPr>
        <w:jc w:val="both"/>
        <w:rPr>
          <w:sz w:val="24"/>
          <w:szCs w:val="24"/>
          <w:lang w:val="pt-BR"/>
        </w:rPr>
      </w:pPr>
      <w:r>
        <w:rPr>
          <w:sz w:val="24"/>
          <w:szCs w:val="24"/>
          <w:lang w:val="pt-BR"/>
        </w:rPr>
        <w:t xml:space="preserve">- The defendant Conpet should be obliged to </w:t>
      </w:r>
      <w:r>
        <w:rPr>
          <w:sz w:val="24"/>
          <w:szCs w:val="24"/>
        </w:rPr>
        <w:t>undo the damage caused</w:t>
      </w:r>
      <w:r>
        <w:rPr>
          <w:sz w:val="24"/>
          <w:szCs w:val="24"/>
          <w:lang w:val="pt-BR"/>
        </w:rPr>
        <w:t xml:space="preserve">, on the basis of Articles 998 and 999 Civil Code, in respect of which they have been produced by the fitting of the pipes, in the vicinity of their household. The plaintiffs were provisional and quantify the claims to the amount of </w:t>
      </w:r>
      <w:r>
        <w:rPr>
          <w:sz w:val="24"/>
          <w:szCs w:val="24"/>
        </w:rPr>
        <w:t xml:space="preserve">RON </w:t>
      </w:r>
      <w:r>
        <w:rPr>
          <w:sz w:val="24"/>
          <w:szCs w:val="24"/>
          <w:lang w:val="pt-BR"/>
        </w:rPr>
        <w:t>2,000.</w:t>
      </w:r>
    </w:p>
    <w:p w:rsidR="00452793" w:rsidRDefault="00452793" w:rsidP="00452793">
      <w:pPr>
        <w:jc w:val="both"/>
        <w:rPr>
          <w:sz w:val="24"/>
          <w:szCs w:val="24"/>
        </w:rPr>
      </w:pPr>
      <w:r>
        <w:rPr>
          <w:b/>
          <w:sz w:val="24"/>
          <w:szCs w:val="24"/>
          <w:lang w:val="pt-BR"/>
        </w:rPr>
        <w:t>Details: </w:t>
      </w:r>
      <w:r>
        <w:rPr>
          <w:sz w:val="24"/>
          <w:szCs w:val="24"/>
        </w:rPr>
        <w:t>Through the </w:t>
      </w:r>
      <w:r>
        <w:rPr>
          <w:b/>
          <w:sz w:val="24"/>
          <w:szCs w:val="24"/>
        </w:rPr>
        <w:t>order no. 8895/19.06.2014</w:t>
      </w:r>
      <w:r>
        <w:rPr>
          <w:sz w:val="24"/>
          <w:szCs w:val="24"/>
        </w:rPr>
        <w:t xml:space="preserve"> the Craiova court rejected the specified action. It takes note that the defendant, by the legal representative has not requested the court expenses. </w:t>
      </w:r>
      <w:proofErr w:type="gramStart"/>
      <w:r>
        <w:rPr>
          <w:sz w:val="24"/>
          <w:szCs w:val="24"/>
        </w:rPr>
        <w:t>The sentence has been appealed by Mihai Constantin and Mihai Norica</w:t>
      </w:r>
      <w:proofErr w:type="gramEnd"/>
      <w:r>
        <w:rPr>
          <w:sz w:val="24"/>
          <w:szCs w:val="24"/>
        </w:rPr>
        <w:t>.</w:t>
      </w:r>
    </w:p>
    <w:p w:rsidR="00452793" w:rsidRDefault="00452793" w:rsidP="00452793">
      <w:pPr>
        <w:jc w:val="both"/>
        <w:rPr>
          <w:sz w:val="24"/>
          <w:szCs w:val="24"/>
        </w:rPr>
      </w:pPr>
      <w:r>
        <w:rPr>
          <w:sz w:val="24"/>
          <w:szCs w:val="24"/>
        </w:rPr>
        <w:t>By </w:t>
      </w:r>
      <w:r>
        <w:rPr>
          <w:b/>
          <w:sz w:val="24"/>
          <w:szCs w:val="24"/>
        </w:rPr>
        <w:t xml:space="preserve">Decision </w:t>
      </w:r>
      <w:proofErr w:type="gramStart"/>
      <w:r>
        <w:rPr>
          <w:b/>
          <w:sz w:val="24"/>
          <w:szCs w:val="24"/>
        </w:rPr>
        <w:t>No</w:t>
      </w:r>
      <w:proofErr w:type="gramEnd"/>
      <w:r>
        <w:rPr>
          <w:b/>
          <w:sz w:val="24"/>
          <w:szCs w:val="24"/>
        </w:rPr>
        <w:t xml:space="preserve"> 195/03.02.2015</w:t>
      </w:r>
      <w:r>
        <w:rPr>
          <w:sz w:val="24"/>
          <w:szCs w:val="24"/>
        </w:rPr>
        <w:t> the Dolj County admits the appeal. It cancels the sentence. It sends the cause for retrial in the same courts as the First Instance</w:t>
      </w:r>
      <w:proofErr w:type="gramStart"/>
      <w:r>
        <w:rPr>
          <w:sz w:val="24"/>
          <w:szCs w:val="24"/>
        </w:rPr>
        <w:t>..</w:t>
      </w:r>
      <w:proofErr w:type="gramEnd"/>
      <w:r>
        <w:rPr>
          <w:sz w:val="24"/>
          <w:szCs w:val="24"/>
        </w:rPr>
        <w:t> </w:t>
      </w:r>
    </w:p>
    <w:p w:rsidR="00452793" w:rsidRDefault="00452793" w:rsidP="00452793">
      <w:pPr>
        <w:jc w:val="both"/>
        <w:rPr>
          <w:sz w:val="24"/>
          <w:szCs w:val="24"/>
        </w:rPr>
      </w:pPr>
      <w:r>
        <w:rPr>
          <w:sz w:val="24"/>
          <w:szCs w:val="24"/>
        </w:rPr>
        <w:t>By the </w:t>
      </w:r>
      <w:r>
        <w:rPr>
          <w:b/>
          <w:sz w:val="24"/>
          <w:szCs w:val="24"/>
        </w:rPr>
        <w:t xml:space="preserve">order no. </w:t>
      </w:r>
      <w:proofErr w:type="gramStart"/>
      <w:r>
        <w:rPr>
          <w:b/>
          <w:sz w:val="24"/>
          <w:szCs w:val="24"/>
        </w:rPr>
        <w:t>11014/18.10.2017</w:t>
      </w:r>
      <w:proofErr w:type="gramEnd"/>
      <w:r>
        <w:rPr>
          <w:sz w:val="24"/>
          <w:szCs w:val="24"/>
        </w:rPr>
        <w:t xml:space="preserve"> the Craiova Court admitted the request indicated and made by the plaintiffs. It orders the defendant to pay the plaintiffs the amount of 22.236 RON representing the </w:t>
      </w:r>
      <w:proofErr w:type="gramStart"/>
      <w:r>
        <w:rPr>
          <w:sz w:val="24"/>
          <w:szCs w:val="24"/>
        </w:rPr>
        <w:t>consideration  of</w:t>
      </w:r>
      <w:proofErr w:type="gramEnd"/>
      <w:r>
        <w:rPr>
          <w:sz w:val="24"/>
          <w:szCs w:val="24"/>
        </w:rPr>
        <w:t xml:space="preserve"> the plaintiffs’ injury made by product pipe no. 4 Craiova-Iancu Jianu located in concession of the defendant. It orders the defendant to pay the plaintiffs the amount of RON 7.970,8 representing trial costs. The sentence </w:t>
      </w:r>
      <w:proofErr w:type="gramStart"/>
      <w:r>
        <w:rPr>
          <w:sz w:val="24"/>
          <w:szCs w:val="24"/>
        </w:rPr>
        <w:t>was appealed</w:t>
      </w:r>
      <w:proofErr w:type="gramEnd"/>
      <w:r>
        <w:rPr>
          <w:sz w:val="24"/>
          <w:szCs w:val="24"/>
        </w:rPr>
        <w:t xml:space="preserve"> by Conpet and by the plaintiffs. </w:t>
      </w:r>
    </w:p>
    <w:p w:rsidR="00452793" w:rsidRDefault="00452793" w:rsidP="00452793">
      <w:pPr>
        <w:jc w:val="both"/>
        <w:rPr>
          <w:sz w:val="24"/>
          <w:szCs w:val="24"/>
        </w:rPr>
      </w:pPr>
      <w:r>
        <w:rPr>
          <w:sz w:val="24"/>
          <w:szCs w:val="24"/>
        </w:rPr>
        <w:t>By </w:t>
      </w:r>
      <w:r>
        <w:rPr>
          <w:b/>
          <w:sz w:val="24"/>
          <w:szCs w:val="24"/>
        </w:rPr>
        <w:t>Decision No 1339/2018 19.06.2018,</w:t>
      </w:r>
      <w:r>
        <w:rPr>
          <w:sz w:val="24"/>
          <w:szCs w:val="24"/>
        </w:rPr>
        <w:t xml:space="preserve"> the Dolj County reject the appeals to compensate for the expenses of the Court of Appeal. The sentence </w:t>
      </w:r>
      <w:proofErr w:type="gramStart"/>
      <w:r>
        <w:rPr>
          <w:sz w:val="24"/>
          <w:szCs w:val="24"/>
        </w:rPr>
        <w:t>may be appealed</w:t>
      </w:r>
      <w:proofErr w:type="gramEnd"/>
      <w:r>
        <w:rPr>
          <w:sz w:val="24"/>
          <w:szCs w:val="24"/>
        </w:rPr>
        <w:t xml:space="preserve"> after the communication.   </w:t>
      </w:r>
    </w:p>
    <w:p w:rsidR="00452793" w:rsidRDefault="00452793" w:rsidP="00452793">
      <w:pPr>
        <w:jc w:val="both"/>
        <w:rPr>
          <w:b/>
          <w:sz w:val="24"/>
          <w:szCs w:val="24"/>
          <w:lang w:val="pt-BR"/>
        </w:rPr>
      </w:pPr>
      <w:r>
        <w:rPr>
          <w:b/>
          <w:sz w:val="24"/>
          <w:szCs w:val="24"/>
          <w:lang w:val="pt-BR"/>
        </w:rPr>
        <w:t>Stage</w:t>
      </w:r>
      <w:r>
        <w:rPr>
          <w:b/>
          <w:sz w:val="24"/>
          <w:szCs w:val="24"/>
        </w:rPr>
        <w:t xml:space="preserve"> of trial</w:t>
      </w:r>
      <w:r>
        <w:rPr>
          <w:b/>
          <w:sz w:val="24"/>
          <w:szCs w:val="24"/>
          <w:lang w:val="pt-BR"/>
        </w:rPr>
        <w:t>: </w:t>
      </w:r>
      <w:r>
        <w:rPr>
          <w:sz w:val="24"/>
          <w:szCs w:val="24"/>
          <w:lang w:val="pt-BR"/>
        </w:rPr>
        <w:t>--</w:t>
      </w:r>
    </w:p>
    <w:p w:rsidR="00452793" w:rsidRDefault="00452793" w:rsidP="00452793">
      <w:pPr>
        <w:jc w:val="both"/>
        <w:rPr>
          <w:sz w:val="24"/>
          <w:szCs w:val="24"/>
          <w:lang w:val="pt-BR"/>
        </w:rPr>
      </w:pPr>
      <w:r>
        <w:rPr>
          <w:b/>
          <w:sz w:val="24"/>
          <w:szCs w:val="24"/>
        </w:rPr>
        <w:t>Hearing</w:t>
      </w:r>
      <w:r>
        <w:rPr>
          <w:b/>
          <w:sz w:val="24"/>
          <w:szCs w:val="24"/>
          <w:lang w:val="pt-BR"/>
        </w:rPr>
        <w:t>:</w:t>
      </w:r>
      <w:r>
        <w:rPr>
          <w:sz w:val="24"/>
          <w:szCs w:val="24"/>
          <w:lang w:val="pt-BR"/>
        </w:rPr>
        <w:t> --</w:t>
      </w:r>
    </w:p>
    <w:p w:rsidR="00452793" w:rsidRDefault="00452793" w:rsidP="00452793">
      <w:pPr>
        <w:jc w:val="both"/>
        <w:rPr>
          <w:sz w:val="24"/>
          <w:szCs w:val="24"/>
          <w:lang w:val="it-IT"/>
        </w:rPr>
      </w:pPr>
    </w:p>
    <w:p w:rsidR="00452793" w:rsidRDefault="00452793" w:rsidP="00452793">
      <w:pPr>
        <w:jc w:val="both"/>
        <w:rPr>
          <w:sz w:val="24"/>
          <w:szCs w:val="24"/>
          <w:lang w:val="it-IT"/>
        </w:rPr>
      </w:pPr>
    </w:p>
    <w:p w:rsidR="00452793" w:rsidRDefault="00452793" w:rsidP="00452793">
      <w:pPr>
        <w:jc w:val="both"/>
        <w:rPr>
          <w:b/>
          <w:sz w:val="24"/>
          <w:szCs w:val="24"/>
          <w:lang w:val="it-IT"/>
        </w:rPr>
      </w:pPr>
      <w:r>
        <w:rPr>
          <w:b/>
          <w:sz w:val="24"/>
          <w:szCs w:val="24"/>
          <w:lang w:val="it-IT"/>
        </w:rPr>
        <w:t>6. The file no. 5248/111/2014** - Hunedoara court </w:t>
      </w:r>
    </w:p>
    <w:p w:rsidR="00452793" w:rsidRDefault="00452793" w:rsidP="00452793">
      <w:pPr>
        <w:jc w:val="both"/>
        <w:rPr>
          <w:sz w:val="24"/>
          <w:szCs w:val="24"/>
          <w:lang w:val="it-IT"/>
        </w:rPr>
      </w:pPr>
      <w:r>
        <w:rPr>
          <w:b/>
          <w:sz w:val="24"/>
          <w:szCs w:val="24"/>
          <w:lang w:val="it-IT"/>
        </w:rPr>
        <w:t>The parties: </w:t>
      </w:r>
      <w:r>
        <w:rPr>
          <w:sz w:val="24"/>
          <w:szCs w:val="24"/>
          <w:lang w:val="it-IT"/>
        </w:rPr>
        <w:t xml:space="preserve">Conpet - </w:t>
      </w:r>
      <w:r>
        <w:rPr>
          <w:sz w:val="24"/>
          <w:szCs w:val="24"/>
        </w:rPr>
        <w:t>defendant</w:t>
      </w:r>
    </w:p>
    <w:p w:rsidR="00452793" w:rsidRDefault="00452793" w:rsidP="00452793">
      <w:pPr>
        <w:jc w:val="both"/>
        <w:rPr>
          <w:b/>
          <w:sz w:val="24"/>
          <w:szCs w:val="24"/>
          <w:lang w:val="it-IT"/>
        </w:rPr>
      </w:pPr>
      <w:r>
        <w:rPr>
          <w:sz w:val="24"/>
          <w:szCs w:val="24"/>
          <w:lang w:val="it-IT"/>
        </w:rPr>
        <w:t xml:space="preserve">           Poenar Ioan - the </w:t>
      </w:r>
      <w:r>
        <w:rPr>
          <w:sz w:val="24"/>
          <w:szCs w:val="24"/>
        </w:rPr>
        <w:t>plaintiff</w:t>
      </w:r>
    </w:p>
    <w:p w:rsidR="00452793" w:rsidRDefault="00452793" w:rsidP="00452793">
      <w:pPr>
        <w:jc w:val="both"/>
        <w:rPr>
          <w:sz w:val="24"/>
          <w:szCs w:val="24"/>
          <w:lang w:val="it-IT"/>
        </w:rPr>
      </w:pPr>
      <w:r>
        <w:rPr>
          <w:b/>
          <w:sz w:val="24"/>
          <w:szCs w:val="24"/>
          <w:lang w:val="it-IT"/>
        </w:rPr>
        <w:t>Subject: the </w:t>
      </w:r>
      <w:r>
        <w:rPr>
          <w:sz w:val="24"/>
          <w:szCs w:val="24"/>
          <w:lang w:val="it-IT"/>
        </w:rPr>
        <w:t xml:space="preserve">obligation to </w:t>
      </w:r>
      <w:r>
        <w:rPr>
          <w:sz w:val="24"/>
          <w:szCs w:val="24"/>
        </w:rPr>
        <w:t>action</w:t>
      </w:r>
      <w:r>
        <w:rPr>
          <w:sz w:val="24"/>
          <w:szCs w:val="24"/>
          <w:lang w:val="it-IT"/>
        </w:rPr>
        <w:t>.</w:t>
      </w:r>
    </w:p>
    <w:p w:rsidR="00452793" w:rsidRDefault="00452793" w:rsidP="00452793">
      <w:pPr>
        <w:jc w:val="both"/>
        <w:rPr>
          <w:sz w:val="24"/>
          <w:szCs w:val="24"/>
          <w:lang w:val="it-IT"/>
        </w:rPr>
      </w:pPr>
      <w:r>
        <w:rPr>
          <w:b/>
          <w:sz w:val="24"/>
          <w:szCs w:val="24"/>
          <w:lang w:val="it-IT"/>
        </w:rPr>
        <w:t>Details:</w:t>
      </w:r>
      <w:r>
        <w:rPr>
          <w:sz w:val="24"/>
          <w:szCs w:val="24"/>
          <w:lang w:val="it-IT"/>
        </w:rPr>
        <w:t xml:space="preserve"> By Decision No 27/08.01.2015 Bihor County Court </w:t>
      </w:r>
      <w:r>
        <w:rPr>
          <w:sz w:val="24"/>
          <w:szCs w:val="24"/>
        </w:rPr>
        <w:t xml:space="preserve">admitted the  functional incompetence of </w:t>
      </w:r>
      <w:r>
        <w:rPr>
          <w:sz w:val="24"/>
          <w:szCs w:val="24"/>
          <w:lang w:val="it-IT"/>
        </w:rPr>
        <w:t xml:space="preserve">division </w:t>
      </w:r>
      <w:r>
        <w:rPr>
          <w:sz w:val="24"/>
          <w:szCs w:val="24"/>
        </w:rPr>
        <w:t xml:space="preserve">II </w:t>
      </w:r>
      <w:r>
        <w:rPr>
          <w:sz w:val="24"/>
          <w:szCs w:val="24"/>
          <w:lang w:val="it-IT"/>
        </w:rPr>
        <w:t xml:space="preserve">of the civil society, invoked by the court </w:t>
      </w:r>
      <w:r>
        <w:rPr>
          <w:sz w:val="24"/>
          <w:szCs w:val="24"/>
        </w:rPr>
        <w:t>ex oficia</w:t>
      </w:r>
      <w:r>
        <w:rPr>
          <w:sz w:val="24"/>
          <w:szCs w:val="24"/>
          <w:lang w:val="it-IT"/>
        </w:rPr>
        <w:t xml:space="preserve">. </w:t>
      </w:r>
      <w:r>
        <w:rPr>
          <w:sz w:val="24"/>
          <w:szCs w:val="24"/>
        </w:rPr>
        <w:t>It t</w:t>
      </w:r>
      <w:r>
        <w:rPr>
          <w:sz w:val="24"/>
          <w:szCs w:val="24"/>
          <w:lang w:val="it-IT"/>
        </w:rPr>
        <w:t>ranspos</w:t>
      </w:r>
      <w:r>
        <w:rPr>
          <w:sz w:val="24"/>
          <w:szCs w:val="24"/>
        </w:rPr>
        <w:t>es</w:t>
      </w:r>
      <w:r>
        <w:rPr>
          <w:sz w:val="24"/>
          <w:szCs w:val="24"/>
          <w:lang w:val="it-IT"/>
        </w:rPr>
        <w:t xml:space="preserve"> the action made by the complainant in Section III of the Administrative Court and Tax (where </w:t>
      </w:r>
      <w:r>
        <w:rPr>
          <w:sz w:val="24"/>
          <w:szCs w:val="24"/>
        </w:rPr>
        <w:t xml:space="preserve">it </w:t>
      </w:r>
      <w:r>
        <w:rPr>
          <w:sz w:val="24"/>
          <w:szCs w:val="24"/>
          <w:lang w:val="it-IT"/>
        </w:rPr>
        <w:t>receives *). </w:t>
      </w:r>
    </w:p>
    <w:p w:rsidR="00452793" w:rsidRDefault="00452793" w:rsidP="00452793">
      <w:pPr>
        <w:jc w:val="both"/>
        <w:rPr>
          <w:sz w:val="24"/>
          <w:szCs w:val="24"/>
          <w:lang w:val="it-IT"/>
        </w:rPr>
      </w:pPr>
      <w:r>
        <w:rPr>
          <w:sz w:val="24"/>
          <w:szCs w:val="24"/>
          <w:lang w:val="it-IT"/>
        </w:rPr>
        <w:t xml:space="preserve">By Decision No 1238/16.04.2015 Bihor County Court </w:t>
      </w:r>
      <w:r>
        <w:rPr>
          <w:sz w:val="24"/>
          <w:szCs w:val="24"/>
        </w:rPr>
        <w:t xml:space="preserve">admitted the plea for </w:t>
      </w:r>
      <w:r>
        <w:rPr>
          <w:sz w:val="24"/>
          <w:szCs w:val="24"/>
          <w:lang w:val="it-IT"/>
        </w:rPr>
        <w:t xml:space="preserve">its territorial </w:t>
      </w:r>
      <w:r>
        <w:rPr>
          <w:sz w:val="24"/>
          <w:szCs w:val="24"/>
        </w:rPr>
        <w:t>incompetence</w:t>
      </w:r>
      <w:r>
        <w:rPr>
          <w:sz w:val="24"/>
          <w:szCs w:val="24"/>
          <w:lang w:val="it-IT"/>
        </w:rPr>
        <w:t xml:space="preserve">. </w:t>
      </w:r>
      <w:r>
        <w:rPr>
          <w:sz w:val="24"/>
          <w:szCs w:val="24"/>
        </w:rPr>
        <w:t>It d</w:t>
      </w:r>
      <w:r>
        <w:rPr>
          <w:sz w:val="24"/>
          <w:szCs w:val="24"/>
          <w:lang w:val="it-IT"/>
        </w:rPr>
        <w:t>ecline</w:t>
      </w:r>
      <w:r>
        <w:rPr>
          <w:sz w:val="24"/>
          <w:szCs w:val="24"/>
        </w:rPr>
        <w:t>s</w:t>
      </w:r>
      <w:r>
        <w:rPr>
          <w:sz w:val="24"/>
          <w:szCs w:val="24"/>
          <w:lang w:val="it-IT"/>
        </w:rPr>
        <w:t xml:space="preserve"> jurisdiction in favor of the application specified in the Hunedoara court.</w:t>
      </w:r>
    </w:p>
    <w:p w:rsidR="00452793" w:rsidRDefault="00452793" w:rsidP="00452793">
      <w:pPr>
        <w:jc w:val="both"/>
        <w:rPr>
          <w:sz w:val="24"/>
          <w:szCs w:val="24"/>
          <w:lang w:val="it-IT"/>
        </w:rPr>
      </w:pPr>
      <w:r>
        <w:rPr>
          <w:sz w:val="24"/>
          <w:szCs w:val="24"/>
        </w:rPr>
        <w:t xml:space="preserve">Through the orderno. 196/16.02.2017 Hunedoara court shall reject the administrative appeal made by the plaintiff Poenar Ioan arguing with the defendants Conpet and the General Regional Directorate of Public Finances in Timisoara by county administration of public finances. The sentence </w:t>
      </w:r>
      <w:proofErr w:type="gramStart"/>
      <w:r>
        <w:rPr>
          <w:sz w:val="24"/>
          <w:szCs w:val="24"/>
        </w:rPr>
        <w:t>was  appealed</w:t>
      </w:r>
      <w:proofErr w:type="gramEnd"/>
      <w:r>
        <w:rPr>
          <w:sz w:val="24"/>
          <w:szCs w:val="24"/>
        </w:rPr>
        <w:t xml:space="preserve"> by </w:t>
      </w:r>
      <w:r>
        <w:rPr>
          <w:sz w:val="24"/>
          <w:szCs w:val="24"/>
          <w:lang w:val="it-IT"/>
        </w:rPr>
        <w:t>Poenar John.</w:t>
      </w:r>
    </w:p>
    <w:p w:rsidR="00452793" w:rsidRDefault="00452793" w:rsidP="00452793">
      <w:pPr>
        <w:jc w:val="both"/>
        <w:rPr>
          <w:sz w:val="24"/>
          <w:szCs w:val="24"/>
        </w:rPr>
      </w:pPr>
      <w:r>
        <w:rPr>
          <w:sz w:val="24"/>
          <w:szCs w:val="24"/>
          <w:lang w:val="it-IT"/>
        </w:rPr>
        <w:t>The Alba Iulia admitted the appeal</w:t>
      </w:r>
      <w:r>
        <w:rPr>
          <w:sz w:val="24"/>
          <w:szCs w:val="24"/>
        </w:rPr>
        <w:t xml:space="preserve">, it retires </w:t>
      </w:r>
      <w:r>
        <w:rPr>
          <w:sz w:val="24"/>
          <w:szCs w:val="24"/>
          <w:lang w:val="it-IT"/>
        </w:rPr>
        <w:t>the contested decision and sends the cause for retr</w:t>
      </w:r>
      <w:r>
        <w:rPr>
          <w:sz w:val="24"/>
          <w:szCs w:val="24"/>
        </w:rPr>
        <w:t>ial</w:t>
      </w:r>
      <w:r>
        <w:rPr>
          <w:sz w:val="24"/>
          <w:szCs w:val="24"/>
          <w:lang w:val="it-IT"/>
        </w:rPr>
        <w:t xml:space="preserve"> at Hunedoara court.</w:t>
      </w:r>
    </w:p>
    <w:p w:rsidR="00452793" w:rsidRDefault="00452793" w:rsidP="00452793">
      <w:pPr>
        <w:jc w:val="both"/>
        <w:rPr>
          <w:b/>
          <w:sz w:val="24"/>
          <w:szCs w:val="24"/>
          <w:lang w:val="it-IT"/>
        </w:rPr>
      </w:pPr>
      <w:r>
        <w:rPr>
          <w:b/>
          <w:sz w:val="24"/>
          <w:szCs w:val="24"/>
          <w:lang w:val="it-IT"/>
        </w:rPr>
        <w:t>Procesual stage: the </w:t>
      </w:r>
      <w:r>
        <w:rPr>
          <w:sz w:val="24"/>
          <w:szCs w:val="24"/>
        </w:rPr>
        <w:t>first instance</w:t>
      </w:r>
      <w:r>
        <w:rPr>
          <w:sz w:val="24"/>
          <w:szCs w:val="24"/>
          <w:lang w:val="it-IT"/>
        </w:rPr>
        <w:t>- retr</w:t>
      </w:r>
      <w:r>
        <w:rPr>
          <w:sz w:val="24"/>
          <w:szCs w:val="24"/>
        </w:rPr>
        <w:t>ial</w:t>
      </w:r>
    </w:p>
    <w:p w:rsidR="00452793" w:rsidRDefault="00452793" w:rsidP="00452793">
      <w:pPr>
        <w:jc w:val="both"/>
        <w:rPr>
          <w:sz w:val="24"/>
          <w:szCs w:val="24"/>
          <w:lang w:val="it-IT"/>
        </w:rPr>
      </w:pPr>
      <w:r>
        <w:rPr>
          <w:sz w:val="24"/>
          <w:szCs w:val="24"/>
        </w:rPr>
        <w:t>Hearing</w:t>
      </w:r>
      <w:r>
        <w:rPr>
          <w:sz w:val="24"/>
          <w:szCs w:val="24"/>
          <w:lang w:val="it-IT"/>
        </w:rPr>
        <w:t>:</w:t>
      </w:r>
      <w:r>
        <w:rPr>
          <w:sz w:val="24"/>
          <w:szCs w:val="24"/>
        </w:rPr>
        <w:t xml:space="preserve"> </w:t>
      </w:r>
      <w:proofErr w:type="gramStart"/>
      <w:r>
        <w:rPr>
          <w:sz w:val="24"/>
          <w:szCs w:val="24"/>
          <w:lang w:val="it-IT"/>
        </w:rPr>
        <w:t>12</w:t>
      </w:r>
      <w:r>
        <w:rPr>
          <w:sz w:val="24"/>
          <w:szCs w:val="24"/>
          <w:vertAlign w:val="superscript"/>
        </w:rPr>
        <w:t>th</w:t>
      </w:r>
      <w:proofErr w:type="gramEnd"/>
      <w:r>
        <w:rPr>
          <w:sz w:val="24"/>
          <w:szCs w:val="24"/>
        </w:rPr>
        <w:t xml:space="preserve"> Sept </w:t>
      </w:r>
      <w:r>
        <w:rPr>
          <w:sz w:val="24"/>
          <w:szCs w:val="24"/>
          <w:lang w:val="it-IT"/>
        </w:rPr>
        <w:t xml:space="preserve">2018 </w:t>
      </w:r>
    </w:p>
    <w:p w:rsidR="00452793" w:rsidRDefault="00452793" w:rsidP="00452793">
      <w:pPr>
        <w:jc w:val="both"/>
        <w:rPr>
          <w:sz w:val="24"/>
          <w:szCs w:val="24"/>
          <w:lang w:val="it-IT"/>
        </w:rPr>
      </w:pPr>
    </w:p>
    <w:p w:rsidR="00452793" w:rsidRDefault="00452793" w:rsidP="00452793">
      <w:pPr>
        <w:jc w:val="both"/>
        <w:rPr>
          <w:sz w:val="24"/>
          <w:szCs w:val="24"/>
          <w:lang w:val="it-IT"/>
        </w:rPr>
      </w:pPr>
    </w:p>
    <w:p w:rsidR="00452793" w:rsidRDefault="00452793" w:rsidP="00452793">
      <w:pPr>
        <w:jc w:val="both"/>
        <w:rPr>
          <w:b/>
          <w:sz w:val="24"/>
          <w:szCs w:val="24"/>
          <w:lang w:val="it-IT"/>
        </w:rPr>
      </w:pPr>
      <w:r>
        <w:rPr>
          <w:b/>
          <w:sz w:val="24"/>
          <w:szCs w:val="24"/>
          <w:lang w:val="it-IT"/>
        </w:rPr>
        <w:t>7. The file no. 5119/260/2014 - the Prahova</w:t>
      </w:r>
      <w:r>
        <w:rPr>
          <w:b/>
          <w:sz w:val="24"/>
          <w:szCs w:val="24"/>
        </w:rPr>
        <w:t xml:space="preserve"> Court</w:t>
      </w:r>
      <w:r>
        <w:rPr>
          <w:b/>
          <w:sz w:val="24"/>
          <w:szCs w:val="24"/>
          <w:lang w:val="it-IT"/>
        </w:rPr>
        <w:t> </w:t>
      </w:r>
    </w:p>
    <w:p w:rsidR="00452793" w:rsidRDefault="00452793" w:rsidP="00452793">
      <w:pPr>
        <w:jc w:val="both"/>
        <w:rPr>
          <w:sz w:val="24"/>
          <w:szCs w:val="24"/>
          <w:lang w:val="it-IT"/>
        </w:rPr>
      </w:pPr>
      <w:r>
        <w:rPr>
          <w:b/>
          <w:sz w:val="24"/>
          <w:szCs w:val="24"/>
          <w:lang w:val="it-IT"/>
        </w:rPr>
        <w:t>The parties:</w:t>
      </w:r>
      <w:r>
        <w:rPr>
          <w:sz w:val="24"/>
          <w:szCs w:val="24"/>
          <w:lang w:val="it-IT"/>
        </w:rPr>
        <w:t xml:space="preserve"> Conpet - </w:t>
      </w:r>
      <w:r>
        <w:rPr>
          <w:sz w:val="24"/>
          <w:szCs w:val="24"/>
        </w:rPr>
        <w:t>defendant</w:t>
      </w:r>
    </w:p>
    <w:p w:rsidR="00452793" w:rsidRDefault="00452793" w:rsidP="00452793">
      <w:pPr>
        <w:jc w:val="both"/>
        <w:rPr>
          <w:sz w:val="24"/>
          <w:szCs w:val="24"/>
          <w:lang w:val="it-IT"/>
        </w:rPr>
      </w:pPr>
      <w:r>
        <w:rPr>
          <w:sz w:val="24"/>
          <w:szCs w:val="24"/>
          <w:lang w:val="it-IT"/>
        </w:rPr>
        <w:t xml:space="preserve">           Biodiesel SRL - the </w:t>
      </w:r>
      <w:r>
        <w:rPr>
          <w:sz w:val="24"/>
          <w:szCs w:val="24"/>
        </w:rPr>
        <w:t>plaintiff</w:t>
      </w:r>
    </w:p>
    <w:p w:rsidR="00452793" w:rsidRDefault="00452793" w:rsidP="00452793">
      <w:pPr>
        <w:jc w:val="both"/>
        <w:rPr>
          <w:sz w:val="24"/>
          <w:szCs w:val="24"/>
          <w:lang w:val="it-IT"/>
        </w:rPr>
      </w:pPr>
      <w:r>
        <w:rPr>
          <w:b/>
          <w:sz w:val="24"/>
          <w:szCs w:val="24"/>
          <w:lang w:val="it-IT"/>
        </w:rPr>
        <w:t>Subject:</w:t>
      </w:r>
      <w:r>
        <w:rPr>
          <w:sz w:val="24"/>
          <w:szCs w:val="24"/>
          <w:lang w:val="it-IT"/>
        </w:rPr>
        <w:t xml:space="preserve"> Biodiesel SRL has </w:t>
      </w:r>
      <w:r>
        <w:rPr>
          <w:sz w:val="24"/>
          <w:szCs w:val="24"/>
        </w:rPr>
        <w:t>filed a</w:t>
      </w:r>
      <w:r>
        <w:rPr>
          <w:sz w:val="24"/>
          <w:szCs w:val="24"/>
          <w:lang w:val="it-IT"/>
        </w:rPr>
        <w:t xml:space="preserve"> trial asking the Court to ascertain the nullity of the lease no ADM 89/27.04.2009</w:t>
      </w:r>
      <w:r>
        <w:rPr>
          <w:sz w:val="24"/>
          <w:szCs w:val="24"/>
        </w:rPr>
        <w:t xml:space="preserve"> and order</w:t>
      </w:r>
      <w:r>
        <w:rPr>
          <w:sz w:val="24"/>
          <w:szCs w:val="24"/>
          <w:lang w:val="it-IT"/>
        </w:rPr>
        <w:t xml:space="preserve"> Conpet to pay the </w:t>
      </w:r>
      <w:r>
        <w:rPr>
          <w:sz w:val="24"/>
          <w:szCs w:val="24"/>
        </w:rPr>
        <w:t xml:space="preserve">trial </w:t>
      </w:r>
      <w:r>
        <w:rPr>
          <w:sz w:val="24"/>
          <w:szCs w:val="24"/>
          <w:lang w:val="it-IT"/>
        </w:rPr>
        <w:t>costs.</w:t>
      </w:r>
    </w:p>
    <w:p w:rsidR="00452793" w:rsidRDefault="00452793" w:rsidP="00452793">
      <w:pPr>
        <w:jc w:val="both"/>
        <w:rPr>
          <w:sz w:val="24"/>
          <w:szCs w:val="24"/>
          <w:lang w:val="it-IT"/>
        </w:rPr>
      </w:pPr>
      <w:r>
        <w:rPr>
          <w:b/>
          <w:sz w:val="24"/>
          <w:szCs w:val="24"/>
        </w:rPr>
        <w:t>Clarifications</w:t>
      </w:r>
      <w:r>
        <w:rPr>
          <w:b/>
          <w:sz w:val="24"/>
          <w:szCs w:val="24"/>
          <w:lang w:val="it-IT"/>
        </w:rPr>
        <w:t>:</w:t>
      </w:r>
      <w:r>
        <w:rPr>
          <w:sz w:val="24"/>
          <w:szCs w:val="24"/>
          <w:lang w:val="it-IT"/>
        </w:rPr>
        <w:t xml:space="preserve"> By the </w:t>
      </w:r>
      <w:r>
        <w:rPr>
          <w:sz w:val="24"/>
          <w:szCs w:val="24"/>
        </w:rPr>
        <w:t>sentence</w:t>
      </w:r>
      <w:r>
        <w:rPr>
          <w:sz w:val="24"/>
          <w:szCs w:val="24"/>
          <w:lang w:val="it-IT"/>
        </w:rPr>
        <w:t xml:space="preserve"> of the Onesti Court of Law No. 1415/17.09.2015 </w:t>
      </w:r>
      <w:r>
        <w:rPr>
          <w:sz w:val="24"/>
          <w:szCs w:val="24"/>
        </w:rPr>
        <w:t xml:space="preserve">it rejects </w:t>
      </w:r>
      <w:r>
        <w:rPr>
          <w:sz w:val="24"/>
          <w:szCs w:val="24"/>
          <w:lang w:val="it-IT"/>
        </w:rPr>
        <w:t>solv</w:t>
      </w:r>
      <w:r>
        <w:rPr>
          <w:sz w:val="24"/>
          <w:szCs w:val="24"/>
        </w:rPr>
        <w:t>ing</w:t>
      </w:r>
      <w:r>
        <w:rPr>
          <w:sz w:val="24"/>
          <w:szCs w:val="24"/>
          <w:lang w:val="it-IT"/>
        </w:rPr>
        <w:t xml:space="preserve"> the case in favor of the</w:t>
      </w:r>
      <w:r>
        <w:rPr>
          <w:sz w:val="24"/>
          <w:szCs w:val="24"/>
        </w:rPr>
        <w:t xml:space="preserve"> </w:t>
      </w:r>
      <w:r>
        <w:rPr>
          <w:sz w:val="24"/>
          <w:szCs w:val="24"/>
          <w:lang w:val="it-IT"/>
        </w:rPr>
        <w:t>Ploiesti Court.</w:t>
      </w:r>
    </w:p>
    <w:p w:rsidR="00452793" w:rsidRDefault="00452793" w:rsidP="00452793">
      <w:pPr>
        <w:jc w:val="both"/>
        <w:rPr>
          <w:sz w:val="24"/>
          <w:szCs w:val="24"/>
          <w:lang w:val="it-IT"/>
        </w:rPr>
      </w:pPr>
      <w:r>
        <w:rPr>
          <w:sz w:val="24"/>
          <w:szCs w:val="24"/>
          <w:lang w:val="it-IT"/>
        </w:rPr>
        <w:t xml:space="preserve">Through the </w:t>
      </w:r>
      <w:r>
        <w:rPr>
          <w:sz w:val="24"/>
          <w:szCs w:val="24"/>
        </w:rPr>
        <w:t>order</w:t>
      </w:r>
      <w:r>
        <w:rPr>
          <w:sz w:val="24"/>
          <w:szCs w:val="24"/>
          <w:lang w:val="it-IT"/>
        </w:rPr>
        <w:t xml:space="preserve"> no. 9266/16.11.2016 </w:t>
      </w:r>
      <w:r>
        <w:rPr>
          <w:sz w:val="24"/>
          <w:szCs w:val="24"/>
        </w:rPr>
        <w:t xml:space="preserve">the </w:t>
      </w:r>
      <w:r>
        <w:rPr>
          <w:sz w:val="24"/>
          <w:szCs w:val="24"/>
          <w:lang w:val="it-IT"/>
        </w:rPr>
        <w:t xml:space="preserve">Ploiesti </w:t>
      </w:r>
      <w:r>
        <w:rPr>
          <w:sz w:val="24"/>
          <w:szCs w:val="24"/>
        </w:rPr>
        <w:t>C</w:t>
      </w:r>
      <w:r>
        <w:rPr>
          <w:sz w:val="24"/>
          <w:szCs w:val="24"/>
          <w:lang w:val="it-IT"/>
        </w:rPr>
        <w:t xml:space="preserve">ivil Court rejected </w:t>
      </w:r>
      <w:r>
        <w:rPr>
          <w:sz w:val="24"/>
          <w:szCs w:val="24"/>
        </w:rPr>
        <w:t xml:space="preserve">the exception statute of limitations </w:t>
      </w:r>
      <w:r>
        <w:rPr>
          <w:sz w:val="24"/>
          <w:szCs w:val="24"/>
          <w:lang w:val="it-IT"/>
        </w:rPr>
        <w:t xml:space="preserve">invoked by the defendant as </w:t>
      </w:r>
      <w:r>
        <w:rPr>
          <w:sz w:val="24"/>
          <w:szCs w:val="24"/>
        </w:rPr>
        <w:t>unfounded</w:t>
      </w:r>
      <w:r>
        <w:rPr>
          <w:sz w:val="24"/>
          <w:szCs w:val="24"/>
          <w:lang w:val="it-IT"/>
        </w:rPr>
        <w:t xml:space="preserve">. </w:t>
      </w:r>
      <w:r>
        <w:rPr>
          <w:sz w:val="24"/>
          <w:szCs w:val="24"/>
        </w:rPr>
        <w:t>It</w:t>
      </w:r>
      <w:r>
        <w:rPr>
          <w:sz w:val="24"/>
          <w:szCs w:val="24"/>
          <w:lang w:val="it-IT"/>
        </w:rPr>
        <w:t xml:space="preserve"> reject</w:t>
      </w:r>
      <w:r>
        <w:rPr>
          <w:sz w:val="24"/>
          <w:szCs w:val="24"/>
        </w:rPr>
        <w:t>s</w:t>
      </w:r>
      <w:r>
        <w:rPr>
          <w:sz w:val="24"/>
          <w:szCs w:val="24"/>
          <w:lang w:val="it-IT"/>
        </w:rPr>
        <w:t xml:space="preserve"> the application for summoning the </w:t>
      </w:r>
      <w:r>
        <w:rPr>
          <w:sz w:val="24"/>
          <w:szCs w:val="24"/>
        </w:rPr>
        <w:t>sentence</w:t>
      </w:r>
      <w:r>
        <w:rPr>
          <w:sz w:val="24"/>
          <w:szCs w:val="24"/>
          <w:lang w:val="it-IT"/>
        </w:rPr>
        <w:t xml:space="preserve"> as </w:t>
      </w:r>
      <w:r>
        <w:rPr>
          <w:sz w:val="24"/>
          <w:szCs w:val="24"/>
        </w:rPr>
        <w:t>unfounded</w:t>
      </w:r>
      <w:r>
        <w:rPr>
          <w:sz w:val="24"/>
          <w:szCs w:val="24"/>
          <w:lang w:val="it-IT"/>
        </w:rPr>
        <w:t xml:space="preserve">. </w:t>
      </w:r>
      <w:r>
        <w:rPr>
          <w:sz w:val="24"/>
          <w:szCs w:val="24"/>
        </w:rPr>
        <w:t xml:space="preserve">It takes </w:t>
      </w:r>
      <w:r>
        <w:rPr>
          <w:sz w:val="24"/>
          <w:szCs w:val="24"/>
          <w:lang w:val="it-IT"/>
        </w:rPr>
        <w:t xml:space="preserve">note that it does not require the court expenses. The </w:t>
      </w:r>
      <w:r>
        <w:rPr>
          <w:sz w:val="24"/>
          <w:szCs w:val="24"/>
        </w:rPr>
        <w:t xml:space="preserve">sentence was appealed by </w:t>
      </w:r>
      <w:r>
        <w:rPr>
          <w:sz w:val="24"/>
          <w:szCs w:val="24"/>
          <w:lang w:val="it-IT"/>
        </w:rPr>
        <w:t xml:space="preserve"> Biodiesel SRL. </w:t>
      </w:r>
    </w:p>
    <w:p w:rsidR="00452793" w:rsidRDefault="00452793" w:rsidP="00452793">
      <w:pPr>
        <w:jc w:val="both"/>
        <w:rPr>
          <w:sz w:val="24"/>
          <w:szCs w:val="24"/>
          <w:lang w:val="it-IT"/>
        </w:rPr>
      </w:pPr>
      <w:r>
        <w:rPr>
          <w:sz w:val="24"/>
          <w:szCs w:val="24"/>
          <w:lang w:val="it-IT"/>
        </w:rPr>
        <w:t> Stage</w:t>
      </w:r>
      <w:r>
        <w:rPr>
          <w:sz w:val="24"/>
          <w:szCs w:val="24"/>
        </w:rPr>
        <w:t xml:space="preserve"> of trial</w:t>
      </w:r>
      <w:r>
        <w:rPr>
          <w:sz w:val="24"/>
          <w:szCs w:val="24"/>
          <w:lang w:val="it-IT"/>
        </w:rPr>
        <w:t>:</w:t>
      </w:r>
      <w:r>
        <w:rPr>
          <w:sz w:val="24"/>
          <w:szCs w:val="24"/>
        </w:rPr>
        <w:t xml:space="preserve"> Appeal</w:t>
      </w:r>
    </w:p>
    <w:p w:rsidR="00452793" w:rsidRDefault="00452793" w:rsidP="00452793">
      <w:pPr>
        <w:jc w:val="both"/>
        <w:rPr>
          <w:sz w:val="24"/>
          <w:szCs w:val="24"/>
          <w:lang w:val="it-IT"/>
        </w:rPr>
      </w:pPr>
      <w:r>
        <w:rPr>
          <w:sz w:val="24"/>
          <w:szCs w:val="24"/>
        </w:rPr>
        <w:t>Hearing</w:t>
      </w:r>
      <w:r>
        <w:rPr>
          <w:sz w:val="24"/>
          <w:szCs w:val="24"/>
          <w:lang w:val="it-IT"/>
        </w:rPr>
        <w:t>:</w:t>
      </w:r>
      <w:r>
        <w:rPr>
          <w:sz w:val="24"/>
          <w:szCs w:val="24"/>
        </w:rPr>
        <w:t xml:space="preserve"> </w:t>
      </w:r>
      <w:r>
        <w:rPr>
          <w:sz w:val="24"/>
          <w:szCs w:val="24"/>
          <w:lang w:val="it-IT"/>
        </w:rPr>
        <w:t> </w:t>
      </w:r>
      <w:proofErr w:type="gramStart"/>
      <w:r>
        <w:rPr>
          <w:sz w:val="24"/>
          <w:szCs w:val="24"/>
          <w:lang w:val="it-IT"/>
        </w:rPr>
        <w:t>20</w:t>
      </w:r>
      <w:r>
        <w:rPr>
          <w:sz w:val="24"/>
          <w:szCs w:val="24"/>
          <w:vertAlign w:val="superscript"/>
        </w:rPr>
        <w:t>th</w:t>
      </w:r>
      <w:proofErr w:type="gramEnd"/>
      <w:r>
        <w:rPr>
          <w:sz w:val="24"/>
          <w:szCs w:val="24"/>
        </w:rPr>
        <w:t xml:space="preserve"> Sept </w:t>
      </w:r>
      <w:r>
        <w:rPr>
          <w:sz w:val="24"/>
          <w:szCs w:val="24"/>
          <w:lang w:val="it-IT"/>
        </w:rPr>
        <w:t xml:space="preserve">2018 </w:t>
      </w:r>
    </w:p>
    <w:p w:rsidR="00452793" w:rsidRDefault="00452793" w:rsidP="00452793">
      <w:pPr>
        <w:jc w:val="both"/>
        <w:rPr>
          <w:sz w:val="24"/>
          <w:szCs w:val="24"/>
          <w:lang w:val="it-IT"/>
        </w:rPr>
      </w:pPr>
    </w:p>
    <w:p w:rsidR="00452793" w:rsidRDefault="00452793" w:rsidP="00452793">
      <w:pPr>
        <w:jc w:val="both"/>
        <w:rPr>
          <w:bCs/>
          <w:sz w:val="24"/>
          <w:szCs w:val="24"/>
          <w:lang w:val="pt-BR"/>
        </w:rPr>
      </w:pPr>
    </w:p>
    <w:p w:rsidR="00452793" w:rsidRDefault="00452793" w:rsidP="00452793">
      <w:pPr>
        <w:jc w:val="both"/>
        <w:rPr>
          <w:b/>
          <w:sz w:val="24"/>
          <w:szCs w:val="24"/>
        </w:rPr>
      </w:pPr>
      <w:r>
        <w:rPr>
          <w:b/>
          <w:sz w:val="24"/>
          <w:szCs w:val="24"/>
          <w:lang w:val="it-IT"/>
        </w:rPr>
        <w:t>8. </w:t>
      </w:r>
      <w:r>
        <w:rPr>
          <w:b/>
          <w:sz w:val="24"/>
          <w:szCs w:val="24"/>
        </w:rPr>
        <w:t>The file No 14960/280/2015 - Pitesti court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Cirstea Stelian - the plaintiff </w:t>
      </w:r>
    </w:p>
    <w:p w:rsidR="00452793" w:rsidRDefault="00452793" w:rsidP="00452793">
      <w:pPr>
        <w:jc w:val="both"/>
        <w:rPr>
          <w:sz w:val="24"/>
          <w:szCs w:val="24"/>
        </w:rPr>
      </w:pPr>
      <w:r>
        <w:rPr>
          <w:sz w:val="24"/>
          <w:szCs w:val="24"/>
        </w:rPr>
        <w:t>          Gherghina Cirstea - the plaintiff</w:t>
      </w:r>
    </w:p>
    <w:p w:rsidR="00452793" w:rsidRDefault="00452793" w:rsidP="00452793">
      <w:pPr>
        <w:jc w:val="both"/>
        <w:rPr>
          <w:sz w:val="24"/>
          <w:szCs w:val="24"/>
        </w:rPr>
      </w:pPr>
      <w:r>
        <w:rPr>
          <w:b/>
          <w:sz w:val="24"/>
          <w:szCs w:val="24"/>
        </w:rPr>
        <w:t>Subject:</w:t>
      </w:r>
      <w:r>
        <w:rPr>
          <w:sz w:val="24"/>
          <w:szCs w:val="24"/>
        </w:rPr>
        <w:t xml:space="preserve"> Obligation to action + Claims. The plaintiffs appealed the sentence of the court and request an order for Conpet SA </w:t>
      </w:r>
      <w:proofErr w:type="gramStart"/>
      <w:r>
        <w:rPr>
          <w:sz w:val="24"/>
          <w:szCs w:val="24"/>
        </w:rPr>
        <w:t>to :</w:t>
      </w:r>
      <w:proofErr w:type="gramEnd"/>
      <w:r>
        <w:rPr>
          <w:sz w:val="24"/>
          <w:szCs w:val="24"/>
        </w:rPr>
        <w:t> </w:t>
      </w:r>
    </w:p>
    <w:p w:rsidR="00452793" w:rsidRDefault="00452793" w:rsidP="00452793">
      <w:pPr>
        <w:jc w:val="both"/>
        <w:rPr>
          <w:sz w:val="24"/>
          <w:szCs w:val="24"/>
        </w:rPr>
      </w:pPr>
      <w:r>
        <w:rPr>
          <w:sz w:val="24"/>
          <w:szCs w:val="24"/>
        </w:rPr>
        <w:t>1. The payment for lack of use at the date of acquisition of the ownership of the land - 6</w:t>
      </w:r>
      <w:r>
        <w:rPr>
          <w:sz w:val="24"/>
          <w:szCs w:val="24"/>
          <w:vertAlign w:val="superscript"/>
        </w:rPr>
        <w:t>th</w:t>
      </w:r>
      <w:r>
        <w:rPr>
          <w:sz w:val="24"/>
          <w:szCs w:val="24"/>
        </w:rPr>
        <w:t xml:space="preserve"> Oct. 2014, the lack of use which it shall provisionally rise to the sum of RON 1000.</w:t>
      </w:r>
    </w:p>
    <w:p w:rsidR="00452793" w:rsidRDefault="00452793" w:rsidP="00452793">
      <w:pPr>
        <w:jc w:val="both"/>
        <w:rPr>
          <w:sz w:val="24"/>
          <w:szCs w:val="24"/>
        </w:rPr>
      </w:pPr>
      <w:proofErr w:type="gramStart"/>
      <w:r>
        <w:rPr>
          <w:sz w:val="24"/>
          <w:szCs w:val="24"/>
        </w:rPr>
        <w:t>2. Lifting the pipes and installations, which are on the land owned by the plaintiffs, and in as far as this is not possible, the obligation of Conpet at a monthly payment of an amount equivalent to the consideration of rentals for land affected by the pipes and installations on him - at the level of the rents charged on the free market.</w:t>
      </w:r>
      <w:proofErr w:type="gramEnd"/>
    </w:p>
    <w:p w:rsidR="00452793" w:rsidRDefault="00452793" w:rsidP="00452793">
      <w:pPr>
        <w:jc w:val="both"/>
        <w:rPr>
          <w:sz w:val="24"/>
          <w:szCs w:val="24"/>
        </w:rPr>
      </w:pPr>
      <w:r>
        <w:rPr>
          <w:sz w:val="24"/>
          <w:szCs w:val="24"/>
        </w:rPr>
        <w:lastRenderedPageBreak/>
        <w:t>3. The payment of trial costs.</w:t>
      </w:r>
    </w:p>
    <w:p w:rsidR="00452793" w:rsidRDefault="00452793" w:rsidP="00452793">
      <w:pPr>
        <w:jc w:val="both"/>
        <w:rPr>
          <w:sz w:val="24"/>
          <w:szCs w:val="24"/>
        </w:rPr>
      </w:pPr>
      <w:r>
        <w:rPr>
          <w:sz w:val="24"/>
          <w:szCs w:val="24"/>
        </w:rPr>
        <w:t> Stage of trial</w:t>
      </w:r>
      <w:proofErr w:type="gramStart"/>
      <w:r>
        <w:rPr>
          <w:sz w:val="24"/>
          <w:szCs w:val="24"/>
        </w:rPr>
        <w:t>:First</w:t>
      </w:r>
      <w:proofErr w:type="gramEnd"/>
      <w:r>
        <w:rPr>
          <w:sz w:val="24"/>
          <w:szCs w:val="24"/>
        </w:rPr>
        <w:t xml:space="preserve"> instance</w:t>
      </w:r>
    </w:p>
    <w:p w:rsidR="00452793" w:rsidRDefault="00452793" w:rsidP="00452793">
      <w:pPr>
        <w:jc w:val="both"/>
        <w:rPr>
          <w:sz w:val="24"/>
          <w:szCs w:val="24"/>
        </w:rPr>
      </w:pPr>
      <w:r>
        <w:rPr>
          <w:sz w:val="24"/>
          <w:szCs w:val="24"/>
        </w:rPr>
        <w:t xml:space="preserve"> Hearing: </w:t>
      </w:r>
      <w:proofErr w:type="gramStart"/>
      <w:r>
        <w:rPr>
          <w:sz w:val="24"/>
          <w:szCs w:val="24"/>
        </w:rPr>
        <w:t>11</w:t>
      </w:r>
      <w:r>
        <w:rPr>
          <w:sz w:val="24"/>
          <w:szCs w:val="24"/>
          <w:vertAlign w:val="superscript"/>
        </w:rPr>
        <w:t>th</w:t>
      </w:r>
      <w:proofErr w:type="gramEnd"/>
      <w:r>
        <w:rPr>
          <w:sz w:val="24"/>
          <w:szCs w:val="24"/>
        </w:rPr>
        <w:t xml:space="preserve"> Sept 2018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lang w:val="it-IT"/>
        </w:rPr>
      </w:pPr>
      <w:r>
        <w:rPr>
          <w:b/>
          <w:sz w:val="24"/>
          <w:szCs w:val="24"/>
        </w:rPr>
        <w:t>9. </w:t>
      </w:r>
      <w:r>
        <w:rPr>
          <w:b/>
          <w:sz w:val="24"/>
          <w:szCs w:val="24"/>
          <w:lang w:val="it-IT"/>
        </w:rPr>
        <w:t xml:space="preserve">The </w:t>
      </w:r>
      <w:r>
        <w:rPr>
          <w:b/>
          <w:sz w:val="24"/>
          <w:szCs w:val="24"/>
        </w:rPr>
        <w:t>file</w:t>
      </w:r>
      <w:r>
        <w:rPr>
          <w:b/>
          <w:sz w:val="24"/>
          <w:szCs w:val="24"/>
          <w:lang w:val="it-IT"/>
        </w:rPr>
        <w:t xml:space="preserve"> No 21382/281/2015 - Ploiesti</w:t>
      </w:r>
      <w:r>
        <w:rPr>
          <w:b/>
          <w:sz w:val="24"/>
          <w:szCs w:val="24"/>
        </w:rPr>
        <w:t xml:space="preserve"> </w:t>
      </w:r>
      <w:r>
        <w:rPr>
          <w:b/>
          <w:sz w:val="24"/>
          <w:szCs w:val="24"/>
          <w:lang w:val="it-IT"/>
        </w:rPr>
        <w:t>Court  </w:t>
      </w:r>
    </w:p>
    <w:p w:rsidR="00452793" w:rsidRDefault="00452793" w:rsidP="00452793">
      <w:pPr>
        <w:jc w:val="both"/>
        <w:rPr>
          <w:sz w:val="24"/>
          <w:szCs w:val="24"/>
          <w:lang w:val="it-IT"/>
        </w:rPr>
      </w:pPr>
      <w:r>
        <w:rPr>
          <w:b/>
          <w:sz w:val="24"/>
          <w:szCs w:val="24"/>
          <w:lang w:val="it-IT"/>
        </w:rPr>
        <w:t>The parties: </w:t>
      </w:r>
      <w:r>
        <w:rPr>
          <w:sz w:val="24"/>
          <w:szCs w:val="24"/>
          <w:lang w:val="it-IT"/>
        </w:rPr>
        <w:t xml:space="preserve">Conpet - </w:t>
      </w:r>
      <w:r>
        <w:rPr>
          <w:sz w:val="24"/>
          <w:szCs w:val="24"/>
        </w:rPr>
        <w:t>defendant</w:t>
      </w:r>
    </w:p>
    <w:p w:rsidR="00452793" w:rsidRDefault="00452793" w:rsidP="00452793">
      <w:pPr>
        <w:jc w:val="both"/>
        <w:rPr>
          <w:sz w:val="24"/>
          <w:szCs w:val="24"/>
          <w:lang w:val="it-IT"/>
        </w:rPr>
      </w:pPr>
      <w:r>
        <w:rPr>
          <w:sz w:val="24"/>
          <w:szCs w:val="24"/>
          <w:lang w:val="it-IT"/>
        </w:rPr>
        <w:t xml:space="preserve">           Iordache Margareta - the </w:t>
      </w:r>
      <w:r>
        <w:rPr>
          <w:sz w:val="24"/>
          <w:szCs w:val="24"/>
        </w:rPr>
        <w:t>plaintiff</w:t>
      </w:r>
    </w:p>
    <w:p w:rsidR="00452793" w:rsidRDefault="00452793" w:rsidP="00452793">
      <w:pPr>
        <w:jc w:val="both"/>
        <w:rPr>
          <w:sz w:val="24"/>
          <w:szCs w:val="24"/>
          <w:lang w:val="ro-RO"/>
        </w:rPr>
      </w:pPr>
      <w:r>
        <w:rPr>
          <w:b/>
          <w:sz w:val="24"/>
          <w:szCs w:val="24"/>
          <w:lang w:val="it-IT"/>
        </w:rPr>
        <w:t>Subject:</w:t>
      </w:r>
      <w:r>
        <w:rPr>
          <w:sz w:val="24"/>
          <w:szCs w:val="24"/>
          <w:lang w:val="ro-RO"/>
        </w:rPr>
        <w:t> Iordache Margareta f</w:t>
      </w:r>
      <w:r>
        <w:rPr>
          <w:sz w:val="24"/>
          <w:szCs w:val="24"/>
        </w:rPr>
        <w:t>iles a trial</w:t>
      </w:r>
      <w:r>
        <w:rPr>
          <w:sz w:val="24"/>
          <w:szCs w:val="24"/>
          <w:lang w:val="ro-RO"/>
        </w:rPr>
        <w:t xml:space="preserve"> requiring the obligation of the defendant Conpet on payment of the sum to be paid </w:t>
      </w:r>
      <w:r>
        <w:rPr>
          <w:sz w:val="24"/>
          <w:szCs w:val="24"/>
        </w:rPr>
        <w:t xml:space="preserve">for </w:t>
      </w:r>
      <w:r>
        <w:rPr>
          <w:sz w:val="24"/>
          <w:szCs w:val="24"/>
          <w:lang w:val="ro-RO"/>
        </w:rPr>
        <w:t xml:space="preserve">the lack of use of the building land owned by the </w:t>
      </w:r>
      <w:r>
        <w:rPr>
          <w:sz w:val="24"/>
          <w:szCs w:val="24"/>
        </w:rPr>
        <w:t>plaintiff</w:t>
      </w:r>
      <w:r>
        <w:rPr>
          <w:sz w:val="24"/>
          <w:szCs w:val="24"/>
          <w:lang w:val="ro-RO"/>
        </w:rPr>
        <w:t xml:space="preserve">, located in the </w:t>
      </w:r>
      <w:r>
        <w:rPr>
          <w:sz w:val="24"/>
          <w:szCs w:val="24"/>
        </w:rPr>
        <w:t>commune</w:t>
      </w:r>
      <w:r>
        <w:rPr>
          <w:sz w:val="24"/>
          <w:szCs w:val="24"/>
          <w:lang w:val="ro-RO"/>
        </w:rPr>
        <w:t xml:space="preserve"> Blejoi</w:t>
      </w:r>
      <w:r>
        <w:rPr>
          <w:sz w:val="24"/>
          <w:szCs w:val="24"/>
        </w:rPr>
        <w:t>,</w:t>
      </w:r>
      <w:r>
        <w:rPr>
          <w:sz w:val="24"/>
          <w:szCs w:val="24"/>
          <w:lang w:val="ro-RO"/>
        </w:rPr>
        <w:t xml:space="preserve"> Ploiestiori village,  </w:t>
      </w:r>
      <w:r>
        <w:rPr>
          <w:sz w:val="24"/>
          <w:szCs w:val="24"/>
        </w:rPr>
        <w:t xml:space="preserve">strip ground </w:t>
      </w:r>
      <w:r>
        <w:rPr>
          <w:sz w:val="24"/>
          <w:szCs w:val="24"/>
          <w:lang w:val="ro-RO"/>
        </w:rPr>
        <w:t>187/15</w:t>
      </w:r>
      <w:r>
        <w:rPr>
          <w:sz w:val="24"/>
          <w:szCs w:val="24"/>
        </w:rPr>
        <w:t xml:space="preserve">, </w:t>
      </w:r>
      <w:r>
        <w:rPr>
          <w:sz w:val="24"/>
          <w:szCs w:val="24"/>
          <w:lang w:val="ro-RO"/>
        </w:rPr>
        <w:t>the plot</w:t>
      </w:r>
      <w:r>
        <w:rPr>
          <w:sz w:val="24"/>
          <w:szCs w:val="24"/>
        </w:rPr>
        <w:t xml:space="preserve"> </w:t>
      </w:r>
      <w:r>
        <w:rPr>
          <w:sz w:val="24"/>
          <w:szCs w:val="24"/>
          <w:lang w:val="ro-RO"/>
        </w:rPr>
        <w:t>24, for the last three years prior to the introduction of the action.</w:t>
      </w:r>
    </w:p>
    <w:p w:rsidR="00452793" w:rsidRDefault="00452793" w:rsidP="00452793">
      <w:pPr>
        <w:jc w:val="both"/>
        <w:rPr>
          <w:sz w:val="24"/>
          <w:szCs w:val="24"/>
        </w:rPr>
      </w:pPr>
      <w:r>
        <w:rPr>
          <w:b/>
          <w:sz w:val="24"/>
          <w:szCs w:val="24"/>
          <w:lang w:val="ro-RO"/>
        </w:rPr>
        <w:t>Details:</w:t>
      </w:r>
      <w:r>
        <w:rPr>
          <w:sz w:val="24"/>
          <w:szCs w:val="24"/>
          <w:lang w:val="ro-RO"/>
        </w:rPr>
        <w:t> By the </w:t>
      </w:r>
      <w:r>
        <w:rPr>
          <w:b/>
          <w:sz w:val="24"/>
          <w:szCs w:val="24"/>
        </w:rPr>
        <w:t>conclusion on</w:t>
      </w:r>
      <w:r>
        <w:rPr>
          <w:b/>
          <w:sz w:val="24"/>
          <w:szCs w:val="24"/>
          <w:lang w:val="ro-RO"/>
        </w:rPr>
        <w:t xml:space="preserve"> 02</w:t>
      </w:r>
      <w:r>
        <w:rPr>
          <w:b/>
          <w:sz w:val="24"/>
          <w:szCs w:val="24"/>
          <w:vertAlign w:val="superscript"/>
        </w:rPr>
        <w:t>nd</w:t>
      </w:r>
      <w:r>
        <w:rPr>
          <w:b/>
          <w:sz w:val="24"/>
          <w:szCs w:val="24"/>
        </w:rPr>
        <w:t xml:space="preserve"> May </w:t>
      </w:r>
      <w:r>
        <w:rPr>
          <w:b/>
          <w:sz w:val="24"/>
          <w:szCs w:val="24"/>
          <w:lang w:val="ro-RO"/>
        </w:rPr>
        <w:t>2017</w:t>
      </w:r>
      <w:r>
        <w:rPr>
          <w:sz w:val="24"/>
          <w:szCs w:val="24"/>
          <w:lang w:val="ro-RO"/>
        </w:rPr>
        <w:t xml:space="preserve"> Ploiesti Court shall suspend the </w:t>
      </w:r>
      <w:r>
        <w:rPr>
          <w:sz w:val="24"/>
          <w:szCs w:val="24"/>
        </w:rPr>
        <w:t>sentence</w:t>
      </w:r>
      <w:r>
        <w:rPr>
          <w:sz w:val="24"/>
          <w:szCs w:val="24"/>
          <w:lang w:val="ro-RO"/>
        </w:rPr>
        <w:t xml:space="preserve"> of the case pursuant to Article 242(1) Civil</w:t>
      </w:r>
      <w:r>
        <w:rPr>
          <w:sz w:val="24"/>
          <w:szCs w:val="24"/>
        </w:rPr>
        <w:t xml:space="preserve"> Procedure</w:t>
      </w:r>
      <w:r>
        <w:rPr>
          <w:sz w:val="24"/>
          <w:szCs w:val="24"/>
          <w:lang w:val="ro-RO"/>
        </w:rPr>
        <w:t xml:space="preserve"> Code. The conclusion can be appeal</w:t>
      </w:r>
      <w:r>
        <w:rPr>
          <w:sz w:val="24"/>
          <w:szCs w:val="24"/>
        </w:rPr>
        <w:t>ed</w:t>
      </w:r>
      <w:r>
        <w:rPr>
          <w:sz w:val="24"/>
          <w:szCs w:val="24"/>
          <w:lang w:val="ro-RO"/>
        </w:rPr>
        <w:t xml:space="preserve"> as long as the course lasts for the suspension of the trial process. </w:t>
      </w:r>
    </w:p>
    <w:p w:rsidR="00452793" w:rsidRDefault="00452793" w:rsidP="00452793">
      <w:pPr>
        <w:jc w:val="both"/>
        <w:rPr>
          <w:sz w:val="24"/>
          <w:szCs w:val="24"/>
        </w:rPr>
      </w:pPr>
      <w:r>
        <w:rPr>
          <w:sz w:val="24"/>
          <w:szCs w:val="24"/>
        </w:rPr>
        <w:t> Stage of trial: First instance</w:t>
      </w:r>
    </w:p>
    <w:p w:rsidR="00452793" w:rsidRDefault="00452793" w:rsidP="00452793">
      <w:pPr>
        <w:jc w:val="both"/>
        <w:rPr>
          <w:sz w:val="24"/>
          <w:szCs w:val="24"/>
        </w:rPr>
      </w:pPr>
      <w:r>
        <w:rPr>
          <w:b/>
          <w:sz w:val="24"/>
          <w:szCs w:val="24"/>
        </w:rPr>
        <w:t> </w:t>
      </w:r>
      <w:r>
        <w:rPr>
          <w:sz w:val="24"/>
          <w:szCs w:val="24"/>
        </w:rPr>
        <w:t xml:space="preserve">Hearing: </w:t>
      </w:r>
      <w:proofErr w:type="gramStart"/>
      <w:r>
        <w:rPr>
          <w:sz w:val="24"/>
          <w:szCs w:val="24"/>
        </w:rPr>
        <w:t>02</w:t>
      </w:r>
      <w:r>
        <w:rPr>
          <w:sz w:val="24"/>
          <w:szCs w:val="24"/>
          <w:vertAlign w:val="superscript"/>
        </w:rPr>
        <w:t>nd</w:t>
      </w:r>
      <w:proofErr w:type="gramEnd"/>
      <w:r>
        <w:rPr>
          <w:sz w:val="24"/>
          <w:szCs w:val="24"/>
        </w:rPr>
        <w:t xml:space="preserve"> Oct 2018 </w:t>
      </w:r>
    </w:p>
    <w:p w:rsidR="00452793" w:rsidRDefault="00452793" w:rsidP="00452793">
      <w:pPr>
        <w:jc w:val="both"/>
        <w:rPr>
          <w:sz w:val="24"/>
          <w:szCs w:val="24"/>
        </w:rPr>
      </w:pPr>
    </w:p>
    <w:p w:rsidR="00452793" w:rsidRDefault="00452793" w:rsidP="00452793">
      <w:pPr>
        <w:jc w:val="both"/>
        <w:rPr>
          <w:b/>
          <w:sz w:val="24"/>
          <w:szCs w:val="24"/>
        </w:rPr>
      </w:pPr>
      <w:r>
        <w:rPr>
          <w:b/>
          <w:sz w:val="24"/>
          <w:szCs w:val="24"/>
        </w:rPr>
        <w:t>10. The file no. 3451/108/2016* - the High Court of Cassation and Justice. </w:t>
      </w:r>
    </w:p>
    <w:p w:rsidR="00452793" w:rsidRDefault="00452793" w:rsidP="00452793">
      <w:pPr>
        <w:jc w:val="both"/>
        <w:rPr>
          <w:sz w:val="24"/>
          <w:szCs w:val="24"/>
        </w:rPr>
      </w:pPr>
      <w:r>
        <w:rPr>
          <w:b/>
          <w:sz w:val="24"/>
          <w:szCs w:val="24"/>
        </w:rPr>
        <w:t>The parties: </w:t>
      </w:r>
      <w:r>
        <w:rPr>
          <w:sz w:val="24"/>
          <w:szCs w:val="24"/>
        </w:rPr>
        <w:t>Conpet - defendant</w:t>
      </w:r>
    </w:p>
    <w:p w:rsidR="00452793" w:rsidRDefault="00452793" w:rsidP="00452793">
      <w:pPr>
        <w:jc w:val="both"/>
        <w:rPr>
          <w:b/>
          <w:sz w:val="24"/>
          <w:szCs w:val="24"/>
        </w:rPr>
      </w:pPr>
      <w:r>
        <w:rPr>
          <w:sz w:val="24"/>
          <w:szCs w:val="24"/>
        </w:rPr>
        <w:t xml:space="preserve">           - UAT Pecica City - claimant </w:t>
      </w:r>
    </w:p>
    <w:p w:rsidR="00452793" w:rsidRDefault="00452793" w:rsidP="00452793">
      <w:pPr>
        <w:jc w:val="both"/>
        <w:rPr>
          <w:sz w:val="24"/>
          <w:szCs w:val="24"/>
        </w:rPr>
      </w:pPr>
      <w:r>
        <w:rPr>
          <w:b/>
          <w:sz w:val="24"/>
          <w:szCs w:val="24"/>
        </w:rPr>
        <w:t>Subject: </w:t>
      </w:r>
      <w:r>
        <w:rPr>
          <w:sz w:val="24"/>
          <w:szCs w:val="24"/>
        </w:rPr>
        <w:t>UAT the city Pecica filed a trial and requested:</w:t>
      </w:r>
    </w:p>
    <w:p w:rsidR="00452793" w:rsidRDefault="00452793" w:rsidP="00452793">
      <w:pPr>
        <w:jc w:val="both"/>
        <w:rPr>
          <w:sz w:val="24"/>
          <w:szCs w:val="24"/>
        </w:rPr>
      </w:pPr>
      <w:r>
        <w:rPr>
          <w:sz w:val="24"/>
          <w:szCs w:val="24"/>
        </w:rPr>
        <w:t>In particular: </w:t>
      </w:r>
    </w:p>
    <w:p w:rsidR="00452793" w:rsidRDefault="00452793" w:rsidP="00452793">
      <w:pPr>
        <w:jc w:val="both"/>
        <w:rPr>
          <w:sz w:val="24"/>
          <w:szCs w:val="24"/>
        </w:rPr>
      </w:pPr>
      <w:r>
        <w:rPr>
          <w:sz w:val="24"/>
          <w:szCs w:val="24"/>
        </w:rPr>
        <w:t>- The obligation of the defendant Conpet S.A. to deviate the crude oil which passes through a number of 22 parcels of infield land, intended for the construction of houses, owned by us, in the total area of 20.287 m.p.</w:t>
      </w:r>
    </w:p>
    <w:p w:rsidR="00452793" w:rsidRDefault="00452793" w:rsidP="00452793">
      <w:pPr>
        <w:jc w:val="both"/>
        <w:rPr>
          <w:sz w:val="24"/>
          <w:szCs w:val="24"/>
        </w:rPr>
      </w:pPr>
      <w:r>
        <w:rPr>
          <w:sz w:val="24"/>
          <w:szCs w:val="24"/>
        </w:rPr>
        <w:t xml:space="preserve">- The obligation of the defendant Conpet S.A. to pay the sum of 65,000 euros representing the consideration of the house located in the plot no141.7760/5/174, to </w:t>
      </w:r>
      <w:proofErr w:type="gramStart"/>
      <w:r>
        <w:rPr>
          <w:sz w:val="24"/>
          <w:szCs w:val="24"/>
        </w:rPr>
        <w:t>be entered</w:t>
      </w:r>
      <w:proofErr w:type="gramEnd"/>
      <w:r>
        <w:rPr>
          <w:sz w:val="24"/>
          <w:szCs w:val="24"/>
        </w:rPr>
        <w:t xml:space="preserve"> in the C.F. no. 306869 because it can no longer be recovered by the subscribed.</w:t>
      </w:r>
    </w:p>
    <w:p w:rsidR="00452793" w:rsidRDefault="00452793" w:rsidP="00452793">
      <w:pPr>
        <w:jc w:val="both"/>
        <w:rPr>
          <w:sz w:val="24"/>
          <w:szCs w:val="24"/>
        </w:rPr>
      </w:pPr>
      <w:r>
        <w:rPr>
          <w:sz w:val="24"/>
          <w:szCs w:val="24"/>
        </w:rPr>
        <w:t>In the subsidiary:</w:t>
      </w:r>
    </w:p>
    <w:p w:rsidR="00452793" w:rsidRDefault="00452793" w:rsidP="00452793">
      <w:pPr>
        <w:jc w:val="both"/>
        <w:rPr>
          <w:sz w:val="24"/>
          <w:szCs w:val="24"/>
        </w:rPr>
      </w:pPr>
      <w:r>
        <w:rPr>
          <w:sz w:val="24"/>
          <w:szCs w:val="24"/>
        </w:rPr>
        <w:t>- The obligation of the defendant Conpet S.A. to pay an annual rent, for the duration of the existence of the pipe, as a result of encumbrances of the shown areas over the right of legal easement exercised by Conpet SA;</w:t>
      </w:r>
    </w:p>
    <w:p w:rsidR="00452793" w:rsidRDefault="00452793" w:rsidP="00452793">
      <w:pPr>
        <w:jc w:val="both"/>
        <w:rPr>
          <w:sz w:val="24"/>
          <w:szCs w:val="24"/>
        </w:rPr>
      </w:pPr>
      <w:r>
        <w:rPr>
          <w:sz w:val="24"/>
          <w:szCs w:val="24"/>
        </w:rPr>
        <w:t xml:space="preserve">- The obligation of the defendant Conpet S.A. to the granting of compensation for the period </w:t>
      </w:r>
      <w:proofErr w:type="gramStart"/>
      <w:r>
        <w:rPr>
          <w:sz w:val="24"/>
          <w:szCs w:val="24"/>
        </w:rPr>
        <w:t>31</w:t>
      </w:r>
      <w:r>
        <w:rPr>
          <w:sz w:val="24"/>
          <w:szCs w:val="24"/>
          <w:vertAlign w:val="superscript"/>
        </w:rPr>
        <w:t>st</w:t>
      </w:r>
      <w:proofErr w:type="gramEnd"/>
      <w:r>
        <w:rPr>
          <w:sz w:val="24"/>
          <w:szCs w:val="24"/>
        </w:rPr>
        <w:t xml:space="preserve"> Oct 2014 - 31</w:t>
      </w:r>
      <w:r>
        <w:rPr>
          <w:sz w:val="24"/>
          <w:szCs w:val="24"/>
          <w:vertAlign w:val="superscript"/>
        </w:rPr>
        <w:t>st</w:t>
      </w:r>
      <w:r>
        <w:rPr>
          <w:sz w:val="24"/>
          <w:szCs w:val="24"/>
        </w:rPr>
        <w:t xml:space="preserve"> May 2016. As a result of limiting the attributes of ownership of the 22 parcels of infield land and a fall in the value of the movement of the terrain on the real estate market because of the restrictions imposed by the A.N.R.M. Order 196/2006 regarding the construction;</w:t>
      </w:r>
    </w:p>
    <w:p w:rsidR="00452793" w:rsidRDefault="00452793" w:rsidP="00452793">
      <w:pPr>
        <w:jc w:val="both"/>
        <w:rPr>
          <w:sz w:val="24"/>
          <w:szCs w:val="24"/>
        </w:rPr>
      </w:pPr>
      <w:r>
        <w:rPr>
          <w:sz w:val="24"/>
          <w:szCs w:val="24"/>
        </w:rPr>
        <w:t>- The obligation of the defendant Conpet S.A. to adapt the amount of damages every 3 years to the value of the movement from that moment of similar land and provisions of future orders of the ANRM;</w:t>
      </w:r>
    </w:p>
    <w:p w:rsidR="00452793" w:rsidRDefault="00452793" w:rsidP="00452793">
      <w:pPr>
        <w:jc w:val="both"/>
        <w:rPr>
          <w:sz w:val="24"/>
          <w:szCs w:val="24"/>
        </w:rPr>
      </w:pPr>
      <w:r>
        <w:rPr>
          <w:sz w:val="24"/>
          <w:szCs w:val="24"/>
        </w:rPr>
        <w:t>- Fixation by the court of a date due to which Conpet will annually pay the damages, as well as payment by the due date give rise to the payment of interest laws concerned the amount received as compensation for the delay period;</w:t>
      </w:r>
    </w:p>
    <w:p w:rsidR="00452793" w:rsidRDefault="00452793" w:rsidP="00452793">
      <w:pPr>
        <w:jc w:val="both"/>
        <w:rPr>
          <w:sz w:val="24"/>
          <w:szCs w:val="24"/>
        </w:rPr>
      </w:pPr>
      <w:r>
        <w:rPr>
          <w:sz w:val="24"/>
          <w:szCs w:val="24"/>
        </w:rPr>
        <w:t>- The payment of costs incurred by the matter in question in case of the opposition procedure.</w:t>
      </w:r>
    </w:p>
    <w:p w:rsidR="00452793" w:rsidRDefault="00452793" w:rsidP="00452793">
      <w:pPr>
        <w:jc w:val="both"/>
        <w:rPr>
          <w:sz w:val="24"/>
          <w:szCs w:val="24"/>
        </w:rPr>
      </w:pPr>
      <w:proofErr w:type="gramStart"/>
      <w:r>
        <w:rPr>
          <w:b/>
          <w:sz w:val="24"/>
          <w:szCs w:val="24"/>
        </w:rPr>
        <w:t>Details: </w:t>
      </w:r>
      <w:r>
        <w:rPr>
          <w:sz w:val="24"/>
          <w:szCs w:val="24"/>
        </w:rPr>
        <w:t>By the order of the Court of First Instance finds 07</w:t>
      </w:r>
      <w:r>
        <w:rPr>
          <w:sz w:val="24"/>
          <w:szCs w:val="24"/>
          <w:vertAlign w:val="superscript"/>
        </w:rPr>
        <w:t>th</w:t>
      </w:r>
      <w:r>
        <w:rPr>
          <w:sz w:val="24"/>
          <w:szCs w:val="24"/>
        </w:rPr>
        <w:t xml:space="preserve"> Dec 2016 the Arad Court notes the functional incompetence of the Civil Division I of the Court of First Instance and Arad and declines in favor of the Civil Division II of the Court of Arad, the sentence of the action made by the plaintiff’s territorial administrative unit of the City Pecica.</w:t>
      </w:r>
      <w:proofErr w:type="gramEnd"/>
    </w:p>
    <w:p w:rsidR="00452793" w:rsidRDefault="00452793" w:rsidP="00452793">
      <w:pPr>
        <w:jc w:val="both"/>
        <w:rPr>
          <w:sz w:val="24"/>
          <w:szCs w:val="24"/>
        </w:rPr>
      </w:pPr>
      <w:r>
        <w:rPr>
          <w:sz w:val="24"/>
          <w:szCs w:val="24"/>
        </w:rPr>
        <w:lastRenderedPageBreak/>
        <w:t xml:space="preserve">By concluding no. </w:t>
      </w:r>
      <w:proofErr w:type="gramStart"/>
      <w:r>
        <w:rPr>
          <w:sz w:val="24"/>
          <w:szCs w:val="24"/>
        </w:rPr>
        <w:t>40/26.01.2017</w:t>
      </w:r>
      <w:proofErr w:type="gramEnd"/>
      <w:r>
        <w:rPr>
          <w:sz w:val="24"/>
          <w:szCs w:val="24"/>
        </w:rPr>
        <w:t xml:space="preserve"> the Arad court rejects the request to indicate the rightholder as issued by the defendant Conpet against the plaintiff UAT The City Pecica and with the respondents Romanian State by the Finance Ministry and the National Agency for Mineral Resources. </w:t>
      </w:r>
      <w:proofErr w:type="gramStart"/>
      <w:r>
        <w:rPr>
          <w:sz w:val="24"/>
          <w:szCs w:val="24"/>
        </w:rPr>
        <w:t>The conclusion was appealed by Conpet</w:t>
      </w:r>
      <w:proofErr w:type="gramEnd"/>
      <w:r>
        <w:rPr>
          <w:sz w:val="24"/>
          <w:szCs w:val="24"/>
        </w:rPr>
        <w:t xml:space="preserve"> (file no. 3451/108/2016*/A1 - the Timisoara Court of Appeal, on: 14</w:t>
      </w:r>
      <w:r>
        <w:rPr>
          <w:sz w:val="24"/>
          <w:szCs w:val="24"/>
          <w:vertAlign w:val="superscript"/>
        </w:rPr>
        <w:t>th</w:t>
      </w:r>
      <w:r>
        <w:rPr>
          <w:sz w:val="24"/>
          <w:szCs w:val="24"/>
        </w:rPr>
        <w:t xml:space="preserve"> March 2017). By Decision </w:t>
      </w:r>
      <w:proofErr w:type="gramStart"/>
      <w:r>
        <w:rPr>
          <w:sz w:val="24"/>
          <w:szCs w:val="24"/>
        </w:rPr>
        <w:t>No</w:t>
      </w:r>
      <w:proofErr w:type="gramEnd"/>
      <w:r>
        <w:rPr>
          <w:sz w:val="24"/>
          <w:szCs w:val="24"/>
        </w:rPr>
        <w:t xml:space="preserve"> 211/20.03.2017 Timisoara Court of Appeal rejected the appeal.</w:t>
      </w:r>
    </w:p>
    <w:p w:rsidR="00452793" w:rsidRDefault="00452793" w:rsidP="00452793">
      <w:pPr>
        <w:jc w:val="both"/>
        <w:rPr>
          <w:sz w:val="24"/>
          <w:szCs w:val="24"/>
        </w:rPr>
      </w:pPr>
      <w:r>
        <w:rPr>
          <w:sz w:val="24"/>
          <w:szCs w:val="24"/>
        </w:rPr>
        <w:t>By the </w:t>
      </w:r>
      <w:r>
        <w:rPr>
          <w:b/>
          <w:sz w:val="24"/>
          <w:szCs w:val="24"/>
        </w:rPr>
        <w:t xml:space="preserve">order </w:t>
      </w:r>
      <w:proofErr w:type="gramStart"/>
      <w:r>
        <w:rPr>
          <w:b/>
          <w:sz w:val="24"/>
          <w:szCs w:val="24"/>
        </w:rPr>
        <w:t>no.</w:t>
      </w:r>
      <w:proofErr w:type="gramEnd"/>
      <w:r>
        <w:rPr>
          <w:b/>
          <w:sz w:val="24"/>
          <w:szCs w:val="24"/>
        </w:rPr>
        <w:t xml:space="preserve"> 336/18.05.2017</w:t>
      </w:r>
      <w:r>
        <w:rPr>
          <w:sz w:val="24"/>
          <w:szCs w:val="24"/>
        </w:rPr>
        <w:t xml:space="preserve"> the Arad court rejects the civil action filed by the plaintiff UAT The City Pecica against the defendant SC Conpet to having as its object the obligation to make and claims. Without trial costs. The sentence was appealed </w:t>
      </w:r>
      <w:proofErr w:type="gramStart"/>
      <w:r>
        <w:rPr>
          <w:sz w:val="24"/>
          <w:szCs w:val="24"/>
        </w:rPr>
        <w:t>by  the</w:t>
      </w:r>
      <w:proofErr w:type="gramEnd"/>
      <w:r>
        <w:rPr>
          <w:sz w:val="24"/>
          <w:szCs w:val="24"/>
        </w:rPr>
        <w:t xml:space="preserve"> City Pecica UAT.</w:t>
      </w:r>
    </w:p>
    <w:p w:rsidR="00452793" w:rsidRDefault="00452793" w:rsidP="00452793">
      <w:pPr>
        <w:jc w:val="both"/>
        <w:rPr>
          <w:sz w:val="24"/>
          <w:szCs w:val="24"/>
        </w:rPr>
      </w:pPr>
      <w:r>
        <w:rPr>
          <w:sz w:val="24"/>
          <w:szCs w:val="24"/>
        </w:rPr>
        <w:t>By </w:t>
      </w:r>
      <w:r>
        <w:rPr>
          <w:b/>
          <w:sz w:val="24"/>
          <w:szCs w:val="24"/>
        </w:rPr>
        <w:t xml:space="preserve">Decision </w:t>
      </w:r>
      <w:proofErr w:type="gramStart"/>
      <w:r>
        <w:rPr>
          <w:b/>
          <w:sz w:val="24"/>
          <w:szCs w:val="24"/>
        </w:rPr>
        <w:t>No</w:t>
      </w:r>
      <w:proofErr w:type="gramEnd"/>
      <w:r>
        <w:rPr>
          <w:b/>
          <w:sz w:val="24"/>
          <w:szCs w:val="24"/>
        </w:rPr>
        <w:t xml:space="preserve"> 761/23.11.2017</w:t>
      </w:r>
      <w:r>
        <w:rPr>
          <w:sz w:val="24"/>
          <w:szCs w:val="24"/>
        </w:rPr>
        <w:t xml:space="preserve"> the Court of Appeal in Timisoara city admits the appeal. It cancels the appealed sentence and sends the cause for retrial at the court in Arad </w:t>
      </w:r>
      <w:proofErr w:type="gramStart"/>
      <w:r>
        <w:rPr>
          <w:sz w:val="24"/>
          <w:szCs w:val="24"/>
        </w:rPr>
        <w:t>county</w:t>
      </w:r>
      <w:proofErr w:type="gramEnd"/>
      <w:r>
        <w:rPr>
          <w:sz w:val="24"/>
          <w:szCs w:val="24"/>
        </w:rPr>
        <w:t>. Conpet filed appeal. </w:t>
      </w:r>
    </w:p>
    <w:p w:rsidR="00452793" w:rsidRDefault="00452793" w:rsidP="00452793">
      <w:pPr>
        <w:jc w:val="both"/>
        <w:rPr>
          <w:sz w:val="24"/>
          <w:szCs w:val="24"/>
        </w:rPr>
      </w:pPr>
      <w:r>
        <w:rPr>
          <w:sz w:val="24"/>
          <w:szCs w:val="24"/>
        </w:rPr>
        <w:t xml:space="preserve">By the report on </w:t>
      </w:r>
      <w:proofErr w:type="gramStart"/>
      <w:r>
        <w:rPr>
          <w:sz w:val="24"/>
          <w:szCs w:val="24"/>
        </w:rPr>
        <w:t>07</w:t>
      </w:r>
      <w:r>
        <w:rPr>
          <w:sz w:val="24"/>
          <w:szCs w:val="24"/>
          <w:vertAlign w:val="superscript"/>
        </w:rPr>
        <w:t>th</w:t>
      </w:r>
      <w:proofErr w:type="gramEnd"/>
      <w:r>
        <w:rPr>
          <w:sz w:val="24"/>
          <w:szCs w:val="24"/>
        </w:rPr>
        <w:t xml:space="preserve"> June 2018 The High Court of Cassation and Justice found the ineligibility of Conpet’s appeal, being promoted against a final decision, which is inconsistent with the hypothesis governed by Article 483(1) Civil Procedure Code. The parties may submit, in writing, to a point of view on the report within 10 working days of the date of its communication.</w:t>
      </w:r>
    </w:p>
    <w:p w:rsidR="00452793" w:rsidRDefault="00452793" w:rsidP="00452793">
      <w:pPr>
        <w:rPr>
          <w:sz w:val="24"/>
          <w:szCs w:val="24"/>
        </w:rPr>
      </w:pPr>
      <w:r>
        <w:rPr>
          <w:sz w:val="24"/>
          <w:szCs w:val="24"/>
        </w:rPr>
        <w:t xml:space="preserve">Stage of trial: Appeal </w:t>
      </w:r>
      <w:r>
        <w:rPr>
          <w:sz w:val="24"/>
          <w:szCs w:val="24"/>
        </w:rPr>
        <w:br/>
      </w:r>
      <w:r>
        <w:rPr>
          <w:b/>
          <w:sz w:val="24"/>
          <w:szCs w:val="24"/>
        </w:rPr>
        <w:t>Period: </w:t>
      </w:r>
      <w:r>
        <w:rPr>
          <w:sz w:val="24"/>
          <w:szCs w:val="24"/>
        </w:rPr>
        <w:t>--</w:t>
      </w:r>
    </w:p>
    <w:p w:rsidR="00452793" w:rsidRDefault="00452793" w:rsidP="00452793">
      <w:pPr>
        <w:jc w:val="both"/>
        <w:rPr>
          <w:b/>
          <w:sz w:val="24"/>
          <w:szCs w:val="24"/>
        </w:rPr>
      </w:pPr>
    </w:p>
    <w:p w:rsidR="00452793" w:rsidRDefault="00452793" w:rsidP="00452793">
      <w:pPr>
        <w:jc w:val="both"/>
        <w:rPr>
          <w:b/>
          <w:sz w:val="24"/>
          <w:szCs w:val="24"/>
        </w:rPr>
      </w:pPr>
      <w:r>
        <w:rPr>
          <w:b/>
          <w:sz w:val="24"/>
          <w:szCs w:val="24"/>
        </w:rPr>
        <w:t>11. The file no. 1978/223/2016 - The Dragasani Court</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Florea C. Nicolae- plaintiff</w:t>
      </w:r>
    </w:p>
    <w:p w:rsidR="00452793" w:rsidRDefault="00452793" w:rsidP="00452793">
      <w:pPr>
        <w:jc w:val="both"/>
        <w:rPr>
          <w:sz w:val="24"/>
          <w:szCs w:val="24"/>
        </w:rPr>
      </w:pPr>
      <w:r>
        <w:rPr>
          <w:b/>
          <w:sz w:val="24"/>
          <w:szCs w:val="24"/>
        </w:rPr>
        <w:t>Subject: </w:t>
      </w:r>
      <w:r>
        <w:rPr>
          <w:sz w:val="24"/>
          <w:szCs w:val="24"/>
        </w:rPr>
        <w:t>Florea C. Nicolae filed a trial asking the court to:</w:t>
      </w:r>
    </w:p>
    <w:p w:rsidR="00452793" w:rsidRDefault="00452793" w:rsidP="00D87DA4">
      <w:pPr>
        <w:widowControl/>
        <w:numPr>
          <w:ilvl w:val="0"/>
          <w:numId w:val="51"/>
        </w:numPr>
        <w:tabs>
          <w:tab w:val="left" w:pos="720"/>
        </w:tabs>
        <w:autoSpaceDE/>
        <w:autoSpaceDN/>
        <w:adjustRightInd/>
        <w:jc w:val="both"/>
        <w:rPr>
          <w:b/>
          <w:sz w:val="24"/>
          <w:szCs w:val="24"/>
        </w:rPr>
      </w:pPr>
      <w:proofErr w:type="gramStart"/>
      <w:r>
        <w:rPr>
          <w:sz w:val="24"/>
          <w:szCs w:val="24"/>
        </w:rPr>
        <w:t>Order Conpet to bring the land in the area of 759 mp located in the green belt of commune Dragoesti, Valcea county, 65 land strip, plot 1/3 at "Picatura", to the previous state, the land being affected by the petroleum products transported by the defendant; otherwise the plaintiff requires to be authorized to carry out such works at the expense of the defendant Conpet.</w:t>
      </w:r>
      <w:proofErr w:type="gramEnd"/>
      <w:r>
        <w:rPr>
          <w:sz w:val="24"/>
          <w:szCs w:val="24"/>
        </w:rPr>
        <w:t xml:space="preserve"> The consideration for these works reaches an estimated amount to RON 1,000;</w:t>
      </w:r>
    </w:p>
    <w:p w:rsidR="00452793" w:rsidRDefault="00452793" w:rsidP="00D87DA4">
      <w:pPr>
        <w:widowControl/>
        <w:numPr>
          <w:ilvl w:val="0"/>
          <w:numId w:val="51"/>
        </w:numPr>
        <w:tabs>
          <w:tab w:val="left" w:pos="720"/>
        </w:tabs>
        <w:autoSpaceDE/>
        <w:autoSpaceDN/>
        <w:adjustRightInd/>
        <w:jc w:val="both"/>
        <w:rPr>
          <w:b/>
          <w:sz w:val="24"/>
          <w:szCs w:val="24"/>
        </w:rPr>
      </w:pPr>
      <w:r>
        <w:rPr>
          <w:sz w:val="24"/>
          <w:szCs w:val="24"/>
        </w:rPr>
        <w:t>Order Conpet to pay the consideration for the lack of use of the land on the last three years and for the period necessary to rebuilding fertile layer and the category of use of the land. The estimated lack of use reaches a value of RON 5,000 each.</w:t>
      </w:r>
    </w:p>
    <w:p w:rsidR="00452793" w:rsidRDefault="00452793" w:rsidP="00452793">
      <w:pPr>
        <w:jc w:val="both"/>
        <w:rPr>
          <w:sz w:val="24"/>
          <w:szCs w:val="24"/>
        </w:rPr>
      </w:pPr>
      <w:r>
        <w:rPr>
          <w:b/>
          <w:sz w:val="24"/>
          <w:szCs w:val="24"/>
        </w:rPr>
        <w:t> </w:t>
      </w:r>
      <w:r>
        <w:rPr>
          <w:sz w:val="24"/>
          <w:szCs w:val="24"/>
        </w:rPr>
        <w:t>Stage of trial: First instance</w:t>
      </w:r>
    </w:p>
    <w:p w:rsidR="00452793" w:rsidRDefault="00452793" w:rsidP="00452793">
      <w:pPr>
        <w:jc w:val="both"/>
        <w:rPr>
          <w:sz w:val="24"/>
          <w:szCs w:val="24"/>
        </w:rPr>
      </w:pPr>
      <w:r>
        <w:rPr>
          <w:b/>
          <w:sz w:val="24"/>
          <w:szCs w:val="24"/>
        </w:rPr>
        <w:t> </w:t>
      </w:r>
      <w:r>
        <w:rPr>
          <w:sz w:val="24"/>
          <w:szCs w:val="24"/>
        </w:rPr>
        <w:t xml:space="preserve"> Hearing</w:t>
      </w:r>
      <w:proofErr w:type="gramStart"/>
      <w:r>
        <w:rPr>
          <w:sz w:val="24"/>
          <w:szCs w:val="24"/>
        </w:rPr>
        <w:t>:13th</w:t>
      </w:r>
      <w:proofErr w:type="gramEnd"/>
      <w:r>
        <w:rPr>
          <w:sz w:val="24"/>
          <w:szCs w:val="24"/>
        </w:rPr>
        <w:t xml:space="preserve"> Sept 2018</w:t>
      </w:r>
    </w:p>
    <w:p w:rsidR="00452793" w:rsidRDefault="00452793" w:rsidP="00452793">
      <w:pPr>
        <w:jc w:val="both"/>
        <w:rPr>
          <w:sz w:val="24"/>
          <w:szCs w:val="24"/>
        </w:rPr>
      </w:pPr>
    </w:p>
    <w:p w:rsidR="00452793" w:rsidRDefault="00452793" w:rsidP="00452793">
      <w:pPr>
        <w:jc w:val="both"/>
        <w:rPr>
          <w:b/>
          <w:sz w:val="24"/>
          <w:szCs w:val="24"/>
        </w:rPr>
      </w:pPr>
    </w:p>
    <w:p w:rsidR="00452793" w:rsidRDefault="00452793" w:rsidP="00452793">
      <w:pPr>
        <w:jc w:val="both"/>
        <w:rPr>
          <w:b/>
          <w:sz w:val="24"/>
          <w:szCs w:val="24"/>
        </w:rPr>
      </w:pPr>
      <w:r>
        <w:rPr>
          <w:b/>
          <w:sz w:val="24"/>
          <w:szCs w:val="24"/>
        </w:rPr>
        <w:t>12. The file no. 7237/105/2016 - Court of Appeal Ploiesti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Petrotel Lukoil - defendant</w:t>
      </w:r>
    </w:p>
    <w:p w:rsidR="00452793" w:rsidRDefault="00452793" w:rsidP="00452793">
      <w:pPr>
        <w:jc w:val="both"/>
        <w:rPr>
          <w:sz w:val="24"/>
          <w:szCs w:val="24"/>
        </w:rPr>
      </w:pPr>
      <w:r>
        <w:rPr>
          <w:sz w:val="24"/>
          <w:szCs w:val="24"/>
        </w:rPr>
        <w:t>           Toma Marian - plaintiff</w:t>
      </w:r>
    </w:p>
    <w:p w:rsidR="00452793" w:rsidRDefault="00452793" w:rsidP="00452793">
      <w:pPr>
        <w:jc w:val="both"/>
        <w:rPr>
          <w:sz w:val="24"/>
          <w:szCs w:val="24"/>
        </w:rPr>
      </w:pPr>
      <w:r>
        <w:rPr>
          <w:b/>
          <w:sz w:val="24"/>
          <w:szCs w:val="24"/>
        </w:rPr>
        <w:t>Subject:</w:t>
      </w:r>
      <w:r>
        <w:rPr>
          <w:sz w:val="24"/>
          <w:szCs w:val="24"/>
        </w:rPr>
        <w:t> Declaratory action. Toma Marian filed a trial and requested the court to ascertain that he had performed work under hard conditions of employment and the classification in Group I according to the Order no. 50/1990, and to force the defendants issue certificates with the effect that he had to benefit from the above-mentioned rights.</w:t>
      </w:r>
    </w:p>
    <w:p w:rsidR="00452793" w:rsidRDefault="00452793" w:rsidP="00452793">
      <w:pPr>
        <w:jc w:val="both"/>
        <w:rPr>
          <w:sz w:val="24"/>
          <w:szCs w:val="24"/>
        </w:rPr>
      </w:pPr>
      <w:r>
        <w:rPr>
          <w:sz w:val="24"/>
          <w:szCs w:val="24"/>
        </w:rPr>
        <w:t>Through the </w:t>
      </w:r>
      <w:r>
        <w:rPr>
          <w:b/>
          <w:sz w:val="24"/>
          <w:szCs w:val="24"/>
        </w:rPr>
        <w:t xml:space="preserve">order </w:t>
      </w:r>
      <w:proofErr w:type="gramStart"/>
      <w:r>
        <w:rPr>
          <w:b/>
          <w:sz w:val="24"/>
          <w:szCs w:val="24"/>
        </w:rPr>
        <w:t>no.</w:t>
      </w:r>
      <w:proofErr w:type="gramEnd"/>
      <w:r>
        <w:rPr>
          <w:b/>
          <w:sz w:val="24"/>
          <w:szCs w:val="24"/>
        </w:rPr>
        <w:t xml:space="preserve"> 950/08.03.2018</w:t>
      </w:r>
      <w:r>
        <w:rPr>
          <w:sz w:val="24"/>
          <w:szCs w:val="24"/>
        </w:rPr>
        <w:t xml:space="preserve"> the Prahova County Court admitted in the part the request specified. It finds that the complainant benefits from group I work at a rate of 100 % for the activities carried out within the framework of the employing unit SC </w:t>
      </w:r>
      <w:r>
        <w:rPr>
          <w:sz w:val="24"/>
          <w:szCs w:val="24"/>
        </w:rPr>
        <w:lastRenderedPageBreak/>
        <w:t xml:space="preserve">Petrotel Lukoil, for the periods: </w:t>
      </w:r>
      <w:proofErr w:type="gramStart"/>
      <w:r>
        <w:rPr>
          <w:sz w:val="24"/>
          <w:szCs w:val="24"/>
        </w:rPr>
        <w:t>04</w:t>
      </w:r>
      <w:r>
        <w:rPr>
          <w:sz w:val="24"/>
          <w:szCs w:val="24"/>
          <w:vertAlign w:val="superscript"/>
        </w:rPr>
        <w:t>th</w:t>
      </w:r>
      <w:proofErr w:type="gramEnd"/>
      <w:r>
        <w:rPr>
          <w:sz w:val="24"/>
          <w:szCs w:val="24"/>
        </w:rPr>
        <w:t xml:space="preserve"> March 1980 - 26</w:t>
      </w:r>
      <w:r>
        <w:rPr>
          <w:sz w:val="24"/>
          <w:szCs w:val="24"/>
          <w:vertAlign w:val="superscript"/>
        </w:rPr>
        <w:t>th</w:t>
      </w:r>
      <w:r>
        <w:rPr>
          <w:sz w:val="24"/>
          <w:szCs w:val="24"/>
        </w:rPr>
        <w:t xml:space="preserve"> Oct 1983 and 14</w:t>
      </w:r>
      <w:r>
        <w:rPr>
          <w:sz w:val="24"/>
          <w:szCs w:val="24"/>
          <w:vertAlign w:val="superscript"/>
        </w:rPr>
        <w:t>th</w:t>
      </w:r>
      <w:r>
        <w:rPr>
          <w:sz w:val="24"/>
          <w:szCs w:val="24"/>
        </w:rPr>
        <w:t xml:space="preserve"> March 1985 - 18</w:t>
      </w:r>
      <w:r>
        <w:rPr>
          <w:sz w:val="24"/>
          <w:szCs w:val="24"/>
          <w:vertAlign w:val="superscript"/>
        </w:rPr>
        <w:t>th</w:t>
      </w:r>
      <w:r>
        <w:rPr>
          <w:sz w:val="24"/>
          <w:szCs w:val="24"/>
        </w:rPr>
        <w:t xml:space="preserve"> March 1985. The defendant SC Petrotel Lukoil </w:t>
      </w:r>
      <w:proofErr w:type="gramStart"/>
      <w:r>
        <w:rPr>
          <w:sz w:val="24"/>
          <w:szCs w:val="24"/>
        </w:rPr>
        <w:t>is ordered</w:t>
      </w:r>
      <w:proofErr w:type="gramEnd"/>
      <w:r>
        <w:rPr>
          <w:sz w:val="24"/>
          <w:szCs w:val="24"/>
        </w:rPr>
        <w:t xml:space="preserve"> to issue the plaintiff a certificate stating the period, group and percentage by which it has pursued the activity. It rejects the matter regarding Conpet. </w:t>
      </w:r>
      <w:proofErr w:type="gramStart"/>
      <w:r>
        <w:rPr>
          <w:sz w:val="24"/>
          <w:szCs w:val="24"/>
        </w:rPr>
        <w:t>The sentence was appealed by Thomas Marian</w:t>
      </w:r>
      <w:proofErr w:type="gramEnd"/>
      <w:r>
        <w:rPr>
          <w:sz w:val="24"/>
          <w:szCs w:val="24"/>
        </w:rPr>
        <w:t>. </w:t>
      </w:r>
    </w:p>
    <w:p w:rsidR="00452793" w:rsidRDefault="00452793" w:rsidP="00452793">
      <w:pPr>
        <w:jc w:val="both"/>
        <w:rPr>
          <w:sz w:val="24"/>
          <w:szCs w:val="24"/>
        </w:rPr>
      </w:pPr>
      <w:r>
        <w:rPr>
          <w:sz w:val="24"/>
          <w:szCs w:val="24"/>
        </w:rPr>
        <w:t>Stage of the trial: Appeal</w:t>
      </w:r>
    </w:p>
    <w:p w:rsidR="00452793" w:rsidRDefault="00452793" w:rsidP="00452793">
      <w:pPr>
        <w:jc w:val="both"/>
        <w:rPr>
          <w:sz w:val="24"/>
          <w:szCs w:val="24"/>
        </w:rPr>
      </w:pPr>
      <w:r>
        <w:rPr>
          <w:sz w:val="24"/>
          <w:szCs w:val="24"/>
        </w:rPr>
        <w:t> Hearing</w:t>
      </w:r>
      <w:proofErr w:type="gramStart"/>
      <w:r>
        <w:rPr>
          <w:sz w:val="24"/>
          <w:szCs w:val="24"/>
        </w:rPr>
        <w:t>:19th</w:t>
      </w:r>
      <w:proofErr w:type="gramEnd"/>
      <w:r>
        <w:rPr>
          <w:sz w:val="24"/>
          <w:szCs w:val="24"/>
        </w:rPr>
        <w:t xml:space="preserve"> Sept 2018</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D87DA4">
      <w:pPr>
        <w:widowControl/>
        <w:numPr>
          <w:ilvl w:val="0"/>
          <w:numId w:val="52"/>
        </w:numPr>
        <w:autoSpaceDE/>
        <w:autoSpaceDN/>
        <w:adjustRightInd/>
        <w:ind w:left="720" w:hanging="360"/>
        <w:rPr>
          <w:b/>
          <w:sz w:val="24"/>
          <w:szCs w:val="24"/>
        </w:rPr>
      </w:pPr>
      <w:r>
        <w:rPr>
          <w:b/>
          <w:sz w:val="24"/>
          <w:szCs w:val="24"/>
        </w:rPr>
        <w:t>The file no. 7091/105/2016 - Prahova Court</w:t>
      </w:r>
    </w:p>
    <w:p w:rsidR="00452793" w:rsidRDefault="00452793" w:rsidP="00452793">
      <w:pPr>
        <w:rPr>
          <w:sz w:val="24"/>
          <w:szCs w:val="24"/>
          <w:lang w:val="ro-RO"/>
        </w:rPr>
      </w:pPr>
      <w:r>
        <w:rPr>
          <w:b/>
          <w:sz w:val="24"/>
          <w:szCs w:val="24"/>
        </w:rPr>
        <w:t>T</w:t>
      </w:r>
      <w:r>
        <w:rPr>
          <w:b/>
          <w:sz w:val="24"/>
          <w:szCs w:val="24"/>
          <w:lang w:val="ro-RO"/>
        </w:rPr>
        <w:t>he parties: </w:t>
      </w:r>
      <w:r>
        <w:rPr>
          <w:sz w:val="24"/>
          <w:szCs w:val="24"/>
          <w:lang w:val="ro-RO"/>
        </w:rPr>
        <w:t xml:space="preserve">Conpet - </w:t>
      </w:r>
      <w:r>
        <w:rPr>
          <w:sz w:val="24"/>
          <w:szCs w:val="24"/>
        </w:rPr>
        <w:t>defendant</w:t>
      </w:r>
    </w:p>
    <w:p w:rsidR="00452793" w:rsidRDefault="00452793" w:rsidP="00452793">
      <w:pPr>
        <w:rPr>
          <w:sz w:val="24"/>
          <w:szCs w:val="24"/>
        </w:rPr>
      </w:pPr>
      <w:r>
        <w:rPr>
          <w:sz w:val="24"/>
          <w:szCs w:val="24"/>
          <w:lang w:val="ro-RO"/>
        </w:rPr>
        <w:t xml:space="preserve">            Margean </w:t>
      </w:r>
      <w:r>
        <w:rPr>
          <w:sz w:val="24"/>
          <w:szCs w:val="24"/>
        </w:rPr>
        <w:t>Elena</w:t>
      </w:r>
      <w:r>
        <w:rPr>
          <w:sz w:val="24"/>
          <w:szCs w:val="24"/>
          <w:lang w:val="ro-RO"/>
        </w:rPr>
        <w:t xml:space="preserve">- </w:t>
      </w:r>
      <w:r>
        <w:rPr>
          <w:sz w:val="24"/>
          <w:szCs w:val="24"/>
        </w:rPr>
        <w:t>plaintiff</w:t>
      </w:r>
    </w:p>
    <w:p w:rsidR="00452793" w:rsidRDefault="00452793" w:rsidP="00452793">
      <w:pPr>
        <w:jc w:val="both"/>
        <w:rPr>
          <w:sz w:val="24"/>
          <w:szCs w:val="24"/>
          <w:lang w:val="ro-RO"/>
        </w:rPr>
      </w:pPr>
      <w:r>
        <w:rPr>
          <w:b/>
          <w:sz w:val="24"/>
          <w:szCs w:val="24"/>
          <w:lang w:val="ro-RO"/>
        </w:rPr>
        <w:t>Subject: </w:t>
      </w:r>
      <w:r>
        <w:rPr>
          <w:sz w:val="24"/>
          <w:szCs w:val="24"/>
          <w:lang w:val="ro-RO"/>
        </w:rPr>
        <w:t xml:space="preserve">Margean Elena </w:t>
      </w:r>
      <w:r>
        <w:rPr>
          <w:sz w:val="24"/>
          <w:szCs w:val="24"/>
        </w:rPr>
        <w:t xml:space="preserve">filed a trial </w:t>
      </w:r>
      <w:r>
        <w:rPr>
          <w:sz w:val="24"/>
          <w:szCs w:val="24"/>
          <w:lang w:val="ro-RO"/>
        </w:rPr>
        <w:t>request</w:t>
      </w:r>
      <w:r>
        <w:rPr>
          <w:sz w:val="24"/>
          <w:szCs w:val="24"/>
        </w:rPr>
        <w:t>ing</w:t>
      </w:r>
      <w:r>
        <w:rPr>
          <w:sz w:val="24"/>
          <w:szCs w:val="24"/>
          <w:lang w:val="ro-RO"/>
        </w:rPr>
        <w:t xml:space="preserve"> the court to ascertain compliance with the group I work for the period 11</w:t>
      </w:r>
      <w:r>
        <w:rPr>
          <w:sz w:val="24"/>
          <w:szCs w:val="24"/>
          <w:vertAlign w:val="superscript"/>
        </w:rPr>
        <w:t>th</w:t>
      </w:r>
      <w:r>
        <w:rPr>
          <w:sz w:val="24"/>
          <w:szCs w:val="24"/>
        </w:rPr>
        <w:t xml:space="preserve"> Aug.</w:t>
      </w:r>
      <w:r>
        <w:rPr>
          <w:sz w:val="24"/>
          <w:szCs w:val="24"/>
          <w:lang w:val="ro-RO"/>
        </w:rPr>
        <w:t>2004 - 30</w:t>
      </w:r>
      <w:r>
        <w:rPr>
          <w:sz w:val="24"/>
          <w:szCs w:val="24"/>
          <w:vertAlign w:val="superscript"/>
        </w:rPr>
        <w:t>th</w:t>
      </w:r>
      <w:r>
        <w:rPr>
          <w:sz w:val="24"/>
          <w:szCs w:val="24"/>
        </w:rPr>
        <w:t xml:space="preserve"> May</w:t>
      </w:r>
      <w:r>
        <w:rPr>
          <w:sz w:val="24"/>
          <w:szCs w:val="24"/>
          <w:lang w:val="ro-RO"/>
        </w:rPr>
        <w:t xml:space="preserve">2005. The reasons for the </w:t>
      </w:r>
      <w:r>
        <w:rPr>
          <w:sz w:val="24"/>
          <w:szCs w:val="24"/>
        </w:rPr>
        <w:t>file for trial</w:t>
      </w:r>
      <w:r>
        <w:rPr>
          <w:sz w:val="24"/>
          <w:szCs w:val="24"/>
          <w:lang w:val="ro-RO"/>
        </w:rPr>
        <w:t xml:space="preserve"> shall be based on the grounds that the period during which the </w:t>
      </w:r>
      <w:r>
        <w:rPr>
          <w:sz w:val="24"/>
          <w:szCs w:val="24"/>
        </w:rPr>
        <w:t>plaintiff</w:t>
      </w:r>
      <w:r>
        <w:rPr>
          <w:sz w:val="24"/>
          <w:szCs w:val="24"/>
          <w:lang w:val="ro-RO"/>
        </w:rPr>
        <w:t xml:space="preserve"> has been active in the company, falls within the grou</w:t>
      </w:r>
      <w:r>
        <w:rPr>
          <w:sz w:val="24"/>
          <w:szCs w:val="24"/>
        </w:rPr>
        <w:t>p I</w:t>
      </w:r>
      <w:r>
        <w:rPr>
          <w:sz w:val="24"/>
          <w:szCs w:val="24"/>
          <w:lang w:val="ro-RO"/>
        </w:rPr>
        <w:t xml:space="preserve"> work.</w:t>
      </w:r>
    </w:p>
    <w:p w:rsidR="00452793" w:rsidRDefault="00452793" w:rsidP="00452793">
      <w:pPr>
        <w:jc w:val="both"/>
        <w:rPr>
          <w:sz w:val="24"/>
          <w:szCs w:val="24"/>
          <w:lang w:val="ro-RO"/>
        </w:rPr>
      </w:pPr>
      <w:r>
        <w:rPr>
          <w:b/>
          <w:sz w:val="24"/>
          <w:szCs w:val="24"/>
          <w:lang w:val="ro-RO"/>
        </w:rPr>
        <w:t>Details:</w:t>
      </w:r>
      <w:r>
        <w:rPr>
          <w:sz w:val="24"/>
          <w:szCs w:val="24"/>
          <w:lang w:val="ro-RO"/>
        </w:rPr>
        <w:t> Through the </w:t>
      </w:r>
      <w:r>
        <w:rPr>
          <w:b/>
          <w:sz w:val="24"/>
          <w:szCs w:val="24"/>
        </w:rPr>
        <w:t>order</w:t>
      </w:r>
      <w:r>
        <w:rPr>
          <w:b/>
          <w:sz w:val="24"/>
          <w:szCs w:val="24"/>
          <w:lang w:val="ro-RO"/>
        </w:rPr>
        <w:t xml:space="preserve"> no. </w:t>
      </w:r>
      <w:r>
        <w:rPr>
          <w:b/>
          <w:sz w:val="24"/>
          <w:szCs w:val="24"/>
        </w:rPr>
        <w:t>6018/22.12.2017</w:t>
      </w:r>
      <w:r>
        <w:rPr>
          <w:sz w:val="24"/>
          <w:szCs w:val="24"/>
        </w:rPr>
        <w:t xml:space="preserve"> Prahova Court admitted the request made by the plaintiff Margean Elena. It finds that the plaintiff </w:t>
      </w:r>
      <w:proofErr w:type="gramStart"/>
      <w:r>
        <w:rPr>
          <w:sz w:val="24"/>
          <w:szCs w:val="24"/>
        </w:rPr>
        <w:t>shall, at a rate of 100 % of the program of work, be framed</w:t>
      </w:r>
      <w:proofErr w:type="gramEnd"/>
      <w:r>
        <w:rPr>
          <w:sz w:val="24"/>
          <w:szCs w:val="24"/>
        </w:rPr>
        <w:t xml:space="preserve"> in Group II, according to the conclusions of the expert report in the specialty of the organization of work, salaries, drawn up by the expert Anton Carmen. It orders the defendant to issue the plaintiff a certificate in the direction shown. The sentence </w:t>
      </w:r>
      <w:proofErr w:type="gramStart"/>
      <w:r>
        <w:rPr>
          <w:sz w:val="24"/>
          <w:szCs w:val="24"/>
        </w:rPr>
        <w:t>can be appealed</w:t>
      </w:r>
      <w:proofErr w:type="gramEnd"/>
      <w:r>
        <w:rPr>
          <w:sz w:val="24"/>
          <w:szCs w:val="24"/>
        </w:rPr>
        <w:t xml:space="preserve"> after communication. </w:t>
      </w:r>
    </w:p>
    <w:p w:rsidR="00452793" w:rsidRDefault="00452793" w:rsidP="00452793">
      <w:pPr>
        <w:jc w:val="both"/>
        <w:rPr>
          <w:sz w:val="24"/>
          <w:szCs w:val="24"/>
          <w:lang w:val="ro-RO"/>
        </w:rPr>
      </w:pPr>
      <w:r>
        <w:rPr>
          <w:b/>
          <w:sz w:val="24"/>
          <w:szCs w:val="24"/>
          <w:lang w:val="ro-RO"/>
        </w:rPr>
        <w:t>Stage procesual</w:t>
      </w:r>
      <w:r>
        <w:rPr>
          <w:sz w:val="24"/>
          <w:szCs w:val="24"/>
          <w:lang w:val="ro-RO"/>
        </w:rPr>
        <w:t>: --</w:t>
      </w:r>
    </w:p>
    <w:p w:rsidR="00452793" w:rsidRDefault="00452793" w:rsidP="00452793">
      <w:pPr>
        <w:jc w:val="both"/>
        <w:rPr>
          <w:sz w:val="24"/>
          <w:szCs w:val="24"/>
          <w:lang w:val="ro-RO"/>
        </w:rPr>
      </w:pPr>
      <w:r>
        <w:rPr>
          <w:b/>
          <w:sz w:val="24"/>
          <w:szCs w:val="24"/>
          <w:lang w:val="ro-RO"/>
        </w:rPr>
        <w:t>Within</w:t>
      </w:r>
      <w:r>
        <w:rPr>
          <w:sz w:val="24"/>
          <w:szCs w:val="24"/>
          <w:lang w:val="ro-RO"/>
        </w:rPr>
        <w:t>: --</w:t>
      </w:r>
    </w:p>
    <w:p w:rsidR="00452793" w:rsidRDefault="00452793" w:rsidP="00452793">
      <w:pPr>
        <w:jc w:val="both"/>
        <w:rPr>
          <w:sz w:val="24"/>
          <w:szCs w:val="24"/>
          <w:lang w:val="ro-RO"/>
        </w:rPr>
      </w:pPr>
    </w:p>
    <w:p w:rsidR="00452793" w:rsidRDefault="00452793" w:rsidP="00452793">
      <w:pPr>
        <w:jc w:val="both"/>
        <w:rPr>
          <w:sz w:val="24"/>
          <w:szCs w:val="24"/>
          <w:lang w:val="ro-RO"/>
        </w:rPr>
      </w:pPr>
    </w:p>
    <w:p w:rsidR="00452793" w:rsidRDefault="00452793" w:rsidP="00452793">
      <w:pPr>
        <w:jc w:val="both"/>
        <w:rPr>
          <w:b/>
          <w:sz w:val="24"/>
          <w:szCs w:val="24"/>
          <w:lang w:val="ro-RO"/>
        </w:rPr>
      </w:pPr>
      <w:r>
        <w:rPr>
          <w:b/>
          <w:sz w:val="24"/>
          <w:szCs w:val="24"/>
          <w:lang w:val="ro-RO"/>
        </w:rPr>
        <w:t>14. The file no. 3581/281/2017 - Ploiesti</w:t>
      </w:r>
      <w:r>
        <w:rPr>
          <w:b/>
          <w:sz w:val="24"/>
          <w:szCs w:val="24"/>
        </w:rPr>
        <w:t xml:space="preserve"> </w:t>
      </w:r>
      <w:r>
        <w:rPr>
          <w:b/>
          <w:sz w:val="24"/>
          <w:szCs w:val="24"/>
          <w:lang w:val="ro-RO"/>
        </w:rPr>
        <w:t>Court</w:t>
      </w:r>
    </w:p>
    <w:p w:rsidR="00452793" w:rsidRDefault="00452793" w:rsidP="00452793">
      <w:pPr>
        <w:jc w:val="both"/>
        <w:rPr>
          <w:sz w:val="24"/>
          <w:szCs w:val="24"/>
          <w:lang w:val="ro-RO"/>
        </w:rPr>
      </w:pPr>
      <w:r>
        <w:rPr>
          <w:b/>
          <w:sz w:val="24"/>
          <w:szCs w:val="24"/>
          <w:lang w:val="ro-RO"/>
        </w:rPr>
        <w:t>The parties: </w:t>
      </w:r>
      <w:r>
        <w:rPr>
          <w:sz w:val="24"/>
          <w:szCs w:val="24"/>
          <w:lang w:val="ro-RO"/>
        </w:rPr>
        <w:t xml:space="preserve">Conpet - </w:t>
      </w:r>
      <w:r>
        <w:rPr>
          <w:sz w:val="24"/>
          <w:szCs w:val="24"/>
        </w:rPr>
        <w:t>defendant</w:t>
      </w:r>
    </w:p>
    <w:p w:rsidR="00452793" w:rsidRDefault="00452793" w:rsidP="00452793">
      <w:pPr>
        <w:jc w:val="both"/>
        <w:rPr>
          <w:sz w:val="24"/>
          <w:szCs w:val="24"/>
          <w:lang w:val="ro-RO"/>
        </w:rPr>
      </w:pPr>
      <w:r>
        <w:rPr>
          <w:sz w:val="24"/>
          <w:szCs w:val="24"/>
          <w:lang w:val="ro-RO"/>
        </w:rPr>
        <w:t>            Direcția Regională Drumuri și Poduri Iași</w:t>
      </w:r>
      <w:r>
        <w:rPr>
          <w:sz w:val="24"/>
          <w:szCs w:val="24"/>
        </w:rPr>
        <w:t xml:space="preserve"> (</w:t>
      </w:r>
      <w:r>
        <w:rPr>
          <w:sz w:val="24"/>
          <w:szCs w:val="24"/>
          <w:lang w:val="ro-RO"/>
        </w:rPr>
        <w:t>The direction of the regional road and bridges Iasi</w:t>
      </w:r>
      <w:r>
        <w:rPr>
          <w:sz w:val="24"/>
          <w:szCs w:val="24"/>
        </w:rPr>
        <w:t>)</w:t>
      </w:r>
      <w:r>
        <w:rPr>
          <w:sz w:val="24"/>
          <w:szCs w:val="24"/>
          <w:lang w:val="ro-RO"/>
        </w:rPr>
        <w:t xml:space="preserve"> - the </w:t>
      </w:r>
      <w:r>
        <w:rPr>
          <w:sz w:val="24"/>
          <w:szCs w:val="24"/>
        </w:rPr>
        <w:t>plaintiff</w:t>
      </w:r>
    </w:p>
    <w:p w:rsidR="00452793" w:rsidRDefault="00452793" w:rsidP="00452793">
      <w:pPr>
        <w:jc w:val="both"/>
        <w:rPr>
          <w:sz w:val="24"/>
          <w:szCs w:val="24"/>
          <w:lang w:val="ro-RO"/>
        </w:rPr>
      </w:pPr>
      <w:r>
        <w:rPr>
          <w:b/>
          <w:sz w:val="24"/>
          <w:szCs w:val="24"/>
          <w:lang w:val="ro-RO"/>
        </w:rPr>
        <w:t xml:space="preserve">Subject: </w:t>
      </w:r>
      <w:r>
        <w:rPr>
          <w:sz w:val="24"/>
          <w:szCs w:val="24"/>
          <w:lang w:val="ro-RO"/>
        </w:rPr>
        <w:t xml:space="preserve">Direcția Regională Drumuri și Poduri Iași has made a request for a call in the </w:t>
      </w:r>
      <w:r>
        <w:rPr>
          <w:sz w:val="24"/>
          <w:szCs w:val="24"/>
        </w:rPr>
        <w:t>sentence</w:t>
      </w:r>
      <w:r>
        <w:rPr>
          <w:sz w:val="24"/>
          <w:szCs w:val="24"/>
          <w:lang w:val="ro-RO"/>
        </w:rPr>
        <w:t xml:space="preserve"> of the court </w:t>
      </w:r>
      <w:r>
        <w:rPr>
          <w:sz w:val="24"/>
          <w:szCs w:val="24"/>
        </w:rPr>
        <w:t xml:space="preserve">requesting the court to order </w:t>
      </w:r>
      <w:r>
        <w:rPr>
          <w:sz w:val="24"/>
          <w:szCs w:val="24"/>
          <w:lang w:val="ro-RO"/>
        </w:rPr>
        <w:t xml:space="preserve">CONPET </w:t>
      </w:r>
      <w:r>
        <w:rPr>
          <w:sz w:val="24"/>
          <w:szCs w:val="24"/>
        </w:rPr>
        <w:t xml:space="preserve">to </w:t>
      </w:r>
      <w:r>
        <w:rPr>
          <w:sz w:val="24"/>
          <w:szCs w:val="24"/>
          <w:lang w:val="ro-RO"/>
        </w:rPr>
        <w:t xml:space="preserve">pay of the amount of </w:t>
      </w:r>
      <w:r>
        <w:rPr>
          <w:sz w:val="24"/>
          <w:szCs w:val="24"/>
        </w:rPr>
        <w:t xml:space="preserve">RON </w:t>
      </w:r>
      <w:r>
        <w:rPr>
          <w:sz w:val="24"/>
          <w:szCs w:val="24"/>
          <w:lang w:val="ro-RO"/>
        </w:rPr>
        <w:t>487,22</w:t>
      </w:r>
      <w:r>
        <w:rPr>
          <w:sz w:val="24"/>
          <w:szCs w:val="24"/>
        </w:rPr>
        <w:t xml:space="preserve"> </w:t>
      </w:r>
      <w:r>
        <w:rPr>
          <w:sz w:val="24"/>
          <w:szCs w:val="24"/>
          <w:lang w:val="ro-RO"/>
        </w:rPr>
        <w:t xml:space="preserve">representing the </w:t>
      </w:r>
      <w:r>
        <w:rPr>
          <w:sz w:val="24"/>
          <w:szCs w:val="24"/>
        </w:rPr>
        <w:t xml:space="preserve">consideration </w:t>
      </w:r>
      <w:r>
        <w:rPr>
          <w:sz w:val="24"/>
          <w:szCs w:val="24"/>
          <w:lang w:val="ro-RO"/>
        </w:rPr>
        <w:t xml:space="preserve">of the authorization of location no. 310/04.07.2014 plus costs. The reasons for the request of summoning the </w:t>
      </w:r>
      <w:r>
        <w:rPr>
          <w:sz w:val="24"/>
          <w:szCs w:val="24"/>
        </w:rPr>
        <w:t>sentence</w:t>
      </w:r>
      <w:r>
        <w:rPr>
          <w:sz w:val="24"/>
          <w:szCs w:val="24"/>
          <w:lang w:val="ro-RO"/>
        </w:rPr>
        <w:t xml:space="preserve"> shall be based on the grounds that our </w:t>
      </w:r>
      <w:r>
        <w:rPr>
          <w:sz w:val="24"/>
          <w:szCs w:val="24"/>
        </w:rPr>
        <w:t xml:space="preserve">company </w:t>
      </w:r>
      <w:r>
        <w:rPr>
          <w:sz w:val="24"/>
          <w:szCs w:val="24"/>
          <w:lang w:val="ro-RO"/>
        </w:rPr>
        <w:t xml:space="preserve">has requested authorization for placement and execution of works of "Crude oil pipe Replacement Lucacesti - Vermesti - Darmanesti oil refinery, in the area of the traverse vent CF - halt Vasiesti, on a length of 1,1 km, </w:t>
      </w:r>
      <w:r>
        <w:rPr>
          <w:sz w:val="24"/>
          <w:szCs w:val="24"/>
        </w:rPr>
        <w:t>city of</w:t>
      </w:r>
      <w:r>
        <w:rPr>
          <w:sz w:val="24"/>
          <w:szCs w:val="24"/>
          <w:lang w:val="ro-RO"/>
        </w:rPr>
        <w:t xml:space="preserve"> Moinesti, </w:t>
      </w:r>
      <w:r>
        <w:rPr>
          <w:sz w:val="24"/>
          <w:szCs w:val="24"/>
        </w:rPr>
        <w:t>county</w:t>
      </w:r>
      <w:r>
        <w:rPr>
          <w:sz w:val="24"/>
          <w:szCs w:val="24"/>
          <w:lang w:val="ro-RO"/>
        </w:rPr>
        <w:t xml:space="preserve"> Bacau"- </w:t>
      </w:r>
      <w:r>
        <w:rPr>
          <w:sz w:val="24"/>
          <w:szCs w:val="24"/>
        </w:rPr>
        <w:t xml:space="preserve">undercrossing </w:t>
      </w:r>
      <w:r>
        <w:rPr>
          <w:sz w:val="24"/>
          <w:szCs w:val="24"/>
          <w:lang w:val="ro-RO"/>
        </w:rPr>
        <w:t xml:space="preserve">DN 2G with natural gas pipeline in the area DN 2G Km 51+261, </w:t>
      </w:r>
      <w:r>
        <w:rPr>
          <w:sz w:val="24"/>
          <w:szCs w:val="24"/>
        </w:rPr>
        <w:t xml:space="preserve">city of </w:t>
      </w:r>
      <w:r>
        <w:rPr>
          <w:sz w:val="24"/>
          <w:szCs w:val="24"/>
          <w:lang w:val="ro-RO"/>
        </w:rPr>
        <w:t xml:space="preserve">Moinesti, </w:t>
      </w:r>
      <w:r>
        <w:rPr>
          <w:sz w:val="24"/>
          <w:szCs w:val="24"/>
        </w:rPr>
        <w:t>county</w:t>
      </w:r>
      <w:r>
        <w:rPr>
          <w:sz w:val="24"/>
          <w:szCs w:val="24"/>
          <w:lang w:val="ro-RO"/>
        </w:rPr>
        <w:t xml:space="preserve"> Bacau, refusing to pay the invoice No. 3630/13.11/2014 </w:t>
      </w:r>
      <w:r>
        <w:rPr>
          <w:sz w:val="24"/>
          <w:szCs w:val="24"/>
        </w:rPr>
        <w:t xml:space="preserve">leading to abandoning </w:t>
      </w:r>
      <w:r>
        <w:rPr>
          <w:sz w:val="24"/>
          <w:szCs w:val="24"/>
          <w:lang w:val="ro-RO"/>
        </w:rPr>
        <w:t>the project.</w:t>
      </w:r>
    </w:p>
    <w:p w:rsidR="00452793" w:rsidRDefault="00452793" w:rsidP="00452793">
      <w:pPr>
        <w:jc w:val="both"/>
        <w:rPr>
          <w:sz w:val="24"/>
          <w:szCs w:val="24"/>
          <w:lang w:val="ro-RO"/>
        </w:rPr>
      </w:pPr>
      <w:r>
        <w:rPr>
          <w:b/>
          <w:sz w:val="24"/>
          <w:szCs w:val="24"/>
        </w:rPr>
        <w:t>Clarifications</w:t>
      </w:r>
      <w:r>
        <w:rPr>
          <w:b/>
          <w:sz w:val="24"/>
          <w:szCs w:val="24"/>
          <w:lang w:val="ro-RO"/>
        </w:rPr>
        <w:t>:</w:t>
      </w:r>
      <w:r>
        <w:rPr>
          <w:sz w:val="24"/>
          <w:szCs w:val="24"/>
          <w:lang w:val="ro-RO"/>
        </w:rPr>
        <w:t> Through the </w:t>
      </w:r>
      <w:r>
        <w:rPr>
          <w:b/>
          <w:sz w:val="24"/>
          <w:szCs w:val="24"/>
        </w:rPr>
        <w:t>order</w:t>
      </w:r>
      <w:r>
        <w:rPr>
          <w:b/>
          <w:sz w:val="24"/>
          <w:szCs w:val="24"/>
          <w:lang w:val="ro-RO"/>
        </w:rPr>
        <w:t xml:space="preserve"> no. </w:t>
      </w:r>
      <w:r>
        <w:rPr>
          <w:b/>
          <w:sz w:val="24"/>
          <w:szCs w:val="24"/>
        </w:rPr>
        <w:t>3632/27.04.2018</w:t>
      </w:r>
      <w:r>
        <w:rPr>
          <w:sz w:val="24"/>
          <w:szCs w:val="24"/>
          <w:lang w:val="ro-RO"/>
        </w:rPr>
        <w:t xml:space="preserve"> Ploiesti Court </w:t>
      </w:r>
      <w:proofErr w:type="gramStart"/>
      <w:r>
        <w:rPr>
          <w:sz w:val="24"/>
          <w:szCs w:val="24"/>
          <w:lang w:val="ro-RO"/>
        </w:rPr>
        <w:t>rejected</w:t>
      </w:r>
      <w:r>
        <w:rPr>
          <w:sz w:val="24"/>
          <w:szCs w:val="24"/>
        </w:rPr>
        <w:t xml:space="preserve"> </w:t>
      </w:r>
      <w:r>
        <w:rPr>
          <w:sz w:val="24"/>
          <w:szCs w:val="24"/>
          <w:lang w:val="ro-RO"/>
        </w:rPr>
        <w:t xml:space="preserve"> </w:t>
      </w:r>
      <w:r>
        <w:rPr>
          <w:sz w:val="24"/>
          <w:szCs w:val="24"/>
        </w:rPr>
        <w:t>the</w:t>
      </w:r>
      <w:proofErr w:type="gramEnd"/>
      <w:r>
        <w:rPr>
          <w:sz w:val="24"/>
          <w:szCs w:val="24"/>
        </w:rPr>
        <w:t xml:space="preserve"> plea </w:t>
      </w:r>
      <w:r>
        <w:rPr>
          <w:sz w:val="24"/>
          <w:szCs w:val="24"/>
          <w:lang w:val="ro-RO"/>
        </w:rPr>
        <w:t xml:space="preserve">for the lack of ability to use C.N.A.I.R. S.A. by regional roads and bridges in Iasi, Conpet invoked by the defendant. Accepts the request of the Summoning in court having as its object the claims made by the </w:t>
      </w:r>
      <w:r>
        <w:rPr>
          <w:sz w:val="24"/>
          <w:szCs w:val="24"/>
        </w:rPr>
        <w:t>plaintiff</w:t>
      </w:r>
      <w:r>
        <w:rPr>
          <w:sz w:val="24"/>
          <w:szCs w:val="24"/>
          <w:lang w:val="ro-RO"/>
        </w:rPr>
        <w:t xml:space="preserve"> C.N.A.I.R. S.A. byDirecția Regională Drumuri și Poduri Iași</w:t>
      </w:r>
      <w:r>
        <w:rPr>
          <w:sz w:val="24"/>
          <w:szCs w:val="24"/>
        </w:rPr>
        <w:t xml:space="preserve">, </w:t>
      </w:r>
      <w:r>
        <w:rPr>
          <w:sz w:val="24"/>
          <w:szCs w:val="24"/>
          <w:lang w:val="ro-RO"/>
        </w:rPr>
        <w:t xml:space="preserve">Conpet arguing with the defendant. </w:t>
      </w:r>
      <w:r>
        <w:rPr>
          <w:sz w:val="24"/>
          <w:szCs w:val="24"/>
        </w:rPr>
        <w:t xml:space="preserve">It ordered </w:t>
      </w:r>
      <w:r>
        <w:rPr>
          <w:sz w:val="24"/>
          <w:szCs w:val="24"/>
          <w:lang w:val="ro-RO"/>
        </w:rPr>
        <w:t xml:space="preserve">the defendant to pay the </w:t>
      </w:r>
      <w:r>
        <w:rPr>
          <w:sz w:val="24"/>
          <w:szCs w:val="24"/>
        </w:rPr>
        <w:t>plaintiff</w:t>
      </w:r>
      <w:r>
        <w:rPr>
          <w:sz w:val="24"/>
          <w:szCs w:val="24"/>
          <w:lang w:val="ro-RO"/>
        </w:rPr>
        <w:t xml:space="preserve"> the amount of </w:t>
      </w:r>
      <w:r>
        <w:rPr>
          <w:sz w:val="24"/>
          <w:szCs w:val="24"/>
        </w:rPr>
        <w:t xml:space="preserve">RON </w:t>
      </w:r>
      <w:r>
        <w:rPr>
          <w:sz w:val="24"/>
          <w:szCs w:val="24"/>
          <w:lang w:val="ro-RO"/>
        </w:rPr>
        <w:t>487</w:t>
      </w:r>
      <w:proofErr w:type="gramStart"/>
      <w:r>
        <w:rPr>
          <w:sz w:val="24"/>
          <w:szCs w:val="24"/>
          <w:lang w:val="ro-RO"/>
        </w:rPr>
        <w:t>,22</w:t>
      </w:r>
      <w:proofErr w:type="gramEnd"/>
      <w:r>
        <w:rPr>
          <w:sz w:val="24"/>
          <w:szCs w:val="24"/>
        </w:rPr>
        <w:t xml:space="preserve"> </w:t>
      </w:r>
      <w:r>
        <w:rPr>
          <w:sz w:val="24"/>
          <w:szCs w:val="24"/>
          <w:lang w:val="ro-RO"/>
        </w:rPr>
        <w:t xml:space="preserve">representing </w:t>
      </w:r>
      <w:r>
        <w:rPr>
          <w:sz w:val="24"/>
          <w:szCs w:val="24"/>
        </w:rPr>
        <w:t xml:space="preserve">consideration for </w:t>
      </w:r>
      <w:r>
        <w:rPr>
          <w:sz w:val="24"/>
          <w:szCs w:val="24"/>
          <w:lang w:val="ro-RO"/>
        </w:rPr>
        <w:t xml:space="preserve">authorization no. 310/04.07.2014. </w:t>
      </w:r>
      <w:proofErr w:type="gramStart"/>
      <w:r>
        <w:rPr>
          <w:sz w:val="24"/>
          <w:szCs w:val="24"/>
        </w:rPr>
        <w:t>it</w:t>
      </w:r>
      <w:proofErr w:type="gramEnd"/>
      <w:r>
        <w:rPr>
          <w:sz w:val="24"/>
          <w:szCs w:val="24"/>
        </w:rPr>
        <w:t xml:space="preserve"> orders </w:t>
      </w:r>
      <w:r>
        <w:rPr>
          <w:sz w:val="24"/>
          <w:szCs w:val="24"/>
          <w:lang w:val="ro-RO"/>
        </w:rPr>
        <w:t xml:space="preserve">the defendant to pay the </w:t>
      </w:r>
      <w:r>
        <w:rPr>
          <w:sz w:val="24"/>
          <w:szCs w:val="24"/>
        </w:rPr>
        <w:t>plaintiff</w:t>
      </w:r>
      <w:r>
        <w:rPr>
          <w:sz w:val="24"/>
          <w:szCs w:val="24"/>
          <w:lang w:val="ro-RO"/>
        </w:rPr>
        <w:t xml:space="preserve"> of the court costs in the amount of EUR 38,97 representing the stamp tax. The </w:t>
      </w:r>
      <w:r>
        <w:rPr>
          <w:sz w:val="24"/>
          <w:szCs w:val="24"/>
        </w:rPr>
        <w:t xml:space="preserve">sentence was appealed by </w:t>
      </w:r>
      <w:r>
        <w:rPr>
          <w:sz w:val="24"/>
          <w:szCs w:val="24"/>
          <w:lang w:val="ro-RO"/>
        </w:rPr>
        <w:t>Conpet. </w:t>
      </w:r>
    </w:p>
    <w:p w:rsidR="00452793" w:rsidRDefault="00452793" w:rsidP="00452793">
      <w:pPr>
        <w:jc w:val="both"/>
        <w:rPr>
          <w:sz w:val="24"/>
          <w:szCs w:val="24"/>
          <w:lang w:val="ro-RO"/>
        </w:rPr>
      </w:pPr>
      <w:r>
        <w:rPr>
          <w:b/>
          <w:sz w:val="24"/>
          <w:szCs w:val="24"/>
          <w:lang w:val="ro-RO"/>
        </w:rPr>
        <w:t>Stage process: </w:t>
      </w:r>
      <w:r>
        <w:rPr>
          <w:sz w:val="24"/>
          <w:szCs w:val="24"/>
          <w:lang w:val="ro-RO"/>
        </w:rPr>
        <w:t>--</w:t>
      </w:r>
    </w:p>
    <w:p w:rsidR="00452793" w:rsidRDefault="00452793" w:rsidP="00452793">
      <w:pPr>
        <w:jc w:val="both"/>
        <w:rPr>
          <w:sz w:val="24"/>
          <w:szCs w:val="24"/>
          <w:lang w:val="ro-RO"/>
        </w:rPr>
      </w:pPr>
      <w:r>
        <w:rPr>
          <w:b/>
          <w:sz w:val="24"/>
          <w:szCs w:val="24"/>
          <w:lang w:val="ro-RO"/>
        </w:rPr>
        <w:lastRenderedPageBreak/>
        <w:t>Period: </w:t>
      </w:r>
      <w:r>
        <w:rPr>
          <w:sz w:val="24"/>
          <w:szCs w:val="24"/>
          <w:lang w:val="ro-RO"/>
        </w:rPr>
        <w:t>--</w:t>
      </w:r>
    </w:p>
    <w:p w:rsidR="00452793" w:rsidRDefault="00452793" w:rsidP="00452793">
      <w:pPr>
        <w:jc w:val="both"/>
        <w:rPr>
          <w:b/>
          <w:sz w:val="24"/>
          <w:szCs w:val="24"/>
          <w:lang w:val="ro-RO"/>
        </w:rPr>
      </w:pPr>
    </w:p>
    <w:p w:rsidR="00452793" w:rsidRDefault="00452793" w:rsidP="00452793">
      <w:pPr>
        <w:jc w:val="both"/>
        <w:rPr>
          <w:b/>
          <w:color w:val="FF0000"/>
          <w:sz w:val="24"/>
          <w:szCs w:val="24"/>
          <w:lang w:val="ro-RO"/>
        </w:rPr>
      </w:pPr>
    </w:p>
    <w:p w:rsidR="00452793" w:rsidRDefault="00452793" w:rsidP="00452793">
      <w:pPr>
        <w:jc w:val="both"/>
        <w:rPr>
          <w:b/>
          <w:sz w:val="24"/>
          <w:szCs w:val="24"/>
        </w:rPr>
      </w:pPr>
      <w:r>
        <w:rPr>
          <w:b/>
          <w:sz w:val="24"/>
          <w:szCs w:val="24"/>
        </w:rPr>
        <w:t xml:space="preserve">15. The file No 220/262/2017 - Moreni Courthouse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Chivu Ion - the plaintiff</w:t>
      </w:r>
    </w:p>
    <w:p w:rsidR="00452793" w:rsidRDefault="00452793" w:rsidP="00452793">
      <w:pPr>
        <w:jc w:val="both"/>
        <w:rPr>
          <w:sz w:val="24"/>
          <w:szCs w:val="24"/>
        </w:rPr>
      </w:pPr>
      <w:r>
        <w:rPr>
          <w:b/>
          <w:sz w:val="24"/>
          <w:szCs w:val="24"/>
        </w:rPr>
        <w:t>Subject</w:t>
      </w:r>
      <w:r>
        <w:rPr>
          <w:sz w:val="24"/>
          <w:szCs w:val="24"/>
        </w:rPr>
        <w:t>: Chivu Ion has filed for a trial requesting the court to have:</w:t>
      </w:r>
    </w:p>
    <w:p w:rsidR="00452793" w:rsidRDefault="00452793" w:rsidP="00452793">
      <w:pPr>
        <w:jc w:val="both"/>
        <w:rPr>
          <w:sz w:val="24"/>
          <w:szCs w:val="24"/>
        </w:rPr>
      </w:pPr>
      <w:r>
        <w:rPr>
          <w:sz w:val="24"/>
          <w:szCs w:val="24"/>
        </w:rPr>
        <w:t>- The order for Conpet to disrupt the oil pipe passing through the land in his property, with the area of 1.753 sqm in Ocnita, located in the T14, P114</w:t>
      </w:r>
      <w:proofErr w:type="gramStart"/>
      <w:r>
        <w:rPr>
          <w:sz w:val="24"/>
          <w:szCs w:val="24"/>
        </w:rPr>
        <w:t>;</w:t>
      </w:r>
      <w:proofErr w:type="gramEnd"/>
    </w:p>
    <w:p w:rsidR="00452793" w:rsidRDefault="00452793" w:rsidP="00452793">
      <w:pPr>
        <w:jc w:val="both"/>
        <w:rPr>
          <w:sz w:val="24"/>
          <w:szCs w:val="24"/>
        </w:rPr>
      </w:pPr>
      <w:r>
        <w:rPr>
          <w:sz w:val="24"/>
          <w:szCs w:val="24"/>
        </w:rPr>
        <w:t xml:space="preserve">- The establishment of acces site with the obligation of Conpet to the payment of annual rente concerned for both the path of access and for the </w:t>
      </w:r>
      <w:proofErr w:type="gramStart"/>
      <w:r>
        <w:rPr>
          <w:sz w:val="24"/>
          <w:szCs w:val="24"/>
        </w:rPr>
        <w:t>pipe</w:t>
      </w:r>
      <w:proofErr w:type="gramEnd"/>
      <w:r>
        <w:rPr>
          <w:sz w:val="24"/>
          <w:szCs w:val="24"/>
        </w:rPr>
        <w:t xml:space="preserve"> that produces injury of the terrain;</w:t>
      </w:r>
    </w:p>
    <w:p w:rsidR="00452793" w:rsidRDefault="00452793" w:rsidP="00452793">
      <w:pPr>
        <w:jc w:val="both"/>
        <w:rPr>
          <w:sz w:val="24"/>
          <w:szCs w:val="24"/>
        </w:rPr>
      </w:pPr>
      <w:r>
        <w:rPr>
          <w:sz w:val="24"/>
          <w:szCs w:val="24"/>
        </w:rPr>
        <w:t>- Compensation for the land affected by the pipe. </w:t>
      </w:r>
    </w:p>
    <w:p w:rsidR="00452793" w:rsidRDefault="00452793" w:rsidP="00452793">
      <w:pPr>
        <w:jc w:val="both"/>
        <w:rPr>
          <w:sz w:val="24"/>
          <w:szCs w:val="24"/>
        </w:rPr>
      </w:pPr>
      <w:r>
        <w:rPr>
          <w:sz w:val="24"/>
          <w:szCs w:val="24"/>
        </w:rPr>
        <w:t>Stage of trial: First instance:</w:t>
      </w:r>
    </w:p>
    <w:p w:rsidR="00452793" w:rsidRDefault="00452793" w:rsidP="00452793">
      <w:pPr>
        <w:jc w:val="both"/>
        <w:rPr>
          <w:sz w:val="24"/>
          <w:szCs w:val="24"/>
        </w:rPr>
      </w:pPr>
      <w:r>
        <w:rPr>
          <w:sz w:val="24"/>
          <w:szCs w:val="24"/>
        </w:rPr>
        <w:t>Hearing: </w:t>
      </w:r>
      <w:proofErr w:type="gramStart"/>
      <w:r>
        <w:rPr>
          <w:sz w:val="24"/>
          <w:szCs w:val="24"/>
        </w:rPr>
        <w:t>21</w:t>
      </w:r>
      <w:r>
        <w:rPr>
          <w:sz w:val="24"/>
          <w:szCs w:val="24"/>
          <w:vertAlign w:val="superscript"/>
        </w:rPr>
        <w:t>st</w:t>
      </w:r>
      <w:proofErr w:type="gramEnd"/>
      <w:r>
        <w:rPr>
          <w:sz w:val="24"/>
          <w:szCs w:val="24"/>
        </w:rPr>
        <w:t xml:space="preserve"> Aug 2018 </w:t>
      </w:r>
    </w:p>
    <w:p w:rsidR="00452793" w:rsidRDefault="00452793" w:rsidP="00452793">
      <w:pPr>
        <w:jc w:val="both"/>
        <w:rPr>
          <w:sz w:val="24"/>
          <w:szCs w:val="24"/>
        </w:rPr>
      </w:pPr>
    </w:p>
    <w:p w:rsidR="00452793" w:rsidRDefault="00452793" w:rsidP="00452793">
      <w:pPr>
        <w:jc w:val="both"/>
        <w:rPr>
          <w:b/>
          <w:sz w:val="24"/>
          <w:szCs w:val="24"/>
        </w:rPr>
      </w:pPr>
      <w:r>
        <w:rPr>
          <w:b/>
          <w:sz w:val="24"/>
          <w:szCs w:val="24"/>
        </w:rPr>
        <w:t>16. The file no. 1268/302/2018 (8047/302/2017) - the Bucharest Court </w:t>
      </w:r>
    </w:p>
    <w:p w:rsidR="00452793" w:rsidRDefault="00452793" w:rsidP="00452793">
      <w:pPr>
        <w:jc w:val="both"/>
        <w:rPr>
          <w:sz w:val="24"/>
          <w:szCs w:val="24"/>
        </w:rPr>
      </w:pPr>
      <w:r>
        <w:rPr>
          <w:b/>
          <w:sz w:val="24"/>
          <w:szCs w:val="24"/>
        </w:rPr>
        <w:t>The parties:</w:t>
      </w:r>
      <w:r>
        <w:rPr>
          <w:sz w:val="24"/>
          <w:szCs w:val="24"/>
        </w:rPr>
        <w:t xml:space="preserve"> Conpet - respondent </w:t>
      </w:r>
    </w:p>
    <w:p w:rsidR="00452793" w:rsidRDefault="00452793" w:rsidP="00452793">
      <w:pPr>
        <w:jc w:val="both"/>
        <w:rPr>
          <w:sz w:val="24"/>
          <w:szCs w:val="24"/>
        </w:rPr>
      </w:pPr>
      <w:r>
        <w:rPr>
          <w:sz w:val="24"/>
          <w:szCs w:val="24"/>
        </w:rPr>
        <w:t>            Dobrogeanu Păun Ioan - complainant</w:t>
      </w:r>
    </w:p>
    <w:p w:rsidR="00452793" w:rsidRDefault="00452793" w:rsidP="00452793">
      <w:pPr>
        <w:jc w:val="both"/>
        <w:rPr>
          <w:sz w:val="24"/>
          <w:szCs w:val="24"/>
        </w:rPr>
      </w:pPr>
      <w:proofErr w:type="gramStart"/>
      <w:r>
        <w:rPr>
          <w:b/>
          <w:sz w:val="24"/>
          <w:szCs w:val="24"/>
        </w:rPr>
        <w:t>Subject: </w:t>
      </w:r>
      <w:r>
        <w:rPr>
          <w:sz w:val="24"/>
          <w:szCs w:val="24"/>
        </w:rPr>
        <w:t>Dobogeanu Paun Ioan appeals against the enforcement of the acts of enforcement issued in the execution files no. 10/2013 of the BEJ Raduta Nicoleta at Conpet’s request by which it has requested the setting up of the legal seizure by garnishment on its income which they carried out in the seized third party SC GEGEREUL AGROTRANS SRL and requires the admission of the appeal and cancellation of the conclusion on the setting enforcement costs issued on 01</w:t>
      </w:r>
      <w:r>
        <w:rPr>
          <w:sz w:val="24"/>
          <w:szCs w:val="24"/>
          <w:vertAlign w:val="superscript"/>
        </w:rPr>
        <w:t>st</w:t>
      </w:r>
      <w:r>
        <w:rPr>
          <w:sz w:val="24"/>
          <w:szCs w:val="24"/>
        </w:rPr>
        <w:t xml:space="preserve"> March 2017 for the sum of RON 1.381,11.</w:t>
      </w:r>
      <w:proofErr w:type="gramEnd"/>
    </w:p>
    <w:p w:rsidR="00452793" w:rsidRDefault="00452793" w:rsidP="00452793">
      <w:pPr>
        <w:jc w:val="both"/>
        <w:rPr>
          <w:sz w:val="24"/>
          <w:szCs w:val="24"/>
        </w:rPr>
      </w:pPr>
      <w:r>
        <w:rPr>
          <w:b/>
          <w:sz w:val="24"/>
          <w:szCs w:val="24"/>
        </w:rPr>
        <w:t>Clarifications:</w:t>
      </w:r>
      <w:r>
        <w:rPr>
          <w:sz w:val="24"/>
          <w:szCs w:val="24"/>
        </w:rPr>
        <w:t> by the </w:t>
      </w:r>
      <w:r>
        <w:rPr>
          <w:b/>
          <w:sz w:val="24"/>
          <w:szCs w:val="24"/>
        </w:rPr>
        <w:t>sentence of the</w:t>
      </w:r>
      <w:r>
        <w:rPr>
          <w:sz w:val="24"/>
          <w:szCs w:val="24"/>
        </w:rPr>
        <w:t> Sector 5 Bucharest Court of Law No. 4933/</w:t>
      </w:r>
      <w:proofErr w:type="gramStart"/>
      <w:r>
        <w:rPr>
          <w:sz w:val="24"/>
          <w:szCs w:val="24"/>
        </w:rPr>
        <w:t>30.06.2017  admitted</w:t>
      </w:r>
      <w:proofErr w:type="gramEnd"/>
      <w:r>
        <w:rPr>
          <w:sz w:val="24"/>
          <w:szCs w:val="24"/>
        </w:rPr>
        <w:t xml:space="preserve"> the plea of incompetence for the territorial court in Sector 5 Bucharest invoked by the court ex officio. It rejects in the Courthouse Sector 6 Bucharest the question having as its object the appeal to the enforcement.  </w:t>
      </w:r>
    </w:p>
    <w:p w:rsidR="00452793" w:rsidRDefault="00452793" w:rsidP="00452793">
      <w:pPr>
        <w:jc w:val="both"/>
        <w:rPr>
          <w:sz w:val="24"/>
          <w:szCs w:val="24"/>
        </w:rPr>
      </w:pPr>
      <w:r>
        <w:rPr>
          <w:sz w:val="24"/>
          <w:szCs w:val="24"/>
        </w:rPr>
        <w:t>The Bucharest 5th district Court admits the plea for territoral incompetence related to Bucharest 6th district Court invoked ex officio. By </w:t>
      </w:r>
      <w:r>
        <w:rPr>
          <w:b/>
          <w:sz w:val="24"/>
          <w:szCs w:val="24"/>
        </w:rPr>
        <w:t xml:space="preserve">Decision </w:t>
      </w:r>
      <w:proofErr w:type="gramStart"/>
      <w:r>
        <w:rPr>
          <w:b/>
          <w:sz w:val="24"/>
          <w:szCs w:val="24"/>
        </w:rPr>
        <w:t>No</w:t>
      </w:r>
      <w:proofErr w:type="gramEnd"/>
      <w:r>
        <w:rPr>
          <w:b/>
          <w:sz w:val="24"/>
          <w:szCs w:val="24"/>
        </w:rPr>
        <w:t xml:space="preserve"> 8520/24.10.2017</w:t>
      </w:r>
      <w:r>
        <w:rPr>
          <w:sz w:val="24"/>
          <w:szCs w:val="24"/>
        </w:rPr>
        <w:t> the District 6 Bucharest Court rejects jurisdiction in the request filed by the complainant Dobrogeanu Paun Ioan arguing with Conpet, in favor of the 5th district of Bucharest. It notes negative conflict of competence and suspends the trial of the case ex officio. The file submitted in order to solve the conflict of Bucharest Court - file no 41964/3/2017. By the </w:t>
      </w:r>
      <w:r>
        <w:rPr>
          <w:b/>
          <w:sz w:val="24"/>
          <w:szCs w:val="24"/>
        </w:rPr>
        <w:t xml:space="preserve">award </w:t>
      </w:r>
      <w:proofErr w:type="gramStart"/>
      <w:r>
        <w:rPr>
          <w:b/>
          <w:sz w:val="24"/>
          <w:szCs w:val="24"/>
        </w:rPr>
        <w:t>No.</w:t>
      </w:r>
      <w:proofErr w:type="gramEnd"/>
      <w:r>
        <w:rPr>
          <w:b/>
          <w:sz w:val="24"/>
          <w:szCs w:val="24"/>
        </w:rPr>
        <w:t xml:space="preserve"> 1728/28.11.2017</w:t>
      </w:r>
      <w:r>
        <w:rPr>
          <w:sz w:val="24"/>
          <w:szCs w:val="24"/>
        </w:rPr>
        <w:t> the Bucharest Court establishes the competence of resolving the opposition to execution in favor of the 5th district of Bucharest. It immediately sends the file to this court, to the competent authority the settlement. Final. The file receives the number 1268/302/2018 in courthouse of District 5 Bucharest.</w:t>
      </w:r>
    </w:p>
    <w:p w:rsidR="00452793" w:rsidRDefault="00452793" w:rsidP="00452793">
      <w:pPr>
        <w:jc w:val="both"/>
        <w:rPr>
          <w:sz w:val="24"/>
          <w:szCs w:val="24"/>
        </w:rPr>
      </w:pPr>
      <w:r>
        <w:rPr>
          <w:sz w:val="24"/>
          <w:szCs w:val="24"/>
        </w:rPr>
        <w:t>By the </w:t>
      </w:r>
      <w:r>
        <w:rPr>
          <w:b/>
          <w:sz w:val="24"/>
          <w:szCs w:val="24"/>
        </w:rPr>
        <w:t xml:space="preserve">order </w:t>
      </w:r>
      <w:proofErr w:type="gramStart"/>
      <w:r>
        <w:rPr>
          <w:b/>
          <w:sz w:val="24"/>
          <w:szCs w:val="24"/>
        </w:rPr>
        <w:t>no.</w:t>
      </w:r>
      <w:proofErr w:type="gramEnd"/>
      <w:r>
        <w:rPr>
          <w:b/>
          <w:sz w:val="24"/>
          <w:szCs w:val="24"/>
        </w:rPr>
        <w:t xml:space="preserve"> 1837/02.03.2018</w:t>
      </w:r>
      <w:r>
        <w:rPr>
          <w:sz w:val="24"/>
          <w:szCs w:val="24"/>
        </w:rPr>
        <w:t xml:space="preserve"> District 5 Bucharest court shall reject the opposition to the enforcement made against the conclusion on the Supplement the expenditure of execution issued on 01.03.2017 in the case of enforcement 10/2013 of the BEJ Raduta Nicoleta, as unfounded. The complainant orders the respondent to pay the amount of RON 200 representing the consideration with lawyer fee. </w:t>
      </w:r>
      <w:proofErr w:type="gramStart"/>
      <w:r>
        <w:rPr>
          <w:sz w:val="24"/>
          <w:szCs w:val="24"/>
        </w:rPr>
        <w:t>The sentence was appealed by Dobrogeanu Paun John</w:t>
      </w:r>
      <w:proofErr w:type="gramEnd"/>
      <w:r>
        <w:rPr>
          <w:sz w:val="24"/>
          <w:szCs w:val="24"/>
        </w:rPr>
        <w:t>. </w:t>
      </w:r>
      <w:r>
        <w:rPr>
          <w:sz w:val="24"/>
          <w:szCs w:val="24"/>
        </w:rPr>
        <w:br/>
        <w:t> Stage of trial: Appeal</w:t>
      </w:r>
    </w:p>
    <w:p w:rsidR="00452793" w:rsidRDefault="00452793" w:rsidP="00452793">
      <w:pPr>
        <w:jc w:val="both"/>
        <w:rPr>
          <w:sz w:val="24"/>
          <w:szCs w:val="24"/>
        </w:rPr>
      </w:pPr>
      <w:r>
        <w:rPr>
          <w:b/>
          <w:sz w:val="24"/>
          <w:szCs w:val="24"/>
        </w:rPr>
        <w:t>Hearing: </w:t>
      </w:r>
      <w:r>
        <w:rPr>
          <w:sz w:val="24"/>
          <w:szCs w:val="24"/>
        </w:rPr>
        <w:t>--</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bCs/>
          <w:sz w:val="24"/>
          <w:szCs w:val="24"/>
        </w:rPr>
      </w:pPr>
      <w:r>
        <w:rPr>
          <w:b/>
          <w:sz w:val="24"/>
          <w:szCs w:val="24"/>
        </w:rPr>
        <w:lastRenderedPageBreak/>
        <w:t>17. </w:t>
      </w:r>
      <w:r>
        <w:rPr>
          <w:b/>
          <w:bCs/>
          <w:sz w:val="24"/>
          <w:szCs w:val="24"/>
        </w:rPr>
        <w:t>The file no. 9919/281/2017 - Ploiesti Court  </w:t>
      </w:r>
    </w:p>
    <w:p w:rsidR="00452793" w:rsidRDefault="00452793" w:rsidP="00452793">
      <w:pPr>
        <w:jc w:val="both"/>
        <w:rPr>
          <w:bCs/>
          <w:sz w:val="24"/>
          <w:szCs w:val="24"/>
        </w:rPr>
      </w:pPr>
      <w:r>
        <w:rPr>
          <w:b/>
          <w:bCs/>
          <w:sz w:val="24"/>
          <w:szCs w:val="24"/>
        </w:rPr>
        <w:t>The parties: The </w:t>
      </w:r>
      <w:r>
        <w:rPr>
          <w:bCs/>
          <w:sz w:val="24"/>
          <w:szCs w:val="24"/>
        </w:rPr>
        <w:t>Company Litex Impex SRL - complainant</w:t>
      </w:r>
    </w:p>
    <w:p w:rsidR="00452793" w:rsidRDefault="00452793" w:rsidP="00452793">
      <w:pPr>
        <w:jc w:val="both"/>
        <w:rPr>
          <w:bCs/>
          <w:sz w:val="24"/>
          <w:szCs w:val="24"/>
        </w:rPr>
      </w:pPr>
      <w:r>
        <w:rPr>
          <w:bCs/>
          <w:sz w:val="24"/>
          <w:szCs w:val="24"/>
        </w:rPr>
        <w:t>           ASSET LEASING IFN-respondent  </w:t>
      </w:r>
    </w:p>
    <w:p w:rsidR="00452793" w:rsidRDefault="00452793" w:rsidP="00452793">
      <w:pPr>
        <w:jc w:val="both"/>
        <w:rPr>
          <w:bCs/>
          <w:sz w:val="24"/>
          <w:szCs w:val="24"/>
        </w:rPr>
      </w:pPr>
      <w:r>
        <w:rPr>
          <w:bCs/>
          <w:sz w:val="24"/>
          <w:szCs w:val="24"/>
        </w:rPr>
        <w:t xml:space="preserve">           ACON BUSINESS SOLUTION SRL - Seized Third Party </w:t>
      </w:r>
    </w:p>
    <w:p w:rsidR="00452793" w:rsidRDefault="00452793" w:rsidP="00452793">
      <w:pPr>
        <w:jc w:val="both"/>
        <w:rPr>
          <w:bCs/>
          <w:sz w:val="24"/>
          <w:szCs w:val="24"/>
        </w:rPr>
      </w:pPr>
      <w:r>
        <w:rPr>
          <w:bCs/>
          <w:sz w:val="24"/>
          <w:szCs w:val="24"/>
        </w:rPr>
        <w:t xml:space="preserve">           ALCOPROD SERVICE - Seized Third Party  </w:t>
      </w:r>
    </w:p>
    <w:p w:rsidR="00452793" w:rsidRDefault="00452793" w:rsidP="00452793">
      <w:pPr>
        <w:jc w:val="both"/>
        <w:rPr>
          <w:bCs/>
          <w:sz w:val="24"/>
          <w:szCs w:val="24"/>
        </w:rPr>
      </w:pPr>
      <w:r>
        <w:rPr>
          <w:bCs/>
          <w:sz w:val="24"/>
          <w:szCs w:val="24"/>
        </w:rPr>
        <w:t xml:space="preserve">           The Romanian bank COMERCILA- Seized Third Party </w:t>
      </w:r>
    </w:p>
    <w:p w:rsidR="00452793" w:rsidRDefault="00452793" w:rsidP="00452793">
      <w:pPr>
        <w:jc w:val="both"/>
        <w:rPr>
          <w:bCs/>
          <w:sz w:val="24"/>
          <w:szCs w:val="24"/>
        </w:rPr>
      </w:pPr>
      <w:r>
        <w:rPr>
          <w:bCs/>
          <w:sz w:val="24"/>
          <w:szCs w:val="24"/>
        </w:rPr>
        <w:t xml:space="preserve">           BCR LEASING IFN - Seized Third Party </w:t>
      </w:r>
    </w:p>
    <w:p w:rsidR="00452793" w:rsidRDefault="00452793" w:rsidP="00452793">
      <w:pPr>
        <w:jc w:val="both"/>
        <w:rPr>
          <w:bCs/>
          <w:sz w:val="24"/>
          <w:szCs w:val="24"/>
        </w:rPr>
      </w:pPr>
      <w:r>
        <w:rPr>
          <w:bCs/>
          <w:sz w:val="24"/>
          <w:szCs w:val="24"/>
        </w:rPr>
        <w:t xml:space="preserve">           The Club FARMERS SRL - Seized Third Party </w:t>
      </w:r>
    </w:p>
    <w:p w:rsidR="00452793" w:rsidRDefault="00452793" w:rsidP="00452793">
      <w:pPr>
        <w:jc w:val="both"/>
        <w:rPr>
          <w:bCs/>
          <w:sz w:val="24"/>
          <w:szCs w:val="24"/>
        </w:rPr>
      </w:pPr>
      <w:r>
        <w:rPr>
          <w:bCs/>
          <w:sz w:val="24"/>
          <w:szCs w:val="24"/>
        </w:rPr>
        <w:t xml:space="preserve">           CONPET TO PLOIESTI - Seized Third Party </w:t>
      </w:r>
    </w:p>
    <w:p w:rsidR="00452793" w:rsidRDefault="00452793" w:rsidP="00452793">
      <w:pPr>
        <w:jc w:val="both"/>
        <w:rPr>
          <w:bCs/>
          <w:sz w:val="24"/>
          <w:szCs w:val="24"/>
        </w:rPr>
      </w:pPr>
      <w:r>
        <w:rPr>
          <w:bCs/>
          <w:sz w:val="24"/>
          <w:szCs w:val="24"/>
        </w:rPr>
        <w:t xml:space="preserve">          Regional Directorate General of public finances in Ploiesti - Seized Third Party </w:t>
      </w:r>
    </w:p>
    <w:p w:rsidR="00452793" w:rsidRDefault="00452793" w:rsidP="00452793">
      <w:pPr>
        <w:jc w:val="both"/>
        <w:rPr>
          <w:bCs/>
          <w:sz w:val="24"/>
          <w:szCs w:val="24"/>
        </w:rPr>
      </w:pPr>
      <w:r>
        <w:rPr>
          <w:bCs/>
          <w:sz w:val="24"/>
          <w:szCs w:val="24"/>
        </w:rPr>
        <w:t xml:space="preserve">          The direction of the forestry PRAHOVA - Seized Third Party </w:t>
      </w:r>
    </w:p>
    <w:p w:rsidR="00452793" w:rsidRDefault="00452793" w:rsidP="00452793">
      <w:pPr>
        <w:jc w:val="both"/>
        <w:rPr>
          <w:bCs/>
          <w:sz w:val="24"/>
          <w:szCs w:val="24"/>
        </w:rPr>
      </w:pPr>
      <w:r>
        <w:rPr>
          <w:bCs/>
          <w:sz w:val="24"/>
          <w:szCs w:val="24"/>
        </w:rPr>
        <w:t xml:space="preserve">          FIMPLAST IMPEX SRL - Seized Third Party </w:t>
      </w:r>
    </w:p>
    <w:p w:rsidR="00452793" w:rsidRDefault="00452793" w:rsidP="00452793">
      <w:pPr>
        <w:jc w:val="both"/>
        <w:rPr>
          <w:bCs/>
          <w:sz w:val="24"/>
          <w:szCs w:val="24"/>
        </w:rPr>
      </w:pPr>
      <w:r>
        <w:rPr>
          <w:bCs/>
          <w:sz w:val="24"/>
          <w:szCs w:val="24"/>
        </w:rPr>
        <w:t>          KR ROAD CAR SRL - Seized Third Party   </w:t>
      </w:r>
    </w:p>
    <w:p w:rsidR="00452793" w:rsidRDefault="00452793" w:rsidP="00452793">
      <w:pPr>
        <w:jc w:val="both"/>
        <w:rPr>
          <w:bCs/>
          <w:sz w:val="24"/>
          <w:szCs w:val="24"/>
        </w:rPr>
      </w:pPr>
      <w:r>
        <w:rPr>
          <w:bCs/>
          <w:sz w:val="24"/>
          <w:szCs w:val="24"/>
        </w:rPr>
        <w:t>          MUTTER 2008 SRL - Seized Third Party  </w:t>
      </w:r>
    </w:p>
    <w:p w:rsidR="00452793" w:rsidRDefault="00452793" w:rsidP="00452793">
      <w:pPr>
        <w:jc w:val="both"/>
        <w:rPr>
          <w:bCs/>
          <w:sz w:val="24"/>
          <w:szCs w:val="24"/>
        </w:rPr>
      </w:pPr>
      <w:r>
        <w:rPr>
          <w:bCs/>
          <w:sz w:val="24"/>
          <w:szCs w:val="24"/>
        </w:rPr>
        <w:t xml:space="preserve">          PIRAEUS BANK ROMANIA - Seized Third Party </w:t>
      </w:r>
    </w:p>
    <w:p w:rsidR="00452793" w:rsidRDefault="00452793" w:rsidP="00452793">
      <w:pPr>
        <w:jc w:val="both"/>
        <w:rPr>
          <w:bCs/>
          <w:sz w:val="24"/>
          <w:szCs w:val="24"/>
        </w:rPr>
      </w:pPr>
      <w:r>
        <w:rPr>
          <w:bCs/>
          <w:sz w:val="24"/>
          <w:szCs w:val="24"/>
        </w:rPr>
        <w:t xml:space="preserve">          PRAGOSA ROMANIA SRL - Seized Third Party </w:t>
      </w:r>
    </w:p>
    <w:p w:rsidR="00452793" w:rsidRDefault="00452793" w:rsidP="00452793">
      <w:pPr>
        <w:jc w:val="both"/>
        <w:rPr>
          <w:bCs/>
          <w:sz w:val="24"/>
          <w:szCs w:val="24"/>
        </w:rPr>
      </w:pPr>
      <w:r>
        <w:rPr>
          <w:bCs/>
          <w:sz w:val="24"/>
          <w:szCs w:val="24"/>
        </w:rPr>
        <w:t xml:space="preserve">          RAIFFEISEN BANK TO "Seized Third Party </w:t>
      </w:r>
    </w:p>
    <w:p w:rsidR="00452793" w:rsidRDefault="00452793" w:rsidP="00452793">
      <w:pPr>
        <w:jc w:val="both"/>
        <w:rPr>
          <w:bCs/>
          <w:sz w:val="24"/>
          <w:szCs w:val="24"/>
        </w:rPr>
      </w:pPr>
      <w:r>
        <w:rPr>
          <w:bCs/>
          <w:sz w:val="24"/>
          <w:szCs w:val="24"/>
        </w:rPr>
        <w:t xml:space="preserve">          REDOXIM SRL -Seized Third Party </w:t>
      </w:r>
    </w:p>
    <w:p w:rsidR="00452793" w:rsidRDefault="00452793" w:rsidP="00452793">
      <w:pPr>
        <w:jc w:val="both"/>
        <w:rPr>
          <w:bCs/>
          <w:sz w:val="24"/>
          <w:szCs w:val="24"/>
        </w:rPr>
      </w:pPr>
      <w:r>
        <w:rPr>
          <w:bCs/>
          <w:sz w:val="24"/>
          <w:szCs w:val="24"/>
        </w:rPr>
        <w:t xml:space="preserve">          SARA SRL - Seized Third Party </w:t>
      </w:r>
    </w:p>
    <w:p w:rsidR="00452793" w:rsidRDefault="00452793" w:rsidP="00452793">
      <w:pPr>
        <w:jc w:val="both"/>
        <w:rPr>
          <w:bCs/>
          <w:sz w:val="24"/>
          <w:szCs w:val="24"/>
        </w:rPr>
      </w:pPr>
      <w:r>
        <w:rPr>
          <w:bCs/>
          <w:sz w:val="24"/>
          <w:szCs w:val="24"/>
        </w:rPr>
        <w:t xml:space="preserve">         TRANSPORT PASSENGERS EXPRESS - Seized Third Party </w:t>
      </w:r>
    </w:p>
    <w:p w:rsidR="00452793" w:rsidRDefault="00452793" w:rsidP="00452793">
      <w:pPr>
        <w:jc w:val="both"/>
        <w:rPr>
          <w:bCs/>
          <w:sz w:val="24"/>
          <w:szCs w:val="24"/>
        </w:rPr>
      </w:pPr>
      <w:r>
        <w:rPr>
          <w:bCs/>
          <w:sz w:val="24"/>
          <w:szCs w:val="24"/>
        </w:rPr>
        <w:t xml:space="preserve">         The treasury PLOIESTI - Seized Third Party </w:t>
      </w:r>
    </w:p>
    <w:p w:rsidR="00452793" w:rsidRDefault="00452793" w:rsidP="00452793">
      <w:pPr>
        <w:jc w:val="both"/>
        <w:rPr>
          <w:bCs/>
          <w:sz w:val="24"/>
          <w:szCs w:val="24"/>
        </w:rPr>
      </w:pPr>
      <w:r>
        <w:rPr>
          <w:bCs/>
          <w:sz w:val="24"/>
          <w:szCs w:val="24"/>
        </w:rPr>
        <w:t xml:space="preserve">         TRI FARM SRL - Seized Third Party </w:t>
      </w:r>
    </w:p>
    <w:p w:rsidR="00452793" w:rsidRDefault="00452793" w:rsidP="00452793">
      <w:pPr>
        <w:jc w:val="both"/>
        <w:rPr>
          <w:bCs/>
          <w:sz w:val="24"/>
          <w:szCs w:val="24"/>
        </w:rPr>
      </w:pPr>
      <w:r>
        <w:rPr>
          <w:bCs/>
          <w:sz w:val="24"/>
          <w:szCs w:val="24"/>
        </w:rPr>
        <w:t xml:space="preserve">         UNICREDIT LEASING CORPORATION IFN - Seized Third Party </w:t>
      </w:r>
    </w:p>
    <w:p w:rsidR="00452793" w:rsidRDefault="00452793" w:rsidP="00452793">
      <w:pPr>
        <w:jc w:val="both"/>
        <w:rPr>
          <w:bCs/>
          <w:sz w:val="24"/>
          <w:szCs w:val="24"/>
        </w:rPr>
      </w:pPr>
      <w:r>
        <w:rPr>
          <w:bCs/>
          <w:sz w:val="24"/>
          <w:szCs w:val="24"/>
        </w:rPr>
        <w:t xml:space="preserve">         VEHICLE MANAGEMENT SYSTEM SRL - Seized Third Party </w:t>
      </w:r>
    </w:p>
    <w:p w:rsidR="00452793" w:rsidRDefault="00452793" w:rsidP="00452793">
      <w:pPr>
        <w:jc w:val="both"/>
        <w:rPr>
          <w:bCs/>
          <w:sz w:val="24"/>
          <w:szCs w:val="24"/>
        </w:rPr>
      </w:pPr>
      <w:r>
        <w:rPr>
          <w:bCs/>
          <w:sz w:val="24"/>
          <w:szCs w:val="24"/>
        </w:rPr>
        <w:t xml:space="preserve">         VIORAL INTER SRL - Seized Third Party </w:t>
      </w:r>
    </w:p>
    <w:p w:rsidR="00452793" w:rsidRDefault="00452793" w:rsidP="00452793">
      <w:pPr>
        <w:jc w:val="both"/>
        <w:rPr>
          <w:bCs/>
          <w:sz w:val="24"/>
          <w:szCs w:val="24"/>
        </w:rPr>
      </w:pPr>
      <w:proofErr w:type="gramStart"/>
      <w:r>
        <w:rPr>
          <w:b/>
          <w:bCs/>
          <w:sz w:val="24"/>
          <w:szCs w:val="24"/>
        </w:rPr>
        <w:t>Subject:</w:t>
      </w:r>
      <w:proofErr w:type="gramEnd"/>
      <w:r>
        <w:rPr>
          <w:b/>
          <w:bCs/>
          <w:sz w:val="24"/>
          <w:szCs w:val="24"/>
        </w:rPr>
        <w:t> </w:t>
      </w:r>
      <w:r>
        <w:rPr>
          <w:bCs/>
          <w:sz w:val="24"/>
          <w:szCs w:val="24"/>
        </w:rPr>
        <w:t>Litex Company Impex SRL appeals to enforcement, asking:</w:t>
      </w:r>
    </w:p>
    <w:p w:rsidR="00452793" w:rsidRDefault="00452793" w:rsidP="00452793">
      <w:pPr>
        <w:jc w:val="both"/>
        <w:rPr>
          <w:bCs/>
          <w:sz w:val="24"/>
          <w:szCs w:val="24"/>
        </w:rPr>
      </w:pPr>
      <w:proofErr w:type="gramStart"/>
      <w:r>
        <w:rPr>
          <w:bCs/>
          <w:sz w:val="24"/>
          <w:szCs w:val="24"/>
        </w:rPr>
        <w:t>- The cancellation of conclusion of No 2471/ 22.03.2017 pronounced by the Court of Ploiesti regarding admission of the request for the execution of the addresses for the establishment of the garnishment no. 355/13.04.2017 seized by third parties, the conclusion of 13</w:t>
      </w:r>
      <w:r>
        <w:rPr>
          <w:bCs/>
          <w:sz w:val="24"/>
          <w:szCs w:val="24"/>
          <w:vertAlign w:val="superscript"/>
        </w:rPr>
        <w:t>th</w:t>
      </w:r>
      <w:r>
        <w:rPr>
          <w:bCs/>
          <w:sz w:val="24"/>
          <w:szCs w:val="24"/>
        </w:rPr>
        <w:t xml:space="preserve"> April 2017 on the settlement of costs of enforcement, as well as the summon no. 355/13.04.2017, acts of enforcement issued in the case of enforcement No. 355/2017 (folder instance No. 5902/281/2017) of the BEJ Rosu Cristian Cornel;</w:t>
      </w:r>
      <w:proofErr w:type="gramEnd"/>
    </w:p>
    <w:p w:rsidR="00452793" w:rsidRDefault="00452793" w:rsidP="00452793">
      <w:pPr>
        <w:jc w:val="both"/>
        <w:rPr>
          <w:bCs/>
          <w:sz w:val="24"/>
          <w:szCs w:val="24"/>
        </w:rPr>
      </w:pPr>
      <w:r>
        <w:rPr>
          <w:bCs/>
          <w:sz w:val="24"/>
          <w:szCs w:val="24"/>
        </w:rPr>
        <w:t>- The cancellation of the measure of early due date, clearing the extension of enforcement title with regard to the actual amount which our company owes to the creditor claim and the obligation of the creditor Asset Leasing IFN to issue a new graph for reimbursement according to the claim real amount;</w:t>
      </w:r>
    </w:p>
    <w:p w:rsidR="00452793" w:rsidRDefault="00452793" w:rsidP="00452793">
      <w:pPr>
        <w:jc w:val="both"/>
        <w:rPr>
          <w:bCs/>
          <w:sz w:val="24"/>
          <w:szCs w:val="24"/>
        </w:rPr>
      </w:pPr>
      <w:r>
        <w:rPr>
          <w:bCs/>
          <w:sz w:val="24"/>
          <w:szCs w:val="24"/>
        </w:rPr>
        <w:t>- The backing of enforcement;</w:t>
      </w:r>
    </w:p>
    <w:p w:rsidR="00452793" w:rsidRDefault="00452793" w:rsidP="00452793">
      <w:pPr>
        <w:jc w:val="both"/>
        <w:rPr>
          <w:bCs/>
          <w:sz w:val="24"/>
          <w:szCs w:val="24"/>
        </w:rPr>
      </w:pPr>
      <w:r>
        <w:rPr>
          <w:bCs/>
          <w:sz w:val="24"/>
          <w:szCs w:val="24"/>
        </w:rPr>
        <w:t xml:space="preserve">- The obligation of the creditor Asset Leasing IFN to the payment of costs incurred </w:t>
      </w:r>
      <w:proofErr w:type="gramStart"/>
      <w:r>
        <w:rPr>
          <w:bCs/>
          <w:sz w:val="24"/>
          <w:szCs w:val="24"/>
        </w:rPr>
        <w:t>as a result</w:t>
      </w:r>
      <w:proofErr w:type="gramEnd"/>
      <w:r>
        <w:rPr>
          <w:bCs/>
          <w:sz w:val="24"/>
          <w:szCs w:val="24"/>
        </w:rPr>
        <w:t xml:space="preserve"> of this trial.</w:t>
      </w:r>
    </w:p>
    <w:p w:rsidR="00452793" w:rsidRDefault="00452793" w:rsidP="00452793">
      <w:pPr>
        <w:jc w:val="both"/>
        <w:rPr>
          <w:bCs/>
          <w:sz w:val="24"/>
          <w:szCs w:val="24"/>
        </w:rPr>
      </w:pPr>
      <w:r>
        <w:rPr>
          <w:b/>
          <w:bCs/>
          <w:sz w:val="24"/>
          <w:szCs w:val="24"/>
        </w:rPr>
        <w:t>Clarifications:</w:t>
      </w:r>
      <w:r>
        <w:rPr>
          <w:bCs/>
          <w:sz w:val="24"/>
          <w:szCs w:val="24"/>
        </w:rPr>
        <w:t> by the </w:t>
      </w:r>
      <w:r>
        <w:rPr>
          <w:b/>
          <w:bCs/>
          <w:sz w:val="24"/>
          <w:szCs w:val="24"/>
        </w:rPr>
        <w:t xml:space="preserve">sentence </w:t>
      </w:r>
      <w:r>
        <w:rPr>
          <w:bCs/>
          <w:sz w:val="24"/>
          <w:szCs w:val="24"/>
        </w:rPr>
        <w:t xml:space="preserve">No. 1241/19.02.2018 </w:t>
      </w:r>
      <w:r>
        <w:rPr>
          <w:b/>
          <w:bCs/>
          <w:sz w:val="24"/>
          <w:szCs w:val="24"/>
        </w:rPr>
        <w:t>of the</w:t>
      </w:r>
      <w:r>
        <w:rPr>
          <w:bCs/>
          <w:sz w:val="24"/>
          <w:szCs w:val="24"/>
        </w:rPr>
        <w:t xml:space="preserve"> Ploiesti Court of Law it takes note of the waiving of the sentence made by the plaintiff Litex Impex SRL. The sentence </w:t>
      </w:r>
      <w:proofErr w:type="gramStart"/>
      <w:r>
        <w:rPr>
          <w:bCs/>
          <w:sz w:val="24"/>
          <w:szCs w:val="24"/>
        </w:rPr>
        <w:t>may be appealed</w:t>
      </w:r>
      <w:proofErr w:type="gramEnd"/>
      <w:r>
        <w:rPr>
          <w:bCs/>
          <w:sz w:val="24"/>
          <w:szCs w:val="24"/>
        </w:rPr>
        <w:t xml:space="preserve"> after the communication.</w:t>
      </w:r>
    </w:p>
    <w:p w:rsidR="00452793" w:rsidRDefault="00452793" w:rsidP="00452793">
      <w:pPr>
        <w:jc w:val="both"/>
        <w:rPr>
          <w:bCs/>
          <w:sz w:val="24"/>
          <w:szCs w:val="24"/>
        </w:rPr>
      </w:pPr>
      <w:r>
        <w:rPr>
          <w:b/>
          <w:bCs/>
          <w:sz w:val="24"/>
          <w:szCs w:val="24"/>
        </w:rPr>
        <w:t>Stage of trial: </w:t>
      </w:r>
      <w:r>
        <w:rPr>
          <w:bCs/>
          <w:sz w:val="24"/>
          <w:szCs w:val="24"/>
        </w:rPr>
        <w:t>--</w:t>
      </w:r>
    </w:p>
    <w:p w:rsidR="00452793" w:rsidRDefault="00452793" w:rsidP="00452793">
      <w:pPr>
        <w:jc w:val="both"/>
        <w:rPr>
          <w:bCs/>
          <w:sz w:val="24"/>
          <w:szCs w:val="24"/>
        </w:rPr>
      </w:pPr>
      <w:r>
        <w:rPr>
          <w:b/>
          <w:bCs/>
          <w:sz w:val="24"/>
          <w:szCs w:val="24"/>
        </w:rPr>
        <w:t>Hearing: </w:t>
      </w:r>
      <w:r>
        <w:rPr>
          <w:bCs/>
          <w:sz w:val="24"/>
          <w:szCs w:val="24"/>
        </w:rPr>
        <w:t>--</w:t>
      </w:r>
    </w:p>
    <w:p w:rsidR="00452793" w:rsidRDefault="00452793" w:rsidP="00452793">
      <w:pPr>
        <w:jc w:val="both"/>
        <w:rPr>
          <w:b/>
          <w:bCs/>
          <w:sz w:val="24"/>
          <w:szCs w:val="24"/>
        </w:rPr>
      </w:pPr>
    </w:p>
    <w:p w:rsidR="00452793" w:rsidRDefault="00452793" w:rsidP="00452793">
      <w:pPr>
        <w:jc w:val="both"/>
        <w:rPr>
          <w:sz w:val="24"/>
          <w:szCs w:val="24"/>
        </w:rPr>
      </w:pPr>
    </w:p>
    <w:p w:rsidR="00452793" w:rsidRDefault="00452793" w:rsidP="00452793">
      <w:pPr>
        <w:jc w:val="both"/>
        <w:rPr>
          <w:b/>
          <w:bCs/>
          <w:sz w:val="24"/>
          <w:szCs w:val="24"/>
        </w:rPr>
      </w:pPr>
      <w:r>
        <w:rPr>
          <w:b/>
          <w:bCs/>
          <w:sz w:val="24"/>
          <w:szCs w:val="24"/>
        </w:rPr>
        <w:t>18. The file No 12905/302/2017 - Sector 6 Bucharest Court </w:t>
      </w:r>
    </w:p>
    <w:p w:rsidR="00452793" w:rsidRDefault="00452793" w:rsidP="00452793">
      <w:pPr>
        <w:jc w:val="both"/>
        <w:rPr>
          <w:bCs/>
          <w:sz w:val="24"/>
          <w:szCs w:val="24"/>
        </w:rPr>
      </w:pPr>
      <w:r>
        <w:rPr>
          <w:b/>
          <w:bCs/>
          <w:sz w:val="24"/>
          <w:szCs w:val="24"/>
        </w:rPr>
        <w:t>The parties: </w:t>
      </w:r>
      <w:r>
        <w:rPr>
          <w:bCs/>
          <w:sz w:val="24"/>
          <w:szCs w:val="24"/>
        </w:rPr>
        <w:t>Conpet - respondent </w:t>
      </w:r>
    </w:p>
    <w:p w:rsidR="00452793" w:rsidRDefault="00452793" w:rsidP="00452793">
      <w:pPr>
        <w:ind w:firstLine="420"/>
        <w:jc w:val="both"/>
        <w:rPr>
          <w:bCs/>
          <w:sz w:val="24"/>
          <w:szCs w:val="24"/>
        </w:rPr>
      </w:pPr>
      <w:r>
        <w:rPr>
          <w:bCs/>
          <w:sz w:val="24"/>
          <w:szCs w:val="24"/>
        </w:rPr>
        <w:t>Dobrogeanu Paun Ioan - complainant</w:t>
      </w:r>
    </w:p>
    <w:p w:rsidR="00452793" w:rsidRDefault="00452793" w:rsidP="00452793">
      <w:pPr>
        <w:ind w:firstLine="420"/>
        <w:jc w:val="both"/>
        <w:rPr>
          <w:sz w:val="24"/>
          <w:szCs w:val="24"/>
          <w:lang w:val="ro-RO"/>
        </w:rPr>
      </w:pPr>
      <w:proofErr w:type="gramStart"/>
      <w:r>
        <w:rPr>
          <w:b/>
          <w:bCs/>
          <w:sz w:val="24"/>
          <w:szCs w:val="24"/>
        </w:rPr>
        <w:t>Subject:</w:t>
      </w:r>
      <w:r>
        <w:rPr>
          <w:bCs/>
          <w:sz w:val="24"/>
          <w:szCs w:val="24"/>
        </w:rPr>
        <w:t xml:space="preserve"> Dobrogeanu Paun Ioan appeals to enforcement against acts of </w:t>
      </w:r>
      <w:r>
        <w:rPr>
          <w:bCs/>
          <w:sz w:val="24"/>
          <w:szCs w:val="24"/>
        </w:rPr>
        <w:lastRenderedPageBreak/>
        <w:t xml:space="preserve">performance forming the subject of the file No 16/2017 of the beige Raduta Nicoleta by which thegarnishment establishment by third parties INTERCEREAL POPRIRII S.A. and </w:t>
      </w:r>
      <w:r>
        <w:rPr>
          <w:sz w:val="24"/>
          <w:szCs w:val="24"/>
          <w:lang w:val="ro-RO"/>
        </w:rPr>
        <w:t>Casa de Asigurări a Avocaților din România</w:t>
      </w:r>
      <w:r>
        <w:rPr>
          <w:sz w:val="24"/>
          <w:szCs w:val="24"/>
        </w:rPr>
        <w:t xml:space="preserve"> (</w:t>
      </w:r>
      <w:r>
        <w:rPr>
          <w:bCs/>
          <w:sz w:val="24"/>
          <w:szCs w:val="24"/>
        </w:rPr>
        <w:t>the Insurance Lawyers of Romania), asking for the admission of the appeal to the enforcement and cancellation of the conclusion on the fixing of costs of performance in the amount of 681,24 lei and RON 1.573, 24 representing enforcement fees.  </w:t>
      </w:r>
      <w:proofErr w:type="gramEnd"/>
    </w:p>
    <w:p w:rsidR="00452793" w:rsidRDefault="00452793" w:rsidP="00452793">
      <w:pPr>
        <w:jc w:val="both"/>
        <w:rPr>
          <w:sz w:val="24"/>
          <w:szCs w:val="24"/>
        </w:rPr>
      </w:pPr>
      <w:r>
        <w:rPr>
          <w:b/>
          <w:sz w:val="24"/>
          <w:szCs w:val="24"/>
        </w:rPr>
        <w:t>Clarifications</w:t>
      </w:r>
      <w:r>
        <w:rPr>
          <w:b/>
          <w:sz w:val="24"/>
          <w:szCs w:val="24"/>
          <w:lang w:val="ro-RO"/>
        </w:rPr>
        <w:t>:</w:t>
      </w:r>
      <w:r>
        <w:rPr>
          <w:sz w:val="24"/>
          <w:szCs w:val="24"/>
          <w:lang w:val="ro-RO"/>
        </w:rPr>
        <w:t xml:space="preserve"> By the </w:t>
      </w:r>
      <w:r>
        <w:rPr>
          <w:sz w:val="24"/>
          <w:szCs w:val="24"/>
        </w:rPr>
        <w:t>sentence</w:t>
      </w:r>
      <w:r>
        <w:rPr>
          <w:sz w:val="24"/>
          <w:szCs w:val="24"/>
          <w:lang w:val="ro-RO"/>
        </w:rPr>
        <w:t xml:space="preserve"> No. 8105/15.11.2017</w:t>
      </w:r>
      <w:r>
        <w:rPr>
          <w:sz w:val="24"/>
          <w:szCs w:val="24"/>
        </w:rPr>
        <w:t xml:space="preserve">, </w:t>
      </w:r>
      <w:r>
        <w:rPr>
          <w:sz w:val="24"/>
          <w:szCs w:val="24"/>
          <w:lang w:val="ro-RO"/>
        </w:rPr>
        <w:t>the Sector 5 Bucharest</w:t>
      </w:r>
      <w:r>
        <w:rPr>
          <w:sz w:val="24"/>
          <w:szCs w:val="24"/>
        </w:rPr>
        <w:t xml:space="preserve"> </w:t>
      </w:r>
      <w:r>
        <w:rPr>
          <w:sz w:val="24"/>
          <w:szCs w:val="24"/>
          <w:lang w:val="ro-RO"/>
        </w:rPr>
        <w:t xml:space="preserve">Court of Law </w:t>
      </w:r>
      <w:r>
        <w:rPr>
          <w:sz w:val="24"/>
          <w:szCs w:val="24"/>
        </w:rPr>
        <w:t xml:space="preserve">agrees </w:t>
      </w:r>
      <w:r>
        <w:rPr>
          <w:sz w:val="24"/>
          <w:szCs w:val="24"/>
          <w:lang w:val="ro-RO"/>
        </w:rPr>
        <w:t xml:space="preserve">with the </w:t>
      </w:r>
      <w:r>
        <w:rPr>
          <w:sz w:val="24"/>
          <w:szCs w:val="24"/>
        </w:rPr>
        <w:t xml:space="preserve">incompetence plea </w:t>
      </w:r>
      <w:r>
        <w:rPr>
          <w:sz w:val="24"/>
          <w:szCs w:val="24"/>
          <w:lang w:val="ro-RO"/>
        </w:rPr>
        <w:t xml:space="preserve">of the territorial court invoked by Conpet. </w:t>
      </w:r>
      <w:r>
        <w:rPr>
          <w:sz w:val="24"/>
          <w:szCs w:val="24"/>
        </w:rPr>
        <w:t xml:space="preserve">It declines </w:t>
      </w:r>
      <w:r>
        <w:rPr>
          <w:sz w:val="24"/>
          <w:szCs w:val="24"/>
          <w:lang w:val="ro-RO"/>
        </w:rPr>
        <w:t>jurisdiction in favor of the settlement of the cause of the Bucharest district 6 Bucharest. </w:t>
      </w:r>
    </w:p>
    <w:p w:rsidR="00452793" w:rsidRDefault="00452793" w:rsidP="00452793">
      <w:pPr>
        <w:jc w:val="both"/>
        <w:rPr>
          <w:sz w:val="24"/>
          <w:szCs w:val="24"/>
        </w:rPr>
      </w:pPr>
      <w:r>
        <w:rPr>
          <w:sz w:val="24"/>
          <w:szCs w:val="24"/>
        </w:rPr>
        <w:t>Through the </w:t>
      </w:r>
      <w:r>
        <w:rPr>
          <w:b/>
          <w:sz w:val="24"/>
          <w:szCs w:val="24"/>
        </w:rPr>
        <w:t>order no. 3197/30.04.2018,</w:t>
      </w:r>
      <w:r>
        <w:rPr>
          <w:sz w:val="24"/>
          <w:szCs w:val="24"/>
        </w:rPr>
        <w:t> District 6 Bucharest Court rejected as unfounded the appeal to run. It orders the complainant to pay the BEJ Raduta Nicoleta the amount of RON 184</w:t>
      </w:r>
      <w:proofErr w:type="gramStart"/>
      <w:r>
        <w:rPr>
          <w:sz w:val="24"/>
          <w:szCs w:val="24"/>
        </w:rPr>
        <w:t>,45</w:t>
      </w:r>
      <w:proofErr w:type="gramEnd"/>
      <w:r>
        <w:rPr>
          <w:sz w:val="24"/>
          <w:szCs w:val="24"/>
        </w:rPr>
        <w:t xml:space="preserve"> representing the expenditure determined by copying and transmitting the file for execution no. 16/2017. The sentence </w:t>
      </w:r>
      <w:proofErr w:type="gramStart"/>
      <w:r>
        <w:rPr>
          <w:sz w:val="24"/>
          <w:szCs w:val="24"/>
        </w:rPr>
        <w:t>can be appealed</w:t>
      </w:r>
      <w:proofErr w:type="gramEnd"/>
      <w:r>
        <w:rPr>
          <w:sz w:val="24"/>
          <w:szCs w:val="24"/>
        </w:rPr>
        <w:t xml:space="preserve"> after communication. </w:t>
      </w:r>
    </w:p>
    <w:p w:rsidR="00452793" w:rsidRDefault="00452793" w:rsidP="00452793">
      <w:pPr>
        <w:jc w:val="both"/>
        <w:rPr>
          <w:sz w:val="24"/>
          <w:szCs w:val="24"/>
          <w:lang w:val="ro-RO"/>
        </w:rPr>
      </w:pPr>
      <w:r>
        <w:rPr>
          <w:b/>
          <w:sz w:val="24"/>
          <w:szCs w:val="24"/>
          <w:lang w:val="ro-RO"/>
        </w:rPr>
        <w:t>Procesual stage:</w:t>
      </w:r>
      <w:r>
        <w:rPr>
          <w:sz w:val="24"/>
          <w:szCs w:val="24"/>
          <w:lang w:val="ro-RO"/>
        </w:rPr>
        <w:t> --</w:t>
      </w:r>
    </w:p>
    <w:p w:rsidR="00452793" w:rsidRDefault="00452793" w:rsidP="00452793">
      <w:pPr>
        <w:jc w:val="both"/>
        <w:rPr>
          <w:sz w:val="24"/>
          <w:szCs w:val="24"/>
          <w:lang w:val="ro-RO"/>
        </w:rPr>
      </w:pPr>
      <w:r>
        <w:rPr>
          <w:b/>
          <w:sz w:val="24"/>
          <w:szCs w:val="24"/>
          <w:lang w:val="ro-RO"/>
        </w:rPr>
        <w:t>Period: </w:t>
      </w:r>
      <w:r>
        <w:rPr>
          <w:sz w:val="24"/>
          <w:szCs w:val="24"/>
          <w:lang w:val="ro-RO"/>
        </w:rPr>
        <w:t>--</w:t>
      </w:r>
    </w:p>
    <w:p w:rsidR="00452793" w:rsidRDefault="00452793" w:rsidP="00452793">
      <w:pPr>
        <w:jc w:val="both"/>
        <w:rPr>
          <w:sz w:val="24"/>
          <w:szCs w:val="24"/>
          <w:lang w:val="ro-RO"/>
        </w:rPr>
      </w:pPr>
    </w:p>
    <w:p w:rsidR="00452793" w:rsidRDefault="00452793" w:rsidP="00452793">
      <w:pPr>
        <w:jc w:val="both"/>
        <w:rPr>
          <w:sz w:val="24"/>
          <w:szCs w:val="24"/>
          <w:lang w:val="ro-RO"/>
        </w:rPr>
      </w:pPr>
    </w:p>
    <w:p w:rsidR="00452793" w:rsidRDefault="00452793" w:rsidP="00452793">
      <w:pPr>
        <w:jc w:val="both"/>
        <w:rPr>
          <w:sz w:val="24"/>
          <w:szCs w:val="24"/>
          <w:lang w:val="ro-RO"/>
        </w:rPr>
      </w:pPr>
    </w:p>
    <w:p w:rsidR="00452793" w:rsidRDefault="00452793" w:rsidP="00452793">
      <w:pPr>
        <w:jc w:val="both"/>
        <w:rPr>
          <w:sz w:val="24"/>
          <w:szCs w:val="24"/>
          <w:lang w:val="ro-RO"/>
        </w:rPr>
      </w:pPr>
    </w:p>
    <w:p w:rsidR="00452793" w:rsidRDefault="00452793" w:rsidP="00452793">
      <w:pPr>
        <w:jc w:val="both"/>
        <w:rPr>
          <w:b/>
          <w:sz w:val="24"/>
          <w:szCs w:val="24"/>
          <w:lang w:val="ro-RO"/>
        </w:rPr>
      </w:pPr>
      <w:r>
        <w:rPr>
          <w:b/>
          <w:sz w:val="24"/>
          <w:szCs w:val="24"/>
          <w:lang w:val="ro-RO"/>
        </w:rPr>
        <w:t>19. The file no. 7127/105/2017 - Prahova </w:t>
      </w:r>
      <w:r>
        <w:rPr>
          <w:b/>
          <w:sz w:val="24"/>
          <w:szCs w:val="24"/>
        </w:rPr>
        <w:t>Court</w:t>
      </w:r>
    </w:p>
    <w:p w:rsidR="00452793" w:rsidRDefault="00452793" w:rsidP="00452793">
      <w:pPr>
        <w:jc w:val="both"/>
        <w:rPr>
          <w:sz w:val="24"/>
          <w:szCs w:val="24"/>
          <w:lang w:val="ro-RO"/>
        </w:rPr>
      </w:pPr>
      <w:r>
        <w:rPr>
          <w:b/>
          <w:sz w:val="24"/>
          <w:szCs w:val="24"/>
          <w:lang w:val="ro-RO"/>
        </w:rPr>
        <w:t>The parties:</w:t>
      </w:r>
      <w:r>
        <w:rPr>
          <w:sz w:val="24"/>
          <w:szCs w:val="24"/>
          <w:lang w:val="ro-RO"/>
        </w:rPr>
        <w:t xml:space="preserve"> Conpet - </w:t>
      </w:r>
      <w:r>
        <w:rPr>
          <w:sz w:val="24"/>
          <w:szCs w:val="24"/>
        </w:rPr>
        <w:t>defendant</w:t>
      </w:r>
    </w:p>
    <w:p w:rsidR="00452793" w:rsidRDefault="00452793" w:rsidP="00452793">
      <w:pPr>
        <w:jc w:val="both"/>
        <w:rPr>
          <w:sz w:val="24"/>
          <w:szCs w:val="24"/>
          <w:lang w:val="ro-RO"/>
        </w:rPr>
      </w:pPr>
      <w:r>
        <w:rPr>
          <w:sz w:val="24"/>
          <w:szCs w:val="24"/>
          <w:lang w:val="ro-RO"/>
        </w:rPr>
        <w:t>           VICTORIA SA MICHELIN ROMÂNIA FLOREȘTI SA (</w:t>
      </w:r>
      <w:r>
        <w:rPr>
          <w:sz w:val="24"/>
          <w:szCs w:val="24"/>
        </w:rPr>
        <w:t xml:space="preserve">formerly </w:t>
      </w:r>
      <w:r>
        <w:rPr>
          <w:sz w:val="24"/>
          <w:szCs w:val="24"/>
          <w:lang w:val="ro-RO"/>
        </w:rPr>
        <w:t>VICTORIA FLOREȘTI)</w:t>
      </w:r>
    </w:p>
    <w:p w:rsidR="00452793" w:rsidRDefault="00452793" w:rsidP="00452793">
      <w:pPr>
        <w:jc w:val="both"/>
        <w:rPr>
          <w:sz w:val="24"/>
          <w:szCs w:val="24"/>
          <w:lang w:val="ro-RO"/>
        </w:rPr>
      </w:pPr>
      <w:r>
        <w:rPr>
          <w:sz w:val="24"/>
          <w:szCs w:val="24"/>
          <w:lang w:val="ro-RO"/>
        </w:rPr>
        <w:t xml:space="preserve">           UPETROM 1 MAI SA PLOIEȘTI</w:t>
      </w:r>
    </w:p>
    <w:p w:rsidR="00452793" w:rsidRDefault="00452793" w:rsidP="00452793">
      <w:pPr>
        <w:jc w:val="both"/>
        <w:rPr>
          <w:sz w:val="24"/>
          <w:szCs w:val="24"/>
          <w:lang w:val="ro-RO"/>
        </w:rPr>
      </w:pPr>
      <w:r>
        <w:rPr>
          <w:sz w:val="24"/>
          <w:szCs w:val="24"/>
          <w:lang w:val="ro-RO"/>
        </w:rPr>
        <w:t xml:space="preserve">           PETROM BUCUREȘTI – </w:t>
      </w:r>
      <w:r>
        <w:rPr>
          <w:sz w:val="24"/>
          <w:szCs w:val="24"/>
        </w:rPr>
        <w:t>oil rig</w:t>
      </w:r>
      <w:r>
        <w:rPr>
          <w:sz w:val="24"/>
          <w:szCs w:val="24"/>
          <w:lang w:val="ro-RO"/>
        </w:rPr>
        <w:t xml:space="preserve"> BOLDEȘTI</w:t>
      </w:r>
    </w:p>
    <w:p w:rsidR="00452793" w:rsidRDefault="00452793" w:rsidP="00452793">
      <w:pPr>
        <w:jc w:val="both"/>
        <w:rPr>
          <w:sz w:val="24"/>
          <w:szCs w:val="24"/>
          <w:lang w:val="ro-RO"/>
        </w:rPr>
      </w:pPr>
      <w:r>
        <w:rPr>
          <w:sz w:val="24"/>
          <w:szCs w:val="24"/>
          <w:lang w:val="ro-RO"/>
        </w:rPr>
        <w:t xml:space="preserve">            Grigorescu Gheorghe - the </w:t>
      </w:r>
      <w:r>
        <w:rPr>
          <w:sz w:val="24"/>
          <w:szCs w:val="24"/>
        </w:rPr>
        <w:t>plaintiff</w:t>
      </w:r>
    </w:p>
    <w:p w:rsidR="00452793" w:rsidRDefault="00452793" w:rsidP="00452793">
      <w:pPr>
        <w:jc w:val="both"/>
        <w:rPr>
          <w:sz w:val="24"/>
          <w:szCs w:val="24"/>
          <w:lang w:val="ro-RO"/>
        </w:rPr>
      </w:pPr>
      <w:r>
        <w:rPr>
          <w:b/>
          <w:sz w:val="24"/>
          <w:szCs w:val="24"/>
          <w:lang w:val="ro-RO"/>
        </w:rPr>
        <w:t xml:space="preserve">Subject: </w:t>
      </w:r>
      <w:r>
        <w:rPr>
          <w:b/>
          <w:sz w:val="24"/>
          <w:szCs w:val="24"/>
        </w:rPr>
        <w:t xml:space="preserve">Declaratory </w:t>
      </w:r>
      <w:r>
        <w:rPr>
          <w:b/>
          <w:sz w:val="24"/>
          <w:szCs w:val="24"/>
          <w:lang w:val="ro-RO"/>
        </w:rPr>
        <w:t>action.</w:t>
      </w:r>
      <w:r>
        <w:rPr>
          <w:sz w:val="24"/>
          <w:szCs w:val="24"/>
          <w:lang w:val="ro-RO"/>
        </w:rPr>
        <w:t xml:space="preserve"> Grigorescu Gheorghe </w:t>
      </w:r>
      <w:r>
        <w:rPr>
          <w:sz w:val="24"/>
          <w:szCs w:val="24"/>
        </w:rPr>
        <w:t>appeals</w:t>
      </w:r>
      <w:r>
        <w:rPr>
          <w:sz w:val="24"/>
          <w:szCs w:val="24"/>
          <w:lang w:val="ro-RO"/>
        </w:rPr>
        <w:t xml:space="preserve"> the </w:t>
      </w:r>
      <w:r>
        <w:rPr>
          <w:sz w:val="24"/>
          <w:szCs w:val="24"/>
        </w:rPr>
        <w:t>sentence</w:t>
      </w:r>
      <w:r>
        <w:rPr>
          <w:sz w:val="24"/>
          <w:szCs w:val="24"/>
          <w:lang w:val="ro-RO"/>
        </w:rPr>
        <w:t xml:space="preserve"> of the court</w:t>
      </w:r>
      <w:r>
        <w:rPr>
          <w:sz w:val="24"/>
          <w:szCs w:val="24"/>
        </w:rPr>
        <w:t>,</w:t>
      </w:r>
      <w:r>
        <w:rPr>
          <w:sz w:val="24"/>
          <w:szCs w:val="24"/>
          <w:lang w:val="ro-RO"/>
        </w:rPr>
        <w:t xml:space="preserve"> requesting the decision to </w:t>
      </w:r>
      <w:r>
        <w:rPr>
          <w:sz w:val="24"/>
          <w:szCs w:val="24"/>
        </w:rPr>
        <w:t xml:space="preserve">prove </w:t>
      </w:r>
      <w:r>
        <w:rPr>
          <w:sz w:val="24"/>
          <w:szCs w:val="24"/>
          <w:lang w:val="ro-RO"/>
        </w:rPr>
        <w:t>that he ha</w:t>
      </w:r>
      <w:r>
        <w:rPr>
          <w:sz w:val="24"/>
          <w:szCs w:val="24"/>
        </w:rPr>
        <w:t>d</w:t>
      </w:r>
      <w:r>
        <w:rPr>
          <w:sz w:val="24"/>
          <w:szCs w:val="24"/>
          <w:lang w:val="ro-RO"/>
        </w:rPr>
        <w:t xml:space="preserve"> been employed within the framework of the companies in the functions and </w:t>
      </w:r>
      <w:r>
        <w:rPr>
          <w:sz w:val="24"/>
          <w:szCs w:val="24"/>
        </w:rPr>
        <w:t xml:space="preserve">he </w:t>
      </w:r>
      <w:r>
        <w:rPr>
          <w:sz w:val="24"/>
          <w:szCs w:val="24"/>
          <w:lang w:val="ro-RO"/>
        </w:rPr>
        <w:t xml:space="preserve">actually worked 100% of the program of work in the polling stations listed in Group I or II, as the case may be, in accordance with the Annex to the application and consequently </w:t>
      </w:r>
      <w:r>
        <w:rPr>
          <w:sz w:val="24"/>
          <w:szCs w:val="24"/>
        </w:rPr>
        <w:t xml:space="preserve">order the defendants to </w:t>
      </w:r>
      <w:r>
        <w:rPr>
          <w:sz w:val="24"/>
          <w:szCs w:val="24"/>
          <w:lang w:val="ro-RO"/>
        </w:rPr>
        <w:t>issue the certificate in this respect, stating the period worked in accordance with the requests.</w:t>
      </w:r>
    </w:p>
    <w:p w:rsidR="00452793" w:rsidRDefault="00452793" w:rsidP="00452793">
      <w:pPr>
        <w:jc w:val="both"/>
        <w:rPr>
          <w:sz w:val="24"/>
          <w:szCs w:val="24"/>
        </w:rPr>
      </w:pPr>
      <w:r>
        <w:rPr>
          <w:b/>
          <w:sz w:val="24"/>
          <w:szCs w:val="24"/>
          <w:lang w:val="ro-RO"/>
        </w:rPr>
        <w:t>Details:</w:t>
      </w:r>
      <w:r>
        <w:rPr>
          <w:sz w:val="24"/>
          <w:szCs w:val="24"/>
          <w:lang w:val="ro-RO"/>
        </w:rPr>
        <w:t> </w:t>
      </w:r>
      <w:r>
        <w:rPr>
          <w:sz w:val="24"/>
          <w:szCs w:val="24"/>
        </w:rPr>
        <w:t xml:space="preserve">By </w:t>
      </w:r>
      <w:r>
        <w:rPr>
          <w:sz w:val="24"/>
          <w:szCs w:val="24"/>
          <w:lang w:val="ro-RO"/>
        </w:rPr>
        <w:t>the </w:t>
      </w:r>
      <w:r>
        <w:rPr>
          <w:b/>
          <w:sz w:val="24"/>
          <w:szCs w:val="24"/>
        </w:rPr>
        <w:t>order</w:t>
      </w:r>
      <w:r>
        <w:rPr>
          <w:b/>
          <w:sz w:val="24"/>
          <w:szCs w:val="24"/>
          <w:lang w:val="ro-RO"/>
        </w:rPr>
        <w:t xml:space="preserve"> no. </w:t>
      </w:r>
      <w:r>
        <w:rPr>
          <w:b/>
          <w:sz w:val="24"/>
          <w:szCs w:val="24"/>
        </w:rPr>
        <w:t>2168/02.07.2018</w:t>
      </w:r>
      <w:r>
        <w:rPr>
          <w:sz w:val="24"/>
          <w:szCs w:val="24"/>
        </w:rPr>
        <w:t xml:space="preserve"> Prahova county Court rejects the appeal as unfounded in relation to defendants SC UPETROM May 1, SC Conpet, SC A&amp;M RECORDS CENTER Ltd and the lack of subject in relation to the SC MICHELIN ROMANIA. The sentence </w:t>
      </w:r>
      <w:proofErr w:type="gramStart"/>
      <w:r>
        <w:rPr>
          <w:sz w:val="24"/>
          <w:szCs w:val="24"/>
        </w:rPr>
        <w:t>can be appealed</w:t>
      </w:r>
      <w:proofErr w:type="gramEnd"/>
      <w:r>
        <w:rPr>
          <w:sz w:val="24"/>
          <w:szCs w:val="24"/>
        </w:rPr>
        <w:t xml:space="preserve"> after communication. </w:t>
      </w:r>
    </w:p>
    <w:p w:rsidR="00452793" w:rsidRDefault="00452793" w:rsidP="00452793">
      <w:pPr>
        <w:jc w:val="both"/>
        <w:rPr>
          <w:sz w:val="24"/>
          <w:szCs w:val="24"/>
          <w:lang w:val="ro-RO"/>
        </w:rPr>
      </w:pPr>
      <w:r>
        <w:rPr>
          <w:b/>
          <w:sz w:val="24"/>
          <w:szCs w:val="24"/>
          <w:lang w:val="ro-RO"/>
        </w:rPr>
        <w:t>Procesual stage:</w:t>
      </w:r>
      <w:r>
        <w:rPr>
          <w:sz w:val="24"/>
          <w:szCs w:val="24"/>
          <w:lang w:val="ro-RO"/>
        </w:rPr>
        <w:t> --</w:t>
      </w:r>
    </w:p>
    <w:p w:rsidR="00452793" w:rsidRDefault="00452793" w:rsidP="00452793">
      <w:pPr>
        <w:jc w:val="both"/>
        <w:rPr>
          <w:sz w:val="24"/>
          <w:szCs w:val="24"/>
          <w:lang w:val="ro-RO"/>
        </w:rPr>
      </w:pPr>
      <w:r>
        <w:rPr>
          <w:b/>
          <w:sz w:val="24"/>
          <w:szCs w:val="24"/>
          <w:lang w:val="ro-RO"/>
        </w:rPr>
        <w:t>Period:</w:t>
      </w:r>
      <w:r>
        <w:rPr>
          <w:sz w:val="24"/>
          <w:szCs w:val="24"/>
          <w:lang w:val="ro-RO"/>
        </w:rPr>
        <w:t> --</w:t>
      </w:r>
    </w:p>
    <w:p w:rsidR="00452793" w:rsidRDefault="00452793" w:rsidP="00452793">
      <w:pPr>
        <w:jc w:val="both"/>
        <w:rPr>
          <w:sz w:val="24"/>
          <w:szCs w:val="24"/>
          <w:lang w:val="ro-RO"/>
        </w:rPr>
      </w:pPr>
    </w:p>
    <w:p w:rsidR="00452793" w:rsidRDefault="00452793" w:rsidP="00452793">
      <w:pPr>
        <w:jc w:val="both"/>
        <w:rPr>
          <w:sz w:val="24"/>
          <w:szCs w:val="24"/>
          <w:lang w:val="ro-RO"/>
        </w:rPr>
      </w:pPr>
    </w:p>
    <w:p w:rsidR="00452793" w:rsidRDefault="00452793" w:rsidP="00452793">
      <w:pPr>
        <w:jc w:val="both"/>
        <w:rPr>
          <w:b/>
          <w:sz w:val="24"/>
          <w:szCs w:val="24"/>
        </w:rPr>
      </w:pPr>
      <w:r>
        <w:rPr>
          <w:b/>
          <w:sz w:val="24"/>
          <w:szCs w:val="24"/>
        </w:rPr>
        <w:t>20. File no. 5413/204/2017 - Prahova Court</w:t>
      </w:r>
    </w:p>
    <w:p w:rsidR="00452793" w:rsidRDefault="00452793" w:rsidP="00452793">
      <w:pPr>
        <w:jc w:val="both"/>
        <w:rPr>
          <w:sz w:val="24"/>
          <w:szCs w:val="24"/>
        </w:rPr>
      </w:pPr>
      <w:r>
        <w:rPr>
          <w:b/>
          <w:sz w:val="24"/>
          <w:szCs w:val="24"/>
        </w:rPr>
        <w:t>The parties: </w:t>
      </w:r>
      <w:r>
        <w:rPr>
          <w:sz w:val="24"/>
          <w:szCs w:val="24"/>
        </w:rPr>
        <w:t>Conpet - defendant</w:t>
      </w:r>
    </w:p>
    <w:p w:rsidR="00452793" w:rsidRDefault="00452793" w:rsidP="00452793">
      <w:pPr>
        <w:jc w:val="both"/>
        <w:rPr>
          <w:sz w:val="24"/>
          <w:szCs w:val="24"/>
        </w:rPr>
      </w:pPr>
      <w:r>
        <w:rPr>
          <w:sz w:val="24"/>
          <w:szCs w:val="24"/>
        </w:rPr>
        <w:t xml:space="preserve">           ANRM- defendant </w:t>
      </w:r>
    </w:p>
    <w:p w:rsidR="00452793" w:rsidRDefault="00452793" w:rsidP="00452793">
      <w:pPr>
        <w:jc w:val="both"/>
        <w:rPr>
          <w:sz w:val="24"/>
          <w:szCs w:val="24"/>
        </w:rPr>
      </w:pPr>
      <w:r>
        <w:rPr>
          <w:sz w:val="24"/>
          <w:szCs w:val="24"/>
        </w:rPr>
        <w:t>           Dobrogeanu Dumitru - the plaintiff</w:t>
      </w:r>
    </w:p>
    <w:p w:rsidR="00452793" w:rsidRDefault="00452793" w:rsidP="00452793">
      <w:pPr>
        <w:jc w:val="both"/>
        <w:rPr>
          <w:sz w:val="24"/>
          <w:szCs w:val="24"/>
        </w:rPr>
      </w:pPr>
      <w:r>
        <w:rPr>
          <w:sz w:val="24"/>
          <w:szCs w:val="24"/>
        </w:rPr>
        <w:t xml:space="preserve">           </w:t>
      </w:r>
      <w:r>
        <w:rPr>
          <w:bCs/>
          <w:sz w:val="24"/>
          <w:szCs w:val="24"/>
        </w:rPr>
        <w:t>Dobrogeanu Paun Ioan</w:t>
      </w:r>
      <w:r>
        <w:rPr>
          <w:sz w:val="24"/>
          <w:szCs w:val="24"/>
        </w:rPr>
        <w:t xml:space="preserve"> - the plaintiff</w:t>
      </w:r>
    </w:p>
    <w:p w:rsidR="00452793" w:rsidRDefault="00452793" w:rsidP="00452793">
      <w:pPr>
        <w:jc w:val="both"/>
        <w:rPr>
          <w:sz w:val="24"/>
          <w:szCs w:val="24"/>
        </w:rPr>
      </w:pPr>
      <w:r>
        <w:rPr>
          <w:b/>
          <w:sz w:val="24"/>
          <w:szCs w:val="24"/>
        </w:rPr>
        <w:t>Subject: </w:t>
      </w:r>
      <w:r>
        <w:rPr>
          <w:sz w:val="24"/>
          <w:szCs w:val="24"/>
        </w:rPr>
        <w:t xml:space="preserve">claims. </w:t>
      </w:r>
      <w:r>
        <w:rPr>
          <w:bCs/>
          <w:sz w:val="24"/>
          <w:szCs w:val="24"/>
        </w:rPr>
        <w:t>Dobrogeanu Paun Ioan</w:t>
      </w:r>
      <w:r>
        <w:rPr>
          <w:sz w:val="24"/>
          <w:szCs w:val="24"/>
        </w:rPr>
        <w:t xml:space="preserve"> filed a trial requesting that the decision orders defendants </w:t>
      </w:r>
      <w:proofErr w:type="gramStart"/>
      <w:r>
        <w:rPr>
          <w:sz w:val="24"/>
          <w:szCs w:val="24"/>
        </w:rPr>
        <w:t>to</w:t>
      </w:r>
      <w:proofErr w:type="gramEnd"/>
      <w:r>
        <w:rPr>
          <w:sz w:val="24"/>
          <w:szCs w:val="24"/>
        </w:rPr>
        <w:t>:</w:t>
      </w:r>
    </w:p>
    <w:p w:rsidR="00452793" w:rsidRDefault="00452793" w:rsidP="00D87DA4">
      <w:pPr>
        <w:widowControl/>
        <w:numPr>
          <w:ilvl w:val="0"/>
          <w:numId w:val="53"/>
        </w:numPr>
        <w:autoSpaceDE/>
        <w:autoSpaceDN/>
        <w:adjustRightInd/>
        <w:jc w:val="both"/>
        <w:rPr>
          <w:sz w:val="24"/>
          <w:szCs w:val="24"/>
        </w:rPr>
      </w:pPr>
      <w:r>
        <w:rPr>
          <w:sz w:val="24"/>
          <w:szCs w:val="24"/>
        </w:rPr>
        <w:lastRenderedPageBreak/>
        <w:t>Payment of an annual rent for areas of land occupied by the two pipes of transport petroleum products (crude oil), starting with the date of 01</w:t>
      </w:r>
      <w:r>
        <w:rPr>
          <w:sz w:val="24"/>
          <w:szCs w:val="24"/>
          <w:vertAlign w:val="superscript"/>
        </w:rPr>
        <w:t>st</w:t>
      </w:r>
      <w:r>
        <w:rPr>
          <w:sz w:val="24"/>
          <w:szCs w:val="24"/>
        </w:rPr>
        <w:t xml:space="preserve"> July 2014 and in the future, for the entire duration of the existence of the pipes;</w:t>
      </w:r>
    </w:p>
    <w:p w:rsidR="00452793" w:rsidRDefault="00452793" w:rsidP="00D87DA4">
      <w:pPr>
        <w:widowControl/>
        <w:numPr>
          <w:ilvl w:val="0"/>
          <w:numId w:val="53"/>
        </w:numPr>
        <w:autoSpaceDE/>
        <w:autoSpaceDN/>
        <w:adjustRightInd/>
        <w:jc w:val="both"/>
        <w:rPr>
          <w:sz w:val="24"/>
          <w:szCs w:val="24"/>
        </w:rPr>
      </w:pPr>
      <w:r>
        <w:rPr>
          <w:sz w:val="24"/>
          <w:szCs w:val="24"/>
        </w:rPr>
        <w:t>Payment of the losses suffered by the failure of economic objectives on the remaining area between the two pipes after their restriction and the area along the DN1 (E60);</w:t>
      </w:r>
    </w:p>
    <w:p w:rsidR="00452793" w:rsidRDefault="00452793" w:rsidP="00D87DA4">
      <w:pPr>
        <w:widowControl/>
        <w:numPr>
          <w:ilvl w:val="0"/>
          <w:numId w:val="53"/>
        </w:numPr>
        <w:autoSpaceDE/>
        <w:autoSpaceDN/>
        <w:adjustRightInd/>
        <w:jc w:val="both"/>
        <w:rPr>
          <w:sz w:val="24"/>
          <w:szCs w:val="24"/>
        </w:rPr>
      </w:pPr>
      <w:r>
        <w:rPr>
          <w:sz w:val="24"/>
          <w:szCs w:val="24"/>
        </w:rPr>
        <w:t>The payment of trial costs.</w:t>
      </w:r>
    </w:p>
    <w:p w:rsidR="00452793" w:rsidRDefault="00452793" w:rsidP="00452793">
      <w:pPr>
        <w:jc w:val="both"/>
        <w:rPr>
          <w:sz w:val="24"/>
          <w:szCs w:val="24"/>
        </w:rPr>
      </w:pPr>
      <w:r>
        <w:rPr>
          <w:sz w:val="24"/>
          <w:szCs w:val="24"/>
        </w:rPr>
        <w:t>The first head of claim has been estimated by the complainants to the sum of 48,000 euros/year (RON 220.000), and the second head of claim reaches the amount of RON 25,000/year.</w:t>
      </w:r>
    </w:p>
    <w:p w:rsidR="00452793" w:rsidRDefault="00452793" w:rsidP="00452793">
      <w:pPr>
        <w:jc w:val="both"/>
        <w:rPr>
          <w:sz w:val="24"/>
          <w:szCs w:val="24"/>
        </w:rPr>
      </w:pPr>
      <w:r>
        <w:rPr>
          <w:b/>
          <w:sz w:val="24"/>
          <w:szCs w:val="24"/>
        </w:rPr>
        <w:t>Details: </w:t>
      </w:r>
      <w:r>
        <w:rPr>
          <w:sz w:val="24"/>
          <w:szCs w:val="24"/>
        </w:rPr>
        <w:t xml:space="preserve">By the sentence of the Court of Law No 594/28.02.2018 Campina permitted ematerial incompetence plea of resolving the cause of the Campina </w:t>
      </w:r>
      <w:proofErr w:type="gramStart"/>
      <w:r>
        <w:rPr>
          <w:sz w:val="24"/>
          <w:szCs w:val="24"/>
        </w:rPr>
        <w:t>Court ,</w:t>
      </w:r>
      <w:proofErr w:type="gramEnd"/>
      <w:r>
        <w:rPr>
          <w:sz w:val="24"/>
          <w:szCs w:val="24"/>
        </w:rPr>
        <w:t xml:space="preserve"> invoked by the court in the office. It declines jurisdiction in favor of the application in the Prahova County Court. Without appeal. </w:t>
      </w:r>
    </w:p>
    <w:p w:rsidR="00452793" w:rsidRDefault="00452793" w:rsidP="00452793">
      <w:pPr>
        <w:jc w:val="both"/>
        <w:rPr>
          <w:sz w:val="24"/>
          <w:szCs w:val="24"/>
        </w:rPr>
      </w:pPr>
      <w:r>
        <w:rPr>
          <w:sz w:val="24"/>
          <w:szCs w:val="24"/>
        </w:rPr>
        <w:t> Stage of trial</w:t>
      </w:r>
      <w:proofErr w:type="gramStart"/>
      <w:r>
        <w:rPr>
          <w:sz w:val="24"/>
          <w:szCs w:val="24"/>
        </w:rPr>
        <w:t>:First</w:t>
      </w:r>
      <w:proofErr w:type="gramEnd"/>
      <w:r>
        <w:rPr>
          <w:sz w:val="24"/>
          <w:szCs w:val="24"/>
        </w:rPr>
        <w:t xml:space="preserve"> instance.</w:t>
      </w:r>
    </w:p>
    <w:p w:rsidR="00452793" w:rsidRDefault="00452793" w:rsidP="00452793">
      <w:pPr>
        <w:jc w:val="both"/>
        <w:rPr>
          <w:sz w:val="24"/>
          <w:szCs w:val="24"/>
        </w:rPr>
      </w:pPr>
      <w:r>
        <w:rPr>
          <w:sz w:val="24"/>
          <w:szCs w:val="24"/>
        </w:rPr>
        <w:t xml:space="preserve"> Hearing: </w:t>
      </w:r>
      <w:proofErr w:type="gramStart"/>
      <w:r>
        <w:rPr>
          <w:sz w:val="24"/>
          <w:szCs w:val="24"/>
        </w:rPr>
        <w:t>28</w:t>
      </w:r>
      <w:r>
        <w:rPr>
          <w:sz w:val="24"/>
          <w:szCs w:val="24"/>
          <w:vertAlign w:val="superscript"/>
        </w:rPr>
        <w:t>th</w:t>
      </w:r>
      <w:proofErr w:type="gramEnd"/>
      <w:r>
        <w:rPr>
          <w:sz w:val="24"/>
          <w:szCs w:val="24"/>
        </w:rPr>
        <w:t xml:space="preserve"> Aug 2018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21. The file No 23204/302/2017 - the Bucharest Court </w:t>
      </w:r>
    </w:p>
    <w:p w:rsidR="00452793" w:rsidRDefault="00452793" w:rsidP="00452793">
      <w:pPr>
        <w:jc w:val="both"/>
        <w:rPr>
          <w:sz w:val="24"/>
          <w:szCs w:val="24"/>
        </w:rPr>
      </w:pPr>
      <w:r>
        <w:rPr>
          <w:b/>
          <w:sz w:val="24"/>
          <w:szCs w:val="24"/>
        </w:rPr>
        <w:t>The parties:</w:t>
      </w:r>
      <w:r>
        <w:rPr>
          <w:sz w:val="24"/>
          <w:szCs w:val="24"/>
        </w:rPr>
        <w:t> Conpet - intimat</w:t>
      </w:r>
    </w:p>
    <w:p w:rsidR="00452793" w:rsidRDefault="00452793" w:rsidP="00452793">
      <w:pPr>
        <w:jc w:val="both"/>
        <w:rPr>
          <w:sz w:val="24"/>
          <w:szCs w:val="24"/>
        </w:rPr>
      </w:pPr>
      <w:r>
        <w:rPr>
          <w:sz w:val="24"/>
          <w:szCs w:val="24"/>
        </w:rPr>
        <w:t xml:space="preserve">           Individual practise- Lawyer </w:t>
      </w:r>
      <w:r>
        <w:rPr>
          <w:bCs/>
          <w:sz w:val="24"/>
          <w:szCs w:val="24"/>
        </w:rPr>
        <w:t>Dobrogeanu Paun Ioan</w:t>
      </w:r>
      <w:r>
        <w:rPr>
          <w:sz w:val="24"/>
          <w:szCs w:val="24"/>
        </w:rPr>
        <w:t xml:space="preserve"> </w:t>
      </w:r>
    </w:p>
    <w:p w:rsidR="00452793" w:rsidRDefault="00452793" w:rsidP="00452793">
      <w:pPr>
        <w:jc w:val="both"/>
        <w:rPr>
          <w:sz w:val="24"/>
          <w:szCs w:val="24"/>
        </w:rPr>
      </w:pPr>
      <w:r>
        <w:rPr>
          <w:sz w:val="24"/>
          <w:szCs w:val="24"/>
        </w:rPr>
        <w:t>           Dobrogeanu Păun Ioan</w:t>
      </w:r>
    </w:p>
    <w:p w:rsidR="00452793" w:rsidRDefault="00452793" w:rsidP="00452793">
      <w:pPr>
        <w:jc w:val="both"/>
        <w:rPr>
          <w:sz w:val="24"/>
          <w:szCs w:val="24"/>
        </w:rPr>
      </w:pPr>
      <w:r>
        <w:rPr>
          <w:b/>
          <w:sz w:val="24"/>
          <w:szCs w:val="24"/>
        </w:rPr>
        <w:t>Subject:</w:t>
      </w:r>
      <w:r>
        <w:rPr>
          <w:sz w:val="24"/>
          <w:szCs w:val="24"/>
        </w:rPr>
        <w:t xml:space="preserve"> Appeal to enforcement. Individual practise- Lawyer </w:t>
      </w:r>
      <w:r>
        <w:rPr>
          <w:bCs/>
          <w:sz w:val="24"/>
          <w:szCs w:val="24"/>
        </w:rPr>
        <w:t>Dobrogeanu Paun Ioan</w:t>
      </w:r>
      <w:r>
        <w:rPr>
          <w:sz w:val="24"/>
          <w:szCs w:val="24"/>
        </w:rPr>
        <w:t xml:space="preserve"> </w:t>
      </w:r>
    </w:p>
    <w:p w:rsidR="00452793" w:rsidRDefault="00452793" w:rsidP="00452793">
      <w:pPr>
        <w:jc w:val="both"/>
        <w:rPr>
          <w:sz w:val="24"/>
          <w:szCs w:val="24"/>
        </w:rPr>
      </w:pPr>
      <w:r>
        <w:rPr>
          <w:sz w:val="24"/>
          <w:szCs w:val="24"/>
        </w:rPr>
        <w:t> </w:t>
      </w:r>
      <w:proofErr w:type="gramStart"/>
      <w:r>
        <w:rPr>
          <w:sz w:val="24"/>
          <w:szCs w:val="24"/>
        </w:rPr>
        <w:t>and Dobrogeanu Păun Ioan appealed the enforcement from the enforcement subject of the file for enforcement No 10/2013 of the BEJ Raduta Nicoleta and acts of enforcement, namely: seizure letter of 29</w:t>
      </w:r>
      <w:r>
        <w:rPr>
          <w:sz w:val="24"/>
          <w:szCs w:val="24"/>
          <w:vertAlign w:val="superscript"/>
        </w:rPr>
        <w:t>th</w:t>
      </w:r>
      <w:r>
        <w:rPr>
          <w:sz w:val="24"/>
          <w:szCs w:val="24"/>
        </w:rPr>
        <w:t xml:space="preserve"> Sept 2017, the notice of seizure of 29</w:t>
      </w:r>
      <w:r>
        <w:rPr>
          <w:sz w:val="24"/>
          <w:szCs w:val="24"/>
          <w:vertAlign w:val="superscript"/>
        </w:rPr>
        <w:t>th</w:t>
      </w:r>
      <w:r>
        <w:rPr>
          <w:sz w:val="24"/>
          <w:szCs w:val="24"/>
        </w:rPr>
        <w:t xml:space="preserve"> Sept 2017, the conclusion of 29</w:t>
      </w:r>
      <w:r>
        <w:rPr>
          <w:sz w:val="24"/>
          <w:szCs w:val="24"/>
          <w:vertAlign w:val="superscript"/>
        </w:rPr>
        <w:t>th</w:t>
      </w:r>
      <w:r>
        <w:rPr>
          <w:sz w:val="24"/>
          <w:szCs w:val="24"/>
        </w:rPr>
        <w:t xml:space="preserve"> Sept 2017, the conclusion of 29</w:t>
      </w:r>
      <w:r>
        <w:rPr>
          <w:sz w:val="24"/>
          <w:szCs w:val="24"/>
          <w:vertAlign w:val="superscript"/>
        </w:rPr>
        <w:t>th</w:t>
      </w:r>
      <w:r>
        <w:rPr>
          <w:sz w:val="24"/>
          <w:szCs w:val="24"/>
        </w:rPr>
        <w:t xml:space="preserve"> Sept 2017 concerning the establishment of the additional enforcement expenditure (RON550,97) and the conclusion of the 23</w:t>
      </w:r>
      <w:r>
        <w:rPr>
          <w:sz w:val="24"/>
          <w:szCs w:val="24"/>
          <w:vertAlign w:val="superscript"/>
        </w:rPr>
        <w:t>rd</w:t>
      </w:r>
      <w:r>
        <w:rPr>
          <w:sz w:val="24"/>
          <w:szCs w:val="24"/>
        </w:rPr>
        <w:t xml:space="preserve"> Feb 2013 of the 5th district of Bucharest, on the approval of the enforcement.</w:t>
      </w:r>
      <w:proofErr w:type="gramEnd"/>
      <w:r>
        <w:rPr>
          <w:sz w:val="24"/>
          <w:szCs w:val="24"/>
        </w:rPr>
        <w:t xml:space="preserve"> With expenses.</w:t>
      </w:r>
    </w:p>
    <w:p w:rsidR="00452793" w:rsidRDefault="00452793" w:rsidP="00452793">
      <w:pPr>
        <w:jc w:val="both"/>
        <w:rPr>
          <w:sz w:val="24"/>
          <w:szCs w:val="24"/>
        </w:rPr>
      </w:pPr>
      <w:r>
        <w:rPr>
          <w:b/>
          <w:sz w:val="24"/>
          <w:szCs w:val="24"/>
        </w:rPr>
        <w:t>Clarifications:</w:t>
      </w:r>
      <w:r>
        <w:rPr>
          <w:sz w:val="24"/>
          <w:szCs w:val="24"/>
        </w:rPr>
        <w:t> </w:t>
      </w:r>
      <w:proofErr w:type="gramStart"/>
      <w:r>
        <w:rPr>
          <w:sz w:val="24"/>
          <w:szCs w:val="24"/>
        </w:rPr>
        <w:t>by the </w:t>
      </w:r>
      <w:r>
        <w:rPr>
          <w:b/>
          <w:sz w:val="24"/>
          <w:szCs w:val="24"/>
        </w:rPr>
        <w:t>sentence</w:t>
      </w:r>
      <w:r>
        <w:rPr>
          <w:sz w:val="24"/>
          <w:szCs w:val="24"/>
        </w:rPr>
        <w:t xml:space="preserve"> No.</w:t>
      </w:r>
      <w:proofErr w:type="gramEnd"/>
      <w:r>
        <w:rPr>
          <w:sz w:val="24"/>
          <w:szCs w:val="24"/>
        </w:rPr>
        <w:t xml:space="preserve"> 2346/19.03.2018 </w:t>
      </w:r>
      <w:r>
        <w:rPr>
          <w:b/>
          <w:sz w:val="24"/>
          <w:szCs w:val="24"/>
        </w:rPr>
        <w:t>of the</w:t>
      </w:r>
      <w:r>
        <w:rPr>
          <w:sz w:val="24"/>
          <w:szCs w:val="24"/>
        </w:rPr>
        <w:t xml:space="preserve"> Court of Law District 5 Bucharest agrees with the plea of the lack of quality law liabilities, invoked by the respondent BEJ Raduta Nicoleta. It rejects the notice of appeal to the enforcement of the madebt the </w:t>
      </w:r>
      <w:proofErr w:type="gramStart"/>
      <w:r>
        <w:rPr>
          <w:sz w:val="24"/>
          <w:szCs w:val="24"/>
        </w:rPr>
        <w:t>complainant  Individual</w:t>
      </w:r>
      <w:proofErr w:type="gramEnd"/>
      <w:r>
        <w:rPr>
          <w:sz w:val="24"/>
          <w:szCs w:val="24"/>
        </w:rPr>
        <w:t xml:space="preserve"> Practice- Lawyer Dobrogeanu Paun Ioan against respondents Conpet and the bailiff office Raduta Nicoleta, as introduced by a person without quality law liabilities. It agrees with the plea of lack of quality law liabilities for the respondent, invoked by the Office of the bailiff Raduta Nicoleta. It rejects the notice of appeal to the execution made by complainant Dobrogeanu Paun Ioan the respondent arguing with the Office of the bailiff Raduta Nicoleta, as </w:t>
      </w:r>
      <w:proofErr w:type="gramStart"/>
      <w:r>
        <w:rPr>
          <w:sz w:val="24"/>
          <w:szCs w:val="24"/>
        </w:rPr>
        <w:t>being directed</w:t>
      </w:r>
      <w:proofErr w:type="gramEnd"/>
      <w:r>
        <w:rPr>
          <w:sz w:val="24"/>
          <w:szCs w:val="24"/>
        </w:rPr>
        <w:t xml:space="preserve"> against a person without quality law liabilities. It admits the exception of delay, invoked by the court ex officio. </w:t>
      </w:r>
      <w:proofErr w:type="gramStart"/>
      <w:r>
        <w:rPr>
          <w:sz w:val="24"/>
          <w:szCs w:val="24"/>
        </w:rPr>
        <w:t>It rejects the appeal as being tardy performance having as its object the enforcement itself, the conclusion of the date of 25</w:t>
      </w:r>
      <w:r>
        <w:rPr>
          <w:sz w:val="24"/>
          <w:szCs w:val="24"/>
          <w:vertAlign w:val="superscript"/>
        </w:rPr>
        <w:t>th</w:t>
      </w:r>
      <w:r>
        <w:rPr>
          <w:sz w:val="24"/>
          <w:szCs w:val="24"/>
        </w:rPr>
        <w:t xml:space="preserve"> Feb 2013, pronounced by the Court of Sector 5 Bucharest in the file no. 4198/302/2013, and the conclusion of the setting of the additional costs of enforcement, issued on 29.09.2017 in the case of enforcement No 10/2013 of the Office of the bailiff Raduta Nicoleta.</w:t>
      </w:r>
      <w:proofErr w:type="gramEnd"/>
      <w:r>
        <w:rPr>
          <w:sz w:val="24"/>
          <w:szCs w:val="24"/>
        </w:rPr>
        <w:t xml:space="preserve"> As for the rest, the rejected as groundless, opposition to the enforcement made by complainant Dobrogeanu Paun Ioan arguing with respondent Conpet. It rejects as unfounded the request of the complainants having as its object the trial expenses. It orders the the complainants, jointly, to pay the office of the bailiff Raduta Nicoleta amount of RON 458,15with the title of expenditure of photocopying and </w:t>
      </w:r>
      <w:r>
        <w:rPr>
          <w:sz w:val="24"/>
          <w:szCs w:val="24"/>
        </w:rPr>
        <w:lastRenderedPageBreak/>
        <w:t xml:space="preserve">communication of the file of enforcement. The sentence was appealed </w:t>
      </w:r>
      <w:proofErr w:type="gramStart"/>
      <w:r>
        <w:rPr>
          <w:sz w:val="24"/>
          <w:szCs w:val="24"/>
        </w:rPr>
        <w:t>by  C</w:t>
      </w:r>
      <w:proofErr w:type="gramEnd"/>
      <w:r>
        <w:rPr>
          <w:sz w:val="24"/>
          <w:szCs w:val="24"/>
        </w:rPr>
        <w:t>. I. The peacock Av. Dobrogeanu John. </w:t>
      </w:r>
    </w:p>
    <w:p w:rsidR="00452793" w:rsidRDefault="00452793" w:rsidP="00452793">
      <w:pPr>
        <w:jc w:val="both"/>
        <w:rPr>
          <w:sz w:val="24"/>
          <w:szCs w:val="24"/>
        </w:rPr>
      </w:pPr>
      <w:r>
        <w:rPr>
          <w:sz w:val="24"/>
          <w:szCs w:val="24"/>
        </w:rPr>
        <w:t>Stage of trial: Appeal</w:t>
      </w:r>
    </w:p>
    <w:p w:rsidR="00452793" w:rsidRDefault="00452793" w:rsidP="00452793">
      <w:pPr>
        <w:jc w:val="both"/>
        <w:rPr>
          <w:sz w:val="24"/>
          <w:szCs w:val="24"/>
        </w:rPr>
      </w:pPr>
      <w:r>
        <w:rPr>
          <w:b/>
          <w:sz w:val="24"/>
          <w:szCs w:val="24"/>
        </w:rPr>
        <w:t>Hearing:</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lang w:val="ro-RO"/>
        </w:rPr>
      </w:pPr>
      <w:r>
        <w:rPr>
          <w:b/>
          <w:sz w:val="24"/>
          <w:szCs w:val="24"/>
        </w:rPr>
        <w:t xml:space="preserve">22. The file no. 8928/105/2017 - Ploiesti Court of Appeal </w:t>
      </w:r>
    </w:p>
    <w:p w:rsidR="00452793" w:rsidRDefault="00452793" w:rsidP="00452793">
      <w:pPr>
        <w:jc w:val="both"/>
        <w:rPr>
          <w:sz w:val="24"/>
          <w:szCs w:val="24"/>
          <w:lang w:val="ro-RO"/>
        </w:rPr>
      </w:pPr>
      <w:r>
        <w:rPr>
          <w:b/>
          <w:sz w:val="24"/>
          <w:szCs w:val="24"/>
        </w:rPr>
        <w:t>The parties:</w:t>
      </w:r>
      <w:r>
        <w:rPr>
          <w:sz w:val="24"/>
          <w:szCs w:val="24"/>
          <w:lang w:val="ro-RO"/>
        </w:rPr>
        <w:t xml:space="preserve"> Conpet - </w:t>
      </w:r>
      <w:r>
        <w:rPr>
          <w:sz w:val="24"/>
          <w:szCs w:val="24"/>
        </w:rPr>
        <w:t>defendant</w:t>
      </w:r>
    </w:p>
    <w:p w:rsidR="00452793" w:rsidRDefault="00452793" w:rsidP="00452793">
      <w:pPr>
        <w:jc w:val="both"/>
        <w:rPr>
          <w:sz w:val="24"/>
          <w:szCs w:val="24"/>
          <w:lang w:val="ro-RO"/>
        </w:rPr>
      </w:pPr>
      <w:r>
        <w:rPr>
          <w:sz w:val="24"/>
          <w:szCs w:val="24"/>
          <w:lang w:val="ro-RO"/>
        </w:rPr>
        <w:t xml:space="preserve">           The association of the Tera Gas Construct SRL - Vialis Engineering </w:t>
      </w:r>
      <w:r>
        <w:rPr>
          <w:sz w:val="24"/>
          <w:szCs w:val="24"/>
        </w:rPr>
        <w:t>SA</w:t>
      </w:r>
    </w:p>
    <w:p w:rsidR="00452793" w:rsidRDefault="00452793" w:rsidP="00452793">
      <w:pPr>
        <w:jc w:val="both"/>
        <w:rPr>
          <w:sz w:val="24"/>
          <w:szCs w:val="24"/>
          <w:lang w:val="ro-RO"/>
        </w:rPr>
      </w:pPr>
      <w:r>
        <w:rPr>
          <w:b/>
          <w:sz w:val="24"/>
          <w:szCs w:val="24"/>
          <w:lang w:val="ro-RO"/>
        </w:rPr>
        <w:t>Subject:</w:t>
      </w:r>
      <w:r>
        <w:rPr>
          <w:sz w:val="24"/>
          <w:szCs w:val="24"/>
          <w:lang w:val="ro-RO"/>
        </w:rPr>
        <w:t> </w:t>
      </w:r>
      <w:r>
        <w:rPr>
          <w:sz w:val="24"/>
          <w:szCs w:val="24"/>
        </w:rPr>
        <w:t>Auction c</w:t>
      </w:r>
      <w:r>
        <w:rPr>
          <w:sz w:val="24"/>
          <w:szCs w:val="24"/>
          <w:lang w:val="ro-RO"/>
        </w:rPr>
        <w:t>ancel</w:t>
      </w:r>
      <w:r>
        <w:rPr>
          <w:sz w:val="24"/>
          <w:szCs w:val="24"/>
        </w:rPr>
        <w:t>ation</w:t>
      </w:r>
      <w:r>
        <w:rPr>
          <w:sz w:val="24"/>
          <w:szCs w:val="24"/>
          <w:lang w:val="ro-RO"/>
        </w:rPr>
        <w:t xml:space="preserve">. The association of the Tera Gas Construct SRL - Vialis Engineering </w:t>
      </w:r>
      <w:r>
        <w:rPr>
          <w:sz w:val="24"/>
          <w:szCs w:val="24"/>
        </w:rPr>
        <w:t xml:space="preserve">SA appealed </w:t>
      </w:r>
      <w:r>
        <w:rPr>
          <w:sz w:val="24"/>
          <w:szCs w:val="24"/>
          <w:lang w:val="ro-RO"/>
        </w:rPr>
        <w:t xml:space="preserve">against the decision no. 11/04.12.2017 issued by Conpet - direction and commercial activities covered, with regard to the </w:t>
      </w:r>
      <w:r>
        <w:rPr>
          <w:sz w:val="24"/>
          <w:szCs w:val="24"/>
        </w:rPr>
        <w:t xml:space="preserve">Appeal </w:t>
      </w:r>
      <w:r>
        <w:rPr>
          <w:sz w:val="24"/>
          <w:szCs w:val="24"/>
          <w:lang w:val="ro-RO"/>
        </w:rPr>
        <w:t xml:space="preserve">no. 936/06.11.2017, recorded at </w:t>
      </w:r>
      <w:r>
        <w:rPr>
          <w:sz w:val="24"/>
          <w:szCs w:val="24"/>
        </w:rPr>
        <w:t>C</w:t>
      </w:r>
      <w:r>
        <w:rPr>
          <w:sz w:val="24"/>
          <w:szCs w:val="24"/>
          <w:lang w:val="ro-RO"/>
        </w:rPr>
        <w:t xml:space="preserve">onpet </w:t>
      </w:r>
      <w:r>
        <w:rPr>
          <w:sz w:val="24"/>
          <w:szCs w:val="24"/>
        </w:rPr>
        <w:t xml:space="preserve">SA </w:t>
      </w:r>
      <w:r>
        <w:rPr>
          <w:sz w:val="24"/>
          <w:szCs w:val="24"/>
          <w:lang w:val="ro-RO"/>
        </w:rPr>
        <w:t>under no. 44953/06.11.2017 formulated by the Association Terra Gas Construct SRL - Vialis Engeneering against the outcome of the procedure for the award of a contract of works having as its object the </w:t>
      </w:r>
      <w:r>
        <w:rPr>
          <w:sz w:val="24"/>
          <w:szCs w:val="24"/>
        </w:rPr>
        <w:t>overall Rehabilitation Assembly, no. 8, II Rezervoarelor, str." and requested:</w:t>
      </w:r>
    </w:p>
    <w:p w:rsidR="00452793" w:rsidRDefault="00452793" w:rsidP="00D87DA4">
      <w:pPr>
        <w:widowControl/>
        <w:numPr>
          <w:ilvl w:val="0"/>
          <w:numId w:val="51"/>
        </w:numPr>
        <w:tabs>
          <w:tab w:val="left" w:pos="720"/>
        </w:tabs>
        <w:autoSpaceDE/>
        <w:autoSpaceDN/>
        <w:adjustRightInd/>
        <w:jc w:val="both"/>
        <w:rPr>
          <w:sz w:val="24"/>
          <w:szCs w:val="24"/>
          <w:lang w:val="ro-RO"/>
        </w:rPr>
      </w:pPr>
      <w:r>
        <w:rPr>
          <w:sz w:val="24"/>
          <w:szCs w:val="24"/>
          <w:lang w:val="ro-RO"/>
        </w:rPr>
        <w:t xml:space="preserve">Cancellation of the Decision No 11/04.12.2017 issued by Conpet - direction and commercial activities covered, with regard to the communication of the Opposition </w:t>
      </w:r>
      <w:r>
        <w:rPr>
          <w:sz w:val="24"/>
          <w:szCs w:val="24"/>
        </w:rPr>
        <w:t xml:space="preserve"> of the underwritten </w:t>
      </w:r>
      <w:r>
        <w:rPr>
          <w:sz w:val="24"/>
          <w:szCs w:val="24"/>
          <w:lang w:val="ro-RO"/>
        </w:rPr>
        <w:t>against the outcome of the procedure;</w:t>
      </w:r>
    </w:p>
    <w:p w:rsidR="00452793" w:rsidRDefault="00452793" w:rsidP="00D87DA4">
      <w:pPr>
        <w:widowControl/>
        <w:numPr>
          <w:ilvl w:val="0"/>
          <w:numId w:val="51"/>
        </w:numPr>
        <w:tabs>
          <w:tab w:val="left" w:pos="720"/>
        </w:tabs>
        <w:autoSpaceDE/>
        <w:autoSpaceDN/>
        <w:adjustRightInd/>
        <w:jc w:val="both"/>
        <w:rPr>
          <w:sz w:val="24"/>
          <w:szCs w:val="24"/>
          <w:lang w:val="ro-RO"/>
        </w:rPr>
      </w:pPr>
      <w:r>
        <w:rPr>
          <w:sz w:val="24"/>
          <w:szCs w:val="24"/>
          <w:lang w:val="ro-RO"/>
        </w:rPr>
        <w:t xml:space="preserve">Cancellation of the </w:t>
      </w:r>
      <w:r>
        <w:rPr>
          <w:sz w:val="24"/>
          <w:szCs w:val="24"/>
        </w:rPr>
        <w:t xml:space="preserve">letter </w:t>
      </w:r>
      <w:r>
        <w:rPr>
          <w:sz w:val="24"/>
          <w:szCs w:val="24"/>
          <w:lang w:val="ro-RO"/>
        </w:rPr>
        <w:t>registered under no. 43929/31.10.2017 at the headquarters of Conpet - direction and commercial activities covered, representing the communication of the outcome of the evaluation of tenders through which has been brought to the attention of the annulment procedure</w:t>
      </w:r>
      <w:r>
        <w:rPr>
          <w:sz w:val="24"/>
          <w:szCs w:val="24"/>
        </w:rPr>
        <w:t xml:space="preserve"> </w:t>
      </w:r>
      <w:r>
        <w:rPr>
          <w:sz w:val="24"/>
          <w:szCs w:val="24"/>
          <w:lang w:val="ro-RO"/>
        </w:rPr>
        <w:t xml:space="preserve">of the </w:t>
      </w:r>
      <w:r>
        <w:rPr>
          <w:sz w:val="24"/>
          <w:szCs w:val="24"/>
        </w:rPr>
        <w:t>sentence</w:t>
      </w:r>
      <w:r>
        <w:rPr>
          <w:sz w:val="24"/>
          <w:szCs w:val="24"/>
          <w:lang w:val="ro-RO"/>
        </w:rPr>
        <w:t>, and consequently cancellation of the decision to cancel the procedure for the purchase price;</w:t>
      </w:r>
    </w:p>
    <w:p w:rsidR="00452793" w:rsidRDefault="00452793" w:rsidP="00D87DA4">
      <w:pPr>
        <w:widowControl/>
        <w:numPr>
          <w:ilvl w:val="0"/>
          <w:numId w:val="51"/>
        </w:numPr>
        <w:tabs>
          <w:tab w:val="left" w:pos="720"/>
        </w:tabs>
        <w:autoSpaceDE/>
        <w:autoSpaceDN/>
        <w:adjustRightInd/>
        <w:jc w:val="both"/>
        <w:rPr>
          <w:sz w:val="24"/>
          <w:szCs w:val="24"/>
          <w:lang w:val="ro-RO"/>
        </w:rPr>
      </w:pPr>
      <w:r>
        <w:rPr>
          <w:sz w:val="24"/>
          <w:szCs w:val="24"/>
          <w:lang w:val="ro-RO"/>
        </w:rPr>
        <w:t>The report cancellation procedure, as well as all subsequent acts, including those concerning the communication of the outcome of the procedure, address no. 43929;</w:t>
      </w:r>
    </w:p>
    <w:p w:rsidR="00452793" w:rsidRDefault="00452793" w:rsidP="00D87DA4">
      <w:pPr>
        <w:widowControl/>
        <w:numPr>
          <w:ilvl w:val="0"/>
          <w:numId w:val="51"/>
        </w:numPr>
        <w:tabs>
          <w:tab w:val="left" w:pos="720"/>
        </w:tabs>
        <w:autoSpaceDE/>
        <w:autoSpaceDN/>
        <w:adjustRightInd/>
        <w:jc w:val="both"/>
        <w:rPr>
          <w:sz w:val="24"/>
          <w:szCs w:val="24"/>
          <w:lang w:val="ro-RO"/>
        </w:rPr>
      </w:pPr>
      <w:r>
        <w:rPr>
          <w:sz w:val="24"/>
          <w:szCs w:val="24"/>
          <w:lang w:val="ro-RO"/>
        </w:rPr>
        <w:t xml:space="preserve">The obligation of the contracting authority to the resumption of award procedure and re-evaluation of the tenders admissible in relation to the requirements of the documentation for the award and the provisions of the laws, with the establishment of a new report of the </w:t>
      </w:r>
      <w:r>
        <w:rPr>
          <w:sz w:val="24"/>
          <w:szCs w:val="24"/>
        </w:rPr>
        <w:t xml:space="preserve">assignment </w:t>
      </w:r>
      <w:r>
        <w:rPr>
          <w:sz w:val="24"/>
          <w:szCs w:val="24"/>
          <w:lang w:val="ro-RO"/>
        </w:rPr>
        <w:t xml:space="preserve">procedure and the application of the criterion of </w:t>
      </w:r>
      <w:r>
        <w:rPr>
          <w:sz w:val="24"/>
          <w:szCs w:val="24"/>
        </w:rPr>
        <w:t xml:space="preserve">assignment </w:t>
      </w:r>
      <w:r>
        <w:rPr>
          <w:sz w:val="24"/>
          <w:szCs w:val="24"/>
          <w:lang w:val="ro-RO"/>
        </w:rPr>
        <w:t>published in the invitation.</w:t>
      </w:r>
    </w:p>
    <w:p w:rsidR="00452793" w:rsidRDefault="00452793" w:rsidP="00452793">
      <w:pPr>
        <w:jc w:val="both"/>
        <w:rPr>
          <w:sz w:val="24"/>
          <w:szCs w:val="24"/>
          <w:lang w:val="ro-RO"/>
        </w:rPr>
      </w:pPr>
      <w:r>
        <w:rPr>
          <w:b/>
          <w:sz w:val="24"/>
          <w:szCs w:val="24"/>
        </w:rPr>
        <w:t>Clarifications</w:t>
      </w:r>
      <w:r>
        <w:rPr>
          <w:b/>
          <w:sz w:val="24"/>
          <w:szCs w:val="24"/>
          <w:lang w:val="ro-RO"/>
        </w:rPr>
        <w:t>: </w:t>
      </w:r>
      <w:r>
        <w:rPr>
          <w:sz w:val="24"/>
          <w:szCs w:val="24"/>
        </w:rPr>
        <w:t>By the </w:t>
      </w:r>
      <w:r>
        <w:rPr>
          <w:b/>
          <w:sz w:val="24"/>
          <w:szCs w:val="24"/>
        </w:rPr>
        <w:t xml:space="preserve">order no. </w:t>
      </w:r>
      <w:proofErr w:type="gramStart"/>
      <w:r>
        <w:rPr>
          <w:b/>
          <w:sz w:val="24"/>
          <w:szCs w:val="24"/>
        </w:rPr>
        <w:t>613/14.03.2018</w:t>
      </w:r>
      <w:proofErr w:type="gramEnd"/>
      <w:r>
        <w:rPr>
          <w:sz w:val="24"/>
          <w:szCs w:val="24"/>
        </w:rPr>
        <w:t xml:space="preserve"> the Prahova County Court admitted the request of summoning the sentence made by the plaintiff association Terra Gas Construct S.R.L. - Vialis Engineering S.A. It cancels Decision No 11/04.12.2017 and letter no. 43929/31.10.2017 issued by the defendant. </w:t>
      </w:r>
      <w:proofErr w:type="gramStart"/>
      <w:r>
        <w:rPr>
          <w:sz w:val="24"/>
          <w:szCs w:val="24"/>
        </w:rPr>
        <w:t>The sentence was appealed by Conpet</w:t>
      </w:r>
      <w:proofErr w:type="gramEnd"/>
      <w:r>
        <w:rPr>
          <w:sz w:val="24"/>
          <w:szCs w:val="24"/>
        </w:rPr>
        <w:t>. </w:t>
      </w:r>
    </w:p>
    <w:p w:rsidR="00452793" w:rsidRDefault="00452793" w:rsidP="00452793">
      <w:pPr>
        <w:jc w:val="both"/>
        <w:rPr>
          <w:sz w:val="24"/>
          <w:szCs w:val="24"/>
          <w:lang w:val="ro-RO"/>
        </w:rPr>
      </w:pPr>
      <w:r>
        <w:rPr>
          <w:b/>
          <w:sz w:val="24"/>
          <w:szCs w:val="24"/>
        </w:rPr>
        <w:t xml:space="preserve">Stage of trial: </w:t>
      </w:r>
      <w:r>
        <w:rPr>
          <w:sz w:val="24"/>
          <w:szCs w:val="24"/>
          <w:lang w:val="ro-RO"/>
        </w:rPr>
        <w:t xml:space="preserve">Appeal </w:t>
      </w:r>
    </w:p>
    <w:p w:rsidR="00452793" w:rsidRDefault="00452793" w:rsidP="00452793">
      <w:pPr>
        <w:jc w:val="both"/>
        <w:rPr>
          <w:sz w:val="24"/>
          <w:szCs w:val="24"/>
          <w:lang w:val="ro-RO"/>
        </w:rPr>
      </w:pPr>
      <w:r>
        <w:rPr>
          <w:sz w:val="24"/>
          <w:szCs w:val="24"/>
          <w:lang w:val="ro-RO"/>
        </w:rPr>
        <w:t> </w:t>
      </w:r>
      <w:r>
        <w:rPr>
          <w:sz w:val="24"/>
          <w:szCs w:val="24"/>
        </w:rPr>
        <w:t>Hearing</w:t>
      </w:r>
      <w:proofErr w:type="gramStart"/>
      <w:r>
        <w:rPr>
          <w:sz w:val="24"/>
          <w:szCs w:val="24"/>
          <w:lang w:val="ro-RO"/>
        </w:rPr>
        <w:t>:19</w:t>
      </w:r>
      <w:r>
        <w:rPr>
          <w:sz w:val="24"/>
          <w:szCs w:val="24"/>
          <w:vertAlign w:val="superscript"/>
        </w:rPr>
        <w:t>th</w:t>
      </w:r>
      <w:proofErr w:type="gramEnd"/>
      <w:r>
        <w:rPr>
          <w:sz w:val="24"/>
          <w:szCs w:val="24"/>
        </w:rPr>
        <w:t xml:space="preserve"> July </w:t>
      </w:r>
      <w:r>
        <w:rPr>
          <w:sz w:val="24"/>
          <w:szCs w:val="24"/>
          <w:lang w:val="ro-RO"/>
        </w:rPr>
        <w:t xml:space="preserve">2018 </w:t>
      </w:r>
    </w:p>
    <w:p w:rsidR="00452793" w:rsidRDefault="00452793" w:rsidP="00452793">
      <w:pPr>
        <w:jc w:val="both"/>
        <w:rPr>
          <w:sz w:val="24"/>
          <w:szCs w:val="24"/>
          <w:lang w:val="ro-RO"/>
        </w:rPr>
      </w:pPr>
    </w:p>
    <w:p w:rsidR="00452793" w:rsidRDefault="00452793" w:rsidP="00452793">
      <w:pPr>
        <w:jc w:val="both"/>
        <w:rPr>
          <w:sz w:val="24"/>
          <w:szCs w:val="24"/>
          <w:lang w:val="ro-RO"/>
        </w:rPr>
      </w:pPr>
    </w:p>
    <w:p w:rsidR="00452793" w:rsidRDefault="00452793" w:rsidP="00452793">
      <w:pPr>
        <w:jc w:val="both"/>
        <w:rPr>
          <w:b/>
          <w:sz w:val="24"/>
          <w:szCs w:val="24"/>
          <w:lang w:val="ro-RO"/>
        </w:rPr>
      </w:pPr>
      <w:r>
        <w:rPr>
          <w:b/>
          <w:sz w:val="24"/>
          <w:szCs w:val="24"/>
          <w:lang w:val="ro-RO"/>
        </w:rPr>
        <w:t>23. The file no. 1099/281/2017 - Ploiesti</w:t>
      </w:r>
      <w:r>
        <w:rPr>
          <w:b/>
          <w:sz w:val="24"/>
          <w:szCs w:val="24"/>
        </w:rPr>
        <w:t xml:space="preserve"> </w:t>
      </w:r>
      <w:r>
        <w:rPr>
          <w:b/>
          <w:sz w:val="24"/>
          <w:szCs w:val="24"/>
          <w:lang w:val="ro-RO"/>
        </w:rPr>
        <w:t xml:space="preserve">Court </w:t>
      </w:r>
    </w:p>
    <w:p w:rsidR="00452793" w:rsidRDefault="00452793" w:rsidP="00452793">
      <w:pPr>
        <w:jc w:val="both"/>
        <w:rPr>
          <w:sz w:val="24"/>
          <w:szCs w:val="24"/>
          <w:lang w:val="ro-RO"/>
        </w:rPr>
      </w:pPr>
      <w:r>
        <w:rPr>
          <w:b/>
          <w:sz w:val="24"/>
          <w:szCs w:val="24"/>
          <w:lang w:val="ro-RO"/>
        </w:rPr>
        <w:t>The parties: </w:t>
      </w:r>
      <w:r>
        <w:rPr>
          <w:sz w:val="24"/>
          <w:szCs w:val="24"/>
          <w:lang w:val="ro-RO"/>
        </w:rPr>
        <w:t xml:space="preserve">Conpet - </w:t>
      </w:r>
      <w:r>
        <w:rPr>
          <w:sz w:val="24"/>
          <w:szCs w:val="24"/>
        </w:rPr>
        <w:t>respondent</w:t>
      </w:r>
    </w:p>
    <w:p w:rsidR="00452793" w:rsidRDefault="00452793" w:rsidP="00452793">
      <w:pPr>
        <w:jc w:val="both"/>
        <w:rPr>
          <w:sz w:val="24"/>
          <w:szCs w:val="24"/>
          <w:lang w:val="ro-RO"/>
        </w:rPr>
      </w:pPr>
      <w:r>
        <w:rPr>
          <w:sz w:val="24"/>
          <w:szCs w:val="24"/>
          <w:lang w:val="ro-RO"/>
        </w:rPr>
        <w:t>           Dobrogeanu</w:t>
      </w:r>
      <w:r>
        <w:rPr>
          <w:sz w:val="24"/>
          <w:szCs w:val="24"/>
        </w:rPr>
        <w:t xml:space="preserve"> </w:t>
      </w:r>
      <w:r>
        <w:rPr>
          <w:sz w:val="24"/>
          <w:szCs w:val="24"/>
          <w:lang w:val="ro-RO"/>
        </w:rPr>
        <w:t xml:space="preserve">Dumitru - </w:t>
      </w:r>
      <w:r>
        <w:rPr>
          <w:sz w:val="24"/>
          <w:szCs w:val="24"/>
        </w:rPr>
        <w:t xml:space="preserve">complainant </w:t>
      </w:r>
    </w:p>
    <w:p w:rsidR="00452793" w:rsidRDefault="00452793" w:rsidP="00452793">
      <w:pPr>
        <w:jc w:val="both"/>
        <w:rPr>
          <w:sz w:val="24"/>
          <w:szCs w:val="24"/>
          <w:lang w:val="ro-RO"/>
        </w:rPr>
      </w:pPr>
      <w:r>
        <w:rPr>
          <w:sz w:val="24"/>
          <w:szCs w:val="24"/>
          <w:lang w:val="ro-RO"/>
        </w:rPr>
        <w:t xml:space="preserve">           </w:t>
      </w:r>
      <w:r>
        <w:rPr>
          <w:sz w:val="24"/>
          <w:szCs w:val="24"/>
        </w:rPr>
        <w:t xml:space="preserve">BEJ </w:t>
      </w:r>
      <w:r>
        <w:rPr>
          <w:sz w:val="24"/>
          <w:szCs w:val="24"/>
          <w:lang w:val="ro-RO"/>
        </w:rPr>
        <w:t xml:space="preserve">Petcu Alexandru - </w:t>
      </w:r>
      <w:r>
        <w:rPr>
          <w:sz w:val="24"/>
          <w:szCs w:val="24"/>
        </w:rPr>
        <w:t xml:space="preserve">respondent </w:t>
      </w:r>
    </w:p>
    <w:p w:rsidR="00452793" w:rsidRDefault="00452793" w:rsidP="00452793">
      <w:pPr>
        <w:jc w:val="both"/>
        <w:rPr>
          <w:sz w:val="24"/>
          <w:szCs w:val="24"/>
          <w:lang w:val="ro-RO"/>
        </w:rPr>
      </w:pPr>
      <w:r>
        <w:rPr>
          <w:b/>
          <w:sz w:val="24"/>
          <w:szCs w:val="24"/>
          <w:lang w:val="ro-RO"/>
        </w:rPr>
        <w:t>Subject: </w:t>
      </w:r>
      <w:r>
        <w:rPr>
          <w:sz w:val="24"/>
          <w:szCs w:val="24"/>
          <w:lang w:val="ro-RO"/>
        </w:rPr>
        <w:t xml:space="preserve">Dobrogeanu Dumitru </w:t>
      </w:r>
      <w:r>
        <w:rPr>
          <w:sz w:val="24"/>
          <w:szCs w:val="24"/>
        </w:rPr>
        <w:t>appealed the enforcement</w:t>
      </w:r>
      <w:r>
        <w:rPr>
          <w:sz w:val="24"/>
          <w:szCs w:val="24"/>
          <w:lang w:val="ro-RO"/>
        </w:rPr>
        <w:t xml:space="preserve"> against the forms of execution issued by </w:t>
      </w:r>
      <w:r>
        <w:rPr>
          <w:sz w:val="24"/>
          <w:szCs w:val="24"/>
        </w:rPr>
        <w:t xml:space="preserve">BEJ </w:t>
      </w:r>
      <w:r>
        <w:rPr>
          <w:sz w:val="24"/>
          <w:szCs w:val="24"/>
          <w:lang w:val="ro-RO"/>
        </w:rPr>
        <w:t xml:space="preserve">Alexandru Petcu in the </w:t>
      </w:r>
      <w:r>
        <w:rPr>
          <w:sz w:val="24"/>
          <w:szCs w:val="24"/>
        </w:rPr>
        <w:t xml:space="preserve">enforcement file </w:t>
      </w:r>
      <w:r>
        <w:rPr>
          <w:sz w:val="24"/>
          <w:szCs w:val="24"/>
          <w:lang w:val="ro-RO"/>
        </w:rPr>
        <w:t xml:space="preserve"> no. 224/2017 asking the Court:</w:t>
      </w:r>
    </w:p>
    <w:p w:rsidR="00452793" w:rsidRDefault="00452793" w:rsidP="00D87DA4">
      <w:pPr>
        <w:widowControl/>
        <w:numPr>
          <w:ilvl w:val="0"/>
          <w:numId w:val="51"/>
        </w:numPr>
        <w:tabs>
          <w:tab w:val="left" w:pos="720"/>
        </w:tabs>
        <w:autoSpaceDE/>
        <w:autoSpaceDN/>
        <w:adjustRightInd/>
        <w:spacing w:line="252" w:lineRule="auto"/>
        <w:jc w:val="both"/>
        <w:rPr>
          <w:sz w:val="24"/>
          <w:szCs w:val="24"/>
          <w:lang w:val="ro-RO"/>
        </w:rPr>
      </w:pPr>
      <w:r>
        <w:rPr>
          <w:sz w:val="24"/>
          <w:szCs w:val="24"/>
          <w:lang w:val="ro-RO"/>
        </w:rPr>
        <w:lastRenderedPageBreak/>
        <w:t xml:space="preserve">The obligation of the </w:t>
      </w:r>
      <w:r>
        <w:rPr>
          <w:sz w:val="24"/>
          <w:szCs w:val="24"/>
        </w:rPr>
        <w:t xml:space="preserve">BEJ </w:t>
      </w:r>
      <w:r>
        <w:rPr>
          <w:sz w:val="24"/>
          <w:szCs w:val="24"/>
          <w:lang w:val="ro-RO"/>
        </w:rPr>
        <w:t xml:space="preserve">Petcu Alexandru </w:t>
      </w:r>
      <w:r>
        <w:rPr>
          <w:sz w:val="24"/>
          <w:szCs w:val="24"/>
        </w:rPr>
        <w:t xml:space="preserve">to </w:t>
      </w:r>
      <w:r>
        <w:rPr>
          <w:sz w:val="24"/>
          <w:szCs w:val="24"/>
          <w:lang w:val="ro-RO"/>
        </w:rPr>
        <w:t>releas</w:t>
      </w:r>
      <w:r>
        <w:rPr>
          <w:sz w:val="24"/>
          <w:szCs w:val="24"/>
        </w:rPr>
        <w:t>e</w:t>
      </w:r>
      <w:r>
        <w:rPr>
          <w:sz w:val="24"/>
          <w:szCs w:val="24"/>
          <w:lang w:val="ro-RO"/>
        </w:rPr>
        <w:t xml:space="preserve"> the amount of </w:t>
      </w:r>
      <w:r>
        <w:rPr>
          <w:sz w:val="24"/>
          <w:szCs w:val="24"/>
        </w:rPr>
        <w:t xml:space="preserve">RON </w:t>
      </w:r>
      <w:r>
        <w:rPr>
          <w:sz w:val="24"/>
          <w:szCs w:val="24"/>
          <w:lang w:val="ro-RO"/>
        </w:rPr>
        <w:t>2.096 representing an annual rent of</w:t>
      </w:r>
      <w:r>
        <w:rPr>
          <w:sz w:val="24"/>
          <w:szCs w:val="24"/>
        </w:rPr>
        <w:t xml:space="preserve"> </w:t>
      </w:r>
      <w:r>
        <w:rPr>
          <w:sz w:val="24"/>
          <w:szCs w:val="24"/>
          <w:lang w:val="ro-RO"/>
        </w:rPr>
        <w:t>lei</w:t>
      </w:r>
      <w:r>
        <w:rPr>
          <w:sz w:val="24"/>
          <w:szCs w:val="24"/>
        </w:rPr>
        <w:t xml:space="preserve"> </w:t>
      </w:r>
      <w:r>
        <w:rPr>
          <w:sz w:val="24"/>
          <w:szCs w:val="24"/>
          <w:lang w:val="ro-RO"/>
        </w:rPr>
        <w:t>262, starting with 2006 up to 01</w:t>
      </w:r>
      <w:r>
        <w:rPr>
          <w:sz w:val="24"/>
          <w:szCs w:val="24"/>
          <w:vertAlign w:val="superscript"/>
        </w:rPr>
        <w:t>st</w:t>
      </w:r>
      <w:r>
        <w:rPr>
          <w:sz w:val="24"/>
          <w:szCs w:val="24"/>
        </w:rPr>
        <w:t xml:space="preserve"> July </w:t>
      </w:r>
      <w:r>
        <w:rPr>
          <w:sz w:val="24"/>
          <w:szCs w:val="24"/>
          <w:lang w:val="ro-RO"/>
        </w:rPr>
        <w:t>2014</w:t>
      </w:r>
      <w:r>
        <w:rPr>
          <w:sz w:val="24"/>
          <w:szCs w:val="24"/>
        </w:rPr>
        <w:t>.</w:t>
      </w:r>
      <w:r>
        <w:rPr>
          <w:sz w:val="24"/>
          <w:szCs w:val="24"/>
          <w:lang w:val="ro-RO"/>
        </w:rPr>
        <w:t xml:space="preserve"> According to the </w:t>
      </w:r>
      <w:r>
        <w:rPr>
          <w:sz w:val="24"/>
          <w:szCs w:val="24"/>
        </w:rPr>
        <w:t xml:space="preserve">field </w:t>
      </w:r>
      <w:r>
        <w:rPr>
          <w:sz w:val="24"/>
          <w:szCs w:val="24"/>
          <w:lang w:val="ro-RO"/>
        </w:rPr>
        <w:t xml:space="preserve">expert report drawn up by technical expert Voinea Adina, an integral part of the Decision No 433/25.06.2014 pronounced by the Prahova court in the file no. 5216/204/2008* which has changed in all civil </w:t>
      </w:r>
      <w:r>
        <w:rPr>
          <w:sz w:val="24"/>
          <w:szCs w:val="24"/>
        </w:rPr>
        <w:t>order/conclusion</w:t>
      </w:r>
      <w:r>
        <w:rPr>
          <w:sz w:val="24"/>
          <w:szCs w:val="24"/>
          <w:lang w:val="ro-RO"/>
        </w:rPr>
        <w:t xml:space="preserve"> no. 244/12.10.2011 pronounced by the District Court Campina, according to the request of performance </w:t>
      </w:r>
      <w:r>
        <w:rPr>
          <w:sz w:val="24"/>
          <w:szCs w:val="24"/>
        </w:rPr>
        <w:t xml:space="preserve">issued </w:t>
      </w:r>
      <w:r>
        <w:rPr>
          <w:sz w:val="24"/>
          <w:szCs w:val="24"/>
          <w:lang w:val="ro-RO"/>
        </w:rPr>
        <w:t>on 16</w:t>
      </w:r>
      <w:r>
        <w:rPr>
          <w:sz w:val="24"/>
          <w:szCs w:val="24"/>
          <w:vertAlign w:val="superscript"/>
        </w:rPr>
        <w:t>th</w:t>
      </w:r>
      <w:r>
        <w:rPr>
          <w:sz w:val="24"/>
          <w:szCs w:val="24"/>
        </w:rPr>
        <w:t xml:space="preserve"> June </w:t>
      </w:r>
      <w:r>
        <w:rPr>
          <w:sz w:val="24"/>
          <w:szCs w:val="24"/>
          <w:lang w:val="ro-RO"/>
        </w:rPr>
        <w:t>2017 and the conclusion No. 8544/06.11.2017 pronounced by the Ploiesti Court in the file no. 12660/281/2017</w:t>
      </w:r>
    </w:p>
    <w:p w:rsidR="00452793" w:rsidRDefault="00452793" w:rsidP="00D87DA4">
      <w:pPr>
        <w:widowControl/>
        <w:numPr>
          <w:ilvl w:val="0"/>
          <w:numId w:val="51"/>
        </w:numPr>
        <w:tabs>
          <w:tab w:val="left" w:pos="720"/>
        </w:tabs>
        <w:autoSpaceDE/>
        <w:autoSpaceDN/>
        <w:adjustRightInd/>
        <w:spacing w:line="252" w:lineRule="auto"/>
        <w:jc w:val="both"/>
        <w:rPr>
          <w:sz w:val="24"/>
          <w:szCs w:val="24"/>
          <w:lang w:val="ro-RO"/>
        </w:rPr>
      </w:pPr>
      <w:r>
        <w:rPr>
          <w:sz w:val="24"/>
          <w:szCs w:val="24"/>
        </w:rPr>
        <w:t xml:space="preserve">Full </w:t>
      </w:r>
      <w:r>
        <w:rPr>
          <w:sz w:val="24"/>
          <w:szCs w:val="24"/>
          <w:lang w:val="ro-RO"/>
        </w:rPr>
        <w:t>Cancellation of the Protocol concluded on 04</w:t>
      </w:r>
      <w:r>
        <w:rPr>
          <w:sz w:val="24"/>
          <w:szCs w:val="24"/>
          <w:vertAlign w:val="superscript"/>
        </w:rPr>
        <w:t>th</w:t>
      </w:r>
      <w:r>
        <w:rPr>
          <w:sz w:val="24"/>
          <w:szCs w:val="24"/>
        </w:rPr>
        <w:t xml:space="preserve"> Jan </w:t>
      </w:r>
      <w:r>
        <w:rPr>
          <w:sz w:val="24"/>
          <w:szCs w:val="24"/>
          <w:lang w:val="ro-RO"/>
        </w:rPr>
        <w:t>2018 and the conclusion no. 1 and releasing the amount achieved by the enforcement of 12</w:t>
      </w:r>
      <w:r>
        <w:rPr>
          <w:sz w:val="24"/>
          <w:szCs w:val="24"/>
          <w:vertAlign w:val="superscript"/>
        </w:rPr>
        <w:t>th</w:t>
      </w:r>
      <w:r>
        <w:rPr>
          <w:sz w:val="24"/>
          <w:szCs w:val="24"/>
        </w:rPr>
        <w:t xml:space="preserve"> June </w:t>
      </w:r>
      <w:r>
        <w:rPr>
          <w:sz w:val="24"/>
          <w:szCs w:val="24"/>
          <w:lang w:val="ro-RO"/>
        </w:rPr>
        <w:t xml:space="preserve">2018 which </w:t>
      </w:r>
      <w:r>
        <w:rPr>
          <w:sz w:val="24"/>
          <w:szCs w:val="24"/>
        </w:rPr>
        <w:t xml:space="preserve">has </w:t>
      </w:r>
      <w:r>
        <w:rPr>
          <w:sz w:val="24"/>
          <w:szCs w:val="24"/>
          <w:lang w:val="ro-RO"/>
        </w:rPr>
        <w:t xml:space="preserve">no connection with the enforcement </w:t>
      </w:r>
      <w:r>
        <w:rPr>
          <w:sz w:val="24"/>
          <w:szCs w:val="24"/>
        </w:rPr>
        <w:t xml:space="preserve">that issued </w:t>
      </w:r>
      <w:r>
        <w:rPr>
          <w:sz w:val="24"/>
          <w:szCs w:val="24"/>
          <w:lang w:val="ro-RO"/>
        </w:rPr>
        <w:t xml:space="preserve">the </w:t>
      </w:r>
      <w:r>
        <w:rPr>
          <w:sz w:val="24"/>
          <w:szCs w:val="24"/>
        </w:rPr>
        <w:t xml:space="preserve">enforcement </w:t>
      </w:r>
      <w:r>
        <w:rPr>
          <w:sz w:val="24"/>
          <w:szCs w:val="24"/>
          <w:lang w:val="ro-RO"/>
        </w:rPr>
        <w:t>request on 16</w:t>
      </w:r>
      <w:r>
        <w:rPr>
          <w:sz w:val="24"/>
          <w:szCs w:val="24"/>
          <w:vertAlign w:val="superscript"/>
        </w:rPr>
        <w:t>th</w:t>
      </w:r>
      <w:r>
        <w:rPr>
          <w:sz w:val="24"/>
          <w:szCs w:val="24"/>
        </w:rPr>
        <w:t xml:space="preserve"> June </w:t>
      </w:r>
      <w:r>
        <w:rPr>
          <w:sz w:val="24"/>
          <w:szCs w:val="24"/>
          <w:lang w:val="ro-RO"/>
        </w:rPr>
        <w:t>2017 - file execution no. 244/16.06.2017 and the conclusion of the No. 8544/06.11.2017 pronounced by the Court of Ploiesti in the file no. 12660/281/2017</w:t>
      </w:r>
    </w:p>
    <w:p w:rsidR="00452793" w:rsidRDefault="00452793" w:rsidP="00D87DA4">
      <w:pPr>
        <w:widowControl/>
        <w:numPr>
          <w:ilvl w:val="0"/>
          <w:numId w:val="51"/>
        </w:numPr>
        <w:tabs>
          <w:tab w:val="left" w:pos="720"/>
        </w:tabs>
        <w:autoSpaceDE/>
        <w:autoSpaceDN/>
        <w:adjustRightInd/>
        <w:spacing w:line="252" w:lineRule="auto"/>
        <w:jc w:val="both"/>
        <w:rPr>
          <w:sz w:val="24"/>
          <w:szCs w:val="24"/>
          <w:lang w:val="ro-RO"/>
        </w:rPr>
      </w:pPr>
      <w:r>
        <w:rPr>
          <w:sz w:val="24"/>
          <w:szCs w:val="24"/>
        </w:rPr>
        <w:t>Trial expenses.</w:t>
      </w:r>
    </w:p>
    <w:p w:rsidR="00452793" w:rsidRDefault="00452793" w:rsidP="00452793">
      <w:pPr>
        <w:jc w:val="both"/>
        <w:rPr>
          <w:sz w:val="24"/>
          <w:szCs w:val="24"/>
          <w:lang w:val="ro-RO"/>
        </w:rPr>
      </w:pPr>
      <w:r>
        <w:rPr>
          <w:sz w:val="24"/>
          <w:szCs w:val="24"/>
        </w:rPr>
        <w:t xml:space="preserve">Stage of </w:t>
      </w:r>
      <w:proofErr w:type="gramStart"/>
      <w:r>
        <w:rPr>
          <w:sz w:val="24"/>
          <w:szCs w:val="24"/>
        </w:rPr>
        <w:t>trial</w:t>
      </w:r>
      <w:r>
        <w:rPr>
          <w:sz w:val="24"/>
          <w:szCs w:val="24"/>
          <w:lang w:val="ro-RO"/>
        </w:rPr>
        <w:t xml:space="preserve"> :</w:t>
      </w:r>
      <w:proofErr w:type="gramEnd"/>
      <w:r>
        <w:rPr>
          <w:sz w:val="24"/>
          <w:szCs w:val="24"/>
        </w:rPr>
        <w:t xml:space="preserve"> First Instance</w:t>
      </w:r>
    </w:p>
    <w:p w:rsidR="00452793" w:rsidRDefault="00452793" w:rsidP="00452793">
      <w:pPr>
        <w:jc w:val="both"/>
        <w:rPr>
          <w:sz w:val="24"/>
          <w:szCs w:val="24"/>
          <w:lang w:val="ro-RO"/>
        </w:rPr>
      </w:pPr>
      <w:r>
        <w:rPr>
          <w:b/>
          <w:sz w:val="24"/>
          <w:szCs w:val="24"/>
          <w:lang w:val="ro-RO"/>
        </w:rPr>
        <w:t>Period:</w:t>
      </w:r>
      <w:r>
        <w:rPr>
          <w:sz w:val="24"/>
          <w:szCs w:val="24"/>
          <w:lang w:val="ro-RO"/>
        </w:rPr>
        <w:t> --</w:t>
      </w:r>
    </w:p>
    <w:p w:rsidR="00452793" w:rsidRDefault="00452793" w:rsidP="00452793">
      <w:pPr>
        <w:jc w:val="both"/>
        <w:rPr>
          <w:sz w:val="24"/>
          <w:szCs w:val="24"/>
          <w:lang w:val="ro-RO"/>
        </w:rPr>
      </w:pPr>
    </w:p>
    <w:p w:rsidR="00452793" w:rsidRDefault="00452793" w:rsidP="00452793">
      <w:pPr>
        <w:jc w:val="both"/>
        <w:rPr>
          <w:sz w:val="24"/>
          <w:szCs w:val="24"/>
          <w:lang w:val="ro-RO"/>
        </w:rPr>
      </w:pPr>
    </w:p>
    <w:p w:rsidR="00452793" w:rsidRDefault="00452793" w:rsidP="00452793">
      <w:pPr>
        <w:jc w:val="both"/>
        <w:rPr>
          <w:b/>
          <w:sz w:val="24"/>
          <w:szCs w:val="24"/>
          <w:lang w:val="ro-RO"/>
        </w:rPr>
      </w:pPr>
      <w:r>
        <w:rPr>
          <w:b/>
          <w:sz w:val="24"/>
          <w:szCs w:val="24"/>
          <w:lang w:val="ro-RO"/>
        </w:rPr>
        <w:t>24. The file no. 18/54/2002 - Craiova Court of Appeal </w:t>
      </w:r>
    </w:p>
    <w:p w:rsidR="00452793" w:rsidRDefault="00452793" w:rsidP="00452793">
      <w:pPr>
        <w:jc w:val="both"/>
        <w:rPr>
          <w:sz w:val="24"/>
          <w:szCs w:val="24"/>
          <w:lang w:val="ro-RO"/>
        </w:rPr>
      </w:pPr>
      <w:r>
        <w:rPr>
          <w:b/>
          <w:sz w:val="24"/>
          <w:szCs w:val="24"/>
          <w:lang w:val="ro-RO"/>
        </w:rPr>
        <w:t>The parties:</w:t>
      </w:r>
      <w:r>
        <w:rPr>
          <w:sz w:val="24"/>
          <w:szCs w:val="24"/>
          <w:lang w:val="ro-RO"/>
        </w:rPr>
        <w:t xml:space="preserve"> Conpet - </w:t>
      </w:r>
      <w:r>
        <w:rPr>
          <w:sz w:val="24"/>
          <w:szCs w:val="24"/>
        </w:rPr>
        <w:t>defendant</w:t>
      </w:r>
    </w:p>
    <w:p w:rsidR="00452793" w:rsidRDefault="00452793" w:rsidP="00452793">
      <w:pPr>
        <w:jc w:val="both"/>
        <w:rPr>
          <w:sz w:val="24"/>
          <w:szCs w:val="24"/>
          <w:lang w:val="ro-RO"/>
        </w:rPr>
      </w:pPr>
      <w:r>
        <w:rPr>
          <w:sz w:val="24"/>
          <w:szCs w:val="24"/>
          <w:lang w:val="ro-RO"/>
        </w:rPr>
        <w:t xml:space="preserve">           Garaiacu Vasile (deceased) - </w:t>
      </w:r>
      <w:r>
        <w:rPr>
          <w:sz w:val="24"/>
          <w:szCs w:val="24"/>
        </w:rPr>
        <w:t>plaintiff</w:t>
      </w:r>
    </w:p>
    <w:p w:rsidR="00452793" w:rsidRDefault="00452793" w:rsidP="00452793">
      <w:pPr>
        <w:jc w:val="both"/>
        <w:rPr>
          <w:sz w:val="24"/>
          <w:szCs w:val="24"/>
          <w:lang w:val="ro-RO"/>
        </w:rPr>
      </w:pPr>
      <w:r>
        <w:rPr>
          <w:b/>
          <w:sz w:val="24"/>
          <w:szCs w:val="24"/>
          <w:lang w:val="ro-RO"/>
        </w:rPr>
        <w:t>Subject</w:t>
      </w:r>
      <w:r>
        <w:rPr>
          <w:sz w:val="24"/>
          <w:szCs w:val="24"/>
          <w:lang w:val="ro-RO"/>
        </w:rPr>
        <w:t xml:space="preserve">: Garaiacu Vasile has </w:t>
      </w:r>
      <w:r>
        <w:rPr>
          <w:sz w:val="24"/>
          <w:szCs w:val="24"/>
        </w:rPr>
        <w:t>filed a trial on</w:t>
      </w:r>
      <w:r>
        <w:rPr>
          <w:sz w:val="24"/>
          <w:szCs w:val="24"/>
          <w:lang w:val="ro-RO"/>
        </w:rPr>
        <w:t xml:space="preserve"> Law 10/2001. The action </w:t>
      </w:r>
      <w:r>
        <w:rPr>
          <w:sz w:val="24"/>
          <w:szCs w:val="24"/>
        </w:rPr>
        <w:t xml:space="preserve">regards </w:t>
      </w:r>
      <w:r>
        <w:rPr>
          <w:sz w:val="24"/>
          <w:szCs w:val="24"/>
          <w:lang w:val="ro-RO"/>
        </w:rPr>
        <w:t xml:space="preserve">a plot of land in the area of 1.220 </w:t>
      </w:r>
      <w:r>
        <w:rPr>
          <w:sz w:val="24"/>
          <w:szCs w:val="24"/>
        </w:rPr>
        <w:t>sqm</w:t>
      </w:r>
      <w:r>
        <w:rPr>
          <w:sz w:val="24"/>
          <w:szCs w:val="24"/>
          <w:lang w:val="ro-RO"/>
        </w:rPr>
        <w:t xml:space="preserve"> located in the com</w:t>
      </w:r>
      <w:r>
        <w:rPr>
          <w:sz w:val="24"/>
          <w:szCs w:val="24"/>
        </w:rPr>
        <w:t>une Barbatesti</w:t>
      </w:r>
      <w:r>
        <w:rPr>
          <w:sz w:val="24"/>
          <w:szCs w:val="24"/>
          <w:lang w:val="ro-RO"/>
        </w:rPr>
        <w:t>, Gorj County.</w:t>
      </w:r>
    </w:p>
    <w:p w:rsidR="00452793" w:rsidRDefault="00452793" w:rsidP="00452793">
      <w:pPr>
        <w:jc w:val="both"/>
        <w:rPr>
          <w:sz w:val="24"/>
          <w:szCs w:val="24"/>
          <w:lang w:val="ro-RO"/>
        </w:rPr>
      </w:pPr>
      <w:r>
        <w:rPr>
          <w:b/>
          <w:sz w:val="24"/>
          <w:szCs w:val="24"/>
        </w:rPr>
        <w:t>Clarifications</w:t>
      </w:r>
      <w:r>
        <w:rPr>
          <w:sz w:val="24"/>
          <w:szCs w:val="24"/>
          <w:lang w:val="ro-RO"/>
        </w:rPr>
        <w:t xml:space="preserve">: </w:t>
      </w:r>
      <w:r>
        <w:rPr>
          <w:sz w:val="24"/>
          <w:szCs w:val="24"/>
        </w:rPr>
        <w:t xml:space="preserve">By </w:t>
      </w:r>
      <w:r>
        <w:rPr>
          <w:sz w:val="24"/>
          <w:szCs w:val="24"/>
          <w:lang w:val="ro-RO"/>
        </w:rPr>
        <w:t>the </w:t>
      </w:r>
      <w:r>
        <w:rPr>
          <w:b/>
          <w:sz w:val="24"/>
          <w:szCs w:val="24"/>
        </w:rPr>
        <w:t>order</w:t>
      </w:r>
      <w:r>
        <w:rPr>
          <w:b/>
          <w:sz w:val="24"/>
          <w:szCs w:val="24"/>
          <w:lang w:val="ro-RO"/>
        </w:rPr>
        <w:t xml:space="preserve"> </w:t>
      </w:r>
      <w:proofErr w:type="gramStart"/>
      <w:r>
        <w:rPr>
          <w:b/>
          <w:sz w:val="24"/>
          <w:szCs w:val="24"/>
          <w:lang w:val="ro-RO"/>
        </w:rPr>
        <w:t>no.</w:t>
      </w:r>
      <w:proofErr w:type="gramEnd"/>
      <w:r>
        <w:rPr>
          <w:b/>
          <w:sz w:val="24"/>
          <w:szCs w:val="24"/>
          <w:lang w:val="ro-RO"/>
        </w:rPr>
        <w:t xml:space="preserve"> 59/14.03.2002</w:t>
      </w:r>
      <w:r>
        <w:rPr>
          <w:sz w:val="24"/>
          <w:szCs w:val="24"/>
          <w:lang w:val="ro-RO"/>
        </w:rPr>
        <w:t> (</w:t>
      </w:r>
      <w:r>
        <w:rPr>
          <w:sz w:val="24"/>
          <w:szCs w:val="24"/>
        </w:rPr>
        <w:t xml:space="preserve">File </w:t>
      </w:r>
      <w:r>
        <w:rPr>
          <w:sz w:val="24"/>
          <w:szCs w:val="24"/>
          <w:lang w:val="ro-RO"/>
        </w:rPr>
        <w:t xml:space="preserve">1197/2002) </w:t>
      </w:r>
      <w:r>
        <w:rPr>
          <w:sz w:val="24"/>
          <w:szCs w:val="24"/>
        </w:rPr>
        <w:t>the</w:t>
      </w:r>
      <w:r>
        <w:rPr>
          <w:sz w:val="24"/>
          <w:szCs w:val="24"/>
          <w:lang w:val="ro-RO"/>
        </w:rPr>
        <w:t xml:space="preserve"> </w:t>
      </w:r>
      <w:r>
        <w:rPr>
          <w:sz w:val="24"/>
          <w:szCs w:val="24"/>
        </w:rPr>
        <w:t>matter w</w:t>
      </w:r>
      <w:r>
        <w:rPr>
          <w:sz w:val="24"/>
          <w:szCs w:val="24"/>
          <w:lang w:val="ro-RO"/>
        </w:rPr>
        <w:t xml:space="preserve">as rejected. The </w:t>
      </w:r>
      <w:r>
        <w:rPr>
          <w:sz w:val="24"/>
          <w:szCs w:val="24"/>
        </w:rPr>
        <w:t>sentence</w:t>
      </w:r>
      <w:r>
        <w:rPr>
          <w:sz w:val="24"/>
          <w:szCs w:val="24"/>
          <w:lang w:val="ro-RO"/>
        </w:rPr>
        <w:t xml:space="preserve"> has been filed with the appeal by the </w:t>
      </w:r>
      <w:r>
        <w:rPr>
          <w:sz w:val="24"/>
          <w:szCs w:val="24"/>
        </w:rPr>
        <w:t>plaintiff</w:t>
      </w:r>
      <w:r>
        <w:rPr>
          <w:sz w:val="24"/>
          <w:szCs w:val="24"/>
          <w:lang w:val="ro-RO"/>
        </w:rPr>
        <w:t>.</w:t>
      </w:r>
    </w:p>
    <w:p w:rsidR="00452793" w:rsidRDefault="00452793" w:rsidP="00452793">
      <w:pPr>
        <w:jc w:val="both"/>
        <w:rPr>
          <w:sz w:val="24"/>
          <w:szCs w:val="24"/>
          <w:lang w:val="ro-RO"/>
        </w:rPr>
      </w:pPr>
      <w:r>
        <w:rPr>
          <w:sz w:val="24"/>
          <w:szCs w:val="24"/>
        </w:rPr>
        <w:t>By </w:t>
      </w:r>
      <w:r>
        <w:rPr>
          <w:b/>
          <w:sz w:val="24"/>
          <w:szCs w:val="24"/>
        </w:rPr>
        <w:t>Decision No 1067/02.04.2018</w:t>
      </w:r>
      <w:r>
        <w:rPr>
          <w:sz w:val="24"/>
          <w:szCs w:val="24"/>
        </w:rPr>
        <w:t xml:space="preserve"> the Craiova Court of Appeal finds coexistence with the call. The Sentence </w:t>
      </w:r>
      <w:proofErr w:type="gramStart"/>
      <w:r>
        <w:rPr>
          <w:sz w:val="24"/>
          <w:szCs w:val="24"/>
        </w:rPr>
        <w:t>may be appealed</w:t>
      </w:r>
      <w:proofErr w:type="gramEnd"/>
      <w:r>
        <w:rPr>
          <w:sz w:val="24"/>
          <w:szCs w:val="24"/>
        </w:rPr>
        <w:t xml:space="preserve"> after the communication.   </w:t>
      </w:r>
    </w:p>
    <w:p w:rsidR="00452793" w:rsidRDefault="00452793" w:rsidP="00452793">
      <w:pPr>
        <w:jc w:val="both"/>
        <w:rPr>
          <w:sz w:val="24"/>
          <w:szCs w:val="24"/>
          <w:lang w:val="ro-RO"/>
        </w:rPr>
      </w:pPr>
      <w:r>
        <w:rPr>
          <w:b/>
          <w:sz w:val="24"/>
          <w:szCs w:val="24"/>
          <w:lang w:val="ro-RO"/>
        </w:rPr>
        <w:t>Stage procesual</w:t>
      </w:r>
      <w:r>
        <w:rPr>
          <w:sz w:val="24"/>
          <w:szCs w:val="24"/>
          <w:lang w:val="ro-RO"/>
        </w:rPr>
        <w:t>: --</w:t>
      </w:r>
    </w:p>
    <w:p w:rsidR="00452793" w:rsidRDefault="00452793" w:rsidP="00452793">
      <w:pPr>
        <w:jc w:val="both"/>
        <w:rPr>
          <w:sz w:val="24"/>
          <w:szCs w:val="24"/>
          <w:lang w:val="ro-RO"/>
        </w:rPr>
      </w:pPr>
      <w:r>
        <w:rPr>
          <w:b/>
          <w:sz w:val="24"/>
          <w:szCs w:val="24"/>
          <w:lang w:val="ro-RO"/>
        </w:rPr>
        <w:t>Within</w:t>
      </w:r>
      <w:r>
        <w:rPr>
          <w:sz w:val="24"/>
          <w:szCs w:val="24"/>
          <w:lang w:val="ro-RO"/>
        </w:rPr>
        <w:t>: --</w:t>
      </w:r>
    </w:p>
    <w:p w:rsidR="00452793" w:rsidRDefault="00452793" w:rsidP="00452793">
      <w:pPr>
        <w:jc w:val="both"/>
        <w:rPr>
          <w:sz w:val="24"/>
          <w:szCs w:val="24"/>
          <w:lang w:val="ro-RO"/>
        </w:rPr>
      </w:pPr>
    </w:p>
    <w:p w:rsidR="00452793" w:rsidRDefault="00452793" w:rsidP="00452793">
      <w:pPr>
        <w:jc w:val="both"/>
        <w:rPr>
          <w:sz w:val="24"/>
          <w:szCs w:val="24"/>
          <w:lang w:val="ro-RO"/>
        </w:rPr>
      </w:pPr>
    </w:p>
    <w:p w:rsidR="00452793" w:rsidRDefault="00452793" w:rsidP="00452793">
      <w:pPr>
        <w:jc w:val="both"/>
        <w:rPr>
          <w:b/>
          <w:sz w:val="24"/>
          <w:szCs w:val="24"/>
          <w:lang w:val="ro-RO"/>
        </w:rPr>
      </w:pPr>
      <w:r>
        <w:rPr>
          <w:b/>
          <w:sz w:val="24"/>
          <w:szCs w:val="24"/>
          <w:lang w:val="ro-RO"/>
        </w:rPr>
        <w:t>25. The file no. 4561/281/2018 - Ploiesti</w:t>
      </w:r>
      <w:r>
        <w:rPr>
          <w:b/>
          <w:sz w:val="24"/>
          <w:szCs w:val="24"/>
        </w:rPr>
        <w:t xml:space="preserve"> </w:t>
      </w:r>
      <w:r>
        <w:rPr>
          <w:b/>
          <w:sz w:val="24"/>
          <w:szCs w:val="24"/>
          <w:lang w:val="ro-RO"/>
        </w:rPr>
        <w:t xml:space="preserve">Court </w:t>
      </w:r>
    </w:p>
    <w:p w:rsidR="00452793" w:rsidRDefault="00452793" w:rsidP="00452793">
      <w:pPr>
        <w:jc w:val="both"/>
        <w:rPr>
          <w:sz w:val="24"/>
          <w:szCs w:val="24"/>
          <w:lang w:val="ro-RO"/>
        </w:rPr>
      </w:pPr>
      <w:r>
        <w:rPr>
          <w:b/>
          <w:sz w:val="24"/>
          <w:szCs w:val="24"/>
          <w:lang w:val="ro-RO"/>
        </w:rPr>
        <w:t>The parties:</w:t>
      </w:r>
      <w:r>
        <w:rPr>
          <w:sz w:val="24"/>
          <w:szCs w:val="24"/>
          <w:lang w:val="ro-RO"/>
        </w:rPr>
        <w:t xml:space="preserve"> Conpet - </w:t>
      </w:r>
      <w:r>
        <w:rPr>
          <w:sz w:val="24"/>
          <w:szCs w:val="24"/>
        </w:rPr>
        <w:t>defendant</w:t>
      </w:r>
    </w:p>
    <w:p w:rsidR="00452793" w:rsidRDefault="00452793" w:rsidP="00452793">
      <w:pPr>
        <w:jc w:val="both"/>
        <w:rPr>
          <w:sz w:val="24"/>
          <w:szCs w:val="24"/>
          <w:lang w:val="ro-RO"/>
        </w:rPr>
      </w:pPr>
      <w:r>
        <w:rPr>
          <w:sz w:val="24"/>
          <w:szCs w:val="24"/>
          <w:lang w:val="ro-RO"/>
        </w:rPr>
        <w:t xml:space="preserve">           Ovidenie Dumitru - </w:t>
      </w:r>
      <w:r>
        <w:rPr>
          <w:sz w:val="24"/>
          <w:szCs w:val="24"/>
        </w:rPr>
        <w:t>plaintiff</w:t>
      </w:r>
    </w:p>
    <w:p w:rsidR="00452793" w:rsidRDefault="00452793" w:rsidP="00452793">
      <w:pPr>
        <w:jc w:val="both"/>
        <w:rPr>
          <w:sz w:val="24"/>
          <w:szCs w:val="24"/>
        </w:rPr>
      </w:pPr>
      <w:r>
        <w:rPr>
          <w:b/>
          <w:sz w:val="24"/>
          <w:szCs w:val="24"/>
          <w:lang w:val="ro-RO"/>
        </w:rPr>
        <w:t>Subject:</w:t>
      </w:r>
      <w:r>
        <w:rPr>
          <w:sz w:val="24"/>
          <w:szCs w:val="24"/>
          <w:lang w:val="ro-RO"/>
        </w:rPr>
        <w:t xml:space="preserve"> Ovidenie Dumitru </w:t>
      </w:r>
      <w:r>
        <w:rPr>
          <w:sz w:val="24"/>
          <w:szCs w:val="24"/>
        </w:rPr>
        <w:t>filed a trial, requesting from the court to:</w:t>
      </w:r>
    </w:p>
    <w:p w:rsidR="00452793" w:rsidRDefault="00452793" w:rsidP="00452793">
      <w:pPr>
        <w:jc w:val="both"/>
        <w:rPr>
          <w:sz w:val="24"/>
          <w:szCs w:val="24"/>
          <w:lang w:val="ro-RO"/>
        </w:rPr>
      </w:pPr>
      <w:r>
        <w:rPr>
          <w:sz w:val="24"/>
          <w:szCs w:val="24"/>
          <w:lang w:val="ro-RO"/>
        </w:rPr>
        <w:t>-</w:t>
      </w:r>
      <w:r>
        <w:rPr>
          <w:sz w:val="24"/>
          <w:szCs w:val="24"/>
        </w:rPr>
        <w:t xml:space="preserve">Note </w:t>
      </w:r>
      <w:r>
        <w:rPr>
          <w:sz w:val="24"/>
          <w:szCs w:val="24"/>
          <w:lang w:val="ro-RO"/>
        </w:rPr>
        <w:t>that the plot of land in the area of 335 mp located in Brazi</w:t>
      </w:r>
      <w:r>
        <w:rPr>
          <w:sz w:val="24"/>
          <w:szCs w:val="24"/>
        </w:rPr>
        <w:t xml:space="preserve"> </w:t>
      </w:r>
      <w:r>
        <w:rPr>
          <w:sz w:val="24"/>
          <w:szCs w:val="24"/>
          <w:lang w:val="ro-RO"/>
        </w:rPr>
        <w:t>com</w:t>
      </w:r>
      <w:r>
        <w:rPr>
          <w:sz w:val="24"/>
          <w:szCs w:val="24"/>
        </w:rPr>
        <w:t xml:space="preserve">une </w:t>
      </w:r>
      <w:r>
        <w:rPr>
          <w:sz w:val="24"/>
          <w:szCs w:val="24"/>
          <w:lang w:val="ro-RO"/>
        </w:rPr>
        <w:t>, T31, the plot 178/19, in accordance with Article 7(1) of Law No 238/2004 updated is established a legal right of servitude;</w:t>
      </w:r>
    </w:p>
    <w:p w:rsidR="00452793" w:rsidRDefault="00452793" w:rsidP="00452793">
      <w:pPr>
        <w:jc w:val="both"/>
        <w:rPr>
          <w:sz w:val="24"/>
          <w:szCs w:val="24"/>
          <w:lang w:val="ro-RO"/>
        </w:rPr>
      </w:pPr>
      <w:r>
        <w:rPr>
          <w:sz w:val="24"/>
          <w:szCs w:val="24"/>
          <w:lang w:val="ro-RO"/>
        </w:rPr>
        <w:t xml:space="preserve">- </w:t>
      </w:r>
      <w:r>
        <w:rPr>
          <w:sz w:val="24"/>
          <w:szCs w:val="24"/>
        </w:rPr>
        <w:t>E</w:t>
      </w:r>
      <w:r>
        <w:rPr>
          <w:sz w:val="24"/>
          <w:szCs w:val="24"/>
          <w:lang w:val="ro-RO"/>
        </w:rPr>
        <w:t xml:space="preserve">stablish annual </w:t>
      </w:r>
      <w:r>
        <w:rPr>
          <w:sz w:val="24"/>
          <w:szCs w:val="24"/>
        </w:rPr>
        <w:t xml:space="preserve">rent </w:t>
      </w:r>
      <w:r>
        <w:rPr>
          <w:sz w:val="24"/>
          <w:szCs w:val="24"/>
          <w:lang w:val="ro-RO"/>
        </w:rPr>
        <w:t xml:space="preserve">by the </w:t>
      </w:r>
      <w:r>
        <w:rPr>
          <w:sz w:val="24"/>
          <w:szCs w:val="24"/>
        </w:rPr>
        <w:t>plaintiff</w:t>
      </w:r>
      <w:r>
        <w:rPr>
          <w:sz w:val="24"/>
          <w:szCs w:val="24"/>
          <w:lang w:val="ro-RO"/>
        </w:rPr>
        <w:t xml:space="preserve">, according to Article 7(2) of Law no.238/2004, calculated on the </w:t>
      </w:r>
      <w:r>
        <w:rPr>
          <w:sz w:val="24"/>
          <w:szCs w:val="24"/>
        </w:rPr>
        <w:t xml:space="preserve">value </w:t>
      </w:r>
      <w:r>
        <w:rPr>
          <w:sz w:val="24"/>
          <w:szCs w:val="24"/>
          <w:lang w:val="ro-RO"/>
        </w:rPr>
        <w:t>of 5 Euro/</w:t>
      </w:r>
      <w:r>
        <w:rPr>
          <w:sz w:val="24"/>
          <w:szCs w:val="24"/>
        </w:rPr>
        <w:t>sqm</w:t>
      </w:r>
      <w:r>
        <w:rPr>
          <w:sz w:val="24"/>
          <w:szCs w:val="24"/>
          <w:lang w:val="ro-RO"/>
        </w:rPr>
        <w:t>;</w:t>
      </w:r>
    </w:p>
    <w:p w:rsidR="00452793" w:rsidRDefault="00452793" w:rsidP="00452793">
      <w:pPr>
        <w:jc w:val="both"/>
        <w:rPr>
          <w:sz w:val="24"/>
          <w:szCs w:val="24"/>
          <w:lang w:val="ro-RO"/>
        </w:rPr>
      </w:pPr>
      <w:r>
        <w:rPr>
          <w:sz w:val="24"/>
          <w:szCs w:val="24"/>
          <w:lang w:val="ro-RO"/>
        </w:rPr>
        <w:t xml:space="preserve">- </w:t>
      </w:r>
      <w:r>
        <w:rPr>
          <w:sz w:val="24"/>
          <w:szCs w:val="24"/>
        </w:rPr>
        <w:t xml:space="preserve">Order </w:t>
      </w:r>
      <w:r>
        <w:rPr>
          <w:sz w:val="24"/>
          <w:szCs w:val="24"/>
          <w:lang w:val="ro-RO"/>
        </w:rPr>
        <w:t>the defendant to pay this rent over the last 3 years."</w:t>
      </w:r>
    </w:p>
    <w:p w:rsidR="00452793" w:rsidRDefault="00452793" w:rsidP="00452793">
      <w:pPr>
        <w:jc w:val="both"/>
        <w:rPr>
          <w:sz w:val="24"/>
          <w:szCs w:val="24"/>
          <w:lang w:val="ro-RO"/>
        </w:rPr>
      </w:pPr>
      <w:r>
        <w:rPr>
          <w:b/>
          <w:sz w:val="24"/>
          <w:szCs w:val="24"/>
        </w:rPr>
        <w:t>Clarifications</w:t>
      </w:r>
      <w:r>
        <w:rPr>
          <w:b/>
          <w:sz w:val="24"/>
          <w:szCs w:val="24"/>
          <w:lang w:val="ro-RO"/>
        </w:rPr>
        <w:t>:</w:t>
      </w:r>
      <w:r>
        <w:rPr>
          <w:sz w:val="24"/>
          <w:szCs w:val="24"/>
          <w:lang w:val="ro-RO"/>
        </w:rPr>
        <w:t> --</w:t>
      </w:r>
    </w:p>
    <w:p w:rsidR="00452793" w:rsidRDefault="00452793" w:rsidP="00452793">
      <w:pPr>
        <w:jc w:val="both"/>
        <w:rPr>
          <w:sz w:val="24"/>
          <w:szCs w:val="24"/>
          <w:lang w:val="ro-RO"/>
        </w:rPr>
      </w:pPr>
      <w:r>
        <w:rPr>
          <w:sz w:val="24"/>
          <w:szCs w:val="24"/>
          <w:lang w:val="ro-RO"/>
        </w:rPr>
        <w:t> </w:t>
      </w:r>
      <w:r>
        <w:rPr>
          <w:sz w:val="24"/>
          <w:szCs w:val="24"/>
        </w:rPr>
        <w:t>Stage of trial</w:t>
      </w:r>
      <w:r>
        <w:rPr>
          <w:sz w:val="24"/>
          <w:szCs w:val="24"/>
          <w:lang w:val="ro-RO"/>
        </w:rPr>
        <w:t>:</w:t>
      </w:r>
    </w:p>
    <w:p w:rsidR="00452793" w:rsidRDefault="00452793" w:rsidP="00452793">
      <w:pPr>
        <w:jc w:val="both"/>
        <w:rPr>
          <w:sz w:val="24"/>
          <w:szCs w:val="24"/>
          <w:lang w:val="ro-RO"/>
        </w:rPr>
      </w:pPr>
      <w:r>
        <w:rPr>
          <w:sz w:val="24"/>
          <w:szCs w:val="24"/>
          <w:lang w:val="ro-RO"/>
        </w:rPr>
        <w:t> </w:t>
      </w:r>
      <w:r>
        <w:rPr>
          <w:sz w:val="24"/>
          <w:szCs w:val="24"/>
        </w:rPr>
        <w:t>Hearing</w:t>
      </w:r>
      <w:proofErr w:type="gramStart"/>
      <w:r>
        <w:rPr>
          <w:sz w:val="24"/>
          <w:szCs w:val="24"/>
          <w:lang w:val="ro-RO"/>
        </w:rPr>
        <w:t>:13</w:t>
      </w:r>
      <w:r>
        <w:rPr>
          <w:sz w:val="24"/>
          <w:szCs w:val="24"/>
        </w:rPr>
        <w:t>th</w:t>
      </w:r>
      <w:proofErr w:type="gramEnd"/>
      <w:r>
        <w:rPr>
          <w:sz w:val="24"/>
          <w:szCs w:val="24"/>
        </w:rPr>
        <w:t xml:space="preserve"> Sept </w:t>
      </w:r>
      <w:r>
        <w:rPr>
          <w:sz w:val="24"/>
          <w:szCs w:val="24"/>
          <w:lang w:val="ro-RO"/>
        </w:rPr>
        <w:t xml:space="preserve">2018 </w:t>
      </w:r>
    </w:p>
    <w:p w:rsidR="00452793" w:rsidRDefault="00452793" w:rsidP="00452793">
      <w:pPr>
        <w:jc w:val="both"/>
        <w:rPr>
          <w:sz w:val="24"/>
          <w:szCs w:val="24"/>
          <w:lang w:val="ro-RO"/>
        </w:rPr>
      </w:pPr>
    </w:p>
    <w:p w:rsidR="00452793" w:rsidRDefault="00452793" w:rsidP="00452793">
      <w:pPr>
        <w:jc w:val="both"/>
        <w:rPr>
          <w:sz w:val="24"/>
          <w:szCs w:val="24"/>
          <w:lang w:val="ro-RO"/>
        </w:rPr>
      </w:pPr>
    </w:p>
    <w:p w:rsidR="00452793" w:rsidRDefault="00452793" w:rsidP="00452793">
      <w:pPr>
        <w:jc w:val="both"/>
        <w:rPr>
          <w:b/>
          <w:sz w:val="24"/>
          <w:szCs w:val="24"/>
          <w:lang w:val="ro-RO"/>
        </w:rPr>
      </w:pPr>
      <w:r>
        <w:rPr>
          <w:b/>
          <w:sz w:val="24"/>
          <w:szCs w:val="24"/>
          <w:lang w:val="ro-RO"/>
        </w:rPr>
        <w:t>26. The file no. 2970/105/2018 - Prahova</w:t>
      </w:r>
      <w:r>
        <w:rPr>
          <w:b/>
          <w:sz w:val="24"/>
          <w:szCs w:val="24"/>
        </w:rPr>
        <w:t xml:space="preserve"> Court</w:t>
      </w:r>
      <w:r>
        <w:rPr>
          <w:b/>
          <w:sz w:val="24"/>
          <w:szCs w:val="24"/>
          <w:lang w:val="ro-RO"/>
        </w:rPr>
        <w:t xml:space="preserve"> - A. Pirvu</w:t>
      </w:r>
    </w:p>
    <w:p w:rsidR="00452793" w:rsidRDefault="00452793" w:rsidP="00452793">
      <w:pPr>
        <w:jc w:val="both"/>
        <w:rPr>
          <w:sz w:val="24"/>
          <w:szCs w:val="24"/>
          <w:lang w:val="ro-RO"/>
        </w:rPr>
      </w:pPr>
      <w:r>
        <w:rPr>
          <w:b/>
          <w:sz w:val="24"/>
          <w:szCs w:val="24"/>
          <w:lang w:val="ro-RO"/>
        </w:rPr>
        <w:lastRenderedPageBreak/>
        <w:t>The parties:</w:t>
      </w:r>
      <w:r>
        <w:rPr>
          <w:sz w:val="24"/>
          <w:szCs w:val="24"/>
          <w:lang w:val="ro-RO"/>
        </w:rPr>
        <w:t xml:space="preserve"> Conpet - </w:t>
      </w:r>
      <w:r>
        <w:rPr>
          <w:sz w:val="24"/>
          <w:szCs w:val="24"/>
        </w:rPr>
        <w:t>defendant</w:t>
      </w:r>
    </w:p>
    <w:p w:rsidR="00452793" w:rsidRDefault="00452793" w:rsidP="00452793">
      <w:pPr>
        <w:jc w:val="both"/>
        <w:rPr>
          <w:sz w:val="24"/>
          <w:szCs w:val="24"/>
          <w:lang w:val="ro-RO"/>
        </w:rPr>
      </w:pPr>
      <w:r>
        <w:rPr>
          <w:sz w:val="24"/>
          <w:szCs w:val="24"/>
          <w:lang w:val="ro-RO"/>
        </w:rPr>
        <w:t xml:space="preserve">           Tircavu Cornel - </w:t>
      </w:r>
      <w:r>
        <w:rPr>
          <w:sz w:val="24"/>
          <w:szCs w:val="24"/>
        </w:rPr>
        <w:t>plaintiff</w:t>
      </w:r>
    </w:p>
    <w:p w:rsidR="00452793" w:rsidRDefault="00452793" w:rsidP="00452793">
      <w:pPr>
        <w:jc w:val="both"/>
        <w:rPr>
          <w:sz w:val="24"/>
          <w:szCs w:val="24"/>
          <w:lang w:val="ro-RO"/>
        </w:rPr>
      </w:pPr>
      <w:r>
        <w:rPr>
          <w:sz w:val="24"/>
          <w:szCs w:val="24"/>
          <w:lang w:val="ro-RO"/>
        </w:rPr>
        <w:t xml:space="preserve">           Ion Ionescu - </w:t>
      </w:r>
      <w:r>
        <w:rPr>
          <w:sz w:val="24"/>
          <w:szCs w:val="24"/>
        </w:rPr>
        <w:t>plaintiff</w:t>
      </w:r>
      <w:r>
        <w:rPr>
          <w:sz w:val="24"/>
          <w:szCs w:val="24"/>
          <w:lang w:val="ro-RO"/>
        </w:rPr>
        <w:t> </w:t>
      </w:r>
    </w:p>
    <w:p w:rsidR="00452793" w:rsidRDefault="00452793" w:rsidP="00452793">
      <w:pPr>
        <w:jc w:val="both"/>
        <w:rPr>
          <w:sz w:val="24"/>
          <w:szCs w:val="24"/>
          <w:lang w:val="ro-RO"/>
        </w:rPr>
      </w:pPr>
      <w:r>
        <w:rPr>
          <w:b/>
          <w:sz w:val="24"/>
          <w:szCs w:val="24"/>
          <w:lang w:val="ro-RO"/>
        </w:rPr>
        <w:t>Subject:</w:t>
      </w:r>
      <w:r>
        <w:rPr>
          <w:sz w:val="24"/>
          <w:szCs w:val="24"/>
          <w:lang w:val="ro-RO"/>
        </w:rPr>
        <w:t xml:space="preserve"> Tircavu Ion Ionescu Cornel </w:t>
      </w:r>
      <w:r>
        <w:rPr>
          <w:sz w:val="24"/>
          <w:szCs w:val="24"/>
        </w:rPr>
        <w:t>files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r>
        <w:rPr>
          <w:sz w:val="24"/>
          <w:szCs w:val="24"/>
          <w:lang w:val="ro-RO"/>
        </w:rPr>
        <w:t>.</w:t>
      </w:r>
    </w:p>
    <w:p w:rsidR="00452793" w:rsidRDefault="00452793" w:rsidP="00452793">
      <w:pPr>
        <w:jc w:val="both"/>
        <w:rPr>
          <w:sz w:val="24"/>
          <w:szCs w:val="24"/>
          <w:lang w:val="ro-RO"/>
        </w:rPr>
      </w:pPr>
      <w:r>
        <w:rPr>
          <w:b/>
          <w:sz w:val="24"/>
          <w:szCs w:val="24"/>
          <w:lang w:val="ro-RO"/>
        </w:rPr>
        <w:t>Details:</w:t>
      </w:r>
      <w:r>
        <w:rPr>
          <w:sz w:val="24"/>
          <w:szCs w:val="24"/>
          <w:lang w:val="ro-RO"/>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lang w:val="ro-RO"/>
        </w:rPr>
      </w:pPr>
      <w:r>
        <w:rPr>
          <w:b/>
          <w:sz w:val="24"/>
          <w:szCs w:val="24"/>
          <w:lang w:val="ro-RO"/>
        </w:rPr>
        <w:t>Period:</w:t>
      </w:r>
      <w:r>
        <w:rPr>
          <w:sz w:val="24"/>
          <w:szCs w:val="24"/>
          <w:lang w:val="ro-RO"/>
        </w:rPr>
        <w:t> --</w:t>
      </w:r>
    </w:p>
    <w:p w:rsidR="00452793" w:rsidRDefault="00452793" w:rsidP="00452793">
      <w:pPr>
        <w:jc w:val="both"/>
        <w:rPr>
          <w:sz w:val="24"/>
          <w:szCs w:val="24"/>
        </w:rPr>
      </w:pPr>
    </w:p>
    <w:p w:rsidR="00452793" w:rsidRDefault="00452793" w:rsidP="00452793">
      <w:pPr>
        <w:jc w:val="both"/>
        <w:rPr>
          <w:b/>
          <w:sz w:val="24"/>
          <w:szCs w:val="24"/>
        </w:rPr>
      </w:pPr>
      <w:r>
        <w:rPr>
          <w:b/>
          <w:sz w:val="24"/>
          <w:szCs w:val="24"/>
        </w:rPr>
        <w:t>27. The file no. 2971/105/2018 - the Prahova Court- A. Pirvu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Ghioaca Constanta - plaintiff</w:t>
      </w:r>
    </w:p>
    <w:p w:rsidR="00452793" w:rsidRDefault="00452793" w:rsidP="00452793">
      <w:pPr>
        <w:jc w:val="both"/>
        <w:rPr>
          <w:sz w:val="24"/>
          <w:szCs w:val="24"/>
        </w:rPr>
      </w:pPr>
      <w:r>
        <w:rPr>
          <w:sz w:val="24"/>
          <w:szCs w:val="24"/>
        </w:rPr>
        <w:t>           Tanasescu Constantin - plaintiff</w:t>
      </w:r>
    </w:p>
    <w:p w:rsidR="00452793" w:rsidRDefault="00452793" w:rsidP="00452793">
      <w:pPr>
        <w:jc w:val="both"/>
        <w:rPr>
          <w:sz w:val="24"/>
          <w:szCs w:val="24"/>
          <w:lang w:val="ro-RO"/>
        </w:rPr>
      </w:pPr>
      <w:proofErr w:type="gramStart"/>
      <w:r>
        <w:rPr>
          <w:b/>
          <w:sz w:val="24"/>
          <w:szCs w:val="24"/>
        </w:rPr>
        <w:t>Subject:</w:t>
      </w:r>
      <w:r>
        <w:rPr>
          <w:sz w:val="24"/>
          <w:szCs w:val="24"/>
        </w:rPr>
        <w:t> Ghioaca Constanta and Tanasescu Constantin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28. The file no. 2966/105/2018 - the Tribunal Prahova - S. Albu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Constantinescu Ion - Irinel - the plaintiff</w:t>
      </w:r>
    </w:p>
    <w:p w:rsidR="00452793" w:rsidRDefault="00452793" w:rsidP="00452793">
      <w:pPr>
        <w:jc w:val="both"/>
        <w:rPr>
          <w:sz w:val="24"/>
          <w:szCs w:val="24"/>
        </w:rPr>
      </w:pPr>
      <w:r>
        <w:rPr>
          <w:sz w:val="24"/>
          <w:szCs w:val="24"/>
        </w:rPr>
        <w:t>           Aron Constantin - the plaintiff</w:t>
      </w:r>
    </w:p>
    <w:p w:rsidR="00452793" w:rsidRDefault="00452793" w:rsidP="00452793">
      <w:pPr>
        <w:jc w:val="both"/>
        <w:rPr>
          <w:sz w:val="24"/>
          <w:szCs w:val="24"/>
          <w:lang w:val="ro-RO"/>
        </w:rPr>
      </w:pPr>
      <w:proofErr w:type="gramStart"/>
      <w:r>
        <w:rPr>
          <w:b/>
          <w:sz w:val="24"/>
          <w:szCs w:val="24"/>
        </w:rPr>
        <w:t>Subject:</w:t>
      </w:r>
      <w:r>
        <w:rPr>
          <w:sz w:val="24"/>
          <w:szCs w:val="24"/>
        </w:rPr>
        <w:t> Constantinescu Ion Irinel- and Aron Constantin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29. The file no. 2972/105/2018 -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Santa Claus Emanuel - Marius - the plaintiff</w:t>
      </w:r>
    </w:p>
    <w:p w:rsidR="00452793" w:rsidRDefault="00452793" w:rsidP="00452793">
      <w:pPr>
        <w:jc w:val="both"/>
        <w:rPr>
          <w:sz w:val="24"/>
          <w:szCs w:val="24"/>
        </w:rPr>
      </w:pPr>
      <w:r>
        <w:rPr>
          <w:sz w:val="24"/>
          <w:szCs w:val="24"/>
        </w:rPr>
        <w:t>           The boiler Marian Ion - the plaintiff</w:t>
      </w:r>
    </w:p>
    <w:p w:rsidR="00452793" w:rsidRDefault="00452793" w:rsidP="00452793">
      <w:pPr>
        <w:jc w:val="both"/>
        <w:rPr>
          <w:sz w:val="24"/>
          <w:szCs w:val="24"/>
          <w:lang w:val="ro-RO"/>
        </w:rPr>
      </w:pPr>
      <w:proofErr w:type="gramStart"/>
      <w:r>
        <w:rPr>
          <w:b/>
          <w:sz w:val="24"/>
          <w:szCs w:val="24"/>
        </w:rPr>
        <w:t>Subject:</w:t>
      </w:r>
      <w:r>
        <w:rPr>
          <w:sz w:val="24"/>
          <w:szCs w:val="24"/>
        </w:rPr>
        <w:t> Santa Claus Emanuel - Marius and boiler Marian Ion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r>
        <w:rPr>
          <w:b/>
          <w:sz w:val="24"/>
          <w:szCs w:val="24"/>
        </w:rPr>
        <w:lastRenderedPageBreak/>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30. The file no. 3061/105/2018 -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Catana Florin - Eduard - the plaintiff</w:t>
      </w:r>
    </w:p>
    <w:p w:rsidR="00452793" w:rsidRDefault="00452793" w:rsidP="00452793">
      <w:pPr>
        <w:jc w:val="both"/>
        <w:rPr>
          <w:sz w:val="24"/>
          <w:szCs w:val="24"/>
        </w:rPr>
      </w:pPr>
      <w:r>
        <w:rPr>
          <w:sz w:val="24"/>
          <w:szCs w:val="24"/>
        </w:rPr>
        <w:t>           The Victoria Catana - the plaintiff</w:t>
      </w:r>
    </w:p>
    <w:p w:rsidR="00452793" w:rsidRDefault="00452793" w:rsidP="00452793">
      <w:pPr>
        <w:jc w:val="both"/>
        <w:rPr>
          <w:sz w:val="24"/>
          <w:szCs w:val="24"/>
          <w:lang w:val="ro-RO"/>
        </w:rPr>
      </w:pPr>
      <w:proofErr w:type="gramStart"/>
      <w:r>
        <w:rPr>
          <w:b/>
          <w:sz w:val="24"/>
          <w:szCs w:val="24"/>
        </w:rPr>
        <w:t>Subject:</w:t>
      </w:r>
      <w:r>
        <w:rPr>
          <w:sz w:val="24"/>
          <w:szCs w:val="24"/>
        </w:rPr>
        <w:t> Catana Florin - Eduard and Catana Victoria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31. The file no. 3054/105/2018 -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Moses Gabriel - Horia - the plaintiff</w:t>
      </w:r>
    </w:p>
    <w:p w:rsidR="00452793" w:rsidRDefault="00452793" w:rsidP="00452793">
      <w:pPr>
        <w:jc w:val="both"/>
        <w:rPr>
          <w:sz w:val="24"/>
          <w:szCs w:val="24"/>
        </w:rPr>
      </w:pPr>
      <w:r>
        <w:rPr>
          <w:sz w:val="24"/>
          <w:szCs w:val="24"/>
        </w:rPr>
        <w:t>           Popa Petre - the plaintiff</w:t>
      </w:r>
    </w:p>
    <w:p w:rsidR="00452793" w:rsidRDefault="00452793" w:rsidP="00452793">
      <w:pPr>
        <w:jc w:val="both"/>
        <w:rPr>
          <w:sz w:val="24"/>
          <w:szCs w:val="24"/>
          <w:lang w:val="ro-RO"/>
        </w:rPr>
      </w:pPr>
      <w:proofErr w:type="gramStart"/>
      <w:r>
        <w:rPr>
          <w:b/>
          <w:sz w:val="24"/>
          <w:szCs w:val="24"/>
        </w:rPr>
        <w:t>Subject:</w:t>
      </w:r>
      <w:r>
        <w:rPr>
          <w:sz w:val="24"/>
          <w:szCs w:val="24"/>
        </w:rPr>
        <w:t> Moses Gabriel - Horia and Popa Petre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32. The file no. 3053/105/2018 -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Gabriel Cristache Vasile - the plaintiff</w:t>
      </w:r>
    </w:p>
    <w:p w:rsidR="00452793" w:rsidRDefault="00452793" w:rsidP="00452793">
      <w:pPr>
        <w:jc w:val="both"/>
        <w:rPr>
          <w:sz w:val="24"/>
          <w:szCs w:val="24"/>
        </w:rPr>
      </w:pPr>
      <w:r>
        <w:rPr>
          <w:sz w:val="24"/>
          <w:szCs w:val="24"/>
        </w:rPr>
        <w:t>           Bocsan Ioan - the plaintiff</w:t>
      </w:r>
    </w:p>
    <w:p w:rsidR="00452793" w:rsidRDefault="00452793" w:rsidP="00452793">
      <w:pPr>
        <w:jc w:val="both"/>
        <w:rPr>
          <w:sz w:val="24"/>
          <w:szCs w:val="24"/>
        </w:rPr>
      </w:pPr>
      <w:proofErr w:type="gramStart"/>
      <w:r>
        <w:rPr>
          <w:b/>
          <w:sz w:val="24"/>
          <w:szCs w:val="24"/>
        </w:rPr>
        <w:t>Subject:</w:t>
      </w:r>
      <w:r>
        <w:rPr>
          <w:sz w:val="24"/>
          <w:szCs w:val="24"/>
        </w:rPr>
        <w:t> Gabriel Cristache Vasile and Ioan Bocsan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33. The file no. 3058/105/2018 -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Radu Marin - the plaintiff</w:t>
      </w:r>
    </w:p>
    <w:p w:rsidR="00452793" w:rsidRDefault="00452793" w:rsidP="00452793">
      <w:pPr>
        <w:jc w:val="both"/>
        <w:rPr>
          <w:sz w:val="24"/>
          <w:szCs w:val="24"/>
        </w:rPr>
      </w:pPr>
      <w:r>
        <w:rPr>
          <w:sz w:val="24"/>
          <w:szCs w:val="24"/>
        </w:rPr>
        <w:t>           Brutaru Gheorghe - the plaintiff</w:t>
      </w:r>
    </w:p>
    <w:p w:rsidR="00452793" w:rsidRDefault="00452793" w:rsidP="00452793">
      <w:pPr>
        <w:jc w:val="both"/>
        <w:rPr>
          <w:sz w:val="24"/>
          <w:szCs w:val="24"/>
          <w:lang w:val="ro-RO"/>
        </w:rPr>
      </w:pPr>
      <w:proofErr w:type="gramStart"/>
      <w:r>
        <w:rPr>
          <w:b/>
          <w:sz w:val="24"/>
          <w:szCs w:val="24"/>
        </w:rPr>
        <w:lastRenderedPageBreak/>
        <w:t>Subject:</w:t>
      </w:r>
      <w:r>
        <w:rPr>
          <w:sz w:val="24"/>
          <w:szCs w:val="24"/>
        </w:rPr>
        <w:t> Radu Marin and Brutaru Gheorghe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r>
        <w:rPr>
          <w:sz w:val="24"/>
          <w:szCs w:val="24"/>
          <w:lang w:val="ro-RO"/>
        </w:rPr>
        <w:t>.</w:t>
      </w:r>
      <w:proofErr w:type="gramEnd"/>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34. The file no. 3059/105/2018 -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Bratu Vasile - Virgiliu - the plaintiff</w:t>
      </w:r>
    </w:p>
    <w:p w:rsidR="00452793" w:rsidRDefault="00452793" w:rsidP="00452793">
      <w:pPr>
        <w:jc w:val="both"/>
        <w:rPr>
          <w:sz w:val="24"/>
          <w:szCs w:val="24"/>
        </w:rPr>
      </w:pPr>
      <w:r>
        <w:rPr>
          <w:sz w:val="24"/>
          <w:szCs w:val="24"/>
        </w:rPr>
        <w:t>           Marian Nita - Paul - the plaintiff</w:t>
      </w:r>
    </w:p>
    <w:p w:rsidR="00452793" w:rsidRDefault="00452793" w:rsidP="00452793">
      <w:pPr>
        <w:jc w:val="both"/>
        <w:rPr>
          <w:sz w:val="24"/>
          <w:szCs w:val="24"/>
          <w:lang w:val="ro-RO"/>
        </w:rPr>
      </w:pPr>
      <w:proofErr w:type="gramStart"/>
      <w:r>
        <w:rPr>
          <w:b/>
          <w:sz w:val="24"/>
          <w:szCs w:val="24"/>
        </w:rPr>
        <w:t>Subject:</w:t>
      </w:r>
      <w:r>
        <w:rPr>
          <w:sz w:val="24"/>
          <w:szCs w:val="24"/>
        </w:rPr>
        <w:t> Bratu Vasile - Virgiliu and Marian Nita - Paul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r>
        <w:rPr>
          <w:sz w:val="24"/>
          <w:szCs w:val="24"/>
          <w:lang w:val="ro-RO"/>
        </w:rPr>
        <w:t>.</w:t>
      </w:r>
      <w:proofErr w:type="gramEnd"/>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35. The file no. 3056/105/2018 -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Mihaila Georgiana - Zoe - the plaintiff</w:t>
      </w:r>
    </w:p>
    <w:p w:rsidR="00452793" w:rsidRDefault="00452793" w:rsidP="00452793">
      <w:pPr>
        <w:jc w:val="both"/>
        <w:rPr>
          <w:sz w:val="24"/>
          <w:szCs w:val="24"/>
        </w:rPr>
      </w:pPr>
      <w:r>
        <w:rPr>
          <w:sz w:val="24"/>
          <w:szCs w:val="24"/>
        </w:rPr>
        <w:t>           Constantin Doru - the plaintiff</w:t>
      </w:r>
    </w:p>
    <w:p w:rsidR="00452793" w:rsidRDefault="00452793" w:rsidP="00452793">
      <w:pPr>
        <w:jc w:val="both"/>
        <w:rPr>
          <w:sz w:val="24"/>
          <w:szCs w:val="24"/>
          <w:lang w:val="ro-RO"/>
        </w:rPr>
      </w:pPr>
      <w:proofErr w:type="gramStart"/>
      <w:r>
        <w:rPr>
          <w:b/>
          <w:sz w:val="24"/>
          <w:szCs w:val="24"/>
        </w:rPr>
        <w:t>Subject:</w:t>
      </w:r>
      <w:r>
        <w:rPr>
          <w:sz w:val="24"/>
          <w:szCs w:val="24"/>
        </w:rPr>
        <w:t> Mihaila Georgiana - Zoe and Constantin Doru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b/>
          <w:sz w:val="24"/>
          <w:szCs w:val="24"/>
        </w:rPr>
      </w:pPr>
      <w:r>
        <w:rPr>
          <w:b/>
          <w:sz w:val="24"/>
          <w:szCs w:val="24"/>
        </w:rPr>
        <w:t>36. The file no. 3055/105/2018 -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Voinescu Sorin - the plaintiff</w:t>
      </w:r>
    </w:p>
    <w:p w:rsidR="00452793" w:rsidRDefault="00452793" w:rsidP="00452793">
      <w:pPr>
        <w:jc w:val="both"/>
        <w:rPr>
          <w:sz w:val="24"/>
          <w:szCs w:val="24"/>
        </w:rPr>
      </w:pPr>
      <w:r>
        <w:rPr>
          <w:sz w:val="24"/>
          <w:szCs w:val="24"/>
        </w:rPr>
        <w:t>           Manolache Cristian - the plaintiff</w:t>
      </w:r>
    </w:p>
    <w:p w:rsidR="00452793" w:rsidRDefault="00452793" w:rsidP="00452793">
      <w:pPr>
        <w:jc w:val="both"/>
        <w:rPr>
          <w:sz w:val="24"/>
          <w:szCs w:val="24"/>
          <w:lang w:val="ro-RO"/>
        </w:rPr>
      </w:pPr>
      <w:proofErr w:type="gramStart"/>
      <w:r>
        <w:rPr>
          <w:b/>
          <w:sz w:val="24"/>
          <w:szCs w:val="24"/>
        </w:rPr>
        <w:t>Subject:</w:t>
      </w:r>
      <w:r>
        <w:rPr>
          <w:sz w:val="24"/>
          <w:szCs w:val="24"/>
        </w:rPr>
        <w:t> Voinescu Sorin and manolache Cristian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37. The file no. 2965/105/2018 -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Istratescu Laurentiu - the plaintiff</w:t>
      </w:r>
    </w:p>
    <w:p w:rsidR="00452793" w:rsidRDefault="00452793" w:rsidP="00452793">
      <w:pPr>
        <w:jc w:val="both"/>
        <w:rPr>
          <w:sz w:val="24"/>
          <w:szCs w:val="24"/>
        </w:rPr>
      </w:pPr>
      <w:r>
        <w:rPr>
          <w:sz w:val="24"/>
          <w:szCs w:val="24"/>
        </w:rPr>
        <w:t>           Petrescu Ioan - the plaintiff</w:t>
      </w:r>
    </w:p>
    <w:p w:rsidR="00452793" w:rsidRDefault="00452793" w:rsidP="00452793">
      <w:pPr>
        <w:jc w:val="both"/>
        <w:rPr>
          <w:sz w:val="24"/>
          <w:szCs w:val="24"/>
          <w:lang w:val="ro-RO"/>
        </w:rPr>
      </w:pPr>
      <w:proofErr w:type="gramStart"/>
      <w:r>
        <w:rPr>
          <w:b/>
          <w:sz w:val="24"/>
          <w:szCs w:val="24"/>
        </w:rPr>
        <w:t>Subject:</w:t>
      </w:r>
      <w:r>
        <w:rPr>
          <w:sz w:val="24"/>
          <w:szCs w:val="24"/>
        </w:rPr>
        <w:t> Istratescu Laurentiu and Petrescu Ioan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38. The file no. 3062/105/2018 -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Stanciu Vasile - the plaintiff</w:t>
      </w:r>
    </w:p>
    <w:p w:rsidR="00452793" w:rsidRDefault="00452793" w:rsidP="00452793">
      <w:pPr>
        <w:jc w:val="both"/>
        <w:rPr>
          <w:sz w:val="24"/>
          <w:szCs w:val="24"/>
        </w:rPr>
      </w:pPr>
      <w:r>
        <w:rPr>
          <w:sz w:val="24"/>
          <w:szCs w:val="24"/>
        </w:rPr>
        <w:t>           Dumitrescu Stefan - the plaintiff</w:t>
      </w:r>
    </w:p>
    <w:p w:rsidR="00452793" w:rsidRDefault="00452793" w:rsidP="00452793">
      <w:pPr>
        <w:jc w:val="both"/>
        <w:rPr>
          <w:sz w:val="24"/>
          <w:szCs w:val="24"/>
          <w:lang w:val="ro-RO"/>
        </w:rPr>
      </w:pPr>
      <w:proofErr w:type="gramStart"/>
      <w:r>
        <w:rPr>
          <w:b/>
          <w:sz w:val="24"/>
          <w:szCs w:val="24"/>
        </w:rPr>
        <w:t>Subject:</w:t>
      </w:r>
      <w:r>
        <w:rPr>
          <w:sz w:val="24"/>
          <w:szCs w:val="24"/>
        </w:rPr>
        <w:t> Stanciu Vasile and Dumitrescu Stefan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39. The file no. 3062/105/2018 -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Pelin Simona - the plaintiff</w:t>
      </w:r>
    </w:p>
    <w:p w:rsidR="00452793" w:rsidRDefault="00452793" w:rsidP="00452793">
      <w:pPr>
        <w:jc w:val="both"/>
        <w:rPr>
          <w:sz w:val="24"/>
          <w:szCs w:val="24"/>
        </w:rPr>
      </w:pPr>
      <w:r>
        <w:rPr>
          <w:sz w:val="24"/>
          <w:szCs w:val="24"/>
        </w:rPr>
        <w:t>           Pelin Marian - the plaintiff</w:t>
      </w:r>
    </w:p>
    <w:p w:rsidR="00452793" w:rsidRDefault="00452793" w:rsidP="00452793">
      <w:pPr>
        <w:jc w:val="both"/>
        <w:rPr>
          <w:sz w:val="24"/>
          <w:szCs w:val="24"/>
          <w:lang w:val="ro-RO"/>
        </w:rPr>
      </w:pPr>
      <w:proofErr w:type="gramStart"/>
      <w:r>
        <w:rPr>
          <w:b/>
          <w:sz w:val="24"/>
          <w:szCs w:val="24"/>
        </w:rPr>
        <w:t>Subject:</w:t>
      </w:r>
      <w:r>
        <w:rPr>
          <w:sz w:val="24"/>
          <w:szCs w:val="24"/>
        </w:rPr>
        <w:t> Pelin Pelin Simona and Marian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b/>
          <w:sz w:val="24"/>
          <w:szCs w:val="24"/>
        </w:rPr>
      </w:pPr>
      <w:r>
        <w:rPr>
          <w:b/>
          <w:sz w:val="24"/>
          <w:szCs w:val="24"/>
        </w:rPr>
        <w:t>40. The file no. 3062/105/2018 - the Tribunal Prahova </w:t>
      </w:r>
    </w:p>
    <w:p w:rsidR="00452793" w:rsidRDefault="00452793" w:rsidP="00452793">
      <w:pPr>
        <w:jc w:val="both"/>
        <w:rPr>
          <w:sz w:val="24"/>
          <w:szCs w:val="24"/>
        </w:rPr>
      </w:pPr>
      <w:r>
        <w:rPr>
          <w:b/>
          <w:sz w:val="24"/>
          <w:szCs w:val="24"/>
        </w:rPr>
        <w:t>The parties:</w:t>
      </w:r>
      <w:r>
        <w:rPr>
          <w:sz w:val="24"/>
          <w:szCs w:val="24"/>
        </w:rPr>
        <w:t> Conpet - defendant</w:t>
      </w:r>
    </w:p>
    <w:p w:rsidR="00452793" w:rsidRDefault="00452793" w:rsidP="00452793">
      <w:pPr>
        <w:jc w:val="both"/>
        <w:rPr>
          <w:sz w:val="24"/>
          <w:szCs w:val="24"/>
        </w:rPr>
      </w:pPr>
      <w:r>
        <w:rPr>
          <w:sz w:val="24"/>
          <w:szCs w:val="24"/>
        </w:rPr>
        <w:t>           Liviu Pop - the plaintiff</w:t>
      </w:r>
    </w:p>
    <w:p w:rsidR="00452793" w:rsidRDefault="00452793" w:rsidP="00452793">
      <w:pPr>
        <w:jc w:val="both"/>
        <w:rPr>
          <w:sz w:val="24"/>
          <w:szCs w:val="24"/>
        </w:rPr>
      </w:pPr>
      <w:r>
        <w:rPr>
          <w:sz w:val="24"/>
          <w:szCs w:val="24"/>
        </w:rPr>
        <w:lastRenderedPageBreak/>
        <w:t>           Ciordas Gheorghe - the plaintiff</w:t>
      </w:r>
    </w:p>
    <w:p w:rsidR="00452793" w:rsidRDefault="00452793" w:rsidP="00452793">
      <w:pPr>
        <w:jc w:val="both"/>
        <w:rPr>
          <w:sz w:val="24"/>
          <w:szCs w:val="24"/>
          <w:lang w:val="ro-RO"/>
        </w:rPr>
      </w:pPr>
      <w:proofErr w:type="gramStart"/>
      <w:r>
        <w:rPr>
          <w:b/>
          <w:sz w:val="24"/>
          <w:szCs w:val="24"/>
        </w:rPr>
        <w:t>Subject:</w:t>
      </w:r>
      <w:r>
        <w:rPr>
          <w:sz w:val="24"/>
          <w:szCs w:val="24"/>
        </w:rPr>
        <w:t> Ciordas Gheorghe and Pop Liviu filed a trial</w:t>
      </w:r>
      <w:r>
        <w:rPr>
          <w:sz w:val="24"/>
          <w:szCs w:val="24"/>
          <w:lang w:val="ro-RO"/>
        </w:rPr>
        <w:t xml:space="preserve"> requesting </w:t>
      </w:r>
      <w:r>
        <w:rPr>
          <w:sz w:val="24"/>
          <w:szCs w:val="24"/>
        </w:rPr>
        <w:t>the</w:t>
      </w:r>
      <w:r>
        <w:rPr>
          <w:sz w:val="24"/>
          <w:szCs w:val="24"/>
          <w:lang w:val="ro-RO"/>
        </w:rPr>
        <w:t xml:space="preserve"> court to ascertain that in the periods referred to in the books ha</w:t>
      </w:r>
      <w:r>
        <w:rPr>
          <w:sz w:val="24"/>
          <w:szCs w:val="24"/>
        </w:rPr>
        <w:t>d</w:t>
      </w:r>
      <w:r>
        <w:rPr>
          <w:sz w:val="24"/>
          <w:szCs w:val="24"/>
          <w:lang w:val="ro-RO"/>
        </w:rPr>
        <w:t xml:space="preserve"> been employed in the functions and ha</w:t>
      </w:r>
      <w:r>
        <w:rPr>
          <w:sz w:val="24"/>
          <w:szCs w:val="24"/>
        </w:rPr>
        <w:t>d</w:t>
      </w:r>
      <w:r>
        <w:rPr>
          <w:sz w:val="24"/>
          <w:szCs w:val="24"/>
          <w:lang w:val="ro-RO"/>
        </w:rPr>
        <w:t xml:space="preserve"> actually worked 100% of the program of work within the framework of the balloting station included in Group II and group I work, i.e. the special conditions, special and therefore </w:t>
      </w:r>
      <w:r>
        <w:rPr>
          <w:sz w:val="24"/>
          <w:szCs w:val="24"/>
        </w:rPr>
        <w:t xml:space="preserve">ordered </w:t>
      </w:r>
      <w:r>
        <w:rPr>
          <w:sz w:val="24"/>
          <w:szCs w:val="24"/>
          <w:lang w:val="ro-RO"/>
        </w:rPr>
        <w:t xml:space="preserve">the defendant to issue </w:t>
      </w:r>
      <w:r>
        <w:rPr>
          <w:sz w:val="24"/>
          <w:szCs w:val="24"/>
        </w:rPr>
        <w:t>certificates.</w:t>
      </w:r>
      <w:proofErr w:type="gramEnd"/>
    </w:p>
    <w:p w:rsidR="00452793" w:rsidRDefault="00452793" w:rsidP="00452793">
      <w:pPr>
        <w:jc w:val="both"/>
        <w:rPr>
          <w:sz w:val="24"/>
          <w:szCs w:val="24"/>
        </w:rPr>
      </w:pPr>
      <w:r>
        <w:rPr>
          <w:b/>
          <w:sz w:val="24"/>
          <w:szCs w:val="24"/>
        </w:rPr>
        <w:t>Details:</w:t>
      </w:r>
      <w:r>
        <w:rPr>
          <w:sz w:val="24"/>
          <w:szCs w:val="24"/>
        </w:rPr>
        <w:t> --</w:t>
      </w:r>
    </w:p>
    <w:p w:rsidR="00452793" w:rsidRDefault="00452793" w:rsidP="00452793">
      <w:pPr>
        <w:jc w:val="both"/>
        <w:rPr>
          <w:sz w:val="24"/>
          <w:szCs w:val="24"/>
        </w:rPr>
      </w:pPr>
      <w:r>
        <w:rPr>
          <w:sz w:val="24"/>
          <w:szCs w:val="24"/>
        </w:rPr>
        <w:t>Stage of file: first instance</w:t>
      </w:r>
    </w:p>
    <w:p w:rsidR="00452793" w:rsidRDefault="00452793" w:rsidP="00452793">
      <w:pPr>
        <w:jc w:val="both"/>
        <w:rPr>
          <w:sz w:val="24"/>
          <w:szCs w:val="24"/>
        </w:rPr>
      </w:pPr>
      <w:r>
        <w:rPr>
          <w:b/>
          <w:sz w:val="24"/>
          <w:szCs w:val="24"/>
        </w:rPr>
        <w:t>Period:</w:t>
      </w:r>
      <w:r>
        <w:rPr>
          <w:sz w:val="24"/>
          <w:szCs w:val="24"/>
        </w:rPr>
        <w:t> --</w:t>
      </w: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jc w:val="both"/>
        <w:rPr>
          <w:sz w:val="24"/>
          <w:szCs w:val="24"/>
        </w:rPr>
      </w:pPr>
    </w:p>
    <w:p w:rsidR="00452793" w:rsidRDefault="00452793" w:rsidP="00452793">
      <w:pPr>
        <w:spacing w:after="200" w:line="276" w:lineRule="auto"/>
        <w:contextualSpacing/>
        <w:rPr>
          <w:b/>
          <w:lang w:val="ro-RO"/>
        </w:rPr>
      </w:pPr>
      <w:r>
        <w:rPr>
          <w:b/>
          <w:lang w:val="ro-RO"/>
        </w:rPr>
        <w:t>(C) THE LITIGATION</w:t>
      </w:r>
      <w:r>
        <w:rPr>
          <w:b/>
        </w:rPr>
        <w:t>S</w:t>
      </w:r>
      <w:r>
        <w:rPr>
          <w:b/>
          <w:lang w:val="ro-RO"/>
        </w:rPr>
        <w:t xml:space="preserve"> IN WHICH THE COMPANY CONPET S.A. HAS A DUAL QUALITY:</w:t>
      </w:r>
    </w:p>
    <w:p w:rsidR="00452793" w:rsidRDefault="00452793" w:rsidP="00452793">
      <w:pPr>
        <w:jc w:val="both"/>
        <w:rPr>
          <w:sz w:val="24"/>
          <w:szCs w:val="24"/>
          <w:lang w:val="ro-RO"/>
        </w:rPr>
      </w:pPr>
    </w:p>
    <w:p w:rsidR="00452793" w:rsidRDefault="00452793" w:rsidP="00452793">
      <w:pPr>
        <w:ind w:firstLine="720"/>
        <w:jc w:val="both"/>
        <w:rPr>
          <w:b/>
          <w:sz w:val="24"/>
          <w:szCs w:val="24"/>
          <w:lang w:val="it-IT"/>
        </w:rPr>
      </w:pPr>
      <w:r>
        <w:rPr>
          <w:b/>
          <w:sz w:val="24"/>
          <w:szCs w:val="24"/>
          <w:lang w:val="it-IT"/>
        </w:rPr>
        <w:t xml:space="preserve">1. </w:t>
      </w:r>
      <w:r>
        <w:rPr>
          <w:b/>
          <w:sz w:val="24"/>
          <w:szCs w:val="24"/>
        </w:rPr>
        <w:t>File</w:t>
      </w:r>
      <w:r>
        <w:rPr>
          <w:b/>
          <w:sz w:val="24"/>
          <w:szCs w:val="24"/>
          <w:lang w:val="it-IT"/>
        </w:rPr>
        <w:t xml:space="preserve"> No 378/105/2007 - Prahova</w:t>
      </w:r>
      <w:proofErr w:type="gramStart"/>
      <w:r>
        <w:rPr>
          <w:b/>
          <w:sz w:val="24"/>
          <w:szCs w:val="24"/>
          <w:lang w:val="it-IT"/>
        </w:rPr>
        <w:t xml:space="preserve">  </w:t>
      </w:r>
      <w:r>
        <w:rPr>
          <w:b/>
          <w:sz w:val="24"/>
          <w:szCs w:val="24"/>
        </w:rPr>
        <w:t>court</w:t>
      </w:r>
      <w:proofErr w:type="gramEnd"/>
    </w:p>
    <w:p w:rsidR="00452793" w:rsidRDefault="00452793" w:rsidP="00452793">
      <w:pPr>
        <w:ind w:firstLine="720"/>
        <w:jc w:val="both"/>
        <w:rPr>
          <w:sz w:val="24"/>
          <w:szCs w:val="24"/>
          <w:lang w:val="it-IT"/>
        </w:rPr>
      </w:pPr>
      <w:r>
        <w:rPr>
          <w:b/>
          <w:sz w:val="24"/>
          <w:szCs w:val="24"/>
          <w:lang w:val="it-IT"/>
        </w:rPr>
        <w:t>The parties:</w:t>
      </w:r>
      <w:r>
        <w:rPr>
          <w:sz w:val="24"/>
          <w:szCs w:val="24"/>
          <w:lang w:val="it-IT"/>
        </w:rPr>
        <w:t xml:space="preserve">  Conpet S.A. - claimant and </w:t>
      </w:r>
      <w:r>
        <w:rPr>
          <w:sz w:val="24"/>
          <w:szCs w:val="24"/>
        </w:rPr>
        <w:t>defendant</w:t>
      </w:r>
    </w:p>
    <w:p w:rsidR="00452793" w:rsidRDefault="00452793" w:rsidP="00452793">
      <w:pPr>
        <w:ind w:firstLine="720"/>
        <w:jc w:val="both"/>
        <w:rPr>
          <w:sz w:val="24"/>
          <w:szCs w:val="24"/>
          <w:lang w:val="it-IT"/>
        </w:rPr>
      </w:pPr>
      <w:r>
        <w:rPr>
          <w:sz w:val="24"/>
          <w:szCs w:val="24"/>
          <w:lang w:val="it-IT"/>
        </w:rPr>
        <w:t xml:space="preserve">           Petroconduct S.A. - </w:t>
      </w:r>
      <w:r>
        <w:rPr>
          <w:sz w:val="24"/>
          <w:szCs w:val="24"/>
        </w:rPr>
        <w:t>defendant</w:t>
      </w:r>
      <w:r>
        <w:rPr>
          <w:sz w:val="24"/>
          <w:szCs w:val="24"/>
          <w:lang w:val="it-IT"/>
        </w:rPr>
        <w:t>-reconvenient</w:t>
      </w:r>
    </w:p>
    <w:p w:rsidR="00452793" w:rsidRDefault="00452793" w:rsidP="00452793">
      <w:pPr>
        <w:ind w:firstLine="720"/>
        <w:jc w:val="both"/>
        <w:rPr>
          <w:sz w:val="24"/>
          <w:szCs w:val="24"/>
          <w:lang w:val="it-IT"/>
        </w:rPr>
      </w:pPr>
      <w:r>
        <w:rPr>
          <w:b/>
          <w:sz w:val="24"/>
          <w:szCs w:val="24"/>
          <w:lang w:val="it-IT"/>
        </w:rPr>
        <w:t>Subject:</w:t>
      </w:r>
      <w:r>
        <w:rPr>
          <w:sz w:val="24"/>
          <w:szCs w:val="24"/>
          <w:lang w:val="it-IT"/>
        </w:rPr>
        <w:t> Conpet S.A. require the obligation of the defendant Petroconduct S.A. Ploiesti to :</w:t>
      </w:r>
    </w:p>
    <w:p w:rsidR="00452793" w:rsidRDefault="00452793" w:rsidP="00452793">
      <w:pPr>
        <w:ind w:firstLine="720"/>
        <w:jc w:val="both"/>
        <w:rPr>
          <w:sz w:val="24"/>
          <w:szCs w:val="24"/>
          <w:lang w:val="it-IT"/>
        </w:rPr>
      </w:pPr>
      <w:r>
        <w:rPr>
          <w:sz w:val="24"/>
          <w:szCs w:val="24"/>
          <w:lang w:val="it-IT"/>
        </w:rPr>
        <w:t>- Payment of the amount of RON 80.548,49 representing the penalties for failure to fulfill the obligations assumed by the contract no L 45/18.03.2004 and the contract no. M 59/9.06.2004</w:t>
      </w:r>
    </w:p>
    <w:p w:rsidR="00452793" w:rsidRDefault="00452793" w:rsidP="00452793">
      <w:pPr>
        <w:ind w:firstLine="720"/>
        <w:jc w:val="both"/>
        <w:rPr>
          <w:sz w:val="24"/>
          <w:szCs w:val="24"/>
          <w:lang w:val="it-IT"/>
        </w:rPr>
      </w:pPr>
      <w:r>
        <w:rPr>
          <w:sz w:val="24"/>
          <w:szCs w:val="24"/>
          <w:lang w:val="it-IT"/>
        </w:rPr>
        <w:t xml:space="preserve">- Teaching material </w:t>
      </w:r>
      <w:r>
        <w:rPr>
          <w:sz w:val="24"/>
          <w:szCs w:val="24"/>
        </w:rPr>
        <w:t xml:space="preserve">tubular </w:t>
      </w:r>
      <w:r>
        <w:rPr>
          <w:sz w:val="24"/>
          <w:szCs w:val="24"/>
          <w:lang w:val="it-IT"/>
        </w:rPr>
        <w:t xml:space="preserve">steel pipe composed of China in terms of the quantity of 504 </w:t>
      </w:r>
      <w:r>
        <w:rPr>
          <w:sz w:val="24"/>
          <w:szCs w:val="24"/>
        </w:rPr>
        <w:t xml:space="preserve">with a </w:t>
      </w:r>
      <w:r>
        <w:rPr>
          <w:sz w:val="24"/>
          <w:szCs w:val="24"/>
          <w:lang w:val="it-IT"/>
        </w:rPr>
        <w:t xml:space="preserve">value of euro 21.344,4 and steel pipe </w:t>
      </w:r>
      <w:r>
        <w:rPr>
          <w:sz w:val="24"/>
          <w:szCs w:val="24"/>
        </w:rPr>
        <w:t xml:space="preserve">made in </w:t>
      </w:r>
      <w:r>
        <w:rPr>
          <w:sz w:val="24"/>
          <w:szCs w:val="24"/>
          <w:lang w:val="it-IT"/>
        </w:rPr>
        <w:t xml:space="preserve">China in terms of the quantity of 96 m </w:t>
      </w:r>
      <w:r>
        <w:rPr>
          <w:sz w:val="24"/>
          <w:szCs w:val="24"/>
        </w:rPr>
        <w:t xml:space="preserve">with a </w:t>
      </w:r>
      <w:r>
        <w:rPr>
          <w:sz w:val="24"/>
          <w:szCs w:val="24"/>
          <w:lang w:val="it-IT"/>
        </w:rPr>
        <w:t xml:space="preserve">value of euro 4.366,08 or to the payment of the sum to be paid by our company shall mean the amount of </w:t>
      </w:r>
      <w:r>
        <w:rPr>
          <w:sz w:val="24"/>
          <w:szCs w:val="24"/>
        </w:rPr>
        <w:t xml:space="preserve"> </w:t>
      </w:r>
      <w:r>
        <w:rPr>
          <w:sz w:val="24"/>
          <w:szCs w:val="24"/>
          <w:lang w:val="it-IT"/>
        </w:rPr>
        <w:t>RON</w:t>
      </w:r>
      <w:r>
        <w:rPr>
          <w:sz w:val="24"/>
          <w:szCs w:val="24"/>
        </w:rPr>
        <w:t xml:space="preserve"> </w:t>
      </w:r>
      <w:r>
        <w:rPr>
          <w:sz w:val="24"/>
          <w:szCs w:val="24"/>
          <w:lang w:val="it-IT"/>
        </w:rPr>
        <w:t>89.291,50. </w:t>
      </w:r>
    </w:p>
    <w:p w:rsidR="00452793" w:rsidRDefault="00452793" w:rsidP="00452793">
      <w:pPr>
        <w:ind w:firstLine="720"/>
        <w:jc w:val="both"/>
        <w:rPr>
          <w:sz w:val="24"/>
          <w:szCs w:val="24"/>
          <w:lang w:val="it-IT"/>
        </w:rPr>
      </w:pPr>
      <w:r>
        <w:rPr>
          <w:sz w:val="24"/>
          <w:szCs w:val="24"/>
          <w:lang w:val="it-IT"/>
        </w:rPr>
        <w:t>- Payment of the amount of RON 20.626 representing the transport costs, charg</w:t>
      </w:r>
      <w:r>
        <w:rPr>
          <w:sz w:val="24"/>
          <w:szCs w:val="24"/>
        </w:rPr>
        <w:t>ing</w:t>
      </w:r>
      <w:r>
        <w:rPr>
          <w:sz w:val="24"/>
          <w:szCs w:val="24"/>
          <w:lang w:val="it-IT"/>
        </w:rPr>
        <w:t>, discharg</w:t>
      </w:r>
      <w:r>
        <w:rPr>
          <w:sz w:val="24"/>
          <w:szCs w:val="24"/>
        </w:rPr>
        <w:t>ing</w:t>
      </w:r>
      <w:r>
        <w:rPr>
          <w:sz w:val="24"/>
          <w:szCs w:val="24"/>
          <w:lang w:val="it-IT"/>
        </w:rPr>
        <w:t xml:space="preserve"> </w:t>
      </w:r>
      <w:r>
        <w:rPr>
          <w:sz w:val="24"/>
          <w:szCs w:val="24"/>
        </w:rPr>
        <w:t xml:space="preserve">tubular </w:t>
      </w:r>
      <w:r>
        <w:rPr>
          <w:sz w:val="24"/>
          <w:szCs w:val="24"/>
          <w:lang w:val="it-IT"/>
        </w:rPr>
        <w:t>material</w:t>
      </w:r>
      <w:r>
        <w:rPr>
          <w:sz w:val="24"/>
          <w:szCs w:val="24"/>
        </w:rPr>
        <w:t>.</w:t>
      </w:r>
    </w:p>
    <w:p w:rsidR="00452793" w:rsidRDefault="00452793" w:rsidP="00452793">
      <w:pPr>
        <w:ind w:firstLine="720"/>
        <w:jc w:val="both"/>
        <w:rPr>
          <w:sz w:val="24"/>
          <w:szCs w:val="24"/>
          <w:lang w:val="it-IT"/>
        </w:rPr>
      </w:pPr>
      <w:r>
        <w:rPr>
          <w:sz w:val="24"/>
          <w:szCs w:val="24"/>
          <w:lang w:val="it-IT"/>
        </w:rPr>
        <w:t xml:space="preserve">- The payment of </w:t>
      </w:r>
      <w:r>
        <w:rPr>
          <w:sz w:val="24"/>
          <w:szCs w:val="24"/>
        </w:rPr>
        <w:t xml:space="preserve">trial </w:t>
      </w:r>
      <w:r>
        <w:rPr>
          <w:sz w:val="24"/>
          <w:szCs w:val="24"/>
          <w:lang w:val="it-IT"/>
        </w:rPr>
        <w:t xml:space="preserve">costs in the </w:t>
      </w:r>
      <w:r>
        <w:rPr>
          <w:sz w:val="24"/>
          <w:szCs w:val="24"/>
        </w:rPr>
        <w:t xml:space="preserve">amount of </w:t>
      </w:r>
      <w:r>
        <w:rPr>
          <w:sz w:val="24"/>
          <w:szCs w:val="24"/>
          <w:lang w:val="it-IT"/>
        </w:rPr>
        <w:t>RON 5.062,24 from which RON 5.057,24 judicial stamp tax and RON 5.00 judicial stamp as well as other costs which they will perform in this process. </w:t>
      </w:r>
    </w:p>
    <w:p w:rsidR="00452793" w:rsidRDefault="00452793" w:rsidP="00452793">
      <w:pPr>
        <w:ind w:firstLine="720"/>
        <w:jc w:val="both"/>
        <w:rPr>
          <w:sz w:val="24"/>
          <w:szCs w:val="24"/>
          <w:lang w:val="it-IT"/>
        </w:rPr>
      </w:pPr>
      <w:r>
        <w:rPr>
          <w:sz w:val="24"/>
          <w:szCs w:val="24"/>
          <w:lang w:val="it-IT"/>
        </w:rPr>
        <w:t>Petroconduct S.A. has made a counterclaim which has requested the obligation of Conpet to the payment of the amount of RON 46.214,01</w:t>
      </w:r>
      <w:r>
        <w:rPr>
          <w:sz w:val="24"/>
          <w:szCs w:val="24"/>
        </w:rPr>
        <w:t xml:space="preserve"> </w:t>
      </w:r>
      <w:r>
        <w:rPr>
          <w:sz w:val="24"/>
          <w:szCs w:val="24"/>
          <w:lang w:val="it-IT"/>
        </w:rPr>
        <w:t xml:space="preserve">representing the </w:t>
      </w:r>
      <w:r>
        <w:rPr>
          <w:sz w:val="24"/>
          <w:szCs w:val="24"/>
        </w:rPr>
        <w:t xml:space="preserve">consideration </w:t>
      </w:r>
      <w:r>
        <w:rPr>
          <w:sz w:val="24"/>
          <w:szCs w:val="24"/>
          <w:lang w:val="it-IT"/>
        </w:rPr>
        <w:t xml:space="preserve">of the works executed by this </w:t>
      </w:r>
      <w:r>
        <w:rPr>
          <w:sz w:val="24"/>
          <w:szCs w:val="24"/>
        </w:rPr>
        <w:t>according to</w:t>
      </w:r>
      <w:r>
        <w:rPr>
          <w:sz w:val="24"/>
          <w:szCs w:val="24"/>
          <w:lang w:val="it-IT"/>
        </w:rPr>
        <w:t xml:space="preserve"> contracts for works no L 45/18.03.2004 and no MST 09/09.06.2004, in favor of the beneficiary Conpet.</w:t>
      </w:r>
    </w:p>
    <w:p w:rsidR="00452793" w:rsidRDefault="00452793" w:rsidP="00452793">
      <w:pPr>
        <w:ind w:firstLine="720"/>
        <w:jc w:val="both"/>
        <w:rPr>
          <w:sz w:val="24"/>
          <w:szCs w:val="24"/>
          <w:lang w:val="it-IT"/>
        </w:rPr>
      </w:pPr>
      <w:r>
        <w:rPr>
          <w:b/>
          <w:sz w:val="24"/>
          <w:szCs w:val="24"/>
          <w:lang w:val="it-IT"/>
        </w:rPr>
        <w:t>Details:</w:t>
      </w:r>
      <w:r>
        <w:rPr>
          <w:sz w:val="24"/>
          <w:szCs w:val="24"/>
          <w:lang w:val="it-IT"/>
        </w:rPr>
        <w:t xml:space="preserve"> In the </w:t>
      </w:r>
      <w:r>
        <w:rPr>
          <w:sz w:val="24"/>
          <w:szCs w:val="24"/>
        </w:rPr>
        <w:t>Hearing</w:t>
      </w:r>
      <w:r>
        <w:rPr>
          <w:sz w:val="24"/>
          <w:szCs w:val="24"/>
          <w:lang w:val="it-IT"/>
        </w:rPr>
        <w:t xml:space="preserve"> of 22</w:t>
      </w:r>
      <w:r>
        <w:rPr>
          <w:sz w:val="24"/>
          <w:szCs w:val="24"/>
          <w:vertAlign w:val="superscript"/>
        </w:rPr>
        <w:t>nd</w:t>
      </w:r>
      <w:r>
        <w:rPr>
          <w:sz w:val="24"/>
          <w:szCs w:val="24"/>
        </w:rPr>
        <w:t xml:space="preserve"> Feb </w:t>
      </w:r>
      <w:r>
        <w:rPr>
          <w:sz w:val="24"/>
          <w:szCs w:val="24"/>
          <w:lang w:val="it-IT"/>
        </w:rPr>
        <w:t xml:space="preserve">2010, </w:t>
      </w:r>
      <w:r>
        <w:rPr>
          <w:sz w:val="24"/>
          <w:szCs w:val="24"/>
        </w:rPr>
        <w:t>in accordance with</w:t>
      </w:r>
      <w:r>
        <w:rPr>
          <w:sz w:val="24"/>
          <w:szCs w:val="24"/>
          <w:lang w:val="it-IT"/>
        </w:rPr>
        <w:t xml:space="preserve"> Article 36 of Law No 85/2006 the court ruled the suspension of the case.</w:t>
      </w:r>
    </w:p>
    <w:p w:rsidR="00452793" w:rsidRDefault="00452793" w:rsidP="00452793">
      <w:pPr>
        <w:ind w:firstLine="720"/>
        <w:jc w:val="both"/>
        <w:rPr>
          <w:sz w:val="24"/>
          <w:szCs w:val="24"/>
          <w:lang w:val="it-IT"/>
        </w:rPr>
      </w:pPr>
      <w:r>
        <w:rPr>
          <w:sz w:val="24"/>
          <w:szCs w:val="24"/>
          <w:lang w:val="it-IT"/>
        </w:rPr>
        <w:t> </w:t>
      </w:r>
      <w:r>
        <w:rPr>
          <w:sz w:val="24"/>
          <w:szCs w:val="24"/>
        </w:rPr>
        <w:t>Stage of trial</w:t>
      </w:r>
      <w:r>
        <w:rPr>
          <w:sz w:val="24"/>
          <w:szCs w:val="24"/>
          <w:lang w:val="it-IT"/>
        </w:rPr>
        <w:t>:</w:t>
      </w:r>
    </w:p>
    <w:p w:rsidR="00452793" w:rsidRDefault="00452793" w:rsidP="00452793">
      <w:pPr>
        <w:ind w:firstLine="720"/>
        <w:jc w:val="both"/>
        <w:rPr>
          <w:sz w:val="24"/>
          <w:szCs w:val="24"/>
          <w:lang w:val="it-IT"/>
        </w:rPr>
      </w:pPr>
      <w:r>
        <w:rPr>
          <w:sz w:val="24"/>
          <w:szCs w:val="24"/>
          <w:lang w:val="it-IT"/>
        </w:rPr>
        <w:t> </w:t>
      </w:r>
      <w:r>
        <w:rPr>
          <w:sz w:val="24"/>
          <w:szCs w:val="24"/>
        </w:rPr>
        <w:t xml:space="preserve">Hearing: </w:t>
      </w:r>
      <w:proofErr w:type="gramStart"/>
      <w:r>
        <w:rPr>
          <w:sz w:val="24"/>
          <w:szCs w:val="24"/>
          <w:lang w:val="it-IT"/>
        </w:rPr>
        <w:t>suspended :</w:t>
      </w:r>
      <w:proofErr w:type="gramEnd"/>
    </w:p>
    <w:p w:rsidR="00452793" w:rsidRDefault="00452793" w:rsidP="00452793">
      <w:pPr>
        <w:ind w:firstLine="720"/>
        <w:jc w:val="both"/>
        <w:rPr>
          <w:sz w:val="24"/>
          <w:szCs w:val="24"/>
          <w:lang w:val="it-IT"/>
        </w:rPr>
      </w:pPr>
    </w:p>
    <w:p w:rsidR="00452793" w:rsidRDefault="00452793" w:rsidP="00452793">
      <w:pPr>
        <w:ind w:firstLine="720"/>
        <w:jc w:val="both"/>
        <w:rPr>
          <w:sz w:val="24"/>
          <w:szCs w:val="24"/>
          <w:lang w:val="it-IT"/>
        </w:rPr>
      </w:pPr>
    </w:p>
    <w:p w:rsidR="00452793" w:rsidRDefault="00452793" w:rsidP="00452793">
      <w:pPr>
        <w:ind w:firstLine="720"/>
        <w:jc w:val="both"/>
        <w:rPr>
          <w:b/>
          <w:sz w:val="24"/>
          <w:szCs w:val="24"/>
        </w:rPr>
      </w:pPr>
      <w:r>
        <w:rPr>
          <w:b/>
          <w:sz w:val="24"/>
          <w:szCs w:val="24"/>
          <w:lang w:val="it-IT"/>
        </w:rPr>
        <w:t xml:space="preserve">2. The </w:t>
      </w:r>
      <w:r>
        <w:rPr>
          <w:b/>
          <w:sz w:val="24"/>
          <w:szCs w:val="24"/>
        </w:rPr>
        <w:t>file</w:t>
      </w:r>
      <w:r>
        <w:rPr>
          <w:b/>
          <w:sz w:val="24"/>
          <w:szCs w:val="24"/>
          <w:lang w:val="it-IT"/>
        </w:rPr>
        <w:t xml:space="preserve"> No 538/317/2014* - Targu Carbunesti- Courthouse </w:t>
      </w:r>
    </w:p>
    <w:p w:rsidR="00452793" w:rsidRDefault="00452793" w:rsidP="00452793">
      <w:pPr>
        <w:ind w:firstLine="720"/>
        <w:jc w:val="both"/>
        <w:rPr>
          <w:sz w:val="24"/>
          <w:szCs w:val="24"/>
        </w:rPr>
      </w:pPr>
      <w:r>
        <w:rPr>
          <w:b/>
          <w:sz w:val="24"/>
          <w:szCs w:val="24"/>
        </w:rPr>
        <w:t>The parties:</w:t>
      </w:r>
      <w:r>
        <w:rPr>
          <w:sz w:val="24"/>
          <w:szCs w:val="24"/>
        </w:rPr>
        <w:t> Conpet - defendant-reconvenient</w:t>
      </w:r>
    </w:p>
    <w:p w:rsidR="00452793" w:rsidRDefault="00452793" w:rsidP="00452793">
      <w:pPr>
        <w:ind w:firstLine="720"/>
        <w:jc w:val="both"/>
        <w:rPr>
          <w:sz w:val="24"/>
          <w:szCs w:val="24"/>
        </w:rPr>
      </w:pPr>
      <w:r>
        <w:rPr>
          <w:sz w:val="24"/>
          <w:szCs w:val="24"/>
        </w:rPr>
        <w:t>           Mariana Baltoi - the plaintiff and the defendant</w:t>
      </w:r>
    </w:p>
    <w:p w:rsidR="00452793" w:rsidRDefault="00452793" w:rsidP="00452793">
      <w:pPr>
        <w:ind w:firstLine="720"/>
        <w:jc w:val="both"/>
        <w:rPr>
          <w:sz w:val="24"/>
          <w:szCs w:val="24"/>
        </w:rPr>
      </w:pPr>
      <w:r>
        <w:rPr>
          <w:b/>
          <w:sz w:val="24"/>
          <w:szCs w:val="24"/>
        </w:rPr>
        <w:t>Subject</w:t>
      </w:r>
      <w:r>
        <w:rPr>
          <w:sz w:val="24"/>
          <w:szCs w:val="24"/>
        </w:rPr>
        <w:t xml:space="preserve">: Baltoi Mariana shall file for a trial requesting an order on the obligation of Conpet to the payment of civil society </w:t>
      </w:r>
      <w:proofErr w:type="gramStart"/>
      <w:r>
        <w:rPr>
          <w:sz w:val="24"/>
          <w:szCs w:val="24"/>
        </w:rPr>
        <w:t>damages  for</w:t>
      </w:r>
      <w:proofErr w:type="gramEnd"/>
      <w:r>
        <w:rPr>
          <w:sz w:val="24"/>
          <w:szCs w:val="24"/>
        </w:rPr>
        <w:t xml:space="preserve"> the period 2011 - 2014 years (January) in the amount of old ROL 500.000.000, and one monthly rent amount of RON 10,000.</w:t>
      </w:r>
    </w:p>
    <w:p w:rsidR="00452793" w:rsidRDefault="00452793" w:rsidP="00452793">
      <w:pPr>
        <w:ind w:firstLine="720"/>
        <w:jc w:val="both"/>
        <w:rPr>
          <w:sz w:val="24"/>
          <w:szCs w:val="24"/>
        </w:rPr>
      </w:pPr>
      <w:r>
        <w:rPr>
          <w:sz w:val="24"/>
          <w:szCs w:val="24"/>
        </w:rPr>
        <w:t>Conpet files counterclaim requesting:</w:t>
      </w:r>
    </w:p>
    <w:p w:rsidR="00452793" w:rsidRDefault="00452793" w:rsidP="00452793">
      <w:pPr>
        <w:jc w:val="both"/>
        <w:rPr>
          <w:sz w:val="24"/>
          <w:szCs w:val="24"/>
          <w:lang w:val="it-IT"/>
        </w:rPr>
      </w:pPr>
      <w:r>
        <w:rPr>
          <w:sz w:val="24"/>
          <w:szCs w:val="24"/>
          <w:lang w:val="it-IT"/>
        </w:rPr>
        <w:lastRenderedPageBreak/>
        <w:t>1. </w:t>
      </w:r>
      <w:proofErr w:type="gramStart"/>
      <w:r>
        <w:rPr>
          <w:sz w:val="24"/>
          <w:szCs w:val="24"/>
        </w:rPr>
        <w:t>order</w:t>
      </w:r>
      <w:proofErr w:type="gramEnd"/>
      <w:r>
        <w:rPr>
          <w:sz w:val="24"/>
          <w:szCs w:val="24"/>
        </w:rPr>
        <w:t xml:space="preserve"> that </w:t>
      </w:r>
      <w:r>
        <w:rPr>
          <w:sz w:val="24"/>
          <w:szCs w:val="24"/>
          <w:lang w:val="pt-BR"/>
        </w:rPr>
        <w:t xml:space="preserve"> the </w:t>
      </w:r>
      <w:r>
        <w:rPr>
          <w:sz w:val="24"/>
          <w:szCs w:val="24"/>
        </w:rPr>
        <w:t xml:space="preserve">plaintiff </w:t>
      </w:r>
      <w:r>
        <w:rPr>
          <w:sz w:val="24"/>
          <w:szCs w:val="24"/>
          <w:lang w:val="pt-BR"/>
        </w:rPr>
        <w:t>Mariana Baltoi </w:t>
      </w:r>
      <w:r>
        <w:rPr>
          <w:sz w:val="24"/>
          <w:szCs w:val="24"/>
          <w:lang w:val="it-IT"/>
        </w:rPr>
        <w:t>allow</w:t>
      </w:r>
      <w:r>
        <w:rPr>
          <w:sz w:val="24"/>
          <w:szCs w:val="24"/>
        </w:rPr>
        <w:t>s</w:t>
      </w:r>
      <w:r>
        <w:rPr>
          <w:sz w:val="24"/>
          <w:szCs w:val="24"/>
          <w:lang w:val="it-IT"/>
        </w:rPr>
        <w:t xml:space="preserve"> Conpet to exercise the right of legal easement established by the provisions of Article 7 et seq. of the Law no. 238/2004 on the land owned. The exercise of the right of legal easement is to be carried out in a of 2.4 meters wide passage located along the pipe carrying oil belonging to the national transport system of petroleum and which is buried on the land of the </w:t>
      </w:r>
      <w:r>
        <w:rPr>
          <w:sz w:val="24"/>
          <w:szCs w:val="24"/>
        </w:rPr>
        <w:t>plaintiff</w:t>
      </w:r>
      <w:r>
        <w:rPr>
          <w:sz w:val="24"/>
          <w:szCs w:val="24"/>
          <w:lang w:val="it-IT"/>
        </w:rPr>
        <w:t xml:space="preserve">, for the purpose of acquiring permanent access to transmission line for the purpose of the day-to-day management of the technical status and the execution of any repair work. The duration of the </w:t>
      </w:r>
      <w:r>
        <w:rPr>
          <w:sz w:val="24"/>
          <w:szCs w:val="24"/>
        </w:rPr>
        <w:t xml:space="preserve">easement is </w:t>
      </w:r>
      <w:r>
        <w:rPr>
          <w:sz w:val="24"/>
          <w:szCs w:val="24"/>
          <w:lang w:val="it-IT"/>
        </w:rPr>
        <w:t>to be the same as the life</w:t>
      </w:r>
      <w:r>
        <w:rPr>
          <w:sz w:val="24"/>
          <w:szCs w:val="24"/>
        </w:rPr>
        <w:t xml:space="preserve"> </w:t>
      </w:r>
      <w:r>
        <w:rPr>
          <w:sz w:val="24"/>
          <w:szCs w:val="24"/>
          <w:lang w:val="it-IT"/>
        </w:rPr>
        <w:t>of the oil transport pipe. We also</w:t>
      </w:r>
      <w:r>
        <w:rPr>
          <w:sz w:val="24"/>
          <w:szCs w:val="24"/>
        </w:rPr>
        <w:t xml:space="preserve"> are</w:t>
      </w:r>
      <w:r>
        <w:rPr>
          <w:sz w:val="24"/>
          <w:szCs w:val="24"/>
          <w:lang w:val="it-IT"/>
        </w:rPr>
        <w:t xml:space="preserve"> to determine the amount of the annual </w:t>
      </w:r>
      <w:r>
        <w:rPr>
          <w:sz w:val="24"/>
          <w:szCs w:val="24"/>
        </w:rPr>
        <w:t xml:space="preserve">rent </w:t>
      </w:r>
      <w:r>
        <w:rPr>
          <w:sz w:val="24"/>
          <w:szCs w:val="24"/>
          <w:lang w:val="it-IT"/>
        </w:rPr>
        <w:t xml:space="preserve">provided for by law due to a new </w:t>
      </w:r>
      <w:r>
        <w:rPr>
          <w:sz w:val="24"/>
          <w:szCs w:val="24"/>
        </w:rPr>
        <w:t>plaintiff</w:t>
      </w:r>
      <w:r>
        <w:rPr>
          <w:sz w:val="24"/>
          <w:szCs w:val="24"/>
          <w:lang w:val="it-IT"/>
        </w:rPr>
        <w:t xml:space="preserve"> in exchange for the exercise of the right of legal easement thus established.</w:t>
      </w:r>
    </w:p>
    <w:p w:rsidR="00452793" w:rsidRDefault="00452793" w:rsidP="00452793">
      <w:pPr>
        <w:jc w:val="both"/>
        <w:rPr>
          <w:sz w:val="24"/>
          <w:szCs w:val="24"/>
          <w:lang w:val="it-IT"/>
        </w:rPr>
      </w:pPr>
      <w:r>
        <w:rPr>
          <w:sz w:val="24"/>
          <w:szCs w:val="24"/>
          <w:lang w:val="it-IT"/>
        </w:rPr>
        <w:t xml:space="preserve">2. The establishment of a right of </w:t>
      </w:r>
      <w:r>
        <w:rPr>
          <w:sz w:val="24"/>
          <w:szCs w:val="24"/>
        </w:rPr>
        <w:t xml:space="preserve">easement </w:t>
      </w:r>
      <w:r>
        <w:rPr>
          <w:sz w:val="24"/>
          <w:szCs w:val="24"/>
          <w:lang w:val="it-IT"/>
        </w:rPr>
        <w:t xml:space="preserve">on the land of the </w:t>
      </w:r>
      <w:r>
        <w:rPr>
          <w:sz w:val="24"/>
          <w:szCs w:val="24"/>
        </w:rPr>
        <w:t>plaintiff</w:t>
      </w:r>
      <w:r>
        <w:rPr>
          <w:sz w:val="24"/>
          <w:szCs w:val="24"/>
          <w:lang w:val="it-IT"/>
        </w:rPr>
        <w:t xml:space="preserve">, consisting of the right </w:t>
      </w:r>
      <w:r>
        <w:rPr>
          <w:sz w:val="24"/>
          <w:szCs w:val="24"/>
        </w:rPr>
        <w:t xml:space="preserve">to </w:t>
      </w:r>
      <w:r>
        <w:rPr>
          <w:sz w:val="24"/>
          <w:szCs w:val="24"/>
          <w:lang w:val="it-IT"/>
        </w:rPr>
        <w:t>use the areas of land on which installations and equipment belonging to the national transport system of oil</w:t>
      </w:r>
      <w:r>
        <w:rPr>
          <w:sz w:val="24"/>
          <w:szCs w:val="24"/>
        </w:rPr>
        <w:t xml:space="preserve"> </w:t>
      </w:r>
      <w:r>
        <w:rPr>
          <w:sz w:val="24"/>
          <w:szCs w:val="24"/>
          <w:lang w:val="it-IT"/>
        </w:rPr>
        <w:t xml:space="preserve">are located at the soil surface. The duration of the </w:t>
      </w:r>
      <w:r>
        <w:rPr>
          <w:sz w:val="24"/>
          <w:szCs w:val="24"/>
        </w:rPr>
        <w:t xml:space="preserve">easement is </w:t>
      </w:r>
      <w:r>
        <w:rPr>
          <w:sz w:val="24"/>
          <w:szCs w:val="24"/>
          <w:lang w:val="it-IT"/>
        </w:rPr>
        <w:t>to be the same as the life</w:t>
      </w:r>
      <w:r>
        <w:rPr>
          <w:sz w:val="24"/>
          <w:szCs w:val="24"/>
        </w:rPr>
        <w:t xml:space="preserve"> </w:t>
      </w:r>
      <w:r>
        <w:rPr>
          <w:sz w:val="24"/>
          <w:szCs w:val="24"/>
          <w:lang w:val="it-IT"/>
        </w:rPr>
        <w:t>of the equipment and installations concerned. It was requested at the same</w:t>
      </w:r>
      <w:r>
        <w:rPr>
          <w:sz w:val="24"/>
          <w:szCs w:val="24"/>
        </w:rPr>
        <w:t xml:space="preserve"> time</w:t>
      </w:r>
      <w:r>
        <w:rPr>
          <w:sz w:val="24"/>
          <w:szCs w:val="24"/>
          <w:lang w:val="it-IT"/>
        </w:rPr>
        <w:t xml:space="preserve"> the determination of the sum to be paid </w:t>
      </w:r>
      <w:r>
        <w:rPr>
          <w:sz w:val="24"/>
          <w:szCs w:val="24"/>
        </w:rPr>
        <w:t xml:space="preserve">for </w:t>
      </w:r>
      <w:r>
        <w:rPr>
          <w:sz w:val="24"/>
          <w:szCs w:val="24"/>
          <w:lang w:val="it-IT"/>
        </w:rPr>
        <w:t>the use of the land on which escaped is hereby established. </w:t>
      </w:r>
    </w:p>
    <w:p w:rsidR="00452793" w:rsidRDefault="00452793" w:rsidP="00452793">
      <w:pPr>
        <w:jc w:val="both"/>
        <w:rPr>
          <w:sz w:val="24"/>
          <w:szCs w:val="24"/>
          <w:lang w:val="it-IT"/>
        </w:rPr>
      </w:pPr>
      <w:r>
        <w:rPr>
          <w:sz w:val="24"/>
          <w:szCs w:val="24"/>
          <w:lang w:val="it-IT"/>
        </w:rPr>
        <w:tab/>
      </w:r>
      <w:r>
        <w:rPr>
          <w:b/>
          <w:sz w:val="24"/>
          <w:szCs w:val="24"/>
        </w:rPr>
        <w:t>Clarifications</w:t>
      </w:r>
      <w:r>
        <w:rPr>
          <w:b/>
          <w:sz w:val="24"/>
          <w:szCs w:val="24"/>
          <w:lang w:val="it-IT"/>
        </w:rPr>
        <w:t>:</w:t>
      </w:r>
      <w:r>
        <w:rPr>
          <w:sz w:val="24"/>
          <w:szCs w:val="24"/>
          <w:lang w:val="it-IT"/>
        </w:rPr>
        <w:t> Through the </w:t>
      </w:r>
      <w:r>
        <w:rPr>
          <w:b/>
          <w:sz w:val="24"/>
          <w:szCs w:val="24"/>
        </w:rPr>
        <w:t>order</w:t>
      </w:r>
      <w:r>
        <w:rPr>
          <w:b/>
          <w:sz w:val="24"/>
          <w:szCs w:val="24"/>
          <w:lang w:val="it-IT"/>
        </w:rPr>
        <w:t xml:space="preserve"> no. </w:t>
      </w:r>
      <w:proofErr w:type="gramStart"/>
      <w:r>
        <w:rPr>
          <w:b/>
          <w:sz w:val="24"/>
          <w:szCs w:val="24"/>
          <w:lang w:val="it-IT"/>
        </w:rPr>
        <w:t>128/20.01.2016</w:t>
      </w:r>
      <w:proofErr w:type="gramEnd"/>
      <w:r>
        <w:rPr>
          <w:sz w:val="24"/>
          <w:szCs w:val="24"/>
          <w:lang w:val="it-IT"/>
        </w:rPr>
        <w:t xml:space="preserve"> Targu Carbunesti District Court rejected the exception </w:t>
      </w:r>
      <w:r>
        <w:rPr>
          <w:sz w:val="24"/>
          <w:szCs w:val="24"/>
        </w:rPr>
        <w:t xml:space="preserve">lack of law liabilities </w:t>
      </w:r>
      <w:r>
        <w:rPr>
          <w:sz w:val="24"/>
          <w:szCs w:val="24"/>
          <w:lang w:val="it-IT"/>
        </w:rPr>
        <w:t xml:space="preserve">of the </w:t>
      </w:r>
      <w:r>
        <w:rPr>
          <w:sz w:val="24"/>
          <w:szCs w:val="24"/>
        </w:rPr>
        <w:t>plaintiff</w:t>
      </w:r>
      <w:r>
        <w:rPr>
          <w:sz w:val="24"/>
          <w:szCs w:val="24"/>
          <w:lang w:val="it-IT"/>
        </w:rPr>
        <w:t xml:space="preserve">, invoked by the defendant. </w:t>
      </w:r>
      <w:r>
        <w:rPr>
          <w:sz w:val="24"/>
          <w:szCs w:val="24"/>
        </w:rPr>
        <w:t>It a</w:t>
      </w:r>
      <w:r>
        <w:rPr>
          <w:sz w:val="24"/>
          <w:szCs w:val="24"/>
          <w:lang w:val="it-IT"/>
        </w:rPr>
        <w:t>llow</w:t>
      </w:r>
      <w:r>
        <w:rPr>
          <w:sz w:val="24"/>
          <w:szCs w:val="24"/>
        </w:rPr>
        <w:t>ed</w:t>
      </w:r>
      <w:r>
        <w:rPr>
          <w:sz w:val="24"/>
          <w:szCs w:val="24"/>
          <w:lang w:val="it-IT"/>
        </w:rPr>
        <w:t xml:space="preserve"> part of the specified</w:t>
      </w:r>
      <w:r>
        <w:rPr>
          <w:sz w:val="24"/>
          <w:szCs w:val="24"/>
        </w:rPr>
        <w:t xml:space="preserve"> </w:t>
      </w:r>
      <w:r>
        <w:rPr>
          <w:sz w:val="24"/>
          <w:szCs w:val="24"/>
          <w:lang w:val="it-IT"/>
        </w:rPr>
        <w:t>action</w:t>
      </w:r>
      <w:r>
        <w:rPr>
          <w:sz w:val="24"/>
          <w:szCs w:val="24"/>
        </w:rPr>
        <w:t>.</w:t>
      </w:r>
      <w:r>
        <w:rPr>
          <w:sz w:val="24"/>
          <w:szCs w:val="24"/>
          <w:lang w:val="it-IT"/>
        </w:rPr>
        <w:t xml:space="preserve"> </w:t>
      </w:r>
      <w:r>
        <w:rPr>
          <w:sz w:val="24"/>
          <w:szCs w:val="24"/>
        </w:rPr>
        <w:t>It a</w:t>
      </w:r>
      <w:r>
        <w:rPr>
          <w:sz w:val="24"/>
          <w:szCs w:val="24"/>
          <w:lang w:val="it-IT"/>
        </w:rPr>
        <w:t>llow the counterclaim. The defendant -</w:t>
      </w:r>
      <w:r>
        <w:rPr>
          <w:sz w:val="24"/>
          <w:szCs w:val="24"/>
        </w:rPr>
        <w:t xml:space="preserve">counterclaim orders </w:t>
      </w:r>
      <w:r>
        <w:rPr>
          <w:sz w:val="24"/>
          <w:szCs w:val="24"/>
          <w:lang w:val="it-IT"/>
        </w:rPr>
        <w:t xml:space="preserve">the </w:t>
      </w:r>
      <w:r>
        <w:rPr>
          <w:sz w:val="24"/>
          <w:szCs w:val="24"/>
        </w:rPr>
        <w:t>plaintiff</w:t>
      </w:r>
      <w:r>
        <w:rPr>
          <w:sz w:val="24"/>
          <w:szCs w:val="24"/>
          <w:lang w:val="it-IT"/>
        </w:rPr>
        <w:t xml:space="preserve"> to pay the </w:t>
      </w:r>
      <w:r>
        <w:rPr>
          <w:sz w:val="24"/>
          <w:szCs w:val="24"/>
        </w:rPr>
        <w:t>plaintiff</w:t>
      </w:r>
      <w:r>
        <w:rPr>
          <w:sz w:val="24"/>
          <w:szCs w:val="24"/>
          <w:lang w:val="it-IT"/>
        </w:rPr>
        <w:t xml:space="preserve"> and the defendant </w:t>
      </w:r>
      <w:r>
        <w:rPr>
          <w:sz w:val="24"/>
          <w:szCs w:val="24"/>
        </w:rPr>
        <w:t xml:space="preserve">counterclaim </w:t>
      </w:r>
      <w:r>
        <w:rPr>
          <w:sz w:val="24"/>
          <w:szCs w:val="24"/>
          <w:lang w:val="it-IT"/>
        </w:rPr>
        <w:t xml:space="preserve">the amount of </w:t>
      </w:r>
      <w:r>
        <w:rPr>
          <w:sz w:val="24"/>
          <w:szCs w:val="24"/>
        </w:rPr>
        <w:t xml:space="preserve">RON </w:t>
      </w:r>
      <w:r>
        <w:rPr>
          <w:sz w:val="24"/>
          <w:szCs w:val="24"/>
          <w:lang w:val="it-IT"/>
        </w:rPr>
        <w:t xml:space="preserve">184,25 civil damages representing the </w:t>
      </w:r>
      <w:r>
        <w:rPr>
          <w:sz w:val="24"/>
          <w:szCs w:val="24"/>
        </w:rPr>
        <w:t xml:space="preserve">consideration </w:t>
      </w:r>
      <w:r>
        <w:rPr>
          <w:sz w:val="24"/>
          <w:szCs w:val="24"/>
          <w:lang w:val="it-IT"/>
        </w:rPr>
        <w:t xml:space="preserve"> of lack of land use relating to the area of 268 </w:t>
      </w:r>
      <w:r>
        <w:rPr>
          <w:sz w:val="24"/>
          <w:szCs w:val="24"/>
        </w:rPr>
        <w:t>sq</w:t>
      </w:r>
      <w:r>
        <w:rPr>
          <w:sz w:val="24"/>
          <w:szCs w:val="24"/>
          <w:lang w:val="it-IT"/>
        </w:rPr>
        <w:t xml:space="preserve">m, for the years 2011, 2012, 2013. Established in favor of the defendant-appellant </w:t>
      </w:r>
      <w:r>
        <w:rPr>
          <w:sz w:val="24"/>
          <w:szCs w:val="24"/>
        </w:rPr>
        <w:t xml:space="preserve">counterclaim </w:t>
      </w:r>
      <w:r>
        <w:rPr>
          <w:sz w:val="24"/>
          <w:szCs w:val="24"/>
          <w:lang w:val="it-IT"/>
        </w:rPr>
        <w:t xml:space="preserve">a right of </w:t>
      </w:r>
      <w:r>
        <w:rPr>
          <w:sz w:val="24"/>
          <w:szCs w:val="24"/>
        </w:rPr>
        <w:t xml:space="preserve">easement </w:t>
      </w:r>
      <w:r>
        <w:rPr>
          <w:sz w:val="24"/>
          <w:szCs w:val="24"/>
          <w:lang w:val="it-IT"/>
        </w:rPr>
        <w:t xml:space="preserve">on the land of the </w:t>
      </w:r>
      <w:r>
        <w:rPr>
          <w:sz w:val="24"/>
          <w:szCs w:val="24"/>
        </w:rPr>
        <w:t>plaintiff</w:t>
      </w:r>
      <w:r>
        <w:rPr>
          <w:sz w:val="24"/>
          <w:szCs w:val="24"/>
          <w:lang w:val="it-IT"/>
        </w:rPr>
        <w:t xml:space="preserve"> and the defendant </w:t>
      </w:r>
      <w:r>
        <w:rPr>
          <w:sz w:val="24"/>
          <w:szCs w:val="24"/>
        </w:rPr>
        <w:t>counterclaim</w:t>
      </w:r>
      <w:r>
        <w:rPr>
          <w:sz w:val="24"/>
          <w:szCs w:val="24"/>
          <w:lang w:val="it-IT"/>
        </w:rPr>
        <w:t xml:space="preserve">, in the total area of 50 </w:t>
      </w:r>
      <w:r>
        <w:rPr>
          <w:sz w:val="24"/>
          <w:szCs w:val="24"/>
        </w:rPr>
        <w:t>sq</w:t>
      </w:r>
      <w:r>
        <w:rPr>
          <w:sz w:val="24"/>
          <w:szCs w:val="24"/>
          <w:lang w:val="it-IT"/>
        </w:rPr>
        <w:t xml:space="preserve">m , for the duration of the petroleum field operations, delimited by the points 37-38-39-40-46-45-44-43, as identified by the </w:t>
      </w:r>
      <w:r>
        <w:rPr>
          <w:sz w:val="24"/>
          <w:szCs w:val="24"/>
        </w:rPr>
        <w:t>qualified chartered surveyor</w:t>
      </w:r>
      <w:r>
        <w:rPr>
          <w:sz w:val="24"/>
          <w:szCs w:val="24"/>
          <w:lang w:val="it-IT"/>
        </w:rPr>
        <w:t xml:space="preserve"> Pile Constantin, in Annex 1 </w:t>
      </w:r>
      <w:r>
        <w:rPr>
          <w:sz w:val="24"/>
          <w:szCs w:val="24"/>
        </w:rPr>
        <w:t xml:space="preserve">of </w:t>
      </w:r>
      <w:r>
        <w:rPr>
          <w:sz w:val="24"/>
          <w:szCs w:val="24"/>
          <w:lang w:val="it-IT"/>
        </w:rPr>
        <w:t xml:space="preserve">the expert report. The defendant </w:t>
      </w:r>
      <w:r>
        <w:rPr>
          <w:sz w:val="24"/>
          <w:szCs w:val="24"/>
        </w:rPr>
        <w:t xml:space="preserve">counterclaims the </w:t>
      </w:r>
      <w:r>
        <w:rPr>
          <w:sz w:val="24"/>
          <w:szCs w:val="24"/>
          <w:lang w:val="it-IT"/>
        </w:rPr>
        <w:t>oblig</w:t>
      </w:r>
      <w:r>
        <w:rPr>
          <w:sz w:val="24"/>
          <w:szCs w:val="24"/>
        </w:rPr>
        <w:t>ation of</w:t>
      </w:r>
      <w:r>
        <w:rPr>
          <w:sz w:val="24"/>
          <w:szCs w:val="24"/>
          <w:lang w:val="it-IT"/>
        </w:rPr>
        <w:t xml:space="preserve"> the </w:t>
      </w:r>
      <w:r>
        <w:rPr>
          <w:sz w:val="24"/>
          <w:szCs w:val="24"/>
        </w:rPr>
        <w:t>plaintiff</w:t>
      </w:r>
      <w:r>
        <w:rPr>
          <w:sz w:val="24"/>
          <w:szCs w:val="24"/>
          <w:lang w:val="it-IT"/>
        </w:rPr>
        <w:t xml:space="preserve"> to pay</w:t>
      </w:r>
      <w:r>
        <w:rPr>
          <w:sz w:val="24"/>
          <w:szCs w:val="24"/>
        </w:rPr>
        <w:t xml:space="preserve"> </w:t>
      </w:r>
      <w:r>
        <w:rPr>
          <w:sz w:val="24"/>
          <w:szCs w:val="24"/>
          <w:lang w:val="it-IT"/>
        </w:rPr>
        <w:t xml:space="preserve">the defendant the amount of </w:t>
      </w:r>
      <w:r>
        <w:rPr>
          <w:sz w:val="24"/>
          <w:szCs w:val="24"/>
        </w:rPr>
        <w:t xml:space="preserve">RON </w:t>
      </w:r>
      <w:r>
        <w:rPr>
          <w:sz w:val="24"/>
          <w:szCs w:val="24"/>
          <w:lang w:val="it-IT"/>
        </w:rPr>
        <w:t>7</w:t>
      </w:r>
      <w:r>
        <w:rPr>
          <w:sz w:val="24"/>
          <w:szCs w:val="24"/>
        </w:rPr>
        <w:t>/year</w:t>
      </w:r>
      <w:r>
        <w:rPr>
          <w:sz w:val="24"/>
          <w:szCs w:val="24"/>
          <w:lang w:val="it-IT"/>
        </w:rPr>
        <w:t xml:space="preserve">, representing the </w:t>
      </w:r>
      <w:r>
        <w:rPr>
          <w:sz w:val="24"/>
          <w:szCs w:val="24"/>
        </w:rPr>
        <w:t xml:space="preserve">consideration </w:t>
      </w:r>
      <w:r>
        <w:rPr>
          <w:sz w:val="24"/>
          <w:szCs w:val="24"/>
          <w:lang w:val="it-IT"/>
        </w:rPr>
        <w:t xml:space="preserve"> </w:t>
      </w:r>
      <w:r>
        <w:rPr>
          <w:sz w:val="24"/>
          <w:szCs w:val="24"/>
        </w:rPr>
        <w:t>for rent</w:t>
      </w:r>
      <w:r>
        <w:rPr>
          <w:sz w:val="24"/>
          <w:szCs w:val="24"/>
          <w:lang w:val="it-IT"/>
        </w:rPr>
        <w:t xml:space="preserve">, during the period of the existence of </w:t>
      </w:r>
      <w:r>
        <w:rPr>
          <w:sz w:val="24"/>
          <w:szCs w:val="24"/>
        </w:rPr>
        <w:t>easement</w:t>
      </w:r>
      <w:r>
        <w:rPr>
          <w:sz w:val="24"/>
          <w:szCs w:val="24"/>
          <w:lang w:val="it-IT"/>
        </w:rPr>
        <w:t xml:space="preserve">. </w:t>
      </w:r>
      <w:r>
        <w:rPr>
          <w:sz w:val="24"/>
          <w:szCs w:val="24"/>
        </w:rPr>
        <w:t>It c</w:t>
      </w:r>
      <w:r>
        <w:rPr>
          <w:sz w:val="24"/>
          <w:szCs w:val="24"/>
          <w:lang w:val="it-IT"/>
        </w:rPr>
        <w:t xml:space="preserve">ompensates for part of the court costs and </w:t>
      </w:r>
      <w:r>
        <w:rPr>
          <w:sz w:val="24"/>
          <w:szCs w:val="24"/>
        </w:rPr>
        <w:t xml:space="preserve">orders </w:t>
      </w:r>
      <w:r>
        <w:rPr>
          <w:sz w:val="24"/>
          <w:szCs w:val="24"/>
          <w:lang w:val="it-IT"/>
        </w:rPr>
        <w:t xml:space="preserve">the defendant plaintiff </w:t>
      </w:r>
      <w:r>
        <w:rPr>
          <w:sz w:val="24"/>
          <w:szCs w:val="24"/>
        </w:rPr>
        <w:t xml:space="preserve">counterclaim </w:t>
      </w:r>
      <w:r>
        <w:rPr>
          <w:sz w:val="24"/>
          <w:szCs w:val="24"/>
          <w:lang w:val="it-IT"/>
        </w:rPr>
        <w:t xml:space="preserve">the payment by the </w:t>
      </w:r>
      <w:r>
        <w:rPr>
          <w:sz w:val="24"/>
          <w:szCs w:val="24"/>
        </w:rPr>
        <w:t>plaintiff</w:t>
      </w:r>
      <w:r>
        <w:rPr>
          <w:sz w:val="24"/>
          <w:szCs w:val="24"/>
          <w:lang w:val="it-IT"/>
        </w:rPr>
        <w:t xml:space="preserve"> </w:t>
      </w:r>
      <w:r>
        <w:rPr>
          <w:sz w:val="24"/>
          <w:szCs w:val="24"/>
        </w:rPr>
        <w:t xml:space="preserve">to </w:t>
      </w:r>
      <w:r>
        <w:rPr>
          <w:sz w:val="24"/>
          <w:szCs w:val="24"/>
          <w:lang w:val="it-IT"/>
        </w:rPr>
        <w:t xml:space="preserve">the defendant </w:t>
      </w:r>
      <w:r>
        <w:rPr>
          <w:sz w:val="24"/>
          <w:szCs w:val="24"/>
        </w:rPr>
        <w:t xml:space="preserve">of </w:t>
      </w:r>
      <w:r>
        <w:rPr>
          <w:sz w:val="24"/>
          <w:szCs w:val="24"/>
          <w:lang w:val="it-IT"/>
        </w:rPr>
        <w:t xml:space="preserve">the </w:t>
      </w:r>
      <w:r>
        <w:rPr>
          <w:sz w:val="24"/>
          <w:szCs w:val="24"/>
        </w:rPr>
        <w:t xml:space="preserve">counterclaim </w:t>
      </w:r>
      <w:r>
        <w:rPr>
          <w:sz w:val="24"/>
          <w:szCs w:val="24"/>
          <w:lang w:val="it-IT"/>
        </w:rPr>
        <w:t xml:space="preserve">amount of </w:t>
      </w:r>
      <w:r>
        <w:rPr>
          <w:sz w:val="24"/>
          <w:szCs w:val="24"/>
        </w:rPr>
        <w:t xml:space="preserve">RON </w:t>
      </w:r>
      <w:r>
        <w:rPr>
          <w:sz w:val="24"/>
          <w:szCs w:val="24"/>
          <w:lang w:val="it-IT"/>
        </w:rPr>
        <w:t xml:space="preserve">825 representing </w:t>
      </w:r>
      <w:r>
        <w:rPr>
          <w:sz w:val="24"/>
          <w:szCs w:val="24"/>
        </w:rPr>
        <w:t xml:space="preserve">trial </w:t>
      </w:r>
      <w:r>
        <w:rPr>
          <w:sz w:val="24"/>
          <w:szCs w:val="24"/>
          <w:lang w:val="it-IT"/>
        </w:rPr>
        <w:t xml:space="preserve">costs. The </w:t>
      </w:r>
      <w:r>
        <w:rPr>
          <w:sz w:val="24"/>
          <w:szCs w:val="24"/>
        </w:rPr>
        <w:t>sentence</w:t>
      </w:r>
      <w:r>
        <w:rPr>
          <w:sz w:val="24"/>
          <w:szCs w:val="24"/>
          <w:lang w:val="it-IT"/>
        </w:rPr>
        <w:t xml:space="preserve"> has been</w:t>
      </w:r>
      <w:r>
        <w:rPr>
          <w:sz w:val="24"/>
          <w:szCs w:val="24"/>
        </w:rPr>
        <w:t xml:space="preserve"> appealed by</w:t>
      </w:r>
      <w:r>
        <w:rPr>
          <w:sz w:val="24"/>
          <w:szCs w:val="24"/>
          <w:lang w:val="it-IT"/>
        </w:rPr>
        <w:t xml:space="preserve"> Baltoi Mariana.</w:t>
      </w:r>
    </w:p>
    <w:p w:rsidR="00452793" w:rsidRDefault="00452793" w:rsidP="00452793">
      <w:pPr>
        <w:ind w:firstLine="720"/>
        <w:jc w:val="both"/>
        <w:rPr>
          <w:sz w:val="24"/>
          <w:szCs w:val="24"/>
          <w:lang w:val="it-IT"/>
        </w:rPr>
      </w:pPr>
      <w:r>
        <w:rPr>
          <w:sz w:val="24"/>
          <w:szCs w:val="24"/>
        </w:rPr>
        <w:t>By </w:t>
      </w:r>
      <w:r>
        <w:rPr>
          <w:b/>
          <w:sz w:val="24"/>
          <w:szCs w:val="24"/>
        </w:rPr>
        <w:t xml:space="preserve">Decision </w:t>
      </w:r>
      <w:proofErr w:type="gramStart"/>
      <w:r>
        <w:rPr>
          <w:b/>
          <w:sz w:val="24"/>
          <w:szCs w:val="24"/>
        </w:rPr>
        <w:t>No</w:t>
      </w:r>
      <w:proofErr w:type="gramEnd"/>
      <w:r>
        <w:rPr>
          <w:b/>
          <w:sz w:val="24"/>
          <w:szCs w:val="24"/>
        </w:rPr>
        <w:t xml:space="preserve"> 633/15.11.2016</w:t>
      </w:r>
      <w:r>
        <w:rPr>
          <w:sz w:val="24"/>
          <w:szCs w:val="24"/>
        </w:rPr>
        <w:t> Gorj County Court admitted the appeal, canceled the sentence and sent the cause for retrial at the same instance. </w:t>
      </w:r>
    </w:p>
    <w:p w:rsidR="00452793" w:rsidRDefault="00452793" w:rsidP="00452793">
      <w:pPr>
        <w:jc w:val="both"/>
        <w:rPr>
          <w:sz w:val="24"/>
          <w:szCs w:val="24"/>
          <w:lang w:val="it-IT"/>
        </w:rPr>
      </w:pPr>
      <w:r>
        <w:rPr>
          <w:sz w:val="24"/>
          <w:szCs w:val="24"/>
          <w:lang w:val="it-IT"/>
        </w:rPr>
        <w:tab/>
      </w:r>
      <w:r>
        <w:rPr>
          <w:b/>
          <w:sz w:val="24"/>
          <w:szCs w:val="24"/>
          <w:lang w:val="it-IT"/>
        </w:rPr>
        <w:t>Stage</w:t>
      </w:r>
      <w:r>
        <w:rPr>
          <w:b/>
          <w:sz w:val="24"/>
          <w:szCs w:val="24"/>
        </w:rPr>
        <w:t xml:space="preserve"> of trial</w:t>
      </w:r>
      <w:r>
        <w:rPr>
          <w:sz w:val="24"/>
          <w:szCs w:val="24"/>
          <w:lang w:val="it-IT"/>
        </w:rPr>
        <w:t xml:space="preserve">: </w:t>
      </w:r>
      <w:r>
        <w:rPr>
          <w:sz w:val="24"/>
          <w:szCs w:val="24"/>
        </w:rPr>
        <w:t>First Instance</w:t>
      </w:r>
      <w:r>
        <w:rPr>
          <w:sz w:val="24"/>
          <w:szCs w:val="24"/>
          <w:lang w:val="it-IT"/>
        </w:rPr>
        <w:t xml:space="preserve"> - retr</w:t>
      </w:r>
      <w:r>
        <w:rPr>
          <w:sz w:val="24"/>
          <w:szCs w:val="24"/>
        </w:rPr>
        <w:t>ial</w:t>
      </w:r>
    </w:p>
    <w:p w:rsidR="00452793" w:rsidRDefault="00452793" w:rsidP="00452793">
      <w:pPr>
        <w:jc w:val="both"/>
        <w:rPr>
          <w:sz w:val="24"/>
          <w:szCs w:val="24"/>
          <w:lang w:val="it-IT"/>
        </w:rPr>
      </w:pPr>
      <w:r>
        <w:rPr>
          <w:sz w:val="24"/>
          <w:szCs w:val="24"/>
          <w:lang w:val="it-IT"/>
        </w:rPr>
        <w:tab/>
      </w:r>
      <w:r>
        <w:rPr>
          <w:sz w:val="24"/>
          <w:szCs w:val="24"/>
        </w:rPr>
        <w:t xml:space="preserve">Hearing: </w:t>
      </w:r>
      <w:proofErr w:type="gramStart"/>
      <w:r>
        <w:rPr>
          <w:sz w:val="24"/>
          <w:szCs w:val="24"/>
          <w:lang w:val="it-IT"/>
        </w:rPr>
        <w:t>18</w:t>
      </w:r>
      <w:r>
        <w:rPr>
          <w:sz w:val="24"/>
          <w:szCs w:val="24"/>
          <w:vertAlign w:val="superscript"/>
        </w:rPr>
        <w:t>th</w:t>
      </w:r>
      <w:proofErr w:type="gramEnd"/>
      <w:r>
        <w:rPr>
          <w:sz w:val="24"/>
          <w:szCs w:val="24"/>
        </w:rPr>
        <w:t xml:space="preserve"> Sept </w:t>
      </w:r>
      <w:r>
        <w:rPr>
          <w:sz w:val="24"/>
          <w:szCs w:val="24"/>
          <w:lang w:val="it-IT"/>
        </w:rPr>
        <w:t xml:space="preserve">2018 </w:t>
      </w:r>
    </w:p>
    <w:p w:rsidR="00452793" w:rsidRDefault="00452793" w:rsidP="00452793">
      <w:pPr>
        <w:jc w:val="both"/>
        <w:rPr>
          <w:sz w:val="24"/>
          <w:szCs w:val="24"/>
        </w:rPr>
      </w:pPr>
    </w:p>
    <w:p w:rsidR="00452793" w:rsidRDefault="00452793" w:rsidP="00452793">
      <w:pPr>
        <w:ind w:firstLine="720"/>
        <w:jc w:val="both"/>
        <w:rPr>
          <w:b/>
          <w:sz w:val="24"/>
          <w:szCs w:val="24"/>
          <w:lang w:val="it-IT"/>
        </w:rPr>
      </w:pPr>
      <w:r>
        <w:rPr>
          <w:b/>
          <w:sz w:val="24"/>
          <w:szCs w:val="24"/>
          <w:lang w:val="it-IT"/>
        </w:rPr>
        <w:t>3. The file no. 8425/281/2015 - Ploiesti</w:t>
      </w:r>
      <w:r>
        <w:rPr>
          <w:b/>
          <w:sz w:val="24"/>
          <w:szCs w:val="24"/>
        </w:rPr>
        <w:t xml:space="preserve"> </w:t>
      </w:r>
      <w:r>
        <w:rPr>
          <w:b/>
          <w:sz w:val="24"/>
          <w:szCs w:val="24"/>
          <w:lang w:val="it-IT"/>
        </w:rPr>
        <w:t>Court . </w:t>
      </w:r>
    </w:p>
    <w:p w:rsidR="00452793" w:rsidRDefault="00452793" w:rsidP="00452793">
      <w:pPr>
        <w:ind w:firstLine="720"/>
        <w:jc w:val="both"/>
        <w:rPr>
          <w:sz w:val="24"/>
          <w:szCs w:val="24"/>
          <w:lang w:val="it-IT"/>
        </w:rPr>
      </w:pPr>
      <w:r>
        <w:rPr>
          <w:b/>
          <w:sz w:val="24"/>
          <w:szCs w:val="24"/>
          <w:lang w:val="it-IT"/>
        </w:rPr>
        <w:t>The parties</w:t>
      </w:r>
      <w:r>
        <w:rPr>
          <w:sz w:val="24"/>
          <w:szCs w:val="24"/>
          <w:lang w:val="it-IT"/>
        </w:rPr>
        <w:t> : Conpet--</w:t>
      </w:r>
      <w:r>
        <w:rPr>
          <w:sz w:val="24"/>
          <w:szCs w:val="24"/>
        </w:rPr>
        <w:t>counterclaimer- defendant</w:t>
      </w:r>
    </w:p>
    <w:p w:rsidR="00452793" w:rsidRDefault="00452793" w:rsidP="00452793">
      <w:pPr>
        <w:jc w:val="both"/>
        <w:rPr>
          <w:sz w:val="24"/>
          <w:szCs w:val="24"/>
          <w:lang w:val="it-IT"/>
        </w:rPr>
      </w:pPr>
      <w:r>
        <w:rPr>
          <w:sz w:val="24"/>
          <w:szCs w:val="24"/>
          <w:lang w:val="it-IT"/>
        </w:rPr>
        <w:t xml:space="preserve">                  Panaitescu Mircea - </w:t>
      </w:r>
      <w:r>
        <w:rPr>
          <w:sz w:val="24"/>
          <w:szCs w:val="24"/>
        </w:rPr>
        <w:t xml:space="preserve">complainant </w:t>
      </w:r>
      <w:r>
        <w:rPr>
          <w:sz w:val="24"/>
          <w:szCs w:val="24"/>
          <w:lang w:val="it-IT"/>
        </w:rPr>
        <w:t xml:space="preserve">to the </w:t>
      </w:r>
      <w:r>
        <w:rPr>
          <w:sz w:val="24"/>
          <w:szCs w:val="24"/>
        </w:rPr>
        <w:t>defendant</w:t>
      </w:r>
    </w:p>
    <w:p w:rsidR="00452793" w:rsidRDefault="00452793" w:rsidP="00452793">
      <w:pPr>
        <w:ind w:firstLine="720"/>
        <w:jc w:val="both"/>
        <w:rPr>
          <w:sz w:val="24"/>
          <w:szCs w:val="24"/>
          <w:lang w:val="it-IT"/>
        </w:rPr>
      </w:pPr>
      <w:r>
        <w:rPr>
          <w:b/>
          <w:sz w:val="24"/>
          <w:szCs w:val="24"/>
          <w:lang w:val="it-IT"/>
        </w:rPr>
        <w:t>Subject:</w:t>
      </w:r>
      <w:r>
        <w:rPr>
          <w:sz w:val="24"/>
          <w:szCs w:val="24"/>
          <w:lang w:val="it-IT"/>
        </w:rPr>
        <w:t> </w:t>
      </w:r>
      <w:r>
        <w:rPr>
          <w:sz w:val="24"/>
          <w:szCs w:val="24"/>
        </w:rPr>
        <w:t>Claims</w:t>
      </w:r>
      <w:r>
        <w:rPr>
          <w:sz w:val="24"/>
          <w:szCs w:val="24"/>
          <w:lang w:val="it-IT"/>
        </w:rPr>
        <w:t xml:space="preserve">. Panaitescu Mircea </w:t>
      </w:r>
      <w:r>
        <w:rPr>
          <w:sz w:val="24"/>
          <w:szCs w:val="24"/>
        </w:rPr>
        <w:t>files a trial</w:t>
      </w:r>
      <w:r>
        <w:rPr>
          <w:sz w:val="24"/>
          <w:szCs w:val="24"/>
          <w:lang w:val="it-IT"/>
        </w:rPr>
        <w:t xml:space="preserve"> requiring the obligation of Conpet to the payment of the amount of </w:t>
      </w:r>
      <w:r>
        <w:rPr>
          <w:sz w:val="24"/>
          <w:szCs w:val="24"/>
        </w:rPr>
        <w:t xml:space="preserve">RON </w:t>
      </w:r>
      <w:r>
        <w:rPr>
          <w:sz w:val="24"/>
          <w:szCs w:val="24"/>
          <w:lang w:val="it-IT"/>
        </w:rPr>
        <w:t xml:space="preserve">5,000 </w:t>
      </w:r>
      <w:r>
        <w:rPr>
          <w:sz w:val="24"/>
          <w:szCs w:val="24"/>
        </w:rPr>
        <w:t xml:space="preserve">for </w:t>
      </w:r>
      <w:r>
        <w:rPr>
          <w:sz w:val="24"/>
          <w:szCs w:val="24"/>
          <w:lang w:val="it-IT"/>
        </w:rPr>
        <w:t xml:space="preserve">lack of use and annual production of </w:t>
      </w:r>
      <w:r>
        <w:rPr>
          <w:sz w:val="24"/>
          <w:szCs w:val="24"/>
        </w:rPr>
        <w:t xml:space="preserve">RON </w:t>
      </w:r>
      <w:r>
        <w:rPr>
          <w:sz w:val="24"/>
          <w:szCs w:val="24"/>
          <w:lang w:val="it-IT"/>
        </w:rPr>
        <w:t>12,000. Conpet has made a counterclaim which requested the establishment of legal easement and the determination of the annual rent</w:t>
      </w:r>
      <w:r>
        <w:rPr>
          <w:sz w:val="24"/>
          <w:szCs w:val="24"/>
        </w:rPr>
        <w:t>.</w:t>
      </w:r>
    </w:p>
    <w:p w:rsidR="00452793" w:rsidRDefault="00452793" w:rsidP="00452793">
      <w:pPr>
        <w:ind w:firstLine="720"/>
        <w:jc w:val="both"/>
        <w:rPr>
          <w:sz w:val="24"/>
          <w:szCs w:val="24"/>
        </w:rPr>
      </w:pPr>
      <w:r>
        <w:rPr>
          <w:b/>
          <w:sz w:val="24"/>
          <w:szCs w:val="24"/>
          <w:lang w:val="it-IT"/>
        </w:rPr>
        <w:t>Details:</w:t>
      </w:r>
      <w:r>
        <w:rPr>
          <w:sz w:val="24"/>
          <w:szCs w:val="24"/>
          <w:lang w:val="ro-RO"/>
        </w:rPr>
        <w:t> </w:t>
      </w:r>
      <w:r>
        <w:rPr>
          <w:sz w:val="24"/>
          <w:szCs w:val="24"/>
        </w:rPr>
        <w:t xml:space="preserve">By </w:t>
      </w:r>
      <w:r>
        <w:rPr>
          <w:sz w:val="24"/>
          <w:szCs w:val="24"/>
          <w:lang w:val="ro-RO"/>
        </w:rPr>
        <w:t>the </w:t>
      </w:r>
      <w:r>
        <w:rPr>
          <w:b/>
          <w:sz w:val="24"/>
          <w:szCs w:val="24"/>
        </w:rPr>
        <w:t>order</w:t>
      </w:r>
      <w:r>
        <w:rPr>
          <w:b/>
          <w:sz w:val="24"/>
          <w:szCs w:val="24"/>
          <w:lang w:val="ro-RO"/>
        </w:rPr>
        <w:t xml:space="preserve"> no. </w:t>
      </w:r>
      <w:r>
        <w:rPr>
          <w:b/>
          <w:sz w:val="24"/>
          <w:szCs w:val="24"/>
        </w:rPr>
        <w:t>5772/29.06.2018</w:t>
      </w:r>
      <w:r>
        <w:rPr>
          <w:sz w:val="24"/>
          <w:szCs w:val="24"/>
        </w:rPr>
        <w:t xml:space="preserve"> the Ploiesti Court admitted the matter in court. Admission to the part of the counterclaim. Ordered the defendant to pay an annual rent of an amount equal to RON 58,89 (79,66 kg STAS wheat) for the exercising by the defendant of the right to legal easement, for an area of land of 461 sqm corresponding to the swath width of 2.5 m, from the date of the introduction of the action. It forces the defendant to pay the court costs </w:t>
      </w:r>
      <w:proofErr w:type="gramStart"/>
      <w:r>
        <w:rPr>
          <w:sz w:val="24"/>
          <w:szCs w:val="24"/>
        </w:rPr>
        <w:t>in the amount of</w:t>
      </w:r>
      <w:proofErr w:type="gramEnd"/>
      <w:r>
        <w:rPr>
          <w:sz w:val="24"/>
          <w:szCs w:val="24"/>
        </w:rPr>
        <w:t xml:space="preserve"> RON 20 </w:t>
      </w:r>
      <w:r>
        <w:rPr>
          <w:sz w:val="24"/>
          <w:szCs w:val="24"/>
        </w:rPr>
        <w:lastRenderedPageBreak/>
        <w:t xml:space="preserve">representing the judicial stamp fee corresponding to the end of the application range, RON 600 representing agriculture and the expertise of the specialty fee RON 600 reduced attorney fee. With legal costs on a separate path for the defendant. The sentence </w:t>
      </w:r>
      <w:proofErr w:type="gramStart"/>
      <w:r>
        <w:rPr>
          <w:sz w:val="24"/>
          <w:szCs w:val="24"/>
        </w:rPr>
        <w:t>can be appealed</w:t>
      </w:r>
      <w:proofErr w:type="gramEnd"/>
      <w:r>
        <w:rPr>
          <w:sz w:val="24"/>
          <w:szCs w:val="24"/>
        </w:rPr>
        <w:t xml:space="preserve"> after communication. </w:t>
      </w:r>
    </w:p>
    <w:p w:rsidR="00452793" w:rsidRDefault="00452793" w:rsidP="00452793">
      <w:pPr>
        <w:ind w:firstLine="720"/>
        <w:jc w:val="both"/>
        <w:rPr>
          <w:sz w:val="24"/>
          <w:szCs w:val="24"/>
          <w:lang w:val="it-IT"/>
        </w:rPr>
      </w:pPr>
      <w:r>
        <w:rPr>
          <w:b/>
          <w:sz w:val="24"/>
          <w:szCs w:val="24"/>
          <w:lang w:val="it-IT"/>
        </w:rPr>
        <w:t>Stage</w:t>
      </w:r>
      <w:r>
        <w:rPr>
          <w:b/>
          <w:sz w:val="24"/>
          <w:szCs w:val="24"/>
        </w:rPr>
        <w:t xml:space="preserve"> of trial</w:t>
      </w:r>
      <w:r>
        <w:rPr>
          <w:b/>
          <w:sz w:val="24"/>
          <w:szCs w:val="24"/>
          <w:lang w:val="it-IT"/>
        </w:rPr>
        <w:t>:</w:t>
      </w:r>
      <w:r>
        <w:rPr>
          <w:sz w:val="24"/>
          <w:szCs w:val="24"/>
          <w:lang w:val="it-IT"/>
        </w:rPr>
        <w:t> --</w:t>
      </w:r>
    </w:p>
    <w:p w:rsidR="00452793" w:rsidRDefault="00452793" w:rsidP="00452793">
      <w:pPr>
        <w:ind w:firstLine="720"/>
        <w:jc w:val="both"/>
        <w:rPr>
          <w:sz w:val="24"/>
          <w:szCs w:val="24"/>
          <w:lang w:val="it-IT"/>
        </w:rPr>
      </w:pPr>
      <w:r>
        <w:rPr>
          <w:b/>
          <w:sz w:val="24"/>
          <w:szCs w:val="24"/>
        </w:rPr>
        <w:t>Hearing</w:t>
      </w:r>
      <w:r>
        <w:rPr>
          <w:b/>
          <w:sz w:val="24"/>
          <w:szCs w:val="24"/>
          <w:lang w:val="it-IT"/>
        </w:rPr>
        <w:t>: </w:t>
      </w:r>
      <w:r>
        <w:rPr>
          <w:sz w:val="24"/>
          <w:szCs w:val="24"/>
          <w:lang w:val="it-IT"/>
        </w:rPr>
        <w:t>--</w:t>
      </w:r>
    </w:p>
    <w:p w:rsidR="00452793" w:rsidRDefault="00452793" w:rsidP="00452793">
      <w:pPr>
        <w:ind w:firstLine="720"/>
        <w:jc w:val="both"/>
        <w:rPr>
          <w:sz w:val="24"/>
          <w:szCs w:val="24"/>
          <w:lang w:val="it-IT"/>
        </w:rPr>
      </w:pPr>
    </w:p>
    <w:p w:rsidR="00452793" w:rsidRDefault="00452793" w:rsidP="00452793">
      <w:pPr>
        <w:ind w:firstLine="720"/>
        <w:jc w:val="both"/>
        <w:rPr>
          <w:sz w:val="24"/>
          <w:szCs w:val="24"/>
          <w:lang w:val="it-IT"/>
        </w:rPr>
      </w:pPr>
    </w:p>
    <w:p w:rsidR="00452793" w:rsidRDefault="00452793" w:rsidP="00452793">
      <w:pPr>
        <w:ind w:firstLine="720"/>
        <w:jc w:val="both"/>
        <w:rPr>
          <w:b/>
          <w:sz w:val="24"/>
          <w:szCs w:val="24"/>
        </w:rPr>
      </w:pPr>
      <w:r>
        <w:rPr>
          <w:b/>
          <w:sz w:val="24"/>
          <w:szCs w:val="24"/>
          <w:lang w:val="it-IT"/>
        </w:rPr>
        <w:t xml:space="preserve">4. </w:t>
      </w:r>
      <w:r>
        <w:rPr>
          <w:b/>
          <w:sz w:val="24"/>
          <w:szCs w:val="24"/>
        </w:rPr>
        <w:t>F</w:t>
      </w:r>
      <w:r>
        <w:rPr>
          <w:b/>
          <w:sz w:val="24"/>
          <w:szCs w:val="24"/>
          <w:lang w:val="it-IT"/>
        </w:rPr>
        <w:t>ile no. 1372/212/2017 - Constanta Court </w:t>
      </w:r>
    </w:p>
    <w:p w:rsidR="00452793" w:rsidRDefault="00452793" w:rsidP="00452793">
      <w:pPr>
        <w:ind w:firstLine="720"/>
        <w:jc w:val="both"/>
        <w:rPr>
          <w:sz w:val="24"/>
          <w:szCs w:val="24"/>
        </w:rPr>
      </w:pPr>
      <w:r>
        <w:rPr>
          <w:b/>
          <w:sz w:val="24"/>
          <w:szCs w:val="24"/>
        </w:rPr>
        <w:t>The parties:</w:t>
      </w:r>
      <w:r>
        <w:rPr>
          <w:sz w:val="24"/>
          <w:szCs w:val="24"/>
        </w:rPr>
        <w:t> Conpet - defendant-counterclaimer</w:t>
      </w:r>
    </w:p>
    <w:p w:rsidR="00452793" w:rsidRDefault="00452793" w:rsidP="00452793">
      <w:pPr>
        <w:jc w:val="both"/>
        <w:rPr>
          <w:sz w:val="24"/>
          <w:szCs w:val="24"/>
        </w:rPr>
      </w:pPr>
      <w:r>
        <w:rPr>
          <w:sz w:val="24"/>
          <w:szCs w:val="24"/>
        </w:rPr>
        <w:t>                 Cruceanu Alin Florinel - the plaintiff and the defendant</w:t>
      </w:r>
    </w:p>
    <w:p w:rsidR="00452793" w:rsidRDefault="00452793" w:rsidP="00452793">
      <w:pPr>
        <w:jc w:val="both"/>
        <w:rPr>
          <w:sz w:val="24"/>
          <w:szCs w:val="24"/>
        </w:rPr>
      </w:pPr>
      <w:r>
        <w:rPr>
          <w:sz w:val="24"/>
          <w:szCs w:val="24"/>
        </w:rPr>
        <w:t> </w:t>
      </w:r>
      <w:r>
        <w:rPr>
          <w:sz w:val="24"/>
          <w:szCs w:val="24"/>
        </w:rPr>
        <w:tab/>
      </w:r>
      <w:r>
        <w:rPr>
          <w:b/>
          <w:sz w:val="24"/>
          <w:szCs w:val="24"/>
        </w:rPr>
        <w:t>Subject:</w:t>
      </w:r>
      <w:r>
        <w:rPr>
          <w:sz w:val="24"/>
          <w:szCs w:val="24"/>
        </w:rPr>
        <w:t> Cruceanu Alin Florinel filed a trial asking the court to have:</w:t>
      </w:r>
    </w:p>
    <w:p w:rsidR="00452793" w:rsidRDefault="00452793" w:rsidP="00452793">
      <w:pPr>
        <w:ind w:firstLine="720"/>
        <w:jc w:val="both"/>
        <w:rPr>
          <w:sz w:val="24"/>
          <w:szCs w:val="24"/>
        </w:rPr>
      </w:pPr>
      <w:proofErr w:type="gramStart"/>
      <w:r>
        <w:rPr>
          <w:sz w:val="24"/>
          <w:szCs w:val="24"/>
        </w:rPr>
        <w:t>- The obligation of Conpet to pay compensation equal to the value of the market for building land in the area of 460 sqm located at no. 29, Luceafarului street, Lazu comune, Constanta county and an area of 460 mp building land located at no. 31 Luceafarului Street, Lazu comune, Constanta county, the price is estimated at the sum of 30,000 euros, the equivalent of RON 134.700;</w:t>
      </w:r>
      <w:proofErr w:type="gramEnd"/>
    </w:p>
    <w:p w:rsidR="00452793" w:rsidRDefault="00452793" w:rsidP="00452793">
      <w:pPr>
        <w:ind w:firstLine="720"/>
        <w:jc w:val="both"/>
        <w:rPr>
          <w:sz w:val="24"/>
          <w:szCs w:val="24"/>
        </w:rPr>
      </w:pPr>
      <w:r>
        <w:rPr>
          <w:sz w:val="24"/>
          <w:szCs w:val="24"/>
        </w:rPr>
        <w:t>- The obligation for Conpet to pay the sum for lack of use of land in the form of an annual rent over the last three years;</w:t>
      </w:r>
    </w:p>
    <w:p w:rsidR="00452793" w:rsidRDefault="00452793" w:rsidP="00452793">
      <w:pPr>
        <w:ind w:firstLine="720"/>
        <w:jc w:val="both"/>
        <w:rPr>
          <w:sz w:val="24"/>
          <w:szCs w:val="24"/>
        </w:rPr>
      </w:pPr>
      <w:r>
        <w:rPr>
          <w:sz w:val="24"/>
          <w:szCs w:val="24"/>
        </w:rPr>
        <w:t xml:space="preserve">- The obligation for Conpet to pay the costs incurred </w:t>
      </w:r>
      <w:proofErr w:type="gramStart"/>
      <w:r>
        <w:rPr>
          <w:sz w:val="24"/>
          <w:szCs w:val="24"/>
        </w:rPr>
        <w:t>as a result</w:t>
      </w:r>
      <w:proofErr w:type="gramEnd"/>
      <w:r>
        <w:rPr>
          <w:sz w:val="24"/>
          <w:szCs w:val="24"/>
        </w:rPr>
        <w:t xml:space="preserve"> of the settlement of this application.</w:t>
      </w:r>
    </w:p>
    <w:p w:rsidR="00452793" w:rsidRDefault="00452793" w:rsidP="00452793">
      <w:pPr>
        <w:ind w:firstLine="720"/>
        <w:jc w:val="both"/>
        <w:rPr>
          <w:sz w:val="24"/>
          <w:szCs w:val="24"/>
        </w:rPr>
      </w:pPr>
      <w:r>
        <w:rPr>
          <w:sz w:val="24"/>
          <w:szCs w:val="24"/>
        </w:rPr>
        <w:t>Subsequently, the plaintiff had stated the action with regard to the second head of the request requesting the Court:</w:t>
      </w:r>
    </w:p>
    <w:p w:rsidR="00452793" w:rsidRDefault="00452793" w:rsidP="00452793">
      <w:pPr>
        <w:ind w:firstLine="720"/>
        <w:jc w:val="both"/>
        <w:rPr>
          <w:sz w:val="24"/>
          <w:szCs w:val="24"/>
        </w:rPr>
      </w:pPr>
      <w:r>
        <w:rPr>
          <w:sz w:val="24"/>
          <w:szCs w:val="24"/>
        </w:rPr>
        <w:t>- The obligation for Conpet to pay of the amount representing the lack of use of the two building lands for the period between beyond 10</w:t>
      </w:r>
      <w:r>
        <w:rPr>
          <w:sz w:val="24"/>
          <w:szCs w:val="24"/>
          <w:vertAlign w:val="superscript"/>
        </w:rPr>
        <w:t>th</w:t>
      </w:r>
      <w:r>
        <w:rPr>
          <w:sz w:val="24"/>
          <w:szCs w:val="24"/>
        </w:rPr>
        <w:t xml:space="preserve"> Dec 2015 and the date of the final sentence by which  the first end of the request was admitted.</w:t>
      </w:r>
    </w:p>
    <w:p w:rsidR="00452793" w:rsidRDefault="00452793" w:rsidP="00452793">
      <w:pPr>
        <w:ind w:firstLine="720"/>
        <w:jc w:val="both"/>
        <w:rPr>
          <w:sz w:val="24"/>
          <w:szCs w:val="24"/>
        </w:rPr>
      </w:pPr>
      <w:r>
        <w:rPr>
          <w:sz w:val="24"/>
          <w:szCs w:val="24"/>
        </w:rPr>
        <w:t>Lack of use has been assessed</w:t>
      </w:r>
      <w:proofErr w:type="gramStart"/>
      <w:r>
        <w:rPr>
          <w:sz w:val="24"/>
          <w:szCs w:val="24"/>
        </w:rPr>
        <w:t>  in</w:t>
      </w:r>
      <w:proofErr w:type="gramEnd"/>
      <w:r>
        <w:rPr>
          <w:sz w:val="24"/>
          <w:szCs w:val="24"/>
        </w:rPr>
        <w:t xml:space="preserve"> order to provisionally stamping to the sum of  RON </w:t>
      </w:r>
      <w:r>
        <w:rPr>
          <w:bCs/>
          <w:sz w:val="24"/>
          <w:szCs w:val="24"/>
        </w:rPr>
        <w:t>5,000.</w:t>
      </w:r>
    </w:p>
    <w:p w:rsidR="00452793" w:rsidRDefault="00452793" w:rsidP="00452793">
      <w:pPr>
        <w:ind w:firstLine="720"/>
        <w:jc w:val="both"/>
        <w:rPr>
          <w:sz w:val="24"/>
          <w:szCs w:val="24"/>
        </w:rPr>
      </w:pPr>
      <w:r>
        <w:rPr>
          <w:sz w:val="24"/>
          <w:szCs w:val="24"/>
        </w:rPr>
        <w:t>Conpet has made a counterclaim in which it requested:</w:t>
      </w:r>
    </w:p>
    <w:p w:rsidR="00452793" w:rsidRDefault="00452793" w:rsidP="00452793">
      <w:pPr>
        <w:ind w:firstLine="720"/>
        <w:jc w:val="both"/>
        <w:rPr>
          <w:sz w:val="24"/>
          <w:szCs w:val="24"/>
          <w:lang w:val="it-IT"/>
        </w:rPr>
      </w:pPr>
      <w:r>
        <w:rPr>
          <w:sz w:val="24"/>
          <w:szCs w:val="24"/>
          <w:lang w:val="it-IT"/>
        </w:rPr>
        <w:t xml:space="preserve">- The Obligation to allow </w:t>
      </w:r>
      <w:r>
        <w:rPr>
          <w:sz w:val="24"/>
          <w:szCs w:val="24"/>
        </w:rPr>
        <w:t xml:space="preserve">the counterclaimer </w:t>
      </w:r>
      <w:r>
        <w:rPr>
          <w:sz w:val="24"/>
          <w:szCs w:val="24"/>
          <w:lang w:val="it-IT"/>
        </w:rPr>
        <w:t>Conpet S.A.</w:t>
      </w:r>
      <w:r>
        <w:rPr>
          <w:sz w:val="24"/>
          <w:szCs w:val="24"/>
        </w:rPr>
        <w:t>t</w:t>
      </w:r>
      <w:r>
        <w:rPr>
          <w:sz w:val="24"/>
          <w:szCs w:val="24"/>
          <w:lang w:val="it-IT"/>
        </w:rPr>
        <w:t>he exercise of the right of legal easement established by the provisions of Article 7 et seq. of the Law no. 238/2004 on the two plots of land owned by the complainant </w:t>
      </w:r>
      <w:r>
        <w:rPr>
          <w:sz w:val="24"/>
          <w:szCs w:val="24"/>
          <w:lang w:val="pt-BR"/>
        </w:rPr>
        <w:t>Cruceanu Alin Florinel,</w:t>
      </w:r>
      <w:r>
        <w:rPr>
          <w:sz w:val="24"/>
          <w:szCs w:val="24"/>
          <w:lang w:val="it-IT"/>
        </w:rPr>
        <w:t> situated in</w:t>
      </w:r>
      <w:r>
        <w:rPr>
          <w:sz w:val="24"/>
          <w:szCs w:val="24"/>
        </w:rPr>
        <w:t xml:space="preserve"> </w:t>
      </w:r>
      <w:r>
        <w:rPr>
          <w:sz w:val="24"/>
          <w:szCs w:val="24"/>
          <w:lang w:val="it-IT"/>
        </w:rPr>
        <w:t>the village</w:t>
      </w:r>
      <w:r>
        <w:rPr>
          <w:sz w:val="24"/>
          <w:szCs w:val="24"/>
        </w:rPr>
        <w:t xml:space="preserve"> </w:t>
      </w:r>
      <w:r>
        <w:rPr>
          <w:sz w:val="24"/>
          <w:szCs w:val="24"/>
          <w:lang w:val="it-IT"/>
        </w:rPr>
        <w:t>Agigea Lazu</w:t>
      </w:r>
      <w:r>
        <w:rPr>
          <w:sz w:val="24"/>
          <w:szCs w:val="24"/>
        </w:rPr>
        <w:t>,</w:t>
      </w:r>
      <w:r>
        <w:rPr>
          <w:sz w:val="24"/>
          <w:szCs w:val="24"/>
          <w:lang w:val="it-IT"/>
        </w:rPr>
        <w:t xml:space="preserve"> no. 29</w:t>
      </w:r>
      <w:r>
        <w:rPr>
          <w:sz w:val="24"/>
          <w:szCs w:val="24"/>
        </w:rPr>
        <w:t>-</w:t>
      </w:r>
      <w:r>
        <w:rPr>
          <w:sz w:val="24"/>
          <w:szCs w:val="24"/>
          <w:lang w:val="it-IT"/>
        </w:rPr>
        <w:t xml:space="preserve"> 31</w:t>
      </w:r>
      <w:r>
        <w:rPr>
          <w:sz w:val="24"/>
          <w:szCs w:val="24"/>
        </w:rPr>
        <w:t xml:space="preserve">, </w:t>
      </w:r>
      <w:r>
        <w:rPr>
          <w:sz w:val="24"/>
          <w:szCs w:val="24"/>
          <w:lang w:val="it-IT"/>
        </w:rPr>
        <w:t xml:space="preserve">Luceafarului str., </w:t>
      </w:r>
      <w:proofErr w:type="gramStart"/>
      <w:r>
        <w:rPr>
          <w:sz w:val="24"/>
          <w:szCs w:val="24"/>
        </w:rPr>
        <w:t>county</w:t>
      </w:r>
      <w:proofErr w:type="gramEnd"/>
      <w:r>
        <w:rPr>
          <w:sz w:val="24"/>
          <w:szCs w:val="24"/>
          <w:lang w:val="it-IT"/>
        </w:rPr>
        <w:t xml:space="preserve"> Constant</w:t>
      </w:r>
      <w:r>
        <w:rPr>
          <w:sz w:val="24"/>
          <w:szCs w:val="24"/>
        </w:rPr>
        <w:t>a</w:t>
      </w:r>
      <w:r>
        <w:rPr>
          <w:sz w:val="24"/>
          <w:szCs w:val="24"/>
          <w:lang w:val="it-IT"/>
        </w:rPr>
        <w:t>. The exercise of the right of legal easement is to be carried out in a passage of 2.4 meters wide located along the pipe buses to transport crude oil </w:t>
      </w:r>
      <w:r>
        <w:rPr>
          <w:sz w:val="24"/>
          <w:szCs w:val="24"/>
        </w:rPr>
        <w:t>Ø 20 ˝ Baraganu Constant-standing for purposes of access to the pipe in order to verify the day-to-day management of the status of the pipe and the execution of any repair work.</w:t>
      </w:r>
    </w:p>
    <w:p w:rsidR="00452793" w:rsidRDefault="00452793" w:rsidP="00452793">
      <w:pPr>
        <w:ind w:firstLine="720"/>
        <w:jc w:val="both"/>
        <w:rPr>
          <w:sz w:val="24"/>
          <w:szCs w:val="24"/>
        </w:rPr>
      </w:pPr>
      <w:r>
        <w:rPr>
          <w:sz w:val="24"/>
          <w:szCs w:val="24"/>
          <w:lang w:val="it-IT"/>
        </w:rPr>
        <w:t>- Determining the amount of the annual rent provided for by law due to new subscribed to the complainant in exchange for the exercise of the right to legal</w:t>
      </w:r>
      <w:r>
        <w:rPr>
          <w:sz w:val="24"/>
          <w:szCs w:val="24"/>
        </w:rPr>
        <w:t xml:space="preserve"> </w:t>
      </w:r>
      <w:r>
        <w:rPr>
          <w:sz w:val="24"/>
          <w:szCs w:val="24"/>
          <w:lang w:val="it-IT"/>
        </w:rPr>
        <w:t>easement.</w:t>
      </w:r>
    </w:p>
    <w:p w:rsidR="00452793" w:rsidRDefault="00452793" w:rsidP="00452793">
      <w:pPr>
        <w:ind w:firstLine="720"/>
        <w:jc w:val="both"/>
        <w:rPr>
          <w:sz w:val="24"/>
          <w:szCs w:val="24"/>
        </w:rPr>
      </w:pPr>
      <w:r>
        <w:rPr>
          <w:sz w:val="24"/>
          <w:szCs w:val="24"/>
        </w:rPr>
        <w:t> Stage of trial</w:t>
      </w:r>
      <w:proofErr w:type="gramStart"/>
      <w:r>
        <w:rPr>
          <w:sz w:val="24"/>
          <w:szCs w:val="24"/>
        </w:rPr>
        <w:t>:First</w:t>
      </w:r>
      <w:proofErr w:type="gramEnd"/>
      <w:r>
        <w:rPr>
          <w:sz w:val="24"/>
          <w:szCs w:val="24"/>
        </w:rPr>
        <w:t xml:space="preserve"> instance</w:t>
      </w:r>
    </w:p>
    <w:p w:rsidR="00452793" w:rsidRDefault="00452793" w:rsidP="00452793">
      <w:pPr>
        <w:ind w:firstLine="720"/>
        <w:jc w:val="both"/>
        <w:rPr>
          <w:sz w:val="24"/>
          <w:szCs w:val="24"/>
        </w:rPr>
      </w:pPr>
      <w:r>
        <w:rPr>
          <w:sz w:val="24"/>
          <w:szCs w:val="24"/>
        </w:rPr>
        <w:t>Hearing: </w:t>
      </w:r>
      <w:proofErr w:type="gramStart"/>
      <w:r>
        <w:rPr>
          <w:sz w:val="24"/>
          <w:szCs w:val="24"/>
        </w:rPr>
        <w:t>03</w:t>
      </w:r>
      <w:r>
        <w:rPr>
          <w:sz w:val="24"/>
          <w:szCs w:val="24"/>
          <w:vertAlign w:val="superscript"/>
        </w:rPr>
        <w:t>rd</w:t>
      </w:r>
      <w:proofErr w:type="gramEnd"/>
      <w:r>
        <w:rPr>
          <w:sz w:val="24"/>
          <w:szCs w:val="24"/>
        </w:rPr>
        <w:t xml:space="preserve"> Sept 2018 </w:t>
      </w:r>
    </w:p>
    <w:p w:rsidR="00452793" w:rsidRDefault="00452793" w:rsidP="00452793">
      <w:pPr>
        <w:ind w:firstLine="720"/>
        <w:jc w:val="both"/>
        <w:rPr>
          <w:sz w:val="24"/>
          <w:szCs w:val="24"/>
        </w:rPr>
      </w:pPr>
    </w:p>
    <w:p w:rsidR="00452793" w:rsidRDefault="00452793" w:rsidP="00452793">
      <w:pPr>
        <w:ind w:firstLine="720"/>
        <w:jc w:val="both"/>
        <w:rPr>
          <w:sz w:val="24"/>
          <w:szCs w:val="24"/>
        </w:rPr>
      </w:pPr>
    </w:p>
    <w:p w:rsidR="00452793" w:rsidRDefault="00452793" w:rsidP="00452793">
      <w:pPr>
        <w:ind w:firstLine="720"/>
        <w:jc w:val="both"/>
        <w:rPr>
          <w:b/>
          <w:sz w:val="24"/>
          <w:szCs w:val="24"/>
        </w:rPr>
      </w:pPr>
      <w:r>
        <w:rPr>
          <w:b/>
          <w:sz w:val="24"/>
          <w:szCs w:val="24"/>
        </w:rPr>
        <w:t>5. The file No 18344/212/2017 - Constanta Court </w:t>
      </w:r>
    </w:p>
    <w:p w:rsidR="00452793" w:rsidRDefault="00452793" w:rsidP="00452793">
      <w:pPr>
        <w:ind w:firstLine="720"/>
        <w:jc w:val="both"/>
        <w:rPr>
          <w:sz w:val="24"/>
          <w:szCs w:val="24"/>
        </w:rPr>
      </w:pPr>
      <w:r>
        <w:rPr>
          <w:b/>
          <w:sz w:val="24"/>
          <w:szCs w:val="24"/>
        </w:rPr>
        <w:t>The parties:</w:t>
      </w:r>
      <w:r>
        <w:rPr>
          <w:sz w:val="24"/>
          <w:szCs w:val="24"/>
        </w:rPr>
        <w:t> Conpet - defendant-reconvenient</w:t>
      </w:r>
    </w:p>
    <w:p w:rsidR="00452793" w:rsidRDefault="00452793" w:rsidP="00452793">
      <w:pPr>
        <w:ind w:firstLine="720"/>
        <w:jc w:val="both"/>
        <w:rPr>
          <w:sz w:val="24"/>
          <w:szCs w:val="24"/>
        </w:rPr>
      </w:pPr>
      <w:r>
        <w:rPr>
          <w:sz w:val="24"/>
          <w:szCs w:val="24"/>
        </w:rPr>
        <w:t>           Dumitru Mitu - claimant and defendant</w:t>
      </w:r>
    </w:p>
    <w:p w:rsidR="00452793" w:rsidRDefault="00452793" w:rsidP="00452793">
      <w:pPr>
        <w:ind w:firstLine="720"/>
        <w:jc w:val="both"/>
        <w:rPr>
          <w:sz w:val="24"/>
          <w:szCs w:val="24"/>
        </w:rPr>
      </w:pPr>
      <w:r>
        <w:rPr>
          <w:sz w:val="24"/>
          <w:szCs w:val="24"/>
        </w:rPr>
        <w:t>           Mitu Rodica - claimant and defendant</w:t>
      </w:r>
    </w:p>
    <w:p w:rsidR="00452793" w:rsidRDefault="00452793" w:rsidP="00452793">
      <w:pPr>
        <w:ind w:firstLine="720"/>
        <w:jc w:val="both"/>
        <w:rPr>
          <w:sz w:val="24"/>
          <w:szCs w:val="24"/>
        </w:rPr>
      </w:pPr>
      <w:r>
        <w:rPr>
          <w:b/>
          <w:sz w:val="24"/>
          <w:szCs w:val="24"/>
        </w:rPr>
        <w:t>Subject</w:t>
      </w:r>
      <w:r>
        <w:rPr>
          <w:sz w:val="24"/>
          <w:szCs w:val="24"/>
        </w:rPr>
        <w:t xml:space="preserve">: Obligation to action. </w:t>
      </w:r>
      <w:proofErr w:type="gramStart"/>
      <w:r>
        <w:rPr>
          <w:sz w:val="24"/>
          <w:szCs w:val="24"/>
        </w:rPr>
        <w:t xml:space="preserve">Dumitru Mitu and Mitu Rodica filed for a trial by applying the obligation of Conpet to payment of compensation for the two plots of </w:t>
      </w:r>
      <w:r>
        <w:rPr>
          <w:sz w:val="24"/>
          <w:szCs w:val="24"/>
        </w:rPr>
        <w:lastRenderedPageBreak/>
        <w:t>land, situated in the village Lazu, Agigea comune, Constanta county affected by the routing of some pipes carrying petroleum products, as well as the obligation of the defendant to pay an annual rent for lack of use of the land affected by the exercise of the right of legal easement, starting with the date of 20</w:t>
      </w:r>
      <w:r>
        <w:rPr>
          <w:sz w:val="24"/>
          <w:szCs w:val="24"/>
          <w:vertAlign w:val="superscript"/>
        </w:rPr>
        <w:t>th</w:t>
      </w:r>
      <w:r>
        <w:rPr>
          <w:sz w:val="24"/>
          <w:szCs w:val="24"/>
        </w:rPr>
        <w:t xml:space="preserve"> June 2014 and compensation in the form of an annual payment for the assignment of the partly use of the land on which the pipe is located, with the obligation to pay the trial costs.</w:t>
      </w:r>
      <w:proofErr w:type="gramEnd"/>
    </w:p>
    <w:p w:rsidR="00452793" w:rsidRDefault="00452793" w:rsidP="00452793">
      <w:pPr>
        <w:ind w:firstLine="720"/>
        <w:jc w:val="both"/>
        <w:rPr>
          <w:sz w:val="24"/>
          <w:szCs w:val="24"/>
        </w:rPr>
      </w:pPr>
      <w:r>
        <w:rPr>
          <w:sz w:val="24"/>
          <w:szCs w:val="24"/>
        </w:rPr>
        <w:t>The plaintiffs’ </w:t>
      </w:r>
      <w:r>
        <w:rPr>
          <w:bCs/>
          <w:sz w:val="24"/>
          <w:szCs w:val="24"/>
        </w:rPr>
        <w:t>claim has been assessed</w:t>
      </w:r>
      <w:r>
        <w:rPr>
          <w:sz w:val="24"/>
          <w:szCs w:val="24"/>
        </w:rPr>
        <w:t xml:space="preserve"> the claims at a deducted amount of RON </w:t>
      </w:r>
      <w:r>
        <w:rPr>
          <w:bCs/>
          <w:sz w:val="24"/>
          <w:szCs w:val="24"/>
        </w:rPr>
        <w:t xml:space="preserve">10,000 </w:t>
      </w:r>
      <w:r>
        <w:rPr>
          <w:sz w:val="24"/>
          <w:szCs w:val="24"/>
        </w:rPr>
        <w:t>for stamp application showing that after the establishment of the values via the expertise will manage to pay the tax difference for the legal proceedings.</w:t>
      </w:r>
    </w:p>
    <w:p w:rsidR="00452793" w:rsidRDefault="00452793" w:rsidP="00452793">
      <w:pPr>
        <w:ind w:firstLine="720"/>
        <w:jc w:val="both"/>
        <w:rPr>
          <w:sz w:val="24"/>
          <w:szCs w:val="24"/>
        </w:rPr>
      </w:pPr>
      <w:r>
        <w:rPr>
          <w:sz w:val="24"/>
          <w:szCs w:val="24"/>
        </w:rPr>
        <w:t xml:space="preserve">Conpet has made a </w:t>
      </w:r>
      <w:proofErr w:type="gramStart"/>
      <w:r>
        <w:rPr>
          <w:sz w:val="24"/>
          <w:szCs w:val="24"/>
        </w:rPr>
        <w:t>counterclaim which</w:t>
      </w:r>
      <w:proofErr w:type="gramEnd"/>
      <w:r>
        <w:rPr>
          <w:sz w:val="24"/>
          <w:szCs w:val="24"/>
        </w:rPr>
        <w:t xml:space="preserve"> has requested the court:</w:t>
      </w:r>
    </w:p>
    <w:p w:rsidR="00452793" w:rsidRDefault="00452793" w:rsidP="00452793">
      <w:pPr>
        <w:jc w:val="both"/>
        <w:rPr>
          <w:sz w:val="24"/>
          <w:szCs w:val="24"/>
          <w:lang w:val="it-IT"/>
        </w:rPr>
      </w:pPr>
      <w:r>
        <w:rPr>
          <w:sz w:val="24"/>
          <w:szCs w:val="24"/>
          <w:lang w:val="it-IT"/>
        </w:rPr>
        <w:t xml:space="preserve">1. To </w:t>
      </w:r>
      <w:r>
        <w:rPr>
          <w:sz w:val="24"/>
          <w:szCs w:val="24"/>
        </w:rPr>
        <w:t xml:space="preserve">order </w:t>
      </w:r>
      <w:r>
        <w:rPr>
          <w:sz w:val="24"/>
          <w:szCs w:val="24"/>
          <w:lang w:val="it-IT"/>
        </w:rPr>
        <w:t>the plaintiffs to allow Conpet S.A. exercise the right of legal easement established by the provisions of Article 7 et seq. of the Law no. 238/2004 on the two plots of land owned by the complainants. The exercise of the right of legal easement is to be carried out in a passage of 2.4 meters wide located along the pipe buses to transport crude oil F2 </w:t>
      </w:r>
      <w:r>
        <w:rPr>
          <w:sz w:val="24"/>
          <w:szCs w:val="24"/>
        </w:rPr>
        <w:t>Ø 20 ˝ Baraganu Constanta- standing for purposes of access to the pipe in order to verify the day-to-day management of the status of the pipe and the execution of any repair work.</w:t>
      </w:r>
    </w:p>
    <w:p w:rsidR="00452793" w:rsidRDefault="00452793" w:rsidP="00452793">
      <w:pPr>
        <w:jc w:val="both"/>
        <w:rPr>
          <w:sz w:val="24"/>
          <w:szCs w:val="24"/>
          <w:lang w:val="it-IT"/>
        </w:rPr>
      </w:pPr>
      <w:r>
        <w:rPr>
          <w:sz w:val="24"/>
          <w:szCs w:val="24"/>
          <w:lang w:val="it-IT"/>
        </w:rPr>
        <w:t xml:space="preserve">2. To determine the amount of the annual rent provided for by law </w:t>
      </w:r>
      <w:r>
        <w:rPr>
          <w:sz w:val="24"/>
          <w:szCs w:val="24"/>
        </w:rPr>
        <w:t xml:space="preserve">that is </w:t>
      </w:r>
      <w:r>
        <w:rPr>
          <w:sz w:val="24"/>
          <w:szCs w:val="24"/>
          <w:lang w:val="it-IT"/>
        </w:rPr>
        <w:t xml:space="preserve">due from Conpet </w:t>
      </w:r>
      <w:r>
        <w:rPr>
          <w:sz w:val="24"/>
          <w:szCs w:val="24"/>
        </w:rPr>
        <w:t xml:space="preserve"> to </w:t>
      </w:r>
      <w:r>
        <w:rPr>
          <w:sz w:val="24"/>
          <w:szCs w:val="24"/>
          <w:lang w:val="it-IT"/>
        </w:rPr>
        <w:t>complainants in exchange for the exercise of the right to legal</w:t>
      </w:r>
      <w:r>
        <w:rPr>
          <w:sz w:val="24"/>
          <w:szCs w:val="24"/>
        </w:rPr>
        <w:t xml:space="preserve"> </w:t>
      </w:r>
      <w:r>
        <w:rPr>
          <w:sz w:val="24"/>
          <w:szCs w:val="24"/>
          <w:lang w:val="it-IT"/>
        </w:rPr>
        <w:t>easement.</w:t>
      </w:r>
    </w:p>
    <w:p w:rsidR="00452793" w:rsidRDefault="00452793" w:rsidP="00452793">
      <w:pPr>
        <w:jc w:val="both"/>
        <w:rPr>
          <w:b/>
          <w:sz w:val="24"/>
          <w:szCs w:val="24"/>
        </w:rPr>
      </w:pPr>
      <w:r>
        <w:rPr>
          <w:sz w:val="24"/>
          <w:szCs w:val="24"/>
          <w:lang w:val="it-IT"/>
        </w:rPr>
        <w:tab/>
        <w:t>Also, Conpet has made a request for a guarantee</w:t>
      </w:r>
      <w:r>
        <w:rPr>
          <w:sz w:val="24"/>
          <w:szCs w:val="24"/>
        </w:rPr>
        <w:t xml:space="preserve"> call</w:t>
      </w:r>
      <w:r>
        <w:rPr>
          <w:sz w:val="24"/>
          <w:szCs w:val="24"/>
          <w:lang w:val="it-IT"/>
        </w:rPr>
        <w:t xml:space="preserve"> of the </w:t>
      </w:r>
      <w:r>
        <w:rPr>
          <w:sz w:val="24"/>
          <w:szCs w:val="24"/>
          <w:lang w:val="pt-BR"/>
        </w:rPr>
        <w:t>Public Finance Ministry and the National Agency for Mineral Resources (A.N.R.M.) </w:t>
      </w:r>
      <w:r>
        <w:rPr>
          <w:sz w:val="24"/>
          <w:szCs w:val="24"/>
          <w:lang w:val="it-IT"/>
        </w:rPr>
        <w:t xml:space="preserve">in order to ensure that in the case of the Ploiesti Conpet S.A. </w:t>
      </w:r>
      <w:r>
        <w:rPr>
          <w:sz w:val="24"/>
          <w:szCs w:val="24"/>
        </w:rPr>
        <w:t xml:space="preserve">shall </w:t>
      </w:r>
      <w:r>
        <w:rPr>
          <w:sz w:val="24"/>
          <w:szCs w:val="24"/>
          <w:lang w:val="it-IT"/>
        </w:rPr>
        <w:t>fall in claims relating to the claims of the complainants made in the application of the Summoning sue us</w:t>
      </w:r>
      <w:r>
        <w:rPr>
          <w:sz w:val="24"/>
          <w:szCs w:val="24"/>
        </w:rPr>
        <w:t>, in order</w:t>
      </w:r>
      <w:r>
        <w:rPr>
          <w:sz w:val="24"/>
          <w:szCs w:val="24"/>
          <w:lang w:val="it-IT"/>
        </w:rPr>
        <w:t xml:space="preserve"> to compensate for the sums which we shall be obliged to pay </w:t>
      </w:r>
      <w:r>
        <w:rPr>
          <w:sz w:val="24"/>
          <w:szCs w:val="24"/>
        </w:rPr>
        <w:t xml:space="preserve">to </w:t>
      </w:r>
      <w:r>
        <w:rPr>
          <w:sz w:val="24"/>
          <w:szCs w:val="24"/>
          <w:lang w:val="it-IT"/>
        </w:rPr>
        <w:t>the complainants.</w:t>
      </w:r>
    </w:p>
    <w:p w:rsidR="00452793" w:rsidRDefault="00452793" w:rsidP="00452793">
      <w:pPr>
        <w:ind w:firstLine="720"/>
        <w:jc w:val="both"/>
        <w:rPr>
          <w:sz w:val="24"/>
          <w:szCs w:val="24"/>
        </w:rPr>
      </w:pPr>
      <w:r>
        <w:rPr>
          <w:sz w:val="24"/>
          <w:szCs w:val="24"/>
        </w:rPr>
        <w:t> Stage of trial: First instance</w:t>
      </w:r>
    </w:p>
    <w:p w:rsidR="00452793" w:rsidRDefault="00452793" w:rsidP="00452793">
      <w:pPr>
        <w:ind w:firstLine="720"/>
        <w:jc w:val="both"/>
        <w:rPr>
          <w:sz w:val="24"/>
          <w:szCs w:val="24"/>
        </w:rPr>
      </w:pPr>
      <w:r>
        <w:rPr>
          <w:sz w:val="24"/>
          <w:szCs w:val="24"/>
        </w:rPr>
        <w:t>Hearing:  </w:t>
      </w:r>
      <w:proofErr w:type="gramStart"/>
      <w:r>
        <w:rPr>
          <w:sz w:val="24"/>
          <w:szCs w:val="24"/>
        </w:rPr>
        <w:t>05</w:t>
      </w:r>
      <w:r>
        <w:rPr>
          <w:sz w:val="24"/>
          <w:szCs w:val="24"/>
          <w:vertAlign w:val="superscript"/>
        </w:rPr>
        <w:t>th</w:t>
      </w:r>
      <w:proofErr w:type="gramEnd"/>
      <w:r>
        <w:rPr>
          <w:sz w:val="24"/>
          <w:szCs w:val="24"/>
        </w:rPr>
        <w:t xml:space="preserve"> Sept 2018   </w:t>
      </w:r>
    </w:p>
    <w:p w:rsidR="00452793" w:rsidRDefault="00452793" w:rsidP="00452793">
      <w:pPr>
        <w:ind w:firstLine="720"/>
        <w:jc w:val="both"/>
        <w:rPr>
          <w:b/>
          <w:sz w:val="24"/>
          <w:szCs w:val="24"/>
          <w:lang w:val="it-IT"/>
        </w:rPr>
      </w:pPr>
    </w:p>
    <w:p w:rsidR="00452793" w:rsidRDefault="00452793" w:rsidP="00452793">
      <w:pPr>
        <w:ind w:firstLine="720"/>
        <w:jc w:val="both"/>
        <w:rPr>
          <w:b/>
          <w:sz w:val="24"/>
          <w:szCs w:val="24"/>
          <w:lang w:val="it-IT"/>
        </w:rPr>
      </w:pPr>
    </w:p>
    <w:p w:rsidR="00452793" w:rsidRDefault="00452793" w:rsidP="00452793">
      <w:pPr>
        <w:ind w:firstLine="720"/>
        <w:jc w:val="both"/>
        <w:rPr>
          <w:b/>
          <w:sz w:val="24"/>
          <w:szCs w:val="24"/>
          <w:lang w:val="ro-RO"/>
        </w:rPr>
      </w:pPr>
      <w:r>
        <w:rPr>
          <w:b/>
          <w:sz w:val="24"/>
          <w:szCs w:val="24"/>
          <w:lang w:val="it-IT"/>
        </w:rPr>
        <w:t>6. </w:t>
      </w:r>
      <w:r>
        <w:rPr>
          <w:b/>
          <w:sz w:val="24"/>
          <w:szCs w:val="24"/>
          <w:lang w:val="ro-RO"/>
        </w:rPr>
        <w:t>The file no. 2323/120/2018 - Court of Dambovita</w:t>
      </w:r>
    </w:p>
    <w:p w:rsidR="00452793" w:rsidRDefault="00452793" w:rsidP="00452793">
      <w:pPr>
        <w:ind w:firstLine="720"/>
        <w:jc w:val="both"/>
        <w:rPr>
          <w:sz w:val="24"/>
          <w:szCs w:val="24"/>
          <w:lang w:val="ro-RO"/>
        </w:rPr>
      </w:pPr>
      <w:r>
        <w:rPr>
          <w:b/>
          <w:sz w:val="24"/>
          <w:szCs w:val="24"/>
          <w:lang w:val="ro-RO"/>
        </w:rPr>
        <w:t>The parties: </w:t>
      </w:r>
      <w:r>
        <w:rPr>
          <w:sz w:val="24"/>
          <w:szCs w:val="24"/>
          <w:lang w:val="ro-RO"/>
        </w:rPr>
        <w:t xml:space="preserve">Conpet - </w:t>
      </w:r>
      <w:r>
        <w:rPr>
          <w:sz w:val="24"/>
          <w:szCs w:val="24"/>
        </w:rPr>
        <w:t>defendant</w:t>
      </w:r>
      <w:r>
        <w:rPr>
          <w:sz w:val="24"/>
          <w:szCs w:val="24"/>
          <w:lang w:val="ro-RO"/>
        </w:rPr>
        <w:t xml:space="preserve"> - reconvenient </w:t>
      </w:r>
    </w:p>
    <w:p w:rsidR="00452793" w:rsidRDefault="00452793" w:rsidP="00452793">
      <w:pPr>
        <w:ind w:firstLine="720"/>
        <w:jc w:val="both"/>
        <w:rPr>
          <w:sz w:val="24"/>
          <w:szCs w:val="24"/>
          <w:lang w:val="ro-RO"/>
        </w:rPr>
      </w:pPr>
      <w:r>
        <w:rPr>
          <w:sz w:val="24"/>
          <w:szCs w:val="24"/>
          <w:lang w:val="ro-RO"/>
        </w:rPr>
        <w:t xml:space="preserve">           Buzatu Florin - the </w:t>
      </w:r>
      <w:r>
        <w:rPr>
          <w:sz w:val="24"/>
          <w:szCs w:val="24"/>
        </w:rPr>
        <w:t>plaintiff</w:t>
      </w:r>
      <w:r>
        <w:rPr>
          <w:sz w:val="24"/>
          <w:szCs w:val="24"/>
          <w:lang w:val="ro-RO"/>
        </w:rPr>
        <w:t xml:space="preserve"> - </w:t>
      </w:r>
      <w:r>
        <w:rPr>
          <w:sz w:val="24"/>
          <w:szCs w:val="24"/>
        </w:rPr>
        <w:t>defendant</w:t>
      </w:r>
      <w:r>
        <w:rPr>
          <w:sz w:val="24"/>
          <w:szCs w:val="24"/>
          <w:lang w:val="ro-RO"/>
        </w:rPr>
        <w:t> </w:t>
      </w:r>
    </w:p>
    <w:p w:rsidR="00452793" w:rsidRDefault="00452793" w:rsidP="00452793">
      <w:pPr>
        <w:ind w:firstLine="720"/>
        <w:jc w:val="both"/>
        <w:rPr>
          <w:sz w:val="24"/>
          <w:szCs w:val="24"/>
          <w:lang w:val="ro-RO"/>
        </w:rPr>
      </w:pPr>
      <w:r>
        <w:rPr>
          <w:b/>
          <w:sz w:val="24"/>
          <w:szCs w:val="24"/>
          <w:lang w:val="ro-RO"/>
        </w:rPr>
        <w:t>Subject: </w:t>
      </w:r>
      <w:r>
        <w:rPr>
          <w:sz w:val="24"/>
          <w:szCs w:val="24"/>
          <w:lang w:val="ro-RO"/>
        </w:rPr>
        <w:t>Buzatu Florin f</w:t>
      </w:r>
      <w:r>
        <w:rPr>
          <w:sz w:val="24"/>
          <w:szCs w:val="24"/>
        </w:rPr>
        <w:t>iles for trial,</w:t>
      </w:r>
      <w:r>
        <w:rPr>
          <w:sz w:val="24"/>
          <w:szCs w:val="24"/>
          <w:lang w:val="ro-RO"/>
        </w:rPr>
        <w:t xml:space="preserve"> requesting the Court:</w:t>
      </w:r>
    </w:p>
    <w:p w:rsidR="00452793" w:rsidRDefault="00452793" w:rsidP="00452793">
      <w:pPr>
        <w:ind w:firstLine="720"/>
        <w:jc w:val="both"/>
        <w:rPr>
          <w:sz w:val="24"/>
          <w:szCs w:val="24"/>
          <w:lang w:val="ro-RO"/>
        </w:rPr>
      </w:pPr>
      <w:r>
        <w:rPr>
          <w:sz w:val="24"/>
          <w:szCs w:val="24"/>
          <w:lang w:val="ro-RO"/>
        </w:rPr>
        <w:t xml:space="preserve">1. The obligation of the defendant Conpet to pay the plaintiff the sum of 150,000 euros, payable to the BNR exchange rate on the day of payment (the amount will be reviewed at the completion of the evaluation report from the expertise of the real-estate property to be concerned in the probation, following </w:t>
      </w:r>
      <w:r>
        <w:rPr>
          <w:sz w:val="24"/>
          <w:szCs w:val="24"/>
        </w:rPr>
        <w:t>reshaping</w:t>
      </w:r>
      <w:r>
        <w:rPr>
          <w:sz w:val="24"/>
          <w:szCs w:val="24"/>
          <w:lang w:val="ro-RO"/>
        </w:rPr>
        <w:t xml:space="preserve"> and we mention the amount of claims, in conjunction with a corresponding adaptation of taxes, stamp duties), representing the swift and fair</w:t>
      </w:r>
      <w:r>
        <w:rPr>
          <w:sz w:val="24"/>
          <w:szCs w:val="24"/>
        </w:rPr>
        <w:t xml:space="preserve"> compensation for</w:t>
      </w:r>
      <w:r>
        <w:rPr>
          <w:sz w:val="24"/>
          <w:szCs w:val="24"/>
          <w:lang w:val="ro-RO"/>
        </w:rPr>
        <w:t xml:space="preserve"> the injury suffered by the restrict</w:t>
      </w:r>
      <w:r>
        <w:rPr>
          <w:sz w:val="24"/>
          <w:szCs w:val="24"/>
        </w:rPr>
        <w:t xml:space="preserve">ed </w:t>
      </w:r>
      <w:r>
        <w:rPr>
          <w:sz w:val="24"/>
          <w:szCs w:val="24"/>
          <w:lang w:val="ro-RO"/>
        </w:rPr>
        <w:t>possibility of exerci</w:t>
      </w:r>
      <w:r>
        <w:rPr>
          <w:sz w:val="24"/>
          <w:szCs w:val="24"/>
        </w:rPr>
        <w:t>sing</w:t>
      </w:r>
      <w:r>
        <w:rPr>
          <w:sz w:val="24"/>
          <w:szCs w:val="24"/>
          <w:lang w:val="ro-RO"/>
        </w:rPr>
        <w:t xml:space="preserve"> </w:t>
      </w:r>
      <w:r>
        <w:rPr>
          <w:sz w:val="24"/>
          <w:szCs w:val="24"/>
        </w:rPr>
        <w:t xml:space="preserve">our </w:t>
      </w:r>
      <w:r>
        <w:rPr>
          <w:sz w:val="24"/>
          <w:szCs w:val="24"/>
          <w:lang w:val="ro-RO"/>
        </w:rPr>
        <w:t xml:space="preserve">right of ownership of the surface of the dull sheen of 5980 </w:t>
      </w:r>
      <w:r>
        <w:rPr>
          <w:sz w:val="24"/>
          <w:szCs w:val="24"/>
        </w:rPr>
        <w:t>sq.</w:t>
      </w:r>
      <w:r>
        <w:rPr>
          <w:sz w:val="24"/>
          <w:szCs w:val="24"/>
          <w:lang w:val="ro-RO"/>
        </w:rPr>
        <w:t xml:space="preserve">m. located within the locality Slobozia </w:t>
      </w:r>
      <w:r>
        <w:rPr>
          <w:sz w:val="24"/>
          <w:szCs w:val="24"/>
        </w:rPr>
        <w:t>Moara</w:t>
      </w:r>
      <w:r>
        <w:rPr>
          <w:sz w:val="24"/>
          <w:szCs w:val="24"/>
          <w:lang w:val="ro-RO"/>
        </w:rPr>
        <w:t xml:space="preserve">, Dambovita County, with the cadastral number 70618, entered in the land register 70618/UAT Slobozia </w:t>
      </w:r>
      <w:r>
        <w:rPr>
          <w:sz w:val="24"/>
          <w:szCs w:val="24"/>
        </w:rPr>
        <w:t xml:space="preserve">Moara, </w:t>
      </w:r>
      <w:r>
        <w:rPr>
          <w:sz w:val="24"/>
          <w:szCs w:val="24"/>
          <w:lang w:val="ro-RO"/>
        </w:rPr>
        <w:t xml:space="preserve">Dambovita County, which </w:t>
      </w:r>
      <w:r>
        <w:rPr>
          <w:sz w:val="24"/>
          <w:szCs w:val="24"/>
        </w:rPr>
        <w:t xml:space="preserve">has </w:t>
      </w:r>
      <w:r>
        <w:rPr>
          <w:sz w:val="24"/>
          <w:szCs w:val="24"/>
          <w:lang w:val="ro-RO"/>
        </w:rPr>
        <w:t xml:space="preserve">underground gas pipes and </w:t>
      </w:r>
      <w:r>
        <w:rPr>
          <w:sz w:val="24"/>
          <w:szCs w:val="24"/>
        </w:rPr>
        <w:t xml:space="preserve">overground </w:t>
      </w:r>
      <w:r>
        <w:rPr>
          <w:sz w:val="24"/>
          <w:szCs w:val="24"/>
          <w:lang w:val="ro-RO"/>
        </w:rPr>
        <w:t xml:space="preserve">devices </w:t>
      </w:r>
      <w:r>
        <w:rPr>
          <w:sz w:val="24"/>
          <w:szCs w:val="24"/>
        </w:rPr>
        <w:t xml:space="preserve">on the </w:t>
      </w:r>
      <w:r>
        <w:rPr>
          <w:sz w:val="24"/>
          <w:szCs w:val="24"/>
          <w:lang w:val="ro-RO"/>
        </w:rPr>
        <w:t>land property of the defendant, which cannot Be used for purposes of the construction of a building;</w:t>
      </w:r>
    </w:p>
    <w:p w:rsidR="00452793" w:rsidRDefault="00452793" w:rsidP="00452793">
      <w:pPr>
        <w:ind w:firstLine="720"/>
        <w:jc w:val="both"/>
        <w:rPr>
          <w:sz w:val="24"/>
          <w:szCs w:val="24"/>
          <w:lang w:val="ro-RO"/>
        </w:rPr>
      </w:pPr>
      <w:r>
        <w:rPr>
          <w:sz w:val="24"/>
          <w:szCs w:val="24"/>
          <w:lang w:val="ro-RO"/>
        </w:rPr>
        <w:t xml:space="preserve">2. The obligation of the defendant Conpet to pay a monthly allowance of 1,000 euros payable to the BNR exchange rate on the day of payment, starting with the date of the </w:t>
      </w:r>
      <w:r>
        <w:rPr>
          <w:sz w:val="24"/>
          <w:szCs w:val="24"/>
        </w:rPr>
        <w:t>sentence</w:t>
      </w:r>
      <w:r>
        <w:rPr>
          <w:sz w:val="24"/>
          <w:szCs w:val="24"/>
          <w:lang w:val="ro-RO"/>
        </w:rPr>
        <w:t xml:space="preserve">, for the entire duration of the existence of underground pipes and </w:t>
      </w:r>
      <w:r>
        <w:rPr>
          <w:sz w:val="24"/>
          <w:szCs w:val="24"/>
        </w:rPr>
        <w:t xml:space="preserve">overground </w:t>
      </w:r>
      <w:r>
        <w:rPr>
          <w:sz w:val="24"/>
          <w:szCs w:val="24"/>
          <w:lang w:val="ro-RO"/>
        </w:rPr>
        <w:t xml:space="preserve">devices, located on the land owned by the complainant and bear all the costs incurred by the </w:t>
      </w:r>
      <w:r>
        <w:rPr>
          <w:sz w:val="24"/>
          <w:szCs w:val="24"/>
        </w:rPr>
        <w:t>plaintiff</w:t>
      </w:r>
      <w:r>
        <w:rPr>
          <w:sz w:val="24"/>
          <w:szCs w:val="24"/>
          <w:lang w:val="ro-RO"/>
        </w:rPr>
        <w:t xml:space="preserve"> </w:t>
      </w:r>
      <w:r>
        <w:rPr>
          <w:sz w:val="24"/>
          <w:szCs w:val="24"/>
        </w:rPr>
        <w:t xml:space="preserve">in </w:t>
      </w:r>
      <w:r>
        <w:rPr>
          <w:sz w:val="24"/>
          <w:szCs w:val="24"/>
          <w:lang w:val="ro-RO"/>
        </w:rPr>
        <w:t>the stages prior</w:t>
      </w:r>
      <w:r>
        <w:rPr>
          <w:sz w:val="24"/>
          <w:szCs w:val="24"/>
        </w:rPr>
        <w:t xml:space="preserve"> to</w:t>
      </w:r>
      <w:r>
        <w:rPr>
          <w:sz w:val="24"/>
          <w:szCs w:val="24"/>
          <w:lang w:val="ro-RO"/>
        </w:rPr>
        <w:t xml:space="preserve"> authorization of the construction;</w:t>
      </w:r>
    </w:p>
    <w:p w:rsidR="00452793" w:rsidRDefault="00452793" w:rsidP="00452793">
      <w:pPr>
        <w:ind w:firstLine="720"/>
        <w:jc w:val="both"/>
        <w:rPr>
          <w:sz w:val="24"/>
          <w:szCs w:val="24"/>
          <w:lang w:val="ro-RO"/>
        </w:rPr>
      </w:pPr>
      <w:r>
        <w:rPr>
          <w:sz w:val="24"/>
          <w:szCs w:val="24"/>
          <w:lang w:val="ro-RO"/>
        </w:rPr>
        <w:t xml:space="preserve">3. </w:t>
      </w:r>
      <w:r>
        <w:rPr>
          <w:sz w:val="24"/>
          <w:szCs w:val="24"/>
        </w:rPr>
        <w:t>In the alternative</w:t>
      </w:r>
      <w:r>
        <w:rPr>
          <w:sz w:val="24"/>
          <w:szCs w:val="24"/>
          <w:lang w:val="ro-RO"/>
        </w:rPr>
        <w:t xml:space="preserve">, </w:t>
      </w:r>
      <w:r>
        <w:rPr>
          <w:sz w:val="24"/>
          <w:szCs w:val="24"/>
        </w:rPr>
        <w:t xml:space="preserve">a </w:t>
      </w:r>
      <w:r>
        <w:rPr>
          <w:sz w:val="24"/>
          <w:szCs w:val="24"/>
          <w:lang w:val="ro-RO"/>
        </w:rPr>
        <w:t xml:space="preserve">request </w:t>
      </w:r>
      <w:r>
        <w:rPr>
          <w:sz w:val="24"/>
          <w:szCs w:val="24"/>
        </w:rPr>
        <w:t xml:space="preserve">for </w:t>
      </w:r>
      <w:r>
        <w:rPr>
          <w:sz w:val="24"/>
          <w:szCs w:val="24"/>
          <w:lang w:val="ro-RO"/>
        </w:rPr>
        <w:t xml:space="preserve">the obligation of the defendant to </w:t>
      </w:r>
      <w:r>
        <w:rPr>
          <w:sz w:val="24"/>
          <w:szCs w:val="24"/>
        </w:rPr>
        <w:t xml:space="preserve">move </w:t>
      </w:r>
      <w:r>
        <w:rPr>
          <w:sz w:val="24"/>
          <w:szCs w:val="24"/>
          <w:lang w:val="ro-RO"/>
        </w:rPr>
        <w:t xml:space="preserve">all </w:t>
      </w:r>
      <w:r>
        <w:rPr>
          <w:sz w:val="24"/>
          <w:szCs w:val="24"/>
          <w:lang w:val="ro-RO"/>
        </w:rPr>
        <w:lastRenderedPageBreak/>
        <w:t xml:space="preserve">fabricated buildings on the property of the complainant, namely gas pipes and </w:t>
      </w:r>
      <w:r>
        <w:rPr>
          <w:sz w:val="24"/>
          <w:szCs w:val="24"/>
        </w:rPr>
        <w:t xml:space="preserve">overground </w:t>
      </w:r>
      <w:r>
        <w:rPr>
          <w:sz w:val="24"/>
          <w:szCs w:val="24"/>
          <w:lang w:val="ro-RO"/>
        </w:rPr>
        <w:t xml:space="preserve">devices, </w:t>
      </w:r>
      <w:r>
        <w:rPr>
          <w:sz w:val="24"/>
          <w:szCs w:val="24"/>
        </w:rPr>
        <w:t xml:space="preserve">bring </w:t>
      </w:r>
      <w:r>
        <w:rPr>
          <w:sz w:val="24"/>
          <w:szCs w:val="24"/>
          <w:lang w:val="ro-RO"/>
        </w:rPr>
        <w:t xml:space="preserve">the land </w:t>
      </w:r>
      <w:r>
        <w:rPr>
          <w:sz w:val="24"/>
          <w:szCs w:val="24"/>
        </w:rPr>
        <w:t xml:space="preserve">to </w:t>
      </w:r>
      <w:r>
        <w:rPr>
          <w:sz w:val="24"/>
          <w:szCs w:val="24"/>
          <w:lang w:val="ro-RO"/>
        </w:rPr>
        <w:t xml:space="preserve">the initial status or empowering the </w:t>
      </w:r>
      <w:r>
        <w:rPr>
          <w:sz w:val="24"/>
          <w:szCs w:val="24"/>
        </w:rPr>
        <w:t>plaintiff</w:t>
      </w:r>
      <w:r>
        <w:rPr>
          <w:sz w:val="24"/>
          <w:szCs w:val="24"/>
          <w:lang w:val="ro-RO"/>
        </w:rPr>
        <w:t xml:space="preserve"> to perform the obligation to </w:t>
      </w:r>
      <w:r>
        <w:rPr>
          <w:sz w:val="24"/>
          <w:szCs w:val="24"/>
        </w:rPr>
        <w:t>do it</w:t>
      </w:r>
      <w:r>
        <w:rPr>
          <w:sz w:val="24"/>
          <w:szCs w:val="24"/>
          <w:lang w:val="ro-RO"/>
        </w:rPr>
        <w:t>, at the expense of the defendant;</w:t>
      </w:r>
    </w:p>
    <w:p w:rsidR="00452793" w:rsidRDefault="00452793" w:rsidP="00452793">
      <w:pPr>
        <w:ind w:firstLine="720"/>
        <w:jc w:val="both"/>
        <w:rPr>
          <w:sz w:val="24"/>
          <w:szCs w:val="24"/>
          <w:lang w:val="ro-RO"/>
        </w:rPr>
      </w:pPr>
      <w:r>
        <w:rPr>
          <w:sz w:val="24"/>
          <w:szCs w:val="24"/>
          <w:lang w:val="ro-RO"/>
        </w:rPr>
        <w:t>4. The obligation of the defendant Conpet to the payment of costs generated by this judicial procedure.</w:t>
      </w:r>
    </w:p>
    <w:p w:rsidR="00452793" w:rsidRDefault="00452793" w:rsidP="00452793">
      <w:pPr>
        <w:ind w:firstLine="720"/>
        <w:jc w:val="both"/>
        <w:rPr>
          <w:sz w:val="24"/>
          <w:szCs w:val="24"/>
          <w:lang w:val="ro-RO"/>
        </w:rPr>
      </w:pPr>
      <w:r>
        <w:rPr>
          <w:sz w:val="24"/>
          <w:szCs w:val="24"/>
          <w:lang w:val="ro-RO"/>
        </w:rPr>
        <w:t xml:space="preserve">Conpet will </w:t>
      </w:r>
      <w:r>
        <w:rPr>
          <w:sz w:val="24"/>
          <w:szCs w:val="24"/>
        </w:rPr>
        <w:t xml:space="preserve">file a </w:t>
      </w:r>
      <w:r>
        <w:rPr>
          <w:sz w:val="24"/>
          <w:szCs w:val="24"/>
          <w:lang w:val="ro-RO"/>
        </w:rPr>
        <w:t>counterclaim.</w:t>
      </w:r>
    </w:p>
    <w:p w:rsidR="00452793" w:rsidRDefault="00452793" w:rsidP="00452793">
      <w:pPr>
        <w:ind w:firstLine="720"/>
        <w:jc w:val="both"/>
        <w:rPr>
          <w:b/>
          <w:sz w:val="24"/>
          <w:szCs w:val="24"/>
          <w:lang w:val="ro-RO"/>
        </w:rPr>
      </w:pPr>
      <w:r>
        <w:rPr>
          <w:b/>
          <w:sz w:val="24"/>
          <w:szCs w:val="24"/>
          <w:lang w:val="ro-RO"/>
        </w:rPr>
        <w:t>Details: --</w:t>
      </w:r>
    </w:p>
    <w:p w:rsidR="00452793" w:rsidRDefault="00452793" w:rsidP="00452793">
      <w:pPr>
        <w:ind w:firstLine="720"/>
        <w:jc w:val="both"/>
        <w:rPr>
          <w:sz w:val="24"/>
          <w:szCs w:val="24"/>
          <w:lang w:val="ro-RO"/>
        </w:rPr>
      </w:pPr>
      <w:r>
        <w:rPr>
          <w:b/>
          <w:bCs/>
          <w:sz w:val="24"/>
          <w:szCs w:val="24"/>
        </w:rPr>
        <w:t>Stage of trial</w:t>
      </w:r>
      <w:r>
        <w:rPr>
          <w:sz w:val="24"/>
          <w:szCs w:val="24"/>
          <w:lang w:val="ro-RO"/>
        </w:rPr>
        <w:t>:</w:t>
      </w:r>
      <w:r>
        <w:rPr>
          <w:sz w:val="24"/>
          <w:szCs w:val="24"/>
        </w:rPr>
        <w:t xml:space="preserve"> first trial</w:t>
      </w:r>
    </w:p>
    <w:p w:rsidR="00452793" w:rsidRDefault="00452793" w:rsidP="00452793">
      <w:pPr>
        <w:ind w:firstLine="720"/>
        <w:jc w:val="both"/>
        <w:rPr>
          <w:b/>
          <w:sz w:val="24"/>
          <w:szCs w:val="24"/>
          <w:lang w:val="ro-RO"/>
        </w:rPr>
      </w:pPr>
      <w:r>
        <w:rPr>
          <w:b/>
          <w:sz w:val="24"/>
          <w:szCs w:val="24"/>
          <w:lang w:val="ro-RO"/>
        </w:rPr>
        <w:t>Period: --</w:t>
      </w:r>
    </w:p>
    <w:p w:rsidR="00452793" w:rsidRDefault="00452793" w:rsidP="00452793">
      <w:pPr>
        <w:ind w:firstLine="720"/>
        <w:jc w:val="both"/>
        <w:rPr>
          <w:b/>
          <w:sz w:val="24"/>
          <w:szCs w:val="24"/>
          <w:lang w:val="it-IT"/>
        </w:rPr>
      </w:pPr>
    </w:p>
    <w:p w:rsidR="00452793" w:rsidRDefault="00452793" w:rsidP="00452793">
      <w:pPr>
        <w:jc w:val="both"/>
        <w:rPr>
          <w:b/>
          <w:sz w:val="24"/>
          <w:szCs w:val="24"/>
          <w:lang w:val="it-IT"/>
        </w:rPr>
      </w:pPr>
    </w:p>
    <w:p w:rsidR="00452793" w:rsidRDefault="00452793" w:rsidP="00452793">
      <w:pPr>
        <w:jc w:val="center"/>
        <w:rPr>
          <w:b/>
          <w:sz w:val="24"/>
          <w:szCs w:val="24"/>
        </w:rPr>
      </w:pPr>
      <w:r>
        <w:rPr>
          <w:b/>
          <w:sz w:val="24"/>
          <w:szCs w:val="24"/>
        </w:rPr>
        <w:t>Head OF THE LEGAL SERVICE </w:t>
      </w:r>
    </w:p>
    <w:p w:rsidR="00452793" w:rsidRDefault="00452793" w:rsidP="00452793">
      <w:pPr>
        <w:jc w:val="center"/>
        <w:rPr>
          <w:sz w:val="24"/>
          <w:szCs w:val="24"/>
        </w:rPr>
      </w:pPr>
      <w:r>
        <w:rPr>
          <w:b/>
          <w:sz w:val="24"/>
          <w:szCs w:val="24"/>
        </w:rPr>
        <w:t xml:space="preserve">Cons. </w:t>
      </w:r>
      <w:proofErr w:type="gramStart"/>
      <w:r>
        <w:rPr>
          <w:b/>
          <w:sz w:val="24"/>
          <w:szCs w:val="24"/>
        </w:rPr>
        <w:t>jr</w:t>
      </w:r>
      <w:proofErr w:type="gramEnd"/>
      <w:r>
        <w:rPr>
          <w:b/>
          <w:sz w:val="24"/>
          <w:szCs w:val="24"/>
        </w:rPr>
        <w:t>. </w:t>
      </w:r>
      <w:r>
        <w:rPr>
          <w:b/>
          <w:sz w:val="24"/>
          <w:szCs w:val="24"/>
          <w:lang w:val="it-IT"/>
        </w:rPr>
        <w:t>Cornel Banica</w:t>
      </w:r>
    </w:p>
    <w:p w:rsidR="00452793" w:rsidRPr="007B6361" w:rsidRDefault="00452793" w:rsidP="00452793">
      <w:pPr>
        <w:jc w:val="both"/>
        <w:rPr>
          <w:b/>
          <w:i/>
        </w:rPr>
      </w:pPr>
      <w:r w:rsidRPr="007B6361">
        <w:rPr>
          <w:b/>
          <w:i/>
        </w:rPr>
        <w:t xml:space="preserve">The undersigned, </w:t>
      </w:r>
      <w:r w:rsidRPr="007B6361">
        <w:rPr>
          <w:b/>
          <w:bCs/>
          <w:i/>
        </w:rPr>
        <w:t>MONICA ROSU</w:t>
      </w:r>
      <w:r w:rsidRPr="007B6361">
        <w:rPr>
          <w:b/>
          <w:i/>
        </w:rPr>
        <w:t xml:space="preserve">, translator authorized by the Ministry of Justice, with the authorization no. </w:t>
      </w:r>
      <w:r w:rsidRPr="007B6361">
        <w:rPr>
          <w:rFonts w:ascii="Arial" w:hAnsi="Arial" w:cs="Arial"/>
          <w:b/>
          <w:i/>
          <w:color w:val="000000"/>
          <w:shd w:val="clear" w:color="auto" w:fill="FFFFFF"/>
        </w:rPr>
        <w:t>29548</w:t>
      </w:r>
      <w:r w:rsidRPr="007B6361">
        <w:rPr>
          <w:b/>
          <w:i/>
        </w:rPr>
        <w:t>, I do  hereby certify the accuracy of this translation with the original Romanian document, which has been seen by me.</w:t>
      </w:r>
    </w:p>
    <w:p w:rsidR="00452793" w:rsidRDefault="00452793" w:rsidP="00452793">
      <w:pPr>
        <w:rPr>
          <w:b/>
          <w:i/>
        </w:rPr>
      </w:pPr>
      <w:r>
        <w:rPr>
          <w:b/>
          <w:i/>
        </w:rPr>
        <w:t xml:space="preserve">                                                                                    Translator</w:t>
      </w:r>
    </w:p>
    <w:p w:rsidR="00452793" w:rsidRDefault="00452793" w:rsidP="00452793">
      <w:pPr>
        <w:jc w:val="right"/>
        <w:rPr>
          <w:sz w:val="24"/>
          <w:szCs w:val="24"/>
        </w:rPr>
      </w:pPr>
    </w:p>
    <w:p w:rsidR="00452793" w:rsidRDefault="00452793" w:rsidP="00452793">
      <w:pPr>
        <w:jc w:val="both"/>
        <w:rPr>
          <w:sz w:val="24"/>
          <w:szCs w:val="24"/>
        </w:rPr>
      </w:pPr>
    </w:p>
    <w:p w:rsidR="00AE6869" w:rsidRPr="00E76B83" w:rsidRDefault="00AE6869" w:rsidP="00AE6869">
      <w:pPr>
        <w:widowControl/>
        <w:overflowPunct w:val="0"/>
        <w:spacing w:line="276" w:lineRule="auto"/>
        <w:jc w:val="both"/>
        <w:textAlignment w:val="baseline"/>
        <w:rPr>
          <w:rFonts w:ascii="Arial" w:hAnsi="Arial"/>
          <w:b/>
          <w:bCs/>
          <w:color w:val="1F4E79" w:themeColor="accent1" w:themeShade="80"/>
          <w:sz w:val="22"/>
          <w:szCs w:val="22"/>
        </w:rPr>
      </w:pPr>
    </w:p>
    <w:sectPr w:rsidR="00AE6869" w:rsidRPr="00E76B83" w:rsidSect="007971B7">
      <w:headerReference w:type="default" r:id="rId40"/>
      <w:footerReference w:type="even" r:id="rId41"/>
      <w:footerReference w:type="default" r:id="rId42"/>
      <w:footerReference w:type="first" r:id="rId43"/>
      <w:pgSz w:w="11906" w:h="16838"/>
      <w:pgMar w:top="1440" w:right="1800" w:bottom="1440" w:left="1800" w:header="720" w:footer="720" w:gutter="0"/>
      <w:pgNumType w:start="5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DA4" w:rsidRDefault="00D87DA4" w:rsidP="00EB3498">
      <w:r>
        <w:separator/>
      </w:r>
    </w:p>
  </w:endnote>
  <w:endnote w:type="continuationSeparator" w:id="0">
    <w:p w:rsidR="00D87DA4" w:rsidRDefault="00D87DA4" w:rsidP="00EB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KPMG Logo">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45 Light">
    <w:charset w:val="00"/>
    <w:family w:val="auto"/>
    <w:pitch w:val="variable"/>
    <w:sig w:usb0="8000002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Y Gothic Comp BookPS">
    <w:altName w:val="Arial"/>
    <w:panose1 w:val="00000000000000000000"/>
    <w:charset w:val="00"/>
    <w:family w:val="swiss"/>
    <w:notTrueType/>
    <w:pitch w:val="variable"/>
    <w:sig w:usb0="00000083" w:usb1="00000000" w:usb2="00000000" w:usb3="00000000" w:csb0="00000009"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507" w:rsidRPr="001D737F" w:rsidRDefault="003F1507" w:rsidP="001D737F">
    <w:pPr>
      <w:pStyle w:val="Footer"/>
      <w:jc w:val="center"/>
      <w:rPr>
        <w:rFonts w:ascii="Arial" w:hAnsi="Arial" w:cs="Arial"/>
        <w:sz w:val="22"/>
        <w:szCs w:val="22"/>
      </w:rPr>
    </w:pPr>
    <w:r>
      <w:rPr>
        <w:rFonts w:ascii="Arial" w:hAnsi="Arial"/>
        <w:sz w:val="22"/>
        <w:szCs w:val="22"/>
      </w:rPr>
      <w:t>54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852812"/>
      <w:docPartObj>
        <w:docPartGallery w:val="Page Numbers (Bottom of Page)"/>
        <w:docPartUnique/>
      </w:docPartObj>
    </w:sdtPr>
    <w:sdtEndPr>
      <w:rPr>
        <w:noProof/>
      </w:rPr>
    </w:sdtEndPr>
    <w:sdtContent>
      <w:p w:rsidR="003F1507" w:rsidRDefault="003F1507">
        <w:pPr>
          <w:pStyle w:val="Footer"/>
          <w:jc w:val="center"/>
        </w:pPr>
        <w:r>
          <w:rPr>
            <w:noProof/>
            <w:lang w:eastAsia="en-US"/>
          </w:rPr>
          <mc:AlternateContent>
            <mc:Choice Requires="wps">
              <w:drawing>
                <wp:inline distT="0" distB="0" distL="0" distR="0" wp14:anchorId="654DFCD6" wp14:editId="7BE9819E">
                  <wp:extent cx="5467350" cy="54610"/>
                  <wp:effectExtent l="38100" t="0" r="0" b="21590"/>
                  <wp:docPr id="5"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1">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57056AE" id="_x0000_t110" coordsize="21600,21600" o:spt="110" path="m10800,l,10800,10800,21600,21600,10800xe">
                  <v:stroke joinstyle="miter"/>
                  <v:path gradientshapeok="t" o:connecttype="rect" textboxrect="5400,5400,16200,16200"/>
                </v:shapetype>
                <v:shape id="Flowchart: Decision 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" fillcolor="#1f4d78 [1604]">
                  <w10:anchorlock/>
                </v:shape>
              </w:pict>
            </mc:Fallback>
          </mc:AlternateContent>
        </w:r>
      </w:p>
      <w:p w:rsidR="003F1507" w:rsidRDefault="003F1507">
        <w:pPr>
          <w:pStyle w:val="Footer"/>
          <w:jc w:val="center"/>
        </w:pPr>
        <w:r>
          <w:fldChar w:fldCharType="begin"/>
        </w:r>
        <w:r>
          <w:instrText xml:space="preserve"> PAGE    \* MERGEFORMAT </w:instrText>
        </w:r>
        <w:r>
          <w:fldChar w:fldCharType="separate"/>
        </w:r>
        <w:r w:rsidR="00740567">
          <w:rPr>
            <w:noProof/>
          </w:rPr>
          <w:t>54</w:t>
        </w:r>
        <w:r>
          <w:fldChar w:fldCharType="end"/>
        </w:r>
      </w:p>
    </w:sdtContent>
  </w:sdt>
  <w:p w:rsidR="003F1507" w:rsidRDefault="003F1507" w:rsidP="00EF61D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507" w:rsidRDefault="003F1507">
    <w:pPr>
      <w:pStyle w:val="Footer"/>
    </w:pP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507" w:rsidRPr="001D737F" w:rsidRDefault="007971B7" w:rsidP="001D737F">
    <w:pPr>
      <w:pStyle w:val="Footer"/>
      <w:jc w:val="center"/>
      <w:rPr>
        <w:rFonts w:ascii="Arial" w:hAnsi="Arial" w:cs="Arial"/>
        <w:sz w:val="22"/>
        <w:szCs w:val="22"/>
      </w:rPr>
    </w:pPr>
    <w:r>
      <w:rPr>
        <w:noProof/>
        <w:lang w:eastAsia="en-US"/>
      </w:rPr>
      <mc:AlternateContent>
        <mc:Choice Requires="wps">
          <w:drawing>
            <wp:inline distT="0" distB="0" distL="0" distR="0" wp14:anchorId="62050F40" wp14:editId="7726F5D8">
              <wp:extent cx="5274310" cy="52682"/>
              <wp:effectExtent l="38100" t="0" r="2540" b="24130"/>
              <wp:docPr id="66" name="Flowchart: Decisio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52682"/>
                      </a:xfrm>
                      <a:prstGeom prst="flowChartDecision">
                        <a:avLst/>
                      </a:prstGeom>
                      <a:solidFill>
                        <a:schemeClr val="accent1">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30EE45D" id="_x0000_t110" coordsize="21600,21600" o:spt="110" path="m10800,l,10800,10800,21600,21600,10800xe">
              <v:stroke joinstyle="miter"/>
              <v:path gradientshapeok="t" o:connecttype="rect" textboxrect="5400,5400,16200,16200"/>
            </v:shapetype>
            <v:shape id="Flowchart: Decision 66" o:spid="_x0000_s1026" type="#_x0000_t110" style="width:415.3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" fillcolor="#1f4d78 [1604]">
              <w10:anchorlock/>
            </v:shape>
          </w:pict>
        </mc:Fallback>
      </mc:AlternateContent>
    </w:r>
    <w:r>
      <w:rPr>
        <w:rFonts w:ascii="Arial" w:hAnsi="Arial"/>
        <w:sz w:val="22"/>
        <w:szCs w:val="22"/>
      </w:rPr>
      <w:t>59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077374"/>
      <w:docPartObj>
        <w:docPartGallery w:val="Page Numbers (Bottom of Page)"/>
        <w:docPartUnique/>
      </w:docPartObj>
    </w:sdtPr>
    <w:sdtEndPr>
      <w:rPr>
        <w:noProof/>
      </w:rPr>
    </w:sdtEndPr>
    <w:sdtContent>
      <w:p w:rsidR="003F1507" w:rsidRDefault="003F1507">
        <w:pPr>
          <w:pStyle w:val="Footer"/>
          <w:jc w:val="center"/>
        </w:pPr>
        <w:r>
          <w:rPr>
            <w:noProof/>
            <w:lang w:eastAsia="en-US"/>
          </w:rPr>
          <mc:AlternateContent>
            <mc:Choice Requires="wps">
              <w:drawing>
                <wp:inline distT="0" distB="0" distL="0" distR="0">
                  <wp:extent cx="5467350" cy="54610"/>
                  <wp:effectExtent l="38100" t="0" r="0" b="21590"/>
                  <wp:docPr id="2" name="Flowchart: Decisi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1">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808C435" id="_x0000_t110" coordsize="21600,21600" o:spt="110" path="m10800,l,10800,10800,21600,21600,10800xe">
                  <v:stroke joinstyle="miter"/>
                  <v:path gradientshapeok="t" o:connecttype="rect" textboxrect="5400,5400,16200,16200"/>
                </v:shapetype>
                <v:shape id="Flowchart: Decision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" fillcolor="#1f4d78 [1604]">
                  <w10:anchorlock/>
                </v:shape>
              </w:pict>
            </mc:Fallback>
          </mc:AlternateContent>
        </w:r>
      </w:p>
      <w:p w:rsidR="003F1507" w:rsidRDefault="00452793">
        <w:pPr>
          <w:pStyle w:val="Footer"/>
          <w:jc w:val="center"/>
        </w:pPr>
        <w:r>
          <w:t>56</w:t>
        </w:r>
      </w:p>
    </w:sdtContent>
  </w:sdt>
  <w:p w:rsidR="003F1507" w:rsidRDefault="003F1507" w:rsidP="00EF61D1">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1B7" w:rsidRDefault="007971B7" w:rsidP="007971B7">
    <w:pPr>
      <w:pStyle w:val="Footer"/>
      <w:jc w:val="center"/>
    </w:pPr>
    <w:r>
      <w:rPr>
        <w:noProof/>
        <w:lang w:eastAsia="en-US"/>
      </w:rPr>
      <mc:AlternateContent>
        <mc:Choice Requires="wps">
          <w:drawing>
            <wp:inline distT="0" distB="0" distL="0" distR="0" wp14:anchorId="7560468C" wp14:editId="097F507D">
              <wp:extent cx="5274310" cy="52682"/>
              <wp:effectExtent l="38100" t="0" r="2540" b="24130"/>
              <wp:docPr id="64" name="Flowchart: Decisio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52682"/>
                      </a:xfrm>
                      <a:prstGeom prst="flowChartDecision">
                        <a:avLst/>
                      </a:prstGeom>
                      <a:solidFill>
                        <a:schemeClr val="accent1">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58CC0E8" id="_x0000_t110" coordsize="21600,21600" o:spt="110" path="m10800,l,10800,10800,21600,21600,10800xe">
              <v:stroke joinstyle="miter"/>
              <v:path gradientshapeok="t" o:connecttype="rect" textboxrect="5400,5400,16200,16200"/>
            </v:shapetype>
            <v:shape id="Flowchart: Decision 64" o:spid="_x0000_s1026" type="#_x0000_t110" style="width:415.3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" fillcolor="#1f4d78 [1604]">
              <w10:anchorlock/>
            </v:shape>
          </w:pict>
        </mc:Fallback>
      </mc:AlternateContent>
    </w:r>
    <w:r>
      <w:t>5</w:t>
    </w:r>
    <w:r>
      <w:t>7</w:t>
    </w:r>
  </w:p>
  <w:p w:rsidR="003F1507" w:rsidRDefault="003F1507">
    <w:pPr>
      <w:pStyle w:val="Footer"/>
    </w:pPr>
    <w: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1B7" w:rsidRPr="001D737F" w:rsidRDefault="007971B7" w:rsidP="001D737F">
    <w:pPr>
      <w:pStyle w:val="Footer"/>
      <w:jc w:val="center"/>
      <w:rPr>
        <w:rFonts w:ascii="Arial" w:hAnsi="Arial" w:cs="Arial"/>
        <w:sz w:val="22"/>
        <w:szCs w:val="22"/>
      </w:rPr>
    </w:pPr>
    <w:r>
      <w:rPr>
        <w:noProof/>
        <w:lang w:eastAsia="en-US"/>
      </w:rPr>
      <mc:AlternateContent>
        <mc:Choice Requires="wps">
          <w:drawing>
            <wp:inline distT="0" distB="0" distL="0" distR="0" wp14:anchorId="6B1865B8" wp14:editId="22033AD5">
              <wp:extent cx="5274310" cy="52682"/>
              <wp:effectExtent l="38100" t="0" r="2540" b="24130"/>
              <wp:docPr id="67" name="Flowchart: Decisio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52682"/>
                      </a:xfrm>
                      <a:prstGeom prst="flowChartDecision">
                        <a:avLst/>
                      </a:prstGeom>
                      <a:solidFill>
                        <a:schemeClr val="accent1">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01E2E1E" id="_x0000_t110" coordsize="21600,21600" o:spt="110" path="m10800,l,10800,10800,21600,21600,10800xe">
              <v:stroke joinstyle="miter"/>
              <v:path gradientshapeok="t" o:connecttype="rect" textboxrect="5400,5400,16200,16200"/>
            </v:shapetype>
            <v:shape id="Flowchart: Decision 67" o:spid="_x0000_s1026" type="#_x0000_t110" style="width:415.3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" fillcolor="#1f4d78 [1604]">
              <w10:anchorlock/>
            </v:shape>
          </w:pict>
        </mc:Fallback>
      </mc:AlternateContent>
    </w:r>
    <w:r>
      <w:t>58</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292802"/>
      <w:docPartObj>
        <w:docPartGallery w:val="Page Numbers (Bottom of Page)"/>
        <w:docPartUnique/>
      </w:docPartObj>
    </w:sdtPr>
    <w:sdtEndPr>
      <w:rPr>
        <w:noProof/>
      </w:rPr>
    </w:sdtEndPr>
    <w:sdtContent>
      <w:p w:rsidR="00452793" w:rsidRDefault="00452793">
        <w:pPr>
          <w:pStyle w:val="Footer"/>
          <w:jc w:val="center"/>
        </w:pPr>
        <w:r>
          <w:rPr>
            <w:noProof/>
            <w:lang w:eastAsia="en-US"/>
          </w:rPr>
          <mc:AlternateContent>
            <mc:Choice Requires="wps">
              <w:drawing>
                <wp:inline distT="0" distB="0" distL="0" distR="0" wp14:anchorId="17C9077B" wp14:editId="1630B5EE">
                  <wp:extent cx="5467350" cy="54610"/>
                  <wp:effectExtent l="38100" t="0" r="0" b="21590"/>
                  <wp:docPr id="48" name="Flowchart: Decisio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1">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C775074" id="_x0000_t110" coordsize="21600,21600" o:spt="110" path="m10800,l,10800,10800,21600,21600,10800xe">
                  <v:stroke joinstyle="miter"/>
                  <v:path gradientshapeok="t" o:connecttype="rect" textboxrect="5400,5400,16200,16200"/>
                </v:shapetype>
                <v:shape id="Flowchart: Decision 4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" fillcolor="#1f4d78 [1604]">
                  <w10:anchorlock/>
                </v:shape>
              </w:pict>
            </mc:Fallback>
          </mc:AlternateContent>
        </w:r>
      </w:p>
      <w:p w:rsidR="00452793" w:rsidRDefault="007971B7">
        <w:pPr>
          <w:pStyle w:val="Footer"/>
          <w:jc w:val="center"/>
        </w:pPr>
        <w:r>
          <w:t>58</w:t>
        </w:r>
      </w:p>
    </w:sdtContent>
  </w:sdt>
  <w:p w:rsidR="00452793" w:rsidRDefault="00452793" w:rsidP="00EF61D1">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1B7" w:rsidRDefault="007971B7" w:rsidP="007971B7">
    <w:pPr>
      <w:pStyle w:val="Footer"/>
      <w:jc w:val="center"/>
    </w:pPr>
    <w:r>
      <w:rPr>
        <w:noProof/>
        <w:lang w:eastAsia="en-US"/>
      </w:rPr>
      <mc:AlternateContent>
        <mc:Choice Requires="wps">
          <w:drawing>
            <wp:inline distT="0" distB="0" distL="0" distR="0" wp14:anchorId="1059FB76" wp14:editId="67109BD5">
              <wp:extent cx="5274310" cy="52682"/>
              <wp:effectExtent l="38100" t="0" r="2540" b="24130"/>
              <wp:docPr id="65" name="Flowchart: Decisio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52682"/>
                      </a:xfrm>
                      <a:prstGeom prst="flowChartDecision">
                        <a:avLst/>
                      </a:prstGeom>
                      <a:solidFill>
                        <a:schemeClr val="accent1">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E83E70A" id="_x0000_t110" coordsize="21600,21600" o:spt="110" path="m10800,l,10800,10800,21600,21600,10800xe">
              <v:stroke joinstyle="miter"/>
              <v:path gradientshapeok="t" o:connecttype="rect" textboxrect="5400,5400,16200,16200"/>
            </v:shapetype>
            <v:shape id="Flowchart: Decision 65" o:spid="_x0000_s1026" type="#_x0000_t110" style="width:415.3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" fillcolor="#1f4d78 [1604]">
              <w10:anchorlock/>
            </v:shape>
          </w:pict>
        </mc:Fallback>
      </mc:AlternateContent>
    </w:r>
    <w:r>
      <w:t>5</w:t>
    </w:r>
    <w:r>
      <w:t>7</w:t>
    </w:r>
  </w:p>
  <w:p w:rsidR="007971B7" w:rsidRDefault="007971B7">
    <w:pPr>
      <w:pStyle w:val="Footer"/>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DA4" w:rsidRDefault="00D87DA4" w:rsidP="00EB3498">
      <w:r>
        <w:separator/>
      </w:r>
    </w:p>
  </w:footnote>
  <w:footnote w:type="continuationSeparator" w:id="0">
    <w:p w:rsidR="00D87DA4" w:rsidRDefault="00D87DA4" w:rsidP="00EB3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507" w:rsidRPr="00A74CF5" w:rsidRDefault="003F1507" w:rsidP="00907DF4">
    <w:pPr>
      <w:pStyle w:val="Header"/>
      <w:pBdr>
        <w:bottom w:val="single" w:sz="4" w:space="0" w:color="auto"/>
      </w:pBdr>
      <w:rPr>
        <w:rFonts w:ascii="Arial" w:hAnsi="Arial" w:cs="Arial"/>
        <w:sz w:val="18"/>
        <w:szCs w:val="18"/>
      </w:rPr>
    </w:pPr>
    <w:r>
      <w:rPr>
        <w:rFonts w:ascii="Arial" w:hAnsi="Arial"/>
        <w:sz w:val="18"/>
        <w:szCs w:val="18"/>
      </w:rPr>
      <w:t xml:space="preserve"> </w:t>
    </w:r>
    <w:r>
      <w:rPr>
        <w:rFonts w:ascii="Arial" w:hAnsi="Arial"/>
        <w:b/>
        <w:i/>
        <w:color w:val="1F4E79" w:themeColor="accent1" w:themeShade="80"/>
        <w:sz w:val="18"/>
        <w:szCs w:val="18"/>
      </w:rPr>
      <w:t xml:space="preserve">2018 H1 Administrators’ Report </w:t>
    </w:r>
    <w:r>
      <w:rPr>
        <w:rFonts w:ascii="Arial" w:hAnsi="Arial"/>
        <w:b/>
        <w:i/>
        <w:color w:val="1F4E79" w:themeColor="accent1" w:themeShade="80"/>
      </w:rPr>
      <w:t xml:space="preserve">          </w:t>
    </w:r>
    <w:r>
      <w:rPr>
        <w:rFonts w:ascii="Arial" w:hAnsi="Arial"/>
        <w:color w:val="1F4E79" w:themeColor="accent1" w:themeShade="80"/>
      </w:rPr>
      <w:t xml:space="preserve">                                                        </w:t>
    </w:r>
    <w:r>
      <w:rPr>
        <w:noProof/>
        <w:lang w:eastAsia="en-US"/>
      </w:rPr>
      <w:drawing>
        <wp:inline distT="0" distB="0" distL="0" distR="0" wp14:anchorId="64A6DDDC" wp14:editId="709A27F2">
          <wp:extent cx="948802" cy="18669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8128" cy="200331"/>
                  </a:xfrm>
                  <a:prstGeom prst="rect">
                    <a:avLst/>
                  </a:prstGeom>
                </pic:spPr>
              </pic:pic>
            </a:graphicData>
          </a:graphic>
        </wp:inline>
      </w:drawing>
    </w:r>
  </w:p>
  <w:p w:rsidR="003F1507" w:rsidRPr="00A74CF5" w:rsidRDefault="003F1507" w:rsidP="00022D5C">
    <w:pPr>
      <w:pStyle w:val="Header"/>
      <w:tabs>
        <w:tab w:val="clear" w:pos="9360"/>
        <w:tab w:val="left" w:pos="933"/>
        <w:tab w:val="right" w:pos="14990"/>
      </w:tabs>
      <w:rPr>
        <w:rFonts w:ascii="Arial" w:hAnsi="Arial" w:cs="Arial"/>
        <w:sz w:val="18"/>
        <w:szCs w:val="18"/>
      </w:rPr>
    </w:pPr>
    <w:r>
      <w:rPr>
        <w:rFonts w:ascii="Arial" w:hAnsi="Arial"/>
        <w:sz w:val="18"/>
        <w:szCs w:val="18"/>
      </w:rPr>
      <w:tab/>
    </w:r>
    <w:r>
      <w:rPr>
        <w:rFonts w:ascii="Arial" w:hAnsi="Arial"/>
        <w:sz w:val="18"/>
        <w:szCs w:val="18"/>
      </w:rPr>
      <w:tab/>
    </w:r>
    <w:r>
      <w:rPr>
        <w:i/>
        <w:noProof/>
        <w:lang w:eastAsia="en-US"/>
      </w:rPr>
      <mc:AlternateContent>
        <mc:Choice Requires="wps">
          <w:drawing>
            <wp:anchor distT="0" distB="0" distL="114300" distR="114300" simplePos="0" relativeHeight="251661312" behindDoc="0" locked="0" layoutInCell="1" allowOverlap="1" wp14:anchorId="64FB65C0" wp14:editId="1B7B53E3">
              <wp:simplePos x="0" y="0"/>
              <wp:positionH relativeFrom="column">
                <wp:posOffset>0</wp:posOffset>
              </wp:positionH>
              <wp:positionV relativeFrom="paragraph">
                <wp:posOffset>0</wp:posOffset>
              </wp:positionV>
              <wp:extent cx="5943600" cy="58"/>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5943600" cy="58"/>
                      </a:xfrm>
                      <a:prstGeom prst="line">
                        <a:avLst/>
                      </a:prstGeom>
                      <a:noFill/>
                      <a:ln w="1905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F8D645"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" strokecolor="#1f4e79" strokeweight="1.5pt">
              <v:stroke joinstyle="miter"/>
            </v:line>
          </w:pict>
        </mc:Fallback>
      </mc:AlternateContent>
    </w:r>
    <w:r>
      <w:rPr>
        <w:rFonts w:ascii="Arial" w:hAnsi="Arial"/>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507" w:rsidRDefault="003F1507">
    <w:pPr>
      <w:pStyle w:val="Header"/>
    </w:pPr>
    <w:r>
      <w:rPr>
        <w:noProof/>
      </w:rPr>
      <w:drawing>
        <wp:inline distT="0" distB="0" distL="0" distR="0" wp14:anchorId="47A485DD" wp14:editId="0DB04801">
          <wp:extent cx="5935345" cy="886971"/>
          <wp:effectExtent l="0" t="0" r="0" b="8890"/>
          <wp:docPr id="11" name="Picture 11" descr="Antet Conpet 2018_sus_EN (2)"/>
          <wp:cNvGraphicFramePr/>
          <a:graphic xmlns:a="http://schemas.openxmlformats.org/drawingml/2006/main">
            <a:graphicData uri="http://schemas.openxmlformats.org/drawingml/2006/picture">
              <pic:pic xmlns:pic="http://schemas.openxmlformats.org/drawingml/2006/picture">
                <pic:nvPicPr>
                  <pic:cNvPr id="15" name="Picture 15" descr="Antet Conpet 2018_sus_EN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5345" cy="88697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507" w:rsidRPr="00A74CF5" w:rsidRDefault="003F1507" w:rsidP="00907DF4">
    <w:pPr>
      <w:pStyle w:val="Header"/>
      <w:pBdr>
        <w:bottom w:val="single" w:sz="4" w:space="0" w:color="auto"/>
      </w:pBdr>
      <w:rPr>
        <w:rFonts w:ascii="Arial" w:hAnsi="Arial" w:cs="Arial"/>
        <w:sz w:val="18"/>
        <w:szCs w:val="18"/>
      </w:rPr>
    </w:pPr>
    <w:r>
      <w:rPr>
        <w:rFonts w:ascii="Arial" w:hAnsi="Arial"/>
        <w:sz w:val="18"/>
        <w:szCs w:val="18"/>
      </w:rPr>
      <w:t xml:space="preserve"> </w:t>
    </w:r>
    <w:r>
      <w:rPr>
        <w:rFonts w:ascii="Arial" w:hAnsi="Arial"/>
        <w:b/>
        <w:i/>
        <w:color w:val="1F4E79" w:themeColor="accent1" w:themeShade="80"/>
        <w:sz w:val="18"/>
        <w:szCs w:val="18"/>
      </w:rPr>
      <w:t xml:space="preserve">2018 H1 Administrators’ Report </w:t>
    </w:r>
    <w:r>
      <w:rPr>
        <w:rFonts w:ascii="Arial" w:hAnsi="Arial"/>
        <w:b/>
        <w:i/>
        <w:color w:val="1F4E79" w:themeColor="accent1" w:themeShade="80"/>
      </w:rPr>
      <w:t xml:space="preserve">          </w:t>
    </w:r>
    <w:r>
      <w:rPr>
        <w:rFonts w:ascii="Arial" w:hAnsi="Arial"/>
        <w:color w:val="1F4E79" w:themeColor="accent1" w:themeShade="80"/>
      </w:rPr>
      <w:t xml:space="preserve">                                                        </w:t>
    </w:r>
    <w:r>
      <w:rPr>
        <w:noProof/>
        <w:lang w:eastAsia="en-US"/>
      </w:rPr>
      <w:drawing>
        <wp:inline distT="0" distB="0" distL="0" distR="0" wp14:anchorId="0568183D" wp14:editId="05768D78">
          <wp:extent cx="948802" cy="186690"/>
          <wp:effectExtent l="0" t="0" r="3810" b="381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8128" cy="200331"/>
                  </a:xfrm>
                  <a:prstGeom prst="rect">
                    <a:avLst/>
                  </a:prstGeom>
                </pic:spPr>
              </pic:pic>
            </a:graphicData>
          </a:graphic>
        </wp:inline>
      </w:drawing>
    </w:r>
  </w:p>
  <w:p w:rsidR="003F1507" w:rsidRPr="00A74CF5" w:rsidRDefault="003F1507" w:rsidP="00022D5C">
    <w:pPr>
      <w:pStyle w:val="Header"/>
      <w:tabs>
        <w:tab w:val="clear" w:pos="9360"/>
        <w:tab w:val="left" w:pos="933"/>
        <w:tab w:val="right" w:pos="14990"/>
      </w:tabs>
      <w:rPr>
        <w:rFonts w:ascii="Arial" w:hAnsi="Arial" w:cs="Arial"/>
        <w:sz w:val="18"/>
        <w:szCs w:val="18"/>
      </w:rPr>
    </w:pPr>
    <w:r>
      <w:rPr>
        <w:rFonts w:ascii="Arial" w:hAnsi="Arial"/>
        <w:sz w:val="18"/>
        <w:szCs w:val="18"/>
      </w:rPr>
      <w:tab/>
    </w:r>
    <w:r>
      <w:rPr>
        <w:rFonts w:ascii="Arial" w:hAnsi="Arial"/>
        <w:sz w:val="18"/>
        <w:szCs w:val="18"/>
      </w:rPr>
      <w:tab/>
    </w:r>
    <w:r>
      <w:rPr>
        <w:i/>
        <w:noProof/>
        <w:lang w:eastAsia="en-US"/>
      </w:rPr>
      <mc:AlternateContent>
        <mc:Choice Requires="wps">
          <w:drawing>
            <wp:anchor distT="0" distB="0" distL="114300" distR="114300" simplePos="0" relativeHeight="251659264" behindDoc="0" locked="0" layoutInCell="1" allowOverlap="1" wp14:anchorId="301DD5A3" wp14:editId="0399AC07">
              <wp:simplePos x="0" y="0"/>
              <wp:positionH relativeFrom="column">
                <wp:posOffset>0</wp:posOffset>
              </wp:positionH>
              <wp:positionV relativeFrom="paragraph">
                <wp:posOffset>0</wp:posOffset>
              </wp:positionV>
              <wp:extent cx="5943600" cy="58"/>
              <wp:effectExtent l="0" t="0" r="19050" b="19050"/>
              <wp:wrapNone/>
              <wp:docPr id="56" name="Straight Connector 56"/>
              <wp:cNvGraphicFramePr/>
              <a:graphic xmlns:a="http://schemas.openxmlformats.org/drawingml/2006/main">
                <a:graphicData uri="http://schemas.microsoft.com/office/word/2010/wordprocessingShape">
                  <wps:wsp>
                    <wps:cNvCnPr/>
                    <wps:spPr>
                      <a:xfrm flipV="1">
                        <a:off x="0" y="0"/>
                        <a:ext cx="5943600" cy="58"/>
                      </a:xfrm>
                      <a:prstGeom prst="line">
                        <a:avLst/>
                      </a:prstGeom>
                      <a:noFill/>
                      <a:ln w="1905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C70309" id="Straight Connector 5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" strokecolor="#1f4e79" strokeweight="1.5pt">
              <v:stroke joinstyle="miter"/>
            </v:line>
          </w:pict>
        </mc:Fallback>
      </mc:AlternateContent>
    </w:r>
    <w:r>
      <w:rPr>
        <w:rFonts w:ascii="Arial" w:hAnsi="Arial"/>
        <w:sz w:val="18"/>
        <w:szCs w:val="18"/>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507" w:rsidRDefault="003F1507">
    <w:pPr>
      <w:pStyle w:val="Header"/>
    </w:pPr>
    <w:r>
      <w:rPr>
        <w:noProof/>
        <w:lang w:eastAsia="en-US"/>
      </w:rPr>
      <w:drawing>
        <wp:inline distT="0" distB="0" distL="0" distR="0">
          <wp:extent cx="5935345" cy="849183"/>
          <wp:effectExtent l="0" t="0" r="0" b="8255"/>
          <wp:docPr id="45" name="Picture 45" descr="Antet Conpet 2018_sus_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Conpet 2018_sus_R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345" cy="849183"/>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60D" w:rsidRPr="00A74CF5" w:rsidRDefault="0030460D" w:rsidP="00907DF4">
    <w:pPr>
      <w:pStyle w:val="Header"/>
      <w:pBdr>
        <w:bottom w:val="single" w:sz="4" w:space="0" w:color="auto"/>
      </w:pBdr>
      <w:rPr>
        <w:rFonts w:ascii="Arial" w:hAnsi="Arial" w:cs="Arial"/>
        <w:sz w:val="18"/>
        <w:szCs w:val="18"/>
      </w:rPr>
    </w:pPr>
    <w:r>
      <w:rPr>
        <w:rFonts w:ascii="Arial" w:hAnsi="Arial"/>
        <w:sz w:val="18"/>
        <w:szCs w:val="18"/>
      </w:rPr>
      <w:t xml:space="preserve"> </w:t>
    </w:r>
    <w:r>
      <w:rPr>
        <w:rFonts w:ascii="Arial" w:hAnsi="Arial"/>
        <w:b/>
        <w:i/>
        <w:color w:val="1F4E79" w:themeColor="accent1" w:themeShade="80"/>
        <w:sz w:val="18"/>
        <w:szCs w:val="18"/>
      </w:rPr>
      <w:t xml:space="preserve">2018 H1 Administrators’ Report </w:t>
    </w:r>
    <w:r>
      <w:rPr>
        <w:rFonts w:ascii="Arial" w:hAnsi="Arial"/>
        <w:b/>
        <w:i/>
        <w:color w:val="1F4E79" w:themeColor="accent1" w:themeShade="80"/>
      </w:rPr>
      <w:t xml:space="preserve">          </w:t>
    </w:r>
    <w:r>
      <w:rPr>
        <w:rFonts w:ascii="Arial" w:hAnsi="Arial"/>
        <w:color w:val="1F4E79" w:themeColor="accent1" w:themeShade="80"/>
      </w:rPr>
      <w:t xml:space="preserve">                                                        </w:t>
    </w:r>
    <w:r>
      <w:rPr>
        <w:noProof/>
        <w:lang w:eastAsia="en-US"/>
      </w:rPr>
      <w:drawing>
        <wp:inline distT="0" distB="0" distL="0" distR="0" wp14:anchorId="5FF6159D" wp14:editId="7EA81846">
          <wp:extent cx="948802" cy="186690"/>
          <wp:effectExtent l="0" t="0" r="3810" b="3810"/>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8128" cy="200331"/>
                  </a:xfrm>
                  <a:prstGeom prst="rect">
                    <a:avLst/>
                  </a:prstGeom>
                </pic:spPr>
              </pic:pic>
            </a:graphicData>
          </a:graphic>
        </wp:inline>
      </w:drawing>
    </w:r>
  </w:p>
  <w:p w:rsidR="0030460D" w:rsidRPr="00A74CF5" w:rsidRDefault="0030460D" w:rsidP="00022D5C">
    <w:pPr>
      <w:pStyle w:val="Header"/>
      <w:tabs>
        <w:tab w:val="clear" w:pos="9360"/>
        <w:tab w:val="left" w:pos="933"/>
        <w:tab w:val="right" w:pos="14990"/>
      </w:tabs>
      <w:rPr>
        <w:rFonts w:ascii="Arial" w:hAnsi="Arial" w:cs="Arial"/>
        <w:sz w:val="18"/>
        <w:szCs w:val="18"/>
      </w:rPr>
    </w:pPr>
    <w:r>
      <w:rPr>
        <w:rFonts w:ascii="Arial" w:hAnsi="Arial"/>
        <w:sz w:val="18"/>
        <w:szCs w:val="18"/>
      </w:rPr>
      <w:tab/>
    </w:r>
    <w:r>
      <w:rPr>
        <w:rFonts w:ascii="Arial" w:hAnsi="Arial"/>
        <w:sz w:val="18"/>
        <w:szCs w:val="18"/>
      </w:rPr>
      <w:tab/>
    </w:r>
    <w:r>
      <w:rPr>
        <w:i/>
        <w:noProof/>
        <w:lang w:eastAsia="en-US"/>
      </w:rPr>
      <mc:AlternateContent>
        <mc:Choice Requires="wps">
          <w:drawing>
            <wp:anchor distT="0" distB="0" distL="114300" distR="114300" simplePos="0" relativeHeight="251663360" behindDoc="0" locked="0" layoutInCell="1" allowOverlap="1" wp14:anchorId="11B83962" wp14:editId="637E1321">
              <wp:simplePos x="0" y="0"/>
              <wp:positionH relativeFrom="column">
                <wp:posOffset>0</wp:posOffset>
              </wp:positionH>
              <wp:positionV relativeFrom="paragraph">
                <wp:posOffset>0</wp:posOffset>
              </wp:positionV>
              <wp:extent cx="5943600" cy="58"/>
              <wp:effectExtent l="0" t="0" r="19050" b="19050"/>
              <wp:wrapNone/>
              <wp:docPr id="49" name="Straight Connector 49"/>
              <wp:cNvGraphicFramePr/>
              <a:graphic xmlns:a="http://schemas.openxmlformats.org/drawingml/2006/main">
                <a:graphicData uri="http://schemas.microsoft.com/office/word/2010/wordprocessingShape">
                  <wps:wsp>
                    <wps:cNvCnPr/>
                    <wps:spPr>
                      <a:xfrm flipV="1">
                        <a:off x="0" y="0"/>
                        <a:ext cx="5943600" cy="58"/>
                      </a:xfrm>
                      <a:prstGeom prst="line">
                        <a:avLst/>
                      </a:prstGeom>
                      <a:noFill/>
                      <a:ln w="1905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7F63D5" id="Straight Connector 4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" strokecolor="#1f4e79" strokeweight="1.5pt">
              <v:stroke joinstyle="miter"/>
            </v:line>
          </w:pict>
        </mc:Fallback>
      </mc:AlternateContent>
    </w:r>
    <w:r>
      <w:rPr>
        <w:rFonts w:ascii="Arial" w:hAnsi="Arial"/>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0F4"/>
    <w:multiLevelType w:val="multilevel"/>
    <w:tmpl w:val="000F70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53036"/>
    <w:multiLevelType w:val="multilevel"/>
    <w:tmpl w:val="03D53036"/>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2" w15:restartNumberingAfterBreak="0">
    <w:nsid w:val="051C3977"/>
    <w:multiLevelType w:val="hybridMultilevel"/>
    <w:tmpl w:val="501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9410C"/>
    <w:multiLevelType w:val="hybridMultilevel"/>
    <w:tmpl w:val="593E0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CC3B45"/>
    <w:multiLevelType w:val="multilevel"/>
    <w:tmpl w:val="B7C4622C"/>
    <w:lvl w:ilvl="0">
      <w:start w:val="1"/>
      <w:numFmt w:val="bullet"/>
      <w:lvlText w:val=""/>
      <w:lvlJc w:val="left"/>
      <w:pPr>
        <w:tabs>
          <w:tab w:val="num" w:pos="720"/>
        </w:tabs>
        <w:ind w:left="720" w:hanging="360"/>
      </w:pPr>
      <w:rPr>
        <w:rFonts w:ascii="Symbol" w:hAnsi="Symbol" w:hint="default"/>
        <w:color w:val="auto"/>
        <w:sz w:val="22"/>
      </w:rPr>
    </w:lvl>
    <w:lvl w:ilvl="1">
      <w:start w:val="65535"/>
      <w:numFmt w:val="bullet"/>
      <w:lvlText w:val="•"/>
      <w:lvlJc w:val="left"/>
      <w:pPr>
        <w:ind w:left="1440" w:hanging="360"/>
      </w:pPr>
      <w:rPr>
        <w:rFonts w:ascii="Times New Roman" w:hAnsi="Times New Roman" w:cs="Times New Roman" w:hint="default"/>
      </w:rPr>
    </w:lvl>
    <w:lvl w:ilvl="2">
      <w:start w:val="1"/>
      <w:numFmt w:val="lowerRoman"/>
      <w:lvlText w:val="%3."/>
      <w:lvlJc w:val="left"/>
      <w:pPr>
        <w:ind w:left="2520" w:hanging="720"/>
      </w:pPr>
      <w:rPr>
        <w:rFonts w:hint="default"/>
      </w:rPr>
    </w:lvl>
    <w:lvl w:ilvl="3">
      <w:start w:val="2"/>
      <w:numFmt w:val="decimal"/>
      <w:lvlText w:val="%4."/>
      <w:lvlJc w:val="left"/>
      <w:pPr>
        <w:ind w:left="3621" w:hanging="360"/>
      </w:pPr>
      <w:rPr>
        <w:rFonts w:hint="default"/>
      </w:rPr>
    </w:lvl>
    <w:lvl w:ilvl="4">
      <w:start w:val="3"/>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42DB2"/>
    <w:multiLevelType w:val="multilevel"/>
    <w:tmpl w:val="0C042D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1A0DA9"/>
    <w:multiLevelType w:val="hybridMultilevel"/>
    <w:tmpl w:val="4AA8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9531E"/>
    <w:multiLevelType w:val="multilevel"/>
    <w:tmpl w:val="EC423F24"/>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8376A0"/>
    <w:multiLevelType w:val="hybridMultilevel"/>
    <w:tmpl w:val="585E9510"/>
    <w:lvl w:ilvl="0" w:tplc="026EAA9A">
      <w:start w:val="1"/>
      <w:numFmt w:val="bullet"/>
      <w:lvlText w:val="-"/>
      <w:lvlJc w:val="left"/>
      <w:pPr>
        <w:ind w:left="720" w:hanging="360"/>
      </w:pPr>
      <w:rPr>
        <w:rFonts w:ascii="Arial" w:eastAsia="Times New Roman" w:hAnsi="Arial" w:cs="Arial"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324AFF"/>
    <w:multiLevelType w:val="hybridMultilevel"/>
    <w:tmpl w:val="0764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24DD3"/>
    <w:multiLevelType w:val="hybridMultilevel"/>
    <w:tmpl w:val="449EF3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203ECE"/>
    <w:multiLevelType w:val="hybridMultilevel"/>
    <w:tmpl w:val="457C26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C9C4C56"/>
    <w:multiLevelType w:val="multilevel"/>
    <w:tmpl w:val="9E52277E"/>
    <w:lvl w:ilvl="0">
      <w:start w:val="1"/>
      <w:numFmt w:val="decimal"/>
      <w:lvlText w:val="%1"/>
      <w:lvlJc w:val="left"/>
      <w:pPr>
        <w:ind w:left="405" w:hanging="405"/>
      </w:pPr>
      <w:rPr>
        <w:rFonts w:hint="default"/>
      </w:rPr>
    </w:lvl>
    <w:lvl w:ilvl="1">
      <w:start w:val="1"/>
      <w:numFmt w:val="decimal"/>
      <w:lvlText w:val="%1.%2"/>
      <w:lvlJc w:val="left"/>
      <w:pPr>
        <w:ind w:left="398" w:hanging="405"/>
      </w:pPr>
      <w:rPr>
        <w:rFonts w:hint="default"/>
      </w:rPr>
    </w:lvl>
    <w:lvl w:ilvl="2">
      <w:start w:val="1"/>
      <w:numFmt w:val="decimal"/>
      <w:lvlText w:val="%1.%2.%3"/>
      <w:lvlJc w:val="left"/>
      <w:pPr>
        <w:ind w:left="706" w:hanging="720"/>
      </w:pPr>
      <w:rPr>
        <w:rFonts w:hint="default"/>
      </w:rPr>
    </w:lvl>
    <w:lvl w:ilvl="3">
      <w:start w:val="1"/>
      <w:numFmt w:val="decimal"/>
      <w:lvlText w:val="%1.%2.%3.%4"/>
      <w:lvlJc w:val="left"/>
      <w:pPr>
        <w:ind w:left="1059" w:hanging="1080"/>
      </w:pPr>
      <w:rPr>
        <w:rFonts w:hint="default"/>
      </w:rPr>
    </w:lvl>
    <w:lvl w:ilvl="4">
      <w:start w:val="1"/>
      <w:numFmt w:val="decimal"/>
      <w:lvlText w:val="%1.%2.%3.%4.%5"/>
      <w:lvlJc w:val="left"/>
      <w:pPr>
        <w:ind w:left="1052" w:hanging="1080"/>
      </w:pPr>
      <w:rPr>
        <w:rFonts w:hint="default"/>
      </w:rPr>
    </w:lvl>
    <w:lvl w:ilvl="5">
      <w:start w:val="1"/>
      <w:numFmt w:val="decimal"/>
      <w:lvlText w:val="%1.%2.%3.%4.%5.%6"/>
      <w:lvlJc w:val="left"/>
      <w:pPr>
        <w:ind w:left="1405" w:hanging="1440"/>
      </w:pPr>
      <w:rPr>
        <w:rFonts w:hint="default"/>
      </w:rPr>
    </w:lvl>
    <w:lvl w:ilvl="6">
      <w:start w:val="1"/>
      <w:numFmt w:val="decimal"/>
      <w:lvlText w:val="%1.%2.%3.%4.%5.%6.%7"/>
      <w:lvlJc w:val="left"/>
      <w:pPr>
        <w:ind w:left="1398" w:hanging="1440"/>
      </w:pPr>
      <w:rPr>
        <w:rFonts w:hint="default"/>
      </w:rPr>
    </w:lvl>
    <w:lvl w:ilvl="7">
      <w:start w:val="1"/>
      <w:numFmt w:val="decimal"/>
      <w:lvlText w:val="%1.%2.%3.%4.%5.%6.%7.%8"/>
      <w:lvlJc w:val="left"/>
      <w:pPr>
        <w:ind w:left="1751" w:hanging="1800"/>
      </w:pPr>
      <w:rPr>
        <w:rFonts w:hint="default"/>
      </w:rPr>
    </w:lvl>
    <w:lvl w:ilvl="8">
      <w:start w:val="1"/>
      <w:numFmt w:val="decimal"/>
      <w:lvlText w:val="%1.%2.%3.%4.%5.%6.%7.%8.%9"/>
      <w:lvlJc w:val="left"/>
      <w:pPr>
        <w:ind w:left="1744" w:hanging="1800"/>
      </w:pPr>
      <w:rPr>
        <w:rFonts w:hint="default"/>
      </w:rPr>
    </w:lvl>
  </w:abstractNum>
  <w:abstractNum w:abstractNumId="13" w15:restartNumberingAfterBreak="0">
    <w:nsid w:val="205347A7"/>
    <w:multiLevelType w:val="hybridMultilevel"/>
    <w:tmpl w:val="303C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E58D2B"/>
    <w:multiLevelType w:val="multilevel"/>
    <w:tmpl w:val="536317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 w15:restartNumberingAfterBreak="0">
    <w:nsid w:val="27D30FB5"/>
    <w:multiLevelType w:val="hybridMultilevel"/>
    <w:tmpl w:val="93A48E3E"/>
    <w:lvl w:ilvl="0" w:tplc="65D2B0D0">
      <w:start w:val="65535"/>
      <w:numFmt w:val="bullet"/>
      <w:lvlText w:val="•"/>
      <w:lvlJc w:val="left"/>
      <w:pPr>
        <w:ind w:left="360" w:hanging="360"/>
      </w:pPr>
      <w:rPr>
        <w:rFonts w:ascii="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15FA5"/>
    <w:multiLevelType w:val="hybridMultilevel"/>
    <w:tmpl w:val="81DEB658"/>
    <w:lvl w:ilvl="0" w:tplc="04090017">
      <w:start w:val="1"/>
      <w:numFmt w:val="bullet"/>
      <w:lvlText w:val=""/>
      <w:lvlJc w:val="left"/>
      <w:pPr>
        <w:ind w:left="720" w:hanging="360"/>
      </w:pPr>
      <w:rPr>
        <w:rFonts w:ascii="Symbol" w:hAnsi="Symbol" w:hint="default"/>
      </w:rPr>
    </w:lvl>
    <w:lvl w:ilvl="1" w:tplc="26807C14"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29B54E82"/>
    <w:multiLevelType w:val="multilevel"/>
    <w:tmpl w:val="4DE8346E"/>
    <w:lvl w:ilvl="0">
      <w:start w:val="3"/>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EF4065"/>
    <w:multiLevelType w:val="hybridMultilevel"/>
    <w:tmpl w:val="70CEFE60"/>
    <w:lvl w:ilvl="0" w:tplc="0409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E23F7A"/>
    <w:multiLevelType w:val="multilevel"/>
    <w:tmpl w:val="20ACEDEE"/>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color w:val="1F4E79" w:themeColor="accent1"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130275"/>
    <w:multiLevelType w:val="hybridMultilevel"/>
    <w:tmpl w:val="92A8A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1044E4"/>
    <w:multiLevelType w:val="hybridMultilevel"/>
    <w:tmpl w:val="334E8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6E6705"/>
    <w:multiLevelType w:val="hybridMultilevel"/>
    <w:tmpl w:val="EAC8984A"/>
    <w:styleLink w:val="Style11"/>
    <w:lvl w:ilvl="0" w:tplc="5F5A7D7C">
      <w:start w:val="1"/>
      <w:numFmt w:val="bullet"/>
      <w:lvlText w:val=""/>
      <w:lvlJc w:val="left"/>
      <w:pPr>
        <w:ind w:left="360" w:hanging="360"/>
      </w:pPr>
      <w:rPr>
        <w:rFonts w:ascii="Wingdings" w:hAnsi="Wingdings" w:hint="default"/>
        <w:color w:val="1F497D"/>
      </w:rPr>
    </w:lvl>
    <w:lvl w:ilvl="1" w:tplc="04090001">
      <w:start w:val="1"/>
      <w:numFmt w:val="bullet"/>
      <w:lvlText w:val=""/>
      <w:lvlJc w:val="left"/>
      <w:pPr>
        <w:ind w:left="1080" w:hanging="360"/>
      </w:pPr>
      <w:rPr>
        <w:rFonts w:ascii="Symbol" w:hAnsi="Symbol" w:hint="default"/>
        <w:color w:val="auto"/>
        <w:sz w:val="22"/>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5F7A1D"/>
    <w:multiLevelType w:val="hybridMultilevel"/>
    <w:tmpl w:val="08D40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57B97"/>
    <w:multiLevelType w:val="hybridMultilevel"/>
    <w:tmpl w:val="2102AA1C"/>
    <w:lvl w:ilvl="0" w:tplc="0409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15:restartNumberingAfterBreak="0">
    <w:nsid w:val="3B3E72E4"/>
    <w:multiLevelType w:val="multilevel"/>
    <w:tmpl w:val="E5382480"/>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E4F2623"/>
    <w:multiLevelType w:val="hybridMultilevel"/>
    <w:tmpl w:val="68F02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3598C"/>
    <w:multiLevelType w:val="multilevel"/>
    <w:tmpl w:val="4D40F73C"/>
    <w:lvl w:ilvl="0">
      <w:start w:val="3"/>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8F469DE"/>
    <w:multiLevelType w:val="hybridMultilevel"/>
    <w:tmpl w:val="4D2289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083D9D"/>
    <w:multiLevelType w:val="hybridMultilevel"/>
    <w:tmpl w:val="D234C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1E662A"/>
    <w:multiLevelType w:val="multilevel"/>
    <w:tmpl w:val="63EA6E5C"/>
    <w:lvl w:ilvl="0">
      <w:start w:val="3"/>
      <w:numFmt w:val="decimal"/>
      <w:lvlText w:val="%1"/>
      <w:lvlJc w:val="left"/>
      <w:pPr>
        <w:ind w:left="525" w:hanging="525"/>
      </w:pPr>
      <w:rPr>
        <w:rFonts w:hint="default"/>
        <w:sz w:val="24"/>
      </w:rPr>
    </w:lvl>
    <w:lvl w:ilvl="1">
      <w:start w:val="3"/>
      <w:numFmt w:val="decimal"/>
      <w:lvlText w:val="%1.%2"/>
      <w:lvlJc w:val="left"/>
      <w:pPr>
        <w:ind w:left="525" w:hanging="525"/>
      </w:pPr>
      <w:rPr>
        <w:rFonts w:hint="default"/>
        <w:sz w:val="24"/>
      </w:rPr>
    </w:lvl>
    <w:lvl w:ilvl="2">
      <w:start w:val="4"/>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1" w15:restartNumberingAfterBreak="0">
    <w:nsid w:val="4FD84A5B"/>
    <w:multiLevelType w:val="multilevel"/>
    <w:tmpl w:val="0409001F"/>
    <w:styleLink w:val="Style1"/>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1F27F2"/>
    <w:multiLevelType w:val="hybridMultilevel"/>
    <w:tmpl w:val="D748914C"/>
    <w:lvl w:ilvl="0" w:tplc="0409000B">
      <w:start w:val="65535"/>
      <w:numFmt w:val="bullet"/>
      <w:lvlText w:val="•"/>
      <w:lvlJc w:val="left"/>
      <w:pPr>
        <w:ind w:left="720" w:hanging="360"/>
      </w:pPr>
      <w:rPr>
        <w:rFonts w:ascii="Times New Roman" w:hAnsi="Times New Roman" w:cs="Times New Roman"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D71E32"/>
    <w:multiLevelType w:val="hybridMultilevel"/>
    <w:tmpl w:val="37123D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A47CCF"/>
    <w:multiLevelType w:val="hybridMultilevel"/>
    <w:tmpl w:val="B8A05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A5281D"/>
    <w:multiLevelType w:val="hybridMultilevel"/>
    <w:tmpl w:val="37727C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5B64FD4E"/>
    <w:multiLevelType w:val="singleLevel"/>
    <w:tmpl w:val="5B64FD4E"/>
    <w:lvl w:ilvl="0">
      <w:start w:val="1"/>
      <w:numFmt w:val="decimal"/>
      <w:suff w:val="space"/>
      <w:lvlText w:val="%1."/>
      <w:lvlJc w:val="left"/>
    </w:lvl>
  </w:abstractNum>
  <w:abstractNum w:abstractNumId="37" w15:restartNumberingAfterBreak="0">
    <w:nsid w:val="5B666A7C"/>
    <w:multiLevelType w:val="singleLevel"/>
    <w:tmpl w:val="5B666A7C"/>
    <w:lvl w:ilvl="0">
      <w:start w:val="19"/>
      <w:numFmt w:val="decimal"/>
      <w:suff w:val="space"/>
      <w:lvlText w:val="%1."/>
      <w:lvlJc w:val="left"/>
    </w:lvl>
  </w:abstractNum>
  <w:abstractNum w:abstractNumId="38" w15:restartNumberingAfterBreak="0">
    <w:nsid w:val="5B69A603"/>
    <w:multiLevelType w:val="singleLevel"/>
    <w:tmpl w:val="5B69A603"/>
    <w:lvl w:ilvl="0">
      <w:start w:val="27"/>
      <w:numFmt w:val="decimal"/>
      <w:suff w:val="space"/>
      <w:lvlText w:val="%1."/>
      <w:lvlJc w:val="left"/>
    </w:lvl>
  </w:abstractNum>
  <w:abstractNum w:abstractNumId="39" w15:restartNumberingAfterBreak="0">
    <w:nsid w:val="5B6A39D7"/>
    <w:multiLevelType w:val="singleLevel"/>
    <w:tmpl w:val="5B6A39D7"/>
    <w:lvl w:ilvl="0">
      <w:start w:val="13"/>
      <w:numFmt w:val="decimal"/>
      <w:suff w:val="space"/>
      <w:lvlText w:val="%1."/>
      <w:lvlJc w:val="left"/>
    </w:lvl>
  </w:abstractNum>
  <w:abstractNum w:abstractNumId="40" w15:restartNumberingAfterBreak="0">
    <w:nsid w:val="5C8A58B0"/>
    <w:multiLevelType w:val="hybridMultilevel"/>
    <w:tmpl w:val="1FC2A7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4C2F96"/>
    <w:multiLevelType w:val="multilevel"/>
    <w:tmpl w:val="B1BE420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2151DC7"/>
    <w:multiLevelType w:val="hybridMultilevel"/>
    <w:tmpl w:val="EE5E0DE8"/>
    <w:styleLink w:val="Style111"/>
    <w:lvl w:ilvl="0" w:tplc="0409000F">
      <w:start w:val="1"/>
      <w:numFmt w:val="bullet"/>
      <w:pStyle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6886600C" w:tentative="1">
      <w:start w:val="1"/>
      <w:numFmt w:val="bullet"/>
      <w:lvlText w:val=""/>
      <w:lvlJc w:val="left"/>
      <w:pPr>
        <w:tabs>
          <w:tab w:val="num" w:pos="2880"/>
        </w:tabs>
        <w:ind w:left="2880" w:hanging="360"/>
      </w:pPr>
      <w:rPr>
        <w:rFonts w:ascii="Symbol" w:hAnsi="Symbol" w:hint="default"/>
      </w:rPr>
    </w:lvl>
    <w:lvl w:ilvl="4" w:tplc="5C76AF70"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113ECA"/>
    <w:multiLevelType w:val="hybridMultilevel"/>
    <w:tmpl w:val="3A067CA6"/>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6727153"/>
    <w:multiLevelType w:val="hybridMultilevel"/>
    <w:tmpl w:val="81F06AB6"/>
    <w:lvl w:ilvl="0" w:tplc="04090001">
      <w:start w:val="1"/>
      <w:numFmt w:val="bullet"/>
      <w:lvlText w:val=""/>
      <w:lvlJc w:val="left"/>
      <w:pPr>
        <w:ind w:left="2786" w:hanging="360"/>
      </w:pPr>
      <w:rPr>
        <w:rFonts w:ascii="Symbol" w:hAnsi="Symbol" w:hint="default"/>
      </w:rPr>
    </w:lvl>
    <w:lvl w:ilvl="1" w:tplc="2E68DB9A">
      <w:numFmt w:val="bullet"/>
      <w:lvlText w:val="-"/>
      <w:lvlJc w:val="left"/>
      <w:pPr>
        <w:ind w:left="3506" w:hanging="360"/>
      </w:pPr>
      <w:rPr>
        <w:rFonts w:ascii="Arial" w:eastAsia="Times New Roman" w:hAnsi="Arial" w:cs="Arial" w:hint="default"/>
      </w:rPr>
    </w:lvl>
    <w:lvl w:ilvl="2" w:tplc="04090005" w:tentative="1">
      <w:start w:val="1"/>
      <w:numFmt w:val="bullet"/>
      <w:lvlText w:val=""/>
      <w:lvlJc w:val="left"/>
      <w:pPr>
        <w:ind w:left="4226" w:hanging="360"/>
      </w:pPr>
      <w:rPr>
        <w:rFonts w:ascii="Wingdings" w:hAnsi="Wingdings" w:hint="default"/>
      </w:rPr>
    </w:lvl>
    <w:lvl w:ilvl="3" w:tplc="04090001" w:tentative="1">
      <w:start w:val="1"/>
      <w:numFmt w:val="bullet"/>
      <w:lvlText w:val=""/>
      <w:lvlJc w:val="left"/>
      <w:pPr>
        <w:ind w:left="4946" w:hanging="360"/>
      </w:pPr>
      <w:rPr>
        <w:rFonts w:ascii="Symbol" w:hAnsi="Symbol" w:hint="default"/>
      </w:rPr>
    </w:lvl>
    <w:lvl w:ilvl="4" w:tplc="04090003" w:tentative="1">
      <w:start w:val="1"/>
      <w:numFmt w:val="bullet"/>
      <w:lvlText w:val="o"/>
      <w:lvlJc w:val="left"/>
      <w:pPr>
        <w:ind w:left="5666" w:hanging="360"/>
      </w:pPr>
      <w:rPr>
        <w:rFonts w:ascii="Courier New" w:hAnsi="Courier New" w:cs="Courier New" w:hint="default"/>
      </w:rPr>
    </w:lvl>
    <w:lvl w:ilvl="5" w:tplc="04090005" w:tentative="1">
      <w:start w:val="1"/>
      <w:numFmt w:val="bullet"/>
      <w:lvlText w:val=""/>
      <w:lvlJc w:val="left"/>
      <w:pPr>
        <w:ind w:left="6386" w:hanging="360"/>
      </w:pPr>
      <w:rPr>
        <w:rFonts w:ascii="Wingdings" w:hAnsi="Wingdings" w:hint="default"/>
      </w:rPr>
    </w:lvl>
    <w:lvl w:ilvl="6" w:tplc="04090001" w:tentative="1">
      <w:start w:val="1"/>
      <w:numFmt w:val="bullet"/>
      <w:lvlText w:val=""/>
      <w:lvlJc w:val="left"/>
      <w:pPr>
        <w:ind w:left="7106" w:hanging="360"/>
      </w:pPr>
      <w:rPr>
        <w:rFonts w:ascii="Symbol" w:hAnsi="Symbol" w:hint="default"/>
      </w:rPr>
    </w:lvl>
    <w:lvl w:ilvl="7" w:tplc="04090003" w:tentative="1">
      <w:start w:val="1"/>
      <w:numFmt w:val="bullet"/>
      <w:lvlText w:val="o"/>
      <w:lvlJc w:val="left"/>
      <w:pPr>
        <w:ind w:left="7826" w:hanging="360"/>
      </w:pPr>
      <w:rPr>
        <w:rFonts w:ascii="Courier New" w:hAnsi="Courier New" w:cs="Courier New" w:hint="default"/>
      </w:rPr>
    </w:lvl>
    <w:lvl w:ilvl="8" w:tplc="04090005" w:tentative="1">
      <w:start w:val="1"/>
      <w:numFmt w:val="bullet"/>
      <w:lvlText w:val=""/>
      <w:lvlJc w:val="left"/>
      <w:pPr>
        <w:ind w:left="8546" w:hanging="360"/>
      </w:pPr>
      <w:rPr>
        <w:rFonts w:ascii="Wingdings" w:hAnsi="Wingdings" w:hint="default"/>
      </w:rPr>
    </w:lvl>
  </w:abstractNum>
  <w:abstractNum w:abstractNumId="45" w15:restartNumberingAfterBreak="0">
    <w:nsid w:val="66B87709"/>
    <w:multiLevelType w:val="hybridMultilevel"/>
    <w:tmpl w:val="B21C9214"/>
    <w:lvl w:ilvl="0" w:tplc="0409000D">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6" w15:restartNumberingAfterBreak="0">
    <w:nsid w:val="69925277"/>
    <w:multiLevelType w:val="hybridMultilevel"/>
    <w:tmpl w:val="D04C7D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792F3B"/>
    <w:multiLevelType w:val="hybridMultilevel"/>
    <w:tmpl w:val="ED9ACFC0"/>
    <w:lvl w:ilvl="0" w:tplc="B622C83A">
      <w:start w:val="1"/>
      <w:numFmt w:val="bullet"/>
      <w:lvlText w:val=""/>
      <w:lvlJc w:val="left"/>
      <w:pPr>
        <w:ind w:left="630" w:hanging="360"/>
      </w:pPr>
      <w:rPr>
        <w:rFonts w:ascii="Symbol" w:hAnsi="Symbol" w:hint="default"/>
        <w:sz w:val="20"/>
        <w:szCs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8" w15:restartNumberingAfterBreak="0">
    <w:nsid w:val="776E18FF"/>
    <w:multiLevelType w:val="multilevel"/>
    <w:tmpl w:val="776E18FF"/>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77E00A6"/>
    <w:multiLevelType w:val="hybridMultilevel"/>
    <w:tmpl w:val="1658A62A"/>
    <w:lvl w:ilvl="0" w:tplc="0409001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B24F3C"/>
    <w:multiLevelType w:val="hybridMultilevel"/>
    <w:tmpl w:val="D2B03A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C51180"/>
    <w:multiLevelType w:val="multilevel"/>
    <w:tmpl w:val="35EE4EA8"/>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EE14258"/>
    <w:multiLevelType w:val="hybridMultilevel"/>
    <w:tmpl w:val="770C9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2"/>
  </w:num>
  <w:num w:numId="2">
    <w:abstractNumId w:val="31"/>
  </w:num>
  <w:num w:numId="3">
    <w:abstractNumId w:val="47"/>
  </w:num>
  <w:num w:numId="4">
    <w:abstractNumId w:val="40"/>
  </w:num>
  <w:num w:numId="5">
    <w:abstractNumId w:val="13"/>
  </w:num>
  <w:num w:numId="6">
    <w:abstractNumId w:val="52"/>
  </w:num>
  <w:num w:numId="7">
    <w:abstractNumId w:val="16"/>
  </w:num>
  <w:num w:numId="8">
    <w:abstractNumId w:val="3"/>
  </w:num>
  <w:num w:numId="9">
    <w:abstractNumId w:val="8"/>
  </w:num>
  <w:num w:numId="10">
    <w:abstractNumId w:val="35"/>
  </w:num>
  <w:num w:numId="11">
    <w:abstractNumId w:val="22"/>
  </w:num>
  <w:num w:numId="12">
    <w:abstractNumId w:val="18"/>
  </w:num>
  <w:num w:numId="13">
    <w:abstractNumId w:val="32"/>
  </w:num>
  <w:num w:numId="14">
    <w:abstractNumId w:val="14"/>
  </w:num>
  <w:num w:numId="15">
    <w:abstractNumId w:val="49"/>
  </w:num>
  <w:num w:numId="16">
    <w:abstractNumId w:val="4"/>
  </w:num>
  <w:num w:numId="17">
    <w:abstractNumId w:val="11"/>
  </w:num>
  <w:num w:numId="18">
    <w:abstractNumId w:val="24"/>
  </w:num>
  <w:num w:numId="19">
    <w:abstractNumId w:val="19"/>
  </w:num>
  <w:num w:numId="20">
    <w:abstractNumId w:val="15"/>
  </w:num>
  <w:num w:numId="21">
    <w:abstractNumId w:val="41"/>
  </w:num>
  <w:num w:numId="22">
    <w:abstractNumId w:val="45"/>
  </w:num>
  <w:num w:numId="23">
    <w:abstractNumId w:val="44"/>
  </w:num>
  <w:num w:numId="24">
    <w:abstractNumId w:val="51"/>
  </w:num>
  <w:num w:numId="25">
    <w:abstractNumId w:val="9"/>
  </w:num>
  <w:num w:numId="26">
    <w:abstractNumId w:val="2"/>
  </w:num>
  <w:num w:numId="27">
    <w:abstractNumId w:val="6"/>
  </w:num>
  <w:num w:numId="28">
    <w:abstractNumId w:val="25"/>
  </w:num>
  <w:num w:numId="29">
    <w:abstractNumId w:val="7"/>
  </w:num>
  <w:num w:numId="30">
    <w:abstractNumId w:val="17"/>
  </w:num>
  <w:num w:numId="31">
    <w:abstractNumId w:val="12"/>
  </w:num>
  <w:num w:numId="32">
    <w:abstractNumId w:val="30"/>
  </w:num>
  <w:num w:numId="33">
    <w:abstractNumId w:val="23"/>
  </w:num>
  <w:num w:numId="34">
    <w:abstractNumId w:val="27"/>
  </w:num>
  <w:num w:numId="35">
    <w:abstractNumId w:val="33"/>
  </w:num>
  <w:num w:numId="36">
    <w:abstractNumId w:val="34"/>
  </w:num>
  <w:num w:numId="37">
    <w:abstractNumId w:val="28"/>
  </w:num>
  <w:num w:numId="38">
    <w:abstractNumId w:val="26"/>
  </w:num>
  <w:num w:numId="39">
    <w:abstractNumId w:val="50"/>
  </w:num>
  <w:num w:numId="40">
    <w:abstractNumId w:val="20"/>
  </w:num>
  <w:num w:numId="41">
    <w:abstractNumId w:val="21"/>
  </w:num>
  <w:num w:numId="42">
    <w:abstractNumId w:val="29"/>
  </w:num>
  <w:num w:numId="43">
    <w:abstractNumId w:val="10"/>
  </w:num>
  <w:num w:numId="44">
    <w:abstractNumId w:val="43"/>
  </w:num>
  <w:num w:numId="45">
    <w:abstractNumId w:val="46"/>
  </w:num>
  <w:num w:numId="46">
    <w:abstractNumId w:val="36"/>
  </w:num>
  <w:num w:numId="47">
    <w:abstractNumId w:val="37"/>
  </w:num>
  <w:num w:numId="48">
    <w:abstractNumId w:val="38"/>
  </w:num>
  <w:num w:numId="49">
    <w:abstractNumId w:val="1"/>
  </w:num>
  <w:num w:numId="50">
    <w:abstractNumId w:val="0"/>
  </w:num>
  <w:num w:numId="51">
    <w:abstractNumId w:val="48"/>
  </w:num>
  <w:num w:numId="52">
    <w:abstractNumId w:val="39"/>
  </w:num>
  <w:num w:numId="53">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259"/>
    <w:rsid w:val="000000D6"/>
    <w:rsid w:val="0000073E"/>
    <w:rsid w:val="00000C68"/>
    <w:rsid w:val="0000116C"/>
    <w:rsid w:val="00001C68"/>
    <w:rsid w:val="0000201D"/>
    <w:rsid w:val="000023B1"/>
    <w:rsid w:val="000025CC"/>
    <w:rsid w:val="00002699"/>
    <w:rsid w:val="0000278C"/>
    <w:rsid w:val="000027C3"/>
    <w:rsid w:val="00002D41"/>
    <w:rsid w:val="00002D8B"/>
    <w:rsid w:val="00002DE5"/>
    <w:rsid w:val="00003244"/>
    <w:rsid w:val="000032AA"/>
    <w:rsid w:val="00003371"/>
    <w:rsid w:val="00003403"/>
    <w:rsid w:val="000035C0"/>
    <w:rsid w:val="0000371F"/>
    <w:rsid w:val="00003AD6"/>
    <w:rsid w:val="00003B1C"/>
    <w:rsid w:val="00003FC3"/>
    <w:rsid w:val="00004390"/>
    <w:rsid w:val="000045BC"/>
    <w:rsid w:val="00004717"/>
    <w:rsid w:val="00004C77"/>
    <w:rsid w:val="000052FF"/>
    <w:rsid w:val="00005506"/>
    <w:rsid w:val="000056AC"/>
    <w:rsid w:val="000057A2"/>
    <w:rsid w:val="00005987"/>
    <w:rsid w:val="00005F3E"/>
    <w:rsid w:val="000061B3"/>
    <w:rsid w:val="00006286"/>
    <w:rsid w:val="00006550"/>
    <w:rsid w:val="00006809"/>
    <w:rsid w:val="0000683D"/>
    <w:rsid w:val="00006CAA"/>
    <w:rsid w:val="00006CDE"/>
    <w:rsid w:val="00006E05"/>
    <w:rsid w:val="00006F97"/>
    <w:rsid w:val="000074AE"/>
    <w:rsid w:val="00007A0D"/>
    <w:rsid w:val="00007B3E"/>
    <w:rsid w:val="00007CE1"/>
    <w:rsid w:val="0001001C"/>
    <w:rsid w:val="00010117"/>
    <w:rsid w:val="000104C1"/>
    <w:rsid w:val="000109DE"/>
    <w:rsid w:val="00010D27"/>
    <w:rsid w:val="00010ECD"/>
    <w:rsid w:val="0001180A"/>
    <w:rsid w:val="00011951"/>
    <w:rsid w:val="00011DFB"/>
    <w:rsid w:val="000120C9"/>
    <w:rsid w:val="0001234A"/>
    <w:rsid w:val="00012A9E"/>
    <w:rsid w:val="00012C88"/>
    <w:rsid w:val="00012FA0"/>
    <w:rsid w:val="00012FE4"/>
    <w:rsid w:val="00013A31"/>
    <w:rsid w:val="00013C75"/>
    <w:rsid w:val="00013D8B"/>
    <w:rsid w:val="00013EFE"/>
    <w:rsid w:val="000143F2"/>
    <w:rsid w:val="00014836"/>
    <w:rsid w:val="00014CEF"/>
    <w:rsid w:val="00014D47"/>
    <w:rsid w:val="00015FB3"/>
    <w:rsid w:val="00016211"/>
    <w:rsid w:val="00016432"/>
    <w:rsid w:val="00016594"/>
    <w:rsid w:val="00016791"/>
    <w:rsid w:val="0001680D"/>
    <w:rsid w:val="000177DC"/>
    <w:rsid w:val="00017D43"/>
    <w:rsid w:val="00017FFB"/>
    <w:rsid w:val="00020081"/>
    <w:rsid w:val="0002011C"/>
    <w:rsid w:val="000202B7"/>
    <w:rsid w:val="00020C30"/>
    <w:rsid w:val="00020EAC"/>
    <w:rsid w:val="000210FF"/>
    <w:rsid w:val="00021273"/>
    <w:rsid w:val="0002149B"/>
    <w:rsid w:val="0002200E"/>
    <w:rsid w:val="000223CB"/>
    <w:rsid w:val="0002265B"/>
    <w:rsid w:val="000226B1"/>
    <w:rsid w:val="0002289C"/>
    <w:rsid w:val="00022978"/>
    <w:rsid w:val="0002297D"/>
    <w:rsid w:val="00022D5C"/>
    <w:rsid w:val="00022EEC"/>
    <w:rsid w:val="00023009"/>
    <w:rsid w:val="000233AA"/>
    <w:rsid w:val="00023D9F"/>
    <w:rsid w:val="00023F12"/>
    <w:rsid w:val="0002420B"/>
    <w:rsid w:val="00024267"/>
    <w:rsid w:val="0002523D"/>
    <w:rsid w:val="00025458"/>
    <w:rsid w:val="0002554F"/>
    <w:rsid w:val="00025674"/>
    <w:rsid w:val="000258A4"/>
    <w:rsid w:val="00025C8F"/>
    <w:rsid w:val="00025F85"/>
    <w:rsid w:val="00026570"/>
    <w:rsid w:val="00026667"/>
    <w:rsid w:val="0002694E"/>
    <w:rsid w:val="00026A84"/>
    <w:rsid w:val="00027315"/>
    <w:rsid w:val="000276EC"/>
    <w:rsid w:val="00027B92"/>
    <w:rsid w:val="00027BE5"/>
    <w:rsid w:val="00030357"/>
    <w:rsid w:val="0003089C"/>
    <w:rsid w:val="000308DD"/>
    <w:rsid w:val="00030965"/>
    <w:rsid w:val="000309DE"/>
    <w:rsid w:val="00030D5C"/>
    <w:rsid w:val="00031E51"/>
    <w:rsid w:val="000322B1"/>
    <w:rsid w:val="00032492"/>
    <w:rsid w:val="00032541"/>
    <w:rsid w:val="00032CE7"/>
    <w:rsid w:val="00032D12"/>
    <w:rsid w:val="00032E40"/>
    <w:rsid w:val="00032F45"/>
    <w:rsid w:val="0003346C"/>
    <w:rsid w:val="00034356"/>
    <w:rsid w:val="00034687"/>
    <w:rsid w:val="000348EF"/>
    <w:rsid w:val="00034C44"/>
    <w:rsid w:val="00035661"/>
    <w:rsid w:val="00035677"/>
    <w:rsid w:val="000356A1"/>
    <w:rsid w:val="000359EB"/>
    <w:rsid w:val="00035E0A"/>
    <w:rsid w:val="00035ED0"/>
    <w:rsid w:val="00036026"/>
    <w:rsid w:val="000360F8"/>
    <w:rsid w:val="00036115"/>
    <w:rsid w:val="000363BA"/>
    <w:rsid w:val="00036568"/>
    <w:rsid w:val="00036831"/>
    <w:rsid w:val="00036BA2"/>
    <w:rsid w:val="00036C5D"/>
    <w:rsid w:val="00036CD6"/>
    <w:rsid w:val="0003728F"/>
    <w:rsid w:val="00037293"/>
    <w:rsid w:val="000372CB"/>
    <w:rsid w:val="0003736B"/>
    <w:rsid w:val="0003740B"/>
    <w:rsid w:val="000374D4"/>
    <w:rsid w:val="000375D2"/>
    <w:rsid w:val="00037D7B"/>
    <w:rsid w:val="0004052A"/>
    <w:rsid w:val="00041401"/>
    <w:rsid w:val="00041574"/>
    <w:rsid w:val="00041627"/>
    <w:rsid w:val="00041800"/>
    <w:rsid w:val="00041DFF"/>
    <w:rsid w:val="0004201D"/>
    <w:rsid w:val="000431F5"/>
    <w:rsid w:val="00043730"/>
    <w:rsid w:val="000438C0"/>
    <w:rsid w:val="00043A02"/>
    <w:rsid w:val="00043F36"/>
    <w:rsid w:val="000446E3"/>
    <w:rsid w:val="0004496C"/>
    <w:rsid w:val="00044B27"/>
    <w:rsid w:val="00044F01"/>
    <w:rsid w:val="000458A1"/>
    <w:rsid w:val="000458CA"/>
    <w:rsid w:val="00045BD9"/>
    <w:rsid w:val="00046307"/>
    <w:rsid w:val="00046DC7"/>
    <w:rsid w:val="00046FF7"/>
    <w:rsid w:val="000471F8"/>
    <w:rsid w:val="0004771E"/>
    <w:rsid w:val="00047988"/>
    <w:rsid w:val="00047C83"/>
    <w:rsid w:val="00047DCA"/>
    <w:rsid w:val="000502E4"/>
    <w:rsid w:val="0005045F"/>
    <w:rsid w:val="00050878"/>
    <w:rsid w:val="00050A20"/>
    <w:rsid w:val="00050E2E"/>
    <w:rsid w:val="00050E9C"/>
    <w:rsid w:val="00050F95"/>
    <w:rsid w:val="000517AC"/>
    <w:rsid w:val="000519FC"/>
    <w:rsid w:val="00051CEA"/>
    <w:rsid w:val="00052035"/>
    <w:rsid w:val="000523AF"/>
    <w:rsid w:val="00052656"/>
    <w:rsid w:val="000527DD"/>
    <w:rsid w:val="00052CF5"/>
    <w:rsid w:val="00052F94"/>
    <w:rsid w:val="00053124"/>
    <w:rsid w:val="000531E5"/>
    <w:rsid w:val="0005358F"/>
    <w:rsid w:val="000537BE"/>
    <w:rsid w:val="000543FF"/>
    <w:rsid w:val="00054874"/>
    <w:rsid w:val="000548A5"/>
    <w:rsid w:val="00054B8C"/>
    <w:rsid w:val="00054C73"/>
    <w:rsid w:val="00054D4A"/>
    <w:rsid w:val="00054E40"/>
    <w:rsid w:val="00054F91"/>
    <w:rsid w:val="0005510C"/>
    <w:rsid w:val="000552C6"/>
    <w:rsid w:val="00055345"/>
    <w:rsid w:val="0005567A"/>
    <w:rsid w:val="00055DF0"/>
    <w:rsid w:val="00055E54"/>
    <w:rsid w:val="00055FDA"/>
    <w:rsid w:val="0005647A"/>
    <w:rsid w:val="000568E7"/>
    <w:rsid w:val="00056BEF"/>
    <w:rsid w:val="00057200"/>
    <w:rsid w:val="00057694"/>
    <w:rsid w:val="00057929"/>
    <w:rsid w:val="00057A44"/>
    <w:rsid w:val="00057B26"/>
    <w:rsid w:val="00057CD7"/>
    <w:rsid w:val="00057D80"/>
    <w:rsid w:val="00060105"/>
    <w:rsid w:val="000603A7"/>
    <w:rsid w:val="0006044D"/>
    <w:rsid w:val="0006082D"/>
    <w:rsid w:val="00060D97"/>
    <w:rsid w:val="00060E5E"/>
    <w:rsid w:val="00061190"/>
    <w:rsid w:val="0006129D"/>
    <w:rsid w:val="000613B6"/>
    <w:rsid w:val="000616E6"/>
    <w:rsid w:val="0006183F"/>
    <w:rsid w:val="00061E4B"/>
    <w:rsid w:val="00061E94"/>
    <w:rsid w:val="00062115"/>
    <w:rsid w:val="000626CE"/>
    <w:rsid w:val="00062AC9"/>
    <w:rsid w:val="00062B9F"/>
    <w:rsid w:val="00062C99"/>
    <w:rsid w:val="00063213"/>
    <w:rsid w:val="0006322F"/>
    <w:rsid w:val="00063288"/>
    <w:rsid w:val="000637BD"/>
    <w:rsid w:val="00063B78"/>
    <w:rsid w:val="00063C2A"/>
    <w:rsid w:val="00063D13"/>
    <w:rsid w:val="000649D0"/>
    <w:rsid w:val="00064D58"/>
    <w:rsid w:val="00064DBC"/>
    <w:rsid w:val="000653D1"/>
    <w:rsid w:val="00065599"/>
    <w:rsid w:val="000658C1"/>
    <w:rsid w:val="00065B35"/>
    <w:rsid w:val="00065B41"/>
    <w:rsid w:val="00066622"/>
    <w:rsid w:val="000667AA"/>
    <w:rsid w:val="00066C95"/>
    <w:rsid w:val="00066EEE"/>
    <w:rsid w:val="000671AC"/>
    <w:rsid w:val="00067D47"/>
    <w:rsid w:val="00067E3B"/>
    <w:rsid w:val="00070344"/>
    <w:rsid w:val="00070387"/>
    <w:rsid w:val="0007073C"/>
    <w:rsid w:val="00071290"/>
    <w:rsid w:val="00071686"/>
    <w:rsid w:val="0007199E"/>
    <w:rsid w:val="000728BD"/>
    <w:rsid w:val="00072A6E"/>
    <w:rsid w:val="00072D3E"/>
    <w:rsid w:val="00072E9C"/>
    <w:rsid w:val="000730E7"/>
    <w:rsid w:val="00073158"/>
    <w:rsid w:val="00073168"/>
    <w:rsid w:val="000735A3"/>
    <w:rsid w:val="00073C65"/>
    <w:rsid w:val="00073DE2"/>
    <w:rsid w:val="00074046"/>
    <w:rsid w:val="000741E3"/>
    <w:rsid w:val="0007421C"/>
    <w:rsid w:val="000744B8"/>
    <w:rsid w:val="00074721"/>
    <w:rsid w:val="00074FE3"/>
    <w:rsid w:val="0007517D"/>
    <w:rsid w:val="00075818"/>
    <w:rsid w:val="00075940"/>
    <w:rsid w:val="0007597C"/>
    <w:rsid w:val="00075A0A"/>
    <w:rsid w:val="00075A24"/>
    <w:rsid w:val="00075B02"/>
    <w:rsid w:val="00075F8C"/>
    <w:rsid w:val="0007607B"/>
    <w:rsid w:val="00076257"/>
    <w:rsid w:val="00076638"/>
    <w:rsid w:val="000769B6"/>
    <w:rsid w:val="00076ABB"/>
    <w:rsid w:val="00076F79"/>
    <w:rsid w:val="00077728"/>
    <w:rsid w:val="000778D7"/>
    <w:rsid w:val="00077B54"/>
    <w:rsid w:val="00077EC1"/>
    <w:rsid w:val="000800A0"/>
    <w:rsid w:val="000806CC"/>
    <w:rsid w:val="000808ED"/>
    <w:rsid w:val="00080CF0"/>
    <w:rsid w:val="00080F2D"/>
    <w:rsid w:val="000813BD"/>
    <w:rsid w:val="00081535"/>
    <w:rsid w:val="00081730"/>
    <w:rsid w:val="00081A09"/>
    <w:rsid w:val="00081CBC"/>
    <w:rsid w:val="00081DF5"/>
    <w:rsid w:val="00082082"/>
    <w:rsid w:val="0008251E"/>
    <w:rsid w:val="000827EC"/>
    <w:rsid w:val="00082E15"/>
    <w:rsid w:val="00082E3E"/>
    <w:rsid w:val="00083180"/>
    <w:rsid w:val="00083435"/>
    <w:rsid w:val="00083989"/>
    <w:rsid w:val="00083E60"/>
    <w:rsid w:val="00083F03"/>
    <w:rsid w:val="00084550"/>
    <w:rsid w:val="0008456E"/>
    <w:rsid w:val="000847F0"/>
    <w:rsid w:val="00085123"/>
    <w:rsid w:val="00085290"/>
    <w:rsid w:val="00085395"/>
    <w:rsid w:val="00085A46"/>
    <w:rsid w:val="00085B77"/>
    <w:rsid w:val="00085F35"/>
    <w:rsid w:val="00085FED"/>
    <w:rsid w:val="00086164"/>
    <w:rsid w:val="000862B2"/>
    <w:rsid w:val="00086819"/>
    <w:rsid w:val="00086B15"/>
    <w:rsid w:val="00087033"/>
    <w:rsid w:val="000872AD"/>
    <w:rsid w:val="0008738A"/>
    <w:rsid w:val="0008746B"/>
    <w:rsid w:val="000874BE"/>
    <w:rsid w:val="0008776F"/>
    <w:rsid w:val="000877C3"/>
    <w:rsid w:val="000900D3"/>
    <w:rsid w:val="0009026F"/>
    <w:rsid w:val="00090436"/>
    <w:rsid w:val="00090766"/>
    <w:rsid w:val="00090C62"/>
    <w:rsid w:val="00090E19"/>
    <w:rsid w:val="00090F8B"/>
    <w:rsid w:val="000912ED"/>
    <w:rsid w:val="000915EC"/>
    <w:rsid w:val="00091A19"/>
    <w:rsid w:val="00091D6D"/>
    <w:rsid w:val="00091F0C"/>
    <w:rsid w:val="000924E1"/>
    <w:rsid w:val="000926E1"/>
    <w:rsid w:val="000927AC"/>
    <w:rsid w:val="00092B59"/>
    <w:rsid w:val="0009386F"/>
    <w:rsid w:val="00093C7B"/>
    <w:rsid w:val="00094304"/>
    <w:rsid w:val="00094FA5"/>
    <w:rsid w:val="0009553E"/>
    <w:rsid w:val="00095B4C"/>
    <w:rsid w:val="00095C16"/>
    <w:rsid w:val="00095E19"/>
    <w:rsid w:val="0009686C"/>
    <w:rsid w:val="00096A54"/>
    <w:rsid w:val="00096EF1"/>
    <w:rsid w:val="00097226"/>
    <w:rsid w:val="00097594"/>
    <w:rsid w:val="000976A2"/>
    <w:rsid w:val="00097888"/>
    <w:rsid w:val="00097CCC"/>
    <w:rsid w:val="00097E28"/>
    <w:rsid w:val="000A0021"/>
    <w:rsid w:val="000A01C9"/>
    <w:rsid w:val="000A01F8"/>
    <w:rsid w:val="000A0314"/>
    <w:rsid w:val="000A0CEC"/>
    <w:rsid w:val="000A169E"/>
    <w:rsid w:val="000A17C2"/>
    <w:rsid w:val="000A1A59"/>
    <w:rsid w:val="000A1F8D"/>
    <w:rsid w:val="000A2023"/>
    <w:rsid w:val="000A277A"/>
    <w:rsid w:val="000A2BBE"/>
    <w:rsid w:val="000A2C7A"/>
    <w:rsid w:val="000A315C"/>
    <w:rsid w:val="000A3172"/>
    <w:rsid w:val="000A31D1"/>
    <w:rsid w:val="000A33A9"/>
    <w:rsid w:val="000A3595"/>
    <w:rsid w:val="000A36C9"/>
    <w:rsid w:val="000A3A88"/>
    <w:rsid w:val="000A3B83"/>
    <w:rsid w:val="000A3F8E"/>
    <w:rsid w:val="000A4E9D"/>
    <w:rsid w:val="000A5198"/>
    <w:rsid w:val="000A5570"/>
    <w:rsid w:val="000A5A96"/>
    <w:rsid w:val="000A6163"/>
    <w:rsid w:val="000A695E"/>
    <w:rsid w:val="000A7011"/>
    <w:rsid w:val="000A70D7"/>
    <w:rsid w:val="000A7BAF"/>
    <w:rsid w:val="000B0262"/>
    <w:rsid w:val="000B0758"/>
    <w:rsid w:val="000B09D9"/>
    <w:rsid w:val="000B0A87"/>
    <w:rsid w:val="000B0A8B"/>
    <w:rsid w:val="000B0ED5"/>
    <w:rsid w:val="000B10B9"/>
    <w:rsid w:val="000B1558"/>
    <w:rsid w:val="000B169C"/>
    <w:rsid w:val="000B1753"/>
    <w:rsid w:val="000B17DD"/>
    <w:rsid w:val="000B1A09"/>
    <w:rsid w:val="000B1A3C"/>
    <w:rsid w:val="000B28F5"/>
    <w:rsid w:val="000B2AEC"/>
    <w:rsid w:val="000B368B"/>
    <w:rsid w:val="000B36B0"/>
    <w:rsid w:val="000B3AFD"/>
    <w:rsid w:val="000B3D58"/>
    <w:rsid w:val="000B3F6A"/>
    <w:rsid w:val="000B3F7B"/>
    <w:rsid w:val="000B40E7"/>
    <w:rsid w:val="000B418D"/>
    <w:rsid w:val="000B445E"/>
    <w:rsid w:val="000B45B4"/>
    <w:rsid w:val="000B45D9"/>
    <w:rsid w:val="000B45E6"/>
    <w:rsid w:val="000B4926"/>
    <w:rsid w:val="000B4D4A"/>
    <w:rsid w:val="000B5062"/>
    <w:rsid w:val="000B50F4"/>
    <w:rsid w:val="000B567B"/>
    <w:rsid w:val="000B5C70"/>
    <w:rsid w:val="000B5D07"/>
    <w:rsid w:val="000B5D50"/>
    <w:rsid w:val="000B60DB"/>
    <w:rsid w:val="000B6488"/>
    <w:rsid w:val="000B648E"/>
    <w:rsid w:val="000B6729"/>
    <w:rsid w:val="000B6884"/>
    <w:rsid w:val="000B6A31"/>
    <w:rsid w:val="000B6BBB"/>
    <w:rsid w:val="000B6EC1"/>
    <w:rsid w:val="000B72D9"/>
    <w:rsid w:val="000C012E"/>
    <w:rsid w:val="000C0278"/>
    <w:rsid w:val="000C06A4"/>
    <w:rsid w:val="000C0EFF"/>
    <w:rsid w:val="000C1064"/>
    <w:rsid w:val="000C15CF"/>
    <w:rsid w:val="000C1843"/>
    <w:rsid w:val="000C2259"/>
    <w:rsid w:val="000C2503"/>
    <w:rsid w:val="000C266D"/>
    <w:rsid w:val="000C2861"/>
    <w:rsid w:val="000C2EF5"/>
    <w:rsid w:val="000C2FE3"/>
    <w:rsid w:val="000C3055"/>
    <w:rsid w:val="000C30A6"/>
    <w:rsid w:val="000C3637"/>
    <w:rsid w:val="000C38BF"/>
    <w:rsid w:val="000C395A"/>
    <w:rsid w:val="000C4733"/>
    <w:rsid w:val="000C4D06"/>
    <w:rsid w:val="000C5012"/>
    <w:rsid w:val="000C5069"/>
    <w:rsid w:val="000C5732"/>
    <w:rsid w:val="000C5E02"/>
    <w:rsid w:val="000C620A"/>
    <w:rsid w:val="000C67E9"/>
    <w:rsid w:val="000C6FF4"/>
    <w:rsid w:val="000C7136"/>
    <w:rsid w:val="000C7239"/>
    <w:rsid w:val="000C73E4"/>
    <w:rsid w:val="000C743D"/>
    <w:rsid w:val="000C75AF"/>
    <w:rsid w:val="000C7861"/>
    <w:rsid w:val="000C7C3D"/>
    <w:rsid w:val="000D03EE"/>
    <w:rsid w:val="000D0763"/>
    <w:rsid w:val="000D0780"/>
    <w:rsid w:val="000D0A93"/>
    <w:rsid w:val="000D0E79"/>
    <w:rsid w:val="000D0FA1"/>
    <w:rsid w:val="000D155D"/>
    <w:rsid w:val="000D2654"/>
    <w:rsid w:val="000D2761"/>
    <w:rsid w:val="000D309D"/>
    <w:rsid w:val="000D319C"/>
    <w:rsid w:val="000D3BDE"/>
    <w:rsid w:val="000D4187"/>
    <w:rsid w:val="000D41FE"/>
    <w:rsid w:val="000D432F"/>
    <w:rsid w:val="000D461A"/>
    <w:rsid w:val="000D4FB0"/>
    <w:rsid w:val="000D504F"/>
    <w:rsid w:val="000D6279"/>
    <w:rsid w:val="000D627E"/>
    <w:rsid w:val="000D675B"/>
    <w:rsid w:val="000D6EA8"/>
    <w:rsid w:val="000D6FEE"/>
    <w:rsid w:val="000D77C4"/>
    <w:rsid w:val="000D79AD"/>
    <w:rsid w:val="000E0137"/>
    <w:rsid w:val="000E0335"/>
    <w:rsid w:val="000E0355"/>
    <w:rsid w:val="000E064B"/>
    <w:rsid w:val="000E09EF"/>
    <w:rsid w:val="000E138D"/>
    <w:rsid w:val="000E183E"/>
    <w:rsid w:val="000E19C7"/>
    <w:rsid w:val="000E1D44"/>
    <w:rsid w:val="000E231A"/>
    <w:rsid w:val="000E27F3"/>
    <w:rsid w:val="000E31DE"/>
    <w:rsid w:val="000E34AE"/>
    <w:rsid w:val="000E35D2"/>
    <w:rsid w:val="000E386C"/>
    <w:rsid w:val="000E38DA"/>
    <w:rsid w:val="000E3C72"/>
    <w:rsid w:val="000E3D83"/>
    <w:rsid w:val="000E4247"/>
    <w:rsid w:val="000E4BFA"/>
    <w:rsid w:val="000E5235"/>
    <w:rsid w:val="000E52BE"/>
    <w:rsid w:val="000E5A9D"/>
    <w:rsid w:val="000E5AB3"/>
    <w:rsid w:val="000E5DA7"/>
    <w:rsid w:val="000E5F9F"/>
    <w:rsid w:val="000E63DC"/>
    <w:rsid w:val="000E650F"/>
    <w:rsid w:val="000E6941"/>
    <w:rsid w:val="000E74C7"/>
    <w:rsid w:val="000E7C31"/>
    <w:rsid w:val="000E7EB0"/>
    <w:rsid w:val="000E7F39"/>
    <w:rsid w:val="000F0254"/>
    <w:rsid w:val="000F046E"/>
    <w:rsid w:val="000F0599"/>
    <w:rsid w:val="000F05DE"/>
    <w:rsid w:val="000F0876"/>
    <w:rsid w:val="000F08C7"/>
    <w:rsid w:val="000F0B12"/>
    <w:rsid w:val="000F1372"/>
    <w:rsid w:val="000F22FB"/>
    <w:rsid w:val="000F2586"/>
    <w:rsid w:val="000F25DF"/>
    <w:rsid w:val="000F28C8"/>
    <w:rsid w:val="000F3020"/>
    <w:rsid w:val="000F3122"/>
    <w:rsid w:val="000F3309"/>
    <w:rsid w:val="000F353F"/>
    <w:rsid w:val="000F36B4"/>
    <w:rsid w:val="000F3850"/>
    <w:rsid w:val="000F38DA"/>
    <w:rsid w:val="000F3FBD"/>
    <w:rsid w:val="000F4263"/>
    <w:rsid w:val="000F435A"/>
    <w:rsid w:val="000F5414"/>
    <w:rsid w:val="000F549F"/>
    <w:rsid w:val="000F6077"/>
    <w:rsid w:val="000F632F"/>
    <w:rsid w:val="000F637C"/>
    <w:rsid w:val="000F64BA"/>
    <w:rsid w:val="000F66C5"/>
    <w:rsid w:val="000F6D10"/>
    <w:rsid w:val="000F7310"/>
    <w:rsid w:val="000F77EC"/>
    <w:rsid w:val="000F7C43"/>
    <w:rsid w:val="000F7C53"/>
    <w:rsid w:val="000F7D15"/>
    <w:rsid w:val="00100DDC"/>
    <w:rsid w:val="00100F51"/>
    <w:rsid w:val="00100FC9"/>
    <w:rsid w:val="00100FF2"/>
    <w:rsid w:val="00101473"/>
    <w:rsid w:val="00101751"/>
    <w:rsid w:val="00101797"/>
    <w:rsid w:val="00101855"/>
    <w:rsid w:val="001018BD"/>
    <w:rsid w:val="00101F3A"/>
    <w:rsid w:val="001025E2"/>
    <w:rsid w:val="00102927"/>
    <w:rsid w:val="00102D47"/>
    <w:rsid w:val="00102DE3"/>
    <w:rsid w:val="00102EDE"/>
    <w:rsid w:val="00102F36"/>
    <w:rsid w:val="001030B5"/>
    <w:rsid w:val="00103111"/>
    <w:rsid w:val="001034FC"/>
    <w:rsid w:val="001036C1"/>
    <w:rsid w:val="00103A22"/>
    <w:rsid w:val="0010428E"/>
    <w:rsid w:val="00104AFF"/>
    <w:rsid w:val="00104C26"/>
    <w:rsid w:val="00104EE4"/>
    <w:rsid w:val="0010503E"/>
    <w:rsid w:val="00105322"/>
    <w:rsid w:val="001054BD"/>
    <w:rsid w:val="0010583A"/>
    <w:rsid w:val="001059E3"/>
    <w:rsid w:val="001061C6"/>
    <w:rsid w:val="001064CB"/>
    <w:rsid w:val="00106762"/>
    <w:rsid w:val="00106B35"/>
    <w:rsid w:val="00106EC6"/>
    <w:rsid w:val="00106FAD"/>
    <w:rsid w:val="00107315"/>
    <w:rsid w:val="00107484"/>
    <w:rsid w:val="00107964"/>
    <w:rsid w:val="00107D24"/>
    <w:rsid w:val="00110044"/>
    <w:rsid w:val="0011016A"/>
    <w:rsid w:val="001111D8"/>
    <w:rsid w:val="001125AA"/>
    <w:rsid w:val="00112737"/>
    <w:rsid w:val="001127C2"/>
    <w:rsid w:val="00112BF7"/>
    <w:rsid w:val="00112F23"/>
    <w:rsid w:val="00112F82"/>
    <w:rsid w:val="0011336E"/>
    <w:rsid w:val="0011359B"/>
    <w:rsid w:val="0011541A"/>
    <w:rsid w:val="0011556C"/>
    <w:rsid w:val="00115735"/>
    <w:rsid w:val="00115E3D"/>
    <w:rsid w:val="0011643A"/>
    <w:rsid w:val="001165E3"/>
    <w:rsid w:val="00116862"/>
    <w:rsid w:val="00116C8A"/>
    <w:rsid w:val="001176BB"/>
    <w:rsid w:val="00117C4A"/>
    <w:rsid w:val="0012031F"/>
    <w:rsid w:val="001203FB"/>
    <w:rsid w:val="001206EC"/>
    <w:rsid w:val="00120827"/>
    <w:rsid w:val="0012168A"/>
    <w:rsid w:val="00121A56"/>
    <w:rsid w:val="00121F9C"/>
    <w:rsid w:val="00122050"/>
    <w:rsid w:val="001224A6"/>
    <w:rsid w:val="001225C2"/>
    <w:rsid w:val="001226C6"/>
    <w:rsid w:val="0012295A"/>
    <w:rsid w:val="00122EF1"/>
    <w:rsid w:val="001231D5"/>
    <w:rsid w:val="001235CB"/>
    <w:rsid w:val="00123666"/>
    <w:rsid w:val="0012397E"/>
    <w:rsid w:val="00123B5B"/>
    <w:rsid w:val="00123D58"/>
    <w:rsid w:val="00123EEF"/>
    <w:rsid w:val="00123FE0"/>
    <w:rsid w:val="001242BC"/>
    <w:rsid w:val="00124495"/>
    <w:rsid w:val="0012469F"/>
    <w:rsid w:val="00124FD0"/>
    <w:rsid w:val="00125D90"/>
    <w:rsid w:val="0012660D"/>
    <w:rsid w:val="001266DE"/>
    <w:rsid w:val="00126919"/>
    <w:rsid w:val="00126D1E"/>
    <w:rsid w:val="0013019A"/>
    <w:rsid w:val="001302E9"/>
    <w:rsid w:val="00130871"/>
    <w:rsid w:val="00130966"/>
    <w:rsid w:val="00130AA1"/>
    <w:rsid w:val="00130F9C"/>
    <w:rsid w:val="00131130"/>
    <w:rsid w:val="00131477"/>
    <w:rsid w:val="0013155B"/>
    <w:rsid w:val="00131832"/>
    <w:rsid w:val="001321BD"/>
    <w:rsid w:val="001321C8"/>
    <w:rsid w:val="00132526"/>
    <w:rsid w:val="00132B35"/>
    <w:rsid w:val="0013351B"/>
    <w:rsid w:val="00133987"/>
    <w:rsid w:val="00133B56"/>
    <w:rsid w:val="00133C4F"/>
    <w:rsid w:val="00133CF4"/>
    <w:rsid w:val="00133F31"/>
    <w:rsid w:val="00134350"/>
    <w:rsid w:val="00134583"/>
    <w:rsid w:val="0013537A"/>
    <w:rsid w:val="0013540D"/>
    <w:rsid w:val="00135557"/>
    <w:rsid w:val="00135A54"/>
    <w:rsid w:val="00135A9D"/>
    <w:rsid w:val="00135D7F"/>
    <w:rsid w:val="00135E3E"/>
    <w:rsid w:val="00135FA6"/>
    <w:rsid w:val="001363B6"/>
    <w:rsid w:val="001363F9"/>
    <w:rsid w:val="0013657E"/>
    <w:rsid w:val="0013683E"/>
    <w:rsid w:val="00136922"/>
    <w:rsid w:val="00137275"/>
    <w:rsid w:val="001375CD"/>
    <w:rsid w:val="00137B27"/>
    <w:rsid w:val="00137C86"/>
    <w:rsid w:val="00137F71"/>
    <w:rsid w:val="00140537"/>
    <w:rsid w:val="00140BAB"/>
    <w:rsid w:val="00140CE5"/>
    <w:rsid w:val="00140DCE"/>
    <w:rsid w:val="001411D8"/>
    <w:rsid w:val="00141F4C"/>
    <w:rsid w:val="001424F1"/>
    <w:rsid w:val="001429D3"/>
    <w:rsid w:val="00143663"/>
    <w:rsid w:val="00143E3F"/>
    <w:rsid w:val="001445AB"/>
    <w:rsid w:val="001445D0"/>
    <w:rsid w:val="00144BA1"/>
    <w:rsid w:val="0014541F"/>
    <w:rsid w:val="00145747"/>
    <w:rsid w:val="00145AF2"/>
    <w:rsid w:val="00145BA8"/>
    <w:rsid w:val="00145D74"/>
    <w:rsid w:val="00145E70"/>
    <w:rsid w:val="00145FE0"/>
    <w:rsid w:val="001460E3"/>
    <w:rsid w:val="0014625B"/>
    <w:rsid w:val="0014656E"/>
    <w:rsid w:val="00146570"/>
    <w:rsid w:val="00147C07"/>
    <w:rsid w:val="00150219"/>
    <w:rsid w:val="001502DA"/>
    <w:rsid w:val="00150A3B"/>
    <w:rsid w:val="00150AEA"/>
    <w:rsid w:val="00150F62"/>
    <w:rsid w:val="0015140B"/>
    <w:rsid w:val="00151A10"/>
    <w:rsid w:val="00152520"/>
    <w:rsid w:val="00152A32"/>
    <w:rsid w:val="00152C4E"/>
    <w:rsid w:val="00152C7F"/>
    <w:rsid w:val="001532F2"/>
    <w:rsid w:val="00153348"/>
    <w:rsid w:val="0015352A"/>
    <w:rsid w:val="0015355A"/>
    <w:rsid w:val="0015382C"/>
    <w:rsid w:val="00153BCD"/>
    <w:rsid w:val="00153D27"/>
    <w:rsid w:val="00153F42"/>
    <w:rsid w:val="001547B4"/>
    <w:rsid w:val="00155089"/>
    <w:rsid w:val="0015594F"/>
    <w:rsid w:val="00155A57"/>
    <w:rsid w:val="00155F8A"/>
    <w:rsid w:val="00156C2E"/>
    <w:rsid w:val="0015706D"/>
    <w:rsid w:val="00157969"/>
    <w:rsid w:val="00157991"/>
    <w:rsid w:val="00157F85"/>
    <w:rsid w:val="001605DD"/>
    <w:rsid w:val="001607CF"/>
    <w:rsid w:val="00160E01"/>
    <w:rsid w:val="0016111B"/>
    <w:rsid w:val="0016120A"/>
    <w:rsid w:val="001613B7"/>
    <w:rsid w:val="00161903"/>
    <w:rsid w:val="0016196A"/>
    <w:rsid w:val="00161AED"/>
    <w:rsid w:val="00161E2E"/>
    <w:rsid w:val="00162780"/>
    <w:rsid w:val="00162805"/>
    <w:rsid w:val="00162E1D"/>
    <w:rsid w:val="0016356F"/>
    <w:rsid w:val="00163585"/>
    <w:rsid w:val="00163901"/>
    <w:rsid w:val="00163BEF"/>
    <w:rsid w:val="00163E5F"/>
    <w:rsid w:val="0016442D"/>
    <w:rsid w:val="00164497"/>
    <w:rsid w:val="001648AE"/>
    <w:rsid w:val="00164A0D"/>
    <w:rsid w:val="00164E60"/>
    <w:rsid w:val="0016596C"/>
    <w:rsid w:val="00165EE5"/>
    <w:rsid w:val="0016610D"/>
    <w:rsid w:val="0016617E"/>
    <w:rsid w:val="001663EB"/>
    <w:rsid w:val="001665B4"/>
    <w:rsid w:val="001667A3"/>
    <w:rsid w:val="00166BD8"/>
    <w:rsid w:val="00167485"/>
    <w:rsid w:val="00167B6A"/>
    <w:rsid w:val="001701E6"/>
    <w:rsid w:val="00170639"/>
    <w:rsid w:val="00170C8B"/>
    <w:rsid w:val="00170D7E"/>
    <w:rsid w:val="00171145"/>
    <w:rsid w:val="0017156F"/>
    <w:rsid w:val="00171CBB"/>
    <w:rsid w:val="00172411"/>
    <w:rsid w:val="00172B95"/>
    <w:rsid w:val="00172D2F"/>
    <w:rsid w:val="00172FBD"/>
    <w:rsid w:val="001730E0"/>
    <w:rsid w:val="00173489"/>
    <w:rsid w:val="001735E8"/>
    <w:rsid w:val="001737B5"/>
    <w:rsid w:val="00173A0D"/>
    <w:rsid w:val="00173B32"/>
    <w:rsid w:val="00173C70"/>
    <w:rsid w:val="00174285"/>
    <w:rsid w:val="001745CA"/>
    <w:rsid w:val="0017479B"/>
    <w:rsid w:val="001748CF"/>
    <w:rsid w:val="001748E7"/>
    <w:rsid w:val="00174B51"/>
    <w:rsid w:val="00174E5F"/>
    <w:rsid w:val="00174EA3"/>
    <w:rsid w:val="00175020"/>
    <w:rsid w:val="001750D2"/>
    <w:rsid w:val="00175668"/>
    <w:rsid w:val="001758C4"/>
    <w:rsid w:val="00176158"/>
    <w:rsid w:val="00176602"/>
    <w:rsid w:val="00176A53"/>
    <w:rsid w:val="00176A55"/>
    <w:rsid w:val="00176B86"/>
    <w:rsid w:val="001771B4"/>
    <w:rsid w:val="00177389"/>
    <w:rsid w:val="00177522"/>
    <w:rsid w:val="0018066D"/>
    <w:rsid w:val="00181093"/>
    <w:rsid w:val="00181127"/>
    <w:rsid w:val="00181400"/>
    <w:rsid w:val="00181559"/>
    <w:rsid w:val="0018170E"/>
    <w:rsid w:val="001819A5"/>
    <w:rsid w:val="001819F5"/>
    <w:rsid w:val="00181A1E"/>
    <w:rsid w:val="00181F93"/>
    <w:rsid w:val="001827D2"/>
    <w:rsid w:val="00182A60"/>
    <w:rsid w:val="00182B1C"/>
    <w:rsid w:val="00182B8A"/>
    <w:rsid w:val="00182F09"/>
    <w:rsid w:val="00183025"/>
    <w:rsid w:val="00183079"/>
    <w:rsid w:val="001832A3"/>
    <w:rsid w:val="00183648"/>
    <w:rsid w:val="00183A3F"/>
    <w:rsid w:val="00183D34"/>
    <w:rsid w:val="00183E94"/>
    <w:rsid w:val="00183FD8"/>
    <w:rsid w:val="001845DB"/>
    <w:rsid w:val="001847C9"/>
    <w:rsid w:val="001848E9"/>
    <w:rsid w:val="0018527A"/>
    <w:rsid w:val="001858E8"/>
    <w:rsid w:val="00185B7B"/>
    <w:rsid w:val="00185D6B"/>
    <w:rsid w:val="00186309"/>
    <w:rsid w:val="00186365"/>
    <w:rsid w:val="0018637F"/>
    <w:rsid w:val="00186B70"/>
    <w:rsid w:val="001871D2"/>
    <w:rsid w:val="00187B5F"/>
    <w:rsid w:val="0019037B"/>
    <w:rsid w:val="00190385"/>
    <w:rsid w:val="00190812"/>
    <w:rsid w:val="00190AB6"/>
    <w:rsid w:val="00190EC6"/>
    <w:rsid w:val="00190F62"/>
    <w:rsid w:val="00190F6A"/>
    <w:rsid w:val="00190F6D"/>
    <w:rsid w:val="0019166F"/>
    <w:rsid w:val="0019189F"/>
    <w:rsid w:val="00191BF6"/>
    <w:rsid w:val="00191E20"/>
    <w:rsid w:val="00191F87"/>
    <w:rsid w:val="00192106"/>
    <w:rsid w:val="001927C2"/>
    <w:rsid w:val="001929A6"/>
    <w:rsid w:val="001929CB"/>
    <w:rsid w:val="00193579"/>
    <w:rsid w:val="001936BB"/>
    <w:rsid w:val="0019392F"/>
    <w:rsid w:val="001939B5"/>
    <w:rsid w:val="00193BF6"/>
    <w:rsid w:val="00193E4D"/>
    <w:rsid w:val="00194172"/>
    <w:rsid w:val="00194323"/>
    <w:rsid w:val="00194648"/>
    <w:rsid w:val="001949E3"/>
    <w:rsid w:val="00195093"/>
    <w:rsid w:val="0019532A"/>
    <w:rsid w:val="00195578"/>
    <w:rsid w:val="00195C78"/>
    <w:rsid w:val="00195CC8"/>
    <w:rsid w:val="00195ED6"/>
    <w:rsid w:val="001962BD"/>
    <w:rsid w:val="00196324"/>
    <w:rsid w:val="001964DE"/>
    <w:rsid w:val="0019686E"/>
    <w:rsid w:val="00196A86"/>
    <w:rsid w:val="00196FF2"/>
    <w:rsid w:val="0019729D"/>
    <w:rsid w:val="001974E1"/>
    <w:rsid w:val="00197808"/>
    <w:rsid w:val="00197C8E"/>
    <w:rsid w:val="001A0676"/>
    <w:rsid w:val="001A0C61"/>
    <w:rsid w:val="001A1166"/>
    <w:rsid w:val="001A251D"/>
    <w:rsid w:val="001A2D1F"/>
    <w:rsid w:val="001A2F19"/>
    <w:rsid w:val="001A3145"/>
    <w:rsid w:val="001A314B"/>
    <w:rsid w:val="001A35F7"/>
    <w:rsid w:val="001A375E"/>
    <w:rsid w:val="001A3920"/>
    <w:rsid w:val="001A392F"/>
    <w:rsid w:val="001A4021"/>
    <w:rsid w:val="001A4248"/>
    <w:rsid w:val="001A4B8B"/>
    <w:rsid w:val="001A4C0C"/>
    <w:rsid w:val="001A4C99"/>
    <w:rsid w:val="001A51E2"/>
    <w:rsid w:val="001A6196"/>
    <w:rsid w:val="001A6264"/>
    <w:rsid w:val="001A6364"/>
    <w:rsid w:val="001A6388"/>
    <w:rsid w:val="001A63C6"/>
    <w:rsid w:val="001A65AE"/>
    <w:rsid w:val="001A68EB"/>
    <w:rsid w:val="001A6919"/>
    <w:rsid w:val="001A6BC0"/>
    <w:rsid w:val="001A6EBF"/>
    <w:rsid w:val="001A7070"/>
    <w:rsid w:val="001A72B0"/>
    <w:rsid w:val="001A75E1"/>
    <w:rsid w:val="001A762E"/>
    <w:rsid w:val="001A77A4"/>
    <w:rsid w:val="001A78CB"/>
    <w:rsid w:val="001A7AAD"/>
    <w:rsid w:val="001B0307"/>
    <w:rsid w:val="001B0440"/>
    <w:rsid w:val="001B06A9"/>
    <w:rsid w:val="001B128A"/>
    <w:rsid w:val="001B1481"/>
    <w:rsid w:val="001B14D6"/>
    <w:rsid w:val="001B14DC"/>
    <w:rsid w:val="001B16AF"/>
    <w:rsid w:val="001B1752"/>
    <w:rsid w:val="001B1E0E"/>
    <w:rsid w:val="001B2272"/>
    <w:rsid w:val="001B2E26"/>
    <w:rsid w:val="001B30CA"/>
    <w:rsid w:val="001B345C"/>
    <w:rsid w:val="001B442B"/>
    <w:rsid w:val="001B45BC"/>
    <w:rsid w:val="001B4A5B"/>
    <w:rsid w:val="001B4D4C"/>
    <w:rsid w:val="001B4DE5"/>
    <w:rsid w:val="001B52D0"/>
    <w:rsid w:val="001B5645"/>
    <w:rsid w:val="001B5F37"/>
    <w:rsid w:val="001B5FAE"/>
    <w:rsid w:val="001B6631"/>
    <w:rsid w:val="001B6744"/>
    <w:rsid w:val="001B6ADA"/>
    <w:rsid w:val="001B6C82"/>
    <w:rsid w:val="001B6CC1"/>
    <w:rsid w:val="001B75E2"/>
    <w:rsid w:val="001B7700"/>
    <w:rsid w:val="001B7F4E"/>
    <w:rsid w:val="001C028C"/>
    <w:rsid w:val="001C02B8"/>
    <w:rsid w:val="001C0371"/>
    <w:rsid w:val="001C107C"/>
    <w:rsid w:val="001C1180"/>
    <w:rsid w:val="001C1240"/>
    <w:rsid w:val="001C1280"/>
    <w:rsid w:val="001C1344"/>
    <w:rsid w:val="001C177F"/>
    <w:rsid w:val="001C17BB"/>
    <w:rsid w:val="001C24C2"/>
    <w:rsid w:val="001C258F"/>
    <w:rsid w:val="001C264D"/>
    <w:rsid w:val="001C2CE0"/>
    <w:rsid w:val="001C30E0"/>
    <w:rsid w:val="001C3541"/>
    <w:rsid w:val="001C38F7"/>
    <w:rsid w:val="001C4937"/>
    <w:rsid w:val="001C4A44"/>
    <w:rsid w:val="001C4B5E"/>
    <w:rsid w:val="001C4C02"/>
    <w:rsid w:val="001C4FE3"/>
    <w:rsid w:val="001C5990"/>
    <w:rsid w:val="001C5A4E"/>
    <w:rsid w:val="001C5A75"/>
    <w:rsid w:val="001C5C69"/>
    <w:rsid w:val="001C6426"/>
    <w:rsid w:val="001C6EB3"/>
    <w:rsid w:val="001C6EC9"/>
    <w:rsid w:val="001C7189"/>
    <w:rsid w:val="001C7617"/>
    <w:rsid w:val="001C79CF"/>
    <w:rsid w:val="001C79FF"/>
    <w:rsid w:val="001C7B01"/>
    <w:rsid w:val="001C7CA2"/>
    <w:rsid w:val="001D006E"/>
    <w:rsid w:val="001D0192"/>
    <w:rsid w:val="001D06B0"/>
    <w:rsid w:val="001D09EE"/>
    <w:rsid w:val="001D0AEE"/>
    <w:rsid w:val="001D1082"/>
    <w:rsid w:val="001D1BB2"/>
    <w:rsid w:val="001D229E"/>
    <w:rsid w:val="001D23A5"/>
    <w:rsid w:val="001D3426"/>
    <w:rsid w:val="001D34F0"/>
    <w:rsid w:val="001D3658"/>
    <w:rsid w:val="001D389A"/>
    <w:rsid w:val="001D4249"/>
    <w:rsid w:val="001D463D"/>
    <w:rsid w:val="001D483A"/>
    <w:rsid w:val="001D5528"/>
    <w:rsid w:val="001D57F9"/>
    <w:rsid w:val="001D5B45"/>
    <w:rsid w:val="001D6917"/>
    <w:rsid w:val="001D69DA"/>
    <w:rsid w:val="001D6EDB"/>
    <w:rsid w:val="001D737F"/>
    <w:rsid w:val="001D750A"/>
    <w:rsid w:val="001D76F7"/>
    <w:rsid w:val="001D78A7"/>
    <w:rsid w:val="001E00C2"/>
    <w:rsid w:val="001E016A"/>
    <w:rsid w:val="001E021D"/>
    <w:rsid w:val="001E0AED"/>
    <w:rsid w:val="001E0C9F"/>
    <w:rsid w:val="001E0E73"/>
    <w:rsid w:val="001E14D9"/>
    <w:rsid w:val="001E1603"/>
    <w:rsid w:val="001E17BF"/>
    <w:rsid w:val="001E1818"/>
    <w:rsid w:val="001E18F0"/>
    <w:rsid w:val="001E19DA"/>
    <w:rsid w:val="001E1D94"/>
    <w:rsid w:val="001E1EF7"/>
    <w:rsid w:val="001E2063"/>
    <w:rsid w:val="001E21CA"/>
    <w:rsid w:val="001E2453"/>
    <w:rsid w:val="001E278B"/>
    <w:rsid w:val="001E2A2C"/>
    <w:rsid w:val="001E3190"/>
    <w:rsid w:val="001E32BC"/>
    <w:rsid w:val="001E3336"/>
    <w:rsid w:val="001E3490"/>
    <w:rsid w:val="001E352C"/>
    <w:rsid w:val="001E37DB"/>
    <w:rsid w:val="001E3F2B"/>
    <w:rsid w:val="001E3FF0"/>
    <w:rsid w:val="001E4DE4"/>
    <w:rsid w:val="001E4E5E"/>
    <w:rsid w:val="001E4F05"/>
    <w:rsid w:val="001E5216"/>
    <w:rsid w:val="001E5537"/>
    <w:rsid w:val="001E5706"/>
    <w:rsid w:val="001E570E"/>
    <w:rsid w:val="001E5740"/>
    <w:rsid w:val="001E59D2"/>
    <w:rsid w:val="001E5EBF"/>
    <w:rsid w:val="001E62B0"/>
    <w:rsid w:val="001E6CC6"/>
    <w:rsid w:val="001E6DF7"/>
    <w:rsid w:val="001E73A8"/>
    <w:rsid w:val="001E78F5"/>
    <w:rsid w:val="001E7C8A"/>
    <w:rsid w:val="001E7E37"/>
    <w:rsid w:val="001E7E44"/>
    <w:rsid w:val="001F00DB"/>
    <w:rsid w:val="001F0505"/>
    <w:rsid w:val="001F0575"/>
    <w:rsid w:val="001F05FF"/>
    <w:rsid w:val="001F12AE"/>
    <w:rsid w:val="001F135E"/>
    <w:rsid w:val="001F229A"/>
    <w:rsid w:val="001F2496"/>
    <w:rsid w:val="001F258B"/>
    <w:rsid w:val="001F2BF9"/>
    <w:rsid w:val="001F2F1E"/>
    <w:rsid w:val="001F31A2"/>
    <w:rsid w:val="001F31BB"/>
    <w:rsid w:val="001F34C4"/>
    <w:rsid w:val="001F35F0"/>
    <w:rsid w:val="001F3721"/>
    <w:rsid w:val="001F3D27"/>
    <w:rsid w:val="001F4122"/>
    <w:rsid w:val="001F4453"/>
    <w:rsid w:val="001F45EF"/>
    <w:rsid w:val="001F4E48"/>
    <w:rsid w:val="001F560A"/>
    <w:rsid w:val="001F5757"/>
    <w:rsid w:val="001F5AAB"/>
    <w:rsid w:val="001F6252"/>
    <w:rsid w:val="001F67C1"/>
    <w:rsid w:val="001F696C"/>
    <w:rsid w:val="001F716A"/>
    <w:rsid w:val="001F760B"/>
    <w:rsid w:val="001F79F4"/>
    <w:rsid w:val="001F7CA8"/>
    <w:rsid w:val="001F7DA4"/>
    <w:rsid w:val="002001A7"/>
    <w:rsid w:val="0020035A"/>
    <w:rsid w:val="002008B1"/>
    <w:rsid w:val="00201E4D"/>
    <w:rsid w:val="002020D8"/>
    <w:rsid w:val="00203020"/>
    <w:rsid w:val="002030A9"/>
    <w:rsid w:val="00203ADB"/>
    <w:rsid w:val="00203E44"/>
    <w:rsid w:val="00203E46"/>
    <w:rsid w:val="0020412C"/>
    <w:rsid w:val="002043EE"/>
    <w:rsid w:val="00204519"/>
    <w:rsid w:val="0020464C"/>
    <w:rsid w:val="002046A2"/>
    <w:rsid w:val="00204C9B"/>
    <w:rsid w:val="00204DC6"/>
    <w:rsid w:val="00205157"/>
    <w:rsid w:val="002054A6"/>
    <w:rsid w:val="00205A46"/>
    <w:rsid w:val="00205A94"/>
    <w:rsid w:val="00205E82"/>
    <w:rsid w:val="00205F36"/>
    <w:rsid w:val="002069D5"/>
    <w:rsid w:val="00206B9D"/>
    <w:rsid w:val="00207026"/>
    <w:rsid w:val="0020704B"/>
    <w:rsid w:val="00207CB5"/>
    <w:rsid w:val="002101F8"/>
    <w:rsid w:val="00210483"/>
    <w:rsid w:val="00210ABD"/>
    <w:rsid w:val="00210D2C"/>
    <w:rsid w:val="00210EA2"/>
    <w:rsid w:val="00210EC4"/>
    <w:rsid w:val="002111BC"/>
    <w:rsid w:val="00211222"/>
    <w:rsid w:val="002113F7"/>
    <w:rsid w:val="002117DC"/>
    <w:rsid w:val="00211876"/>
    <w:rsid w:val="002118FF"/>
    <w:rsid w:val="0021211F"/>
    <w:rsid w:val="00212C1C"/>
    <w:rsid w:val="00212CB2"/>
    <w:rsid w:val="00212F70"/>
    <w:rsid w:val="00213205"/>
    <w:rsid w:val="0021328E"/>
    <w:rsid w:val="0021332D"/>
    <w:rsid w:val="00213640"/>
    <w:rsid w:val="002142CA"/>
    <w:rsid w:val="00214300"/>
    <w:rsid w:val="00214490"/>
    <w:rsid w:val="00214694"/>
    <w:rsid w:val="00214A2B"/>
    <w:rsid w:val="00214CD9"/>
    <w:rsid w:val="00215942"/>
    <w:rsid w:val="00215B5A"/>
    <w:rsid w:val="0021604B"/>
    <w:rsid w:val="00216632"/>
    <w:rsid w:val="00216A96"/>
    <w:rsid w:val="00216ADE"/>
    <w:rsid w:val="00216D3D"/>
    <w:rsid w:val="00217400"/>
    <w:rsid w:val="002177E7"/>
    <w:rsid w:val="00217C10"/>
    <w:rsid w:val="00217D68"/>
    <w:rsid w:val="0022028F"/>
    <w:rsid w:val="002204E5"/>
    <w:rsid w:val="0022067D"/>
    <w:rsid w:val="00220773"/>
    <w:rsid w:val="002208CE"/>
    <w:rsid w:val="002211C6"/>
    <w:rsid w:val="002212C5"/>
    <w:rsid w:val="0022141E"/>
    <w:rsid w:val="00221617"/>
    <w:rsid w:val="0022188D"/>
    <w:rsid w:val="00221E4F"/>
    <w:rsid w:val="00221F06"/>
    <w:rsid w:val="002228A3"/>
    <w:rsid w:val="00222F85"/>
    <w:rsid w:val="00222FA8"/>
    <w:rsid w:val="00223554"/>
    <w:rsid w:val="002236A5"/>
    <w:rsid w:val="00223EA5"/>
    <w:rsid w:val="00223F76"/>
    <w:rsid w:val="00224300"/>
    <w:rsid w:val="0022439E"/>
    <w:rsid w:val="0022477C"/>
    <w:rsid w:val="00224945"/>
    <w:rsid w:val="00224AAA"/>
    <w:rsid w:val="00224B5D"/>
    <w:rsid w:val="00225574"/>
    <w:rsid w:val="00225939"/>
    <w:rsid w:val="00225972"/>
    <w:rsid w:val="00225E32"/>
    <w:rsid w:val="00225EE9"/>
    <w:rsid w:val="002261B1"/>
    <w:rsid w:val="002274FC"/>
    <w:rsid w:val="002275DD"/>
    <w:rsid w:val="002276BB"/>
    <w:rsid w:val="00227A4C"/>
    <w:rsid w:val="00227E08"/>
    <w:rsid w:val="002300C1"/>
    <w:rsid w:val="0023012E"/>
    <w:rsid w:val="0023063F"/>
    <w:rsid w:val="002309D4"/>
    <w:rsid w:val="00230C30"/>
    <w:rsid w:val="00230D1F"/>
    <w:rsid w:val="0023134E"/>
    <w:rsid w:val="002316F0"/>
    <w:rsid w:val="00231C17"/>
    <w:rsid w:val="00231D60"/>
    <w:rsid w:val="00231E9A"/>
    <w:rsid w:val="00231EDE"/>
    <w:rsid w:val="00231FA1"/>
    <w:rsid w:val="00232207"/>
    <w:rsid w:val="0023278B"/>
    <w:rsid w:val="0023290F"/>
    <w:rsid w:val="002333A1"/>
    <w:rsid w:val="0023376B"/>
    <w:rsid w:val="00233C8E"/>
    <w:rsid w:val="00233EC9"/>
    <w:rsid w:val="0023412E"/>
    <w:rsid w:val="00234E39"/>
    <w:rsid w:val="00235F5B"/>
    <w:rsid w:val="00236039"/>
    <w:rsid w:val="002366E7"/>
    <w:rsid w:val="00236801"/>
    <w:rsid w:val="00236B4D"/>
    <w:rsid w:val="00236C3F"/>
    <w:rsid w:val="00236FFB"/>
    <w:rsid w:val="00237A06"/>
    <w:rsid w:val="00237F64"/>
    <w:rsid w:val="0024004A"/>
    <w:rsid w:val="002401FD"/>
    <w:rsid w:val="0024027F"/>
    <w:rsid w:val="00240B8E"/>
    <w:rsid w:val="00240BC8"/>
    <w:rsid w:val="00240CBD"/>
    <w:rsid w:val="00240D83"/>
    <w:rsid w:val="00241363"/>
    <w:rsid w:val="00241A17"/>
    <w:rsid w:val="00241CD3"/>
    <w:rsid w:val="00242014"/>
    <w:rsid w:val="002425A9"/>
    <w:rsid w:val="002426FD"/>
    <w:rsid w:val="0024270F"/>
    <w:rsid w:val="002428ED"/>
    <w:rsid w:val="00242AE3"/>
    <w:rsid w:val="00242EF4"/>
    <w:rsid w:val="00243169"/>
    <w:rsid w:val="00243306"/>
    <w:rsid w:val="002433AD"/>
    <w:rsid w:val="00243CE3"/>
    <w:rsid w:val="00243D21"/>
    <w:rsid w:val="00243EFC"/>
    <w:rsid w:val="0024466D"/>
    <w:rsid w:val="00244E6A"/>
    <w:rsid w:val="00244F59"/>
    <w:rsid w:val="00244FDC"/>
    <w:rsid w:val="00245079"/>
    <w:rsid w:val="00245224"/>
    <w:rsid w:val="0024613E"/>
    <w:rsid w:val="0024653E"/>
    <w:rsid w:val="0024697C"/>
    <w:rsid w:val="00246B87"/>
    <w:rsid w:val="00246C2D"/>
    <w:rsid w:val="00246D61"/>
    <w:rsid w:val="00246F80"/>
    <w:rsid w:val="00247665"/>
    <w:rsid w:val="002476D4"/>
    <w:rsid w:val="00247AF5"/>
    <w:rsid w:val="00250B85"/>
    <w:rsid w:val="00251249"/>
    <w:rsid w:val="00251801"/>
    <w:rsid w:val="00251830"/>
    <w:rsid w:val="00251A1D"/>
    <w:rsid w:val="0025277F"/>
    <w:rsid w:val="0025288F"/>
    <w:rsid w:val="00252B4F"/>
    <w:rsid w:val="002533A6"/>
    <w:rsid w:val="00253B9A"/>
    <w:rsid w:val="00253DF9"/>
    <w:rsid w:val="0025400A"/>
    <w:rsid w:val="002540B7"/>
    <w:rsid w:val="002540BB"/>
    <w:rsid w:val="00254230"/>
    <w:rsid w:val="00254521"/>
    <w:rsid w:val="00254ECC"/>
    <w:rsid w:val="0025504E"/>
    <w:rsid w:val="00255545"/>
    <w:rsid w:val="00255729"/>
    <w:rsid w:val="0025594A"/>
    <w:rsid w:val="002563B5"/>
    <w:rsid w:val="002565CA"/>
    <w:rsid w:val="0025667B"/>
    <w:rsid w:val="002566AF"/>
    <w:rsid w:val="00256B7A"/>
    <w:rsid w:val="00256BEB"/>
    <w:rsid w:val="00256E71"/>
    <w:rsid w:val="00256F89"/>
    <w:rsid w:val="002576A1"/>
    <w:rsid w:val="00257722"/>
    <w:rsid w:val="00257824"/>
    <w:rsid w:val="002579CE"/>
    <w:rsid w:val="00257CBD"/>
    <w:rsid w:val="00257F28"/>
    <w:rsid w:val="00260515"/>
    <w:rsid w:val="002605A0"/>
    <w:rsid w:val="0026074F"/>
    <w:rsid w:val="00260B40"/>
    <w:rsid w:val="00260FC4"/>
    <w:rsid w:val="002611BB"/>
    <w:rsid w:val="00261539"/>
    <w:rsid w:val="0026154A"/>
    <w:rsid w:val="002617D8"/>
    <w:rsid w:val="00261BF9"/>
    <w:rsid w:val="00261DAB"/>
    <w:rsid w:val="00261DCF"/>
    <w:rsid w:val="00261EC0"/>
    <w:rsid w:val="00261FAA"/>
    <w:rsid w:val="002626B9"/>
    <w:rsid w:val="002628EB"/>
    <w:rsid w:val="00262A02"/>
    <w:rsid w:val="00262A49"/>
    <w:rsid w:val="00262B86"/>
    <w:rsid w:val="00262D20"/>
    <w:rsid w:val="0026338A"/>
    <w:rsid w:val="00263DE4"/>
    <w:rsid w:val="0026425A"/>
    <w:rsid w:val="0026431C"/>
    <w:rsid w:val="00264977"/>
    <w:rsid w:val="00264C0A"/>
    <w:rsid w:val="00264F94"/>
    <w:rsid w:val="00265255"/>
    <w:rsid w:val="002652EF"/>
    <w:rsid w:val="00265930"/>
    <w:rsid w:val="00265B8C"/>
    <w:rsid w:val="00265C10"/>
    <w:rsid w:val="0026627A"/>
    <w:rsid w:val="00266562"/>
    <w:rsid w:val="00266754"/>
    <w:rsid w:val="00266A03"/>
    <w:rsid w:val="00266A48"/>
    <w:rsid w:val="00266AEE"/>
    <w:rsid w:val="00266CC9"/>
    <w:rsid w:val="002679FD"/>
    <w:rsid w:val="00267BB7"/>
    <w:rsid w:val="002700D6"/>
    <w:rsid w:val="002702EC"/>
    <w:rsid w:val="00270F29"/>
    <w:rsid w:val="0027108C"/>
    <w:rsid w:val="002712E0"/>
    <w:rsid w:val="002713C7"/>
    <w:rsid w:val="0027205E"/>
    <w:rsid w:val="002722B3"/>
    <w:rsid w:val="00272645"/>
    <w:rsid w:val="00272833"/>
    <w:rsid w:val="00272C22"/>
    <w:rsid w:val="0027349A"/>
    <w:rsid w:val="002734DB"/>
    <w:rsid w:val="0027350A"/>
    <w:rsid w:val="0027462A"/>
    <w:rsid w:val="00274651"/>
    <w:rsid w:val="00274948"/>
    <w:rsid w:val="00274A73"/>
    <w:rsid w:val="00274C9A"/>
    <w:rsid w:val="002756BC"/>
    <w:rsid w:val="002758B3"/>
    <w:rsid w:val="00275AFC"/>
    <w:rsid w:val="00275B97"/>
    <w:rsid w:val="00275C8D"/>
    <w:rsid w:val="00275FA2"/>
    <w:rsid w:val="00276008"/>
    <w:rsid w:val="002762E1"/>
    <w:rsid w:val="00276916"/>
    <w:rsid w:val="00276B39"/>
    <w:rsid w:val="00276B57"/>
    <w:rsid w:val="00277585"/>
    <w:rsid w:val="002775E3"/>
    <w:rsid w:val="00277C98"/>
    <w:rsid w:val="00280CF2"/>
    <w:rsid w:val="00280D51"/>
    <w:rsid w:val="00281073"/>
    <w:rsid w:val="002818F2"/>
    <w:rsid w:val="00281A6C"/>
    <w:rsid w:val="00281AED"/>
    <w:rsid w:val="00281C30"/>
    <w:rsid w:val="00281C58"/>
    <w:rsid w:val="00281C66"/>
    <w:rsid w:val="00281CAB"/>
    <w:rsid w:val="00281CE6"/>
    <w:rsid w:val="00281F43"/>
    <w:rsid w:val="00281F8B"/>
    <w:rsid w:val="00282066"/>
    <w:rsid w:val="002823E5"/>
    <w:rsid w:val="0028276A"/>
    <w:rsid w:val="00282A59"/>
    <w:rsid w:val="0028344A"/>
    <w:rsid w:val="002837AC"/>
    <w:rsid w:val="0028386F"/>
    <w:rsid w:val="002839D4"/>
    <w:rsid w:val="00283AF1"/>
    <w:rsid w:val="00283DAA"/>
    <w:rsid w:val="002844AB"/>
    <w:rsid w:val="00284AB3"/>
    <w:rsid w:val="00284B01"/>
    <w:rsid w:val="00284E9E"/>
    <w:rsid w:val="00284F23"/>
    <w:rsid w:val="002851BB"/>
    <w:rsid w:val="002856C0"/>
    <w:rsid w:val="00285908"/>
    <w:rsid w:val="00285B06"/>
    <w:rsid w:val="00286499"/>
    <w:rsid w:val="00286596"/>
    <w:rsid w:val="00286A06"/>
    <w:rsid w:val="00286C43"/>
    <w:rsid w:val="00286CBC"/>
    <w:rsid w:val="0028761D"/>
    <w:rsid w:val="00287D67"/>
    <w:rsid w:val="00287EE9"/>
    <w:rsid w:val="00290009"/>
    <w:rsid w:val="00290150"/>
    <w:rsid w:val="00290D12"/>
    <w:rsid w:val="00290FF5"/>
    <w:rsid w:val="002911F8"/>
    <w:rsid w:val="0029163C"/>
    <w:rsid w:val="00291ECD"/>
    <w:rsid w:val="0029218E"/>
    <w:rsid w:val="00292275"/>
    <w:rsid w:val="00292333"/>
    <w:rsid w:val="002923CB"/>
    <w:rsid w:val="00292569"/>
    <w:rsid w:val="00292CA9"/>
    <w:rsid w:val="0029346E"/>
    <w:rsid w:val="00293C5C"/>
    <w:rsid w:val="00293C5D"/>
    <w:rsid w:val="00294530"/>
    <w:rsid w:val="00294753"/>
    <w:rsid w:val="0029565D"/>
    <w:rsid w:val="00295690"/>
    <w:rsid w:val="00295850"/>
    <w:rsid w:val="00295997"/>
    <w:rsid w:val="00295ACC"/>
    <w:rsid w:val="00295BA1"/>
    <w:rsid w:val="00295E30"/>
    <w:rsid w:val="002960D6"/>
    <w:rsid w:val="00296367"/>
    <w:rsid w:val="002963F3"/>
    <w:rsid w:val="0029699F"/>
    <w:rsid w:val="00296A43"/>
    <w:rsid w:val="00296C2A"/>
    <w:rsid w:val="00296D02"/>
    <w:rsid w:val="00296F82"/>
    <w:rsid w:val="00297391"/>
    <w:rsid w:val="002A0064"/>
    <w:rsid w:val="002A0255"/>
    <w:rsid w:val="002A0D91"/>
    <w:rsid w:val="002A1643"/>
    <w:rsid w:val="002A1E0F"/>
    <w:rsid w:val="002A2502"/>
    <w:rsid w:val="002A2ABD"/>
    <w:rsid w:val="002A2AD9"/>
    <w:rsid w:val="002A2EBB"/>
    <w:rsid w:val="002A4139"/>
    <w:rsid w:val="002A44D1"/>
    <w:rsid w:val="002A4654"/>
    <w:rsid w:val="002A4723"/>
    <w:rsid w:val="002A48D7"/>
    <w:rsid w:val="002A4AC7"/>
    <w:rsid w:val="002A4AFC"/>
    <w:rsid w:val="002A4CE2"/>
    <w:rsid w:val="002A5016"/>
    <w:rsid w:val="002A524D"/>
    <w:rsid w:val="002A5678"/>
    <w:rsid w:val="002A56C6"/>
    <w:rsid w:val="002A5775"/>
    <w:rsid w:val="002A5803"/>
    <w:rsid w:val="002A58EE"/>
    <w:rsid w:val="002A5C53"/>
    <w:rsid w:val="002A5DEF"/>
    <w:rsid w:val="002A6388"/>
    <w:rsid w:val="002A64E8"/>
    <w:rsid w:val="002A703F"/>
    <w:rsid w:val="002A7398"/>
    <w:rsid w:val="002A775C"/>
    <w:rsid w:val="002A797C"/>
    <w:rsid w:val="002A7A7C"/>
    <w:rsid w:val="002A7BB2"/>
    <w:rsid w:val="002A7C8D"/>
    <w:rsid w:val="002A7D97"/>
    <w:rsid w:val="002B02CA"/>
    <w:rsid w:val="002B037E"/>
    <w:rsid w:val="002B06DC"/>
    <w:rsid w:val="002B08E6"/>
    <w:rsid w:val="002B09F8"/>
    <w:rsid w:val="002B10B8"/>
    <w:rsid w:val="002B10FC"/>
    <w:rsid w:val="002B14F0"/>
    <w:rsid w:val="002B175E"/>
    <w:rsid w:val="002B186F"/>
    <w:rsid w:val="002B1AA5"/>
    <w:rsid w:val="002B1DCA"/>
    <w:rsid w:val="002B24D0"/>
    <w:rsid w:val="002B2576"/>
    <w:rsid w:val="002B2981"/>
    <w:rsid w:val="002B2B4C"/>
    <w:rsid w:val="002B2C96"/>
    <w:rsid w:val="002B2D72"/>
    <w:rsid w:val="002B304E"/>
    <w:rsid w:val="002B34CE"/>
    <w:rsid w:val="002B4026"/>
    <w:rsid w:val="002B47E9"/>
    <w:rsid w:val="002B4C7D"/>
    <w:rsid w:val="002B4CAB"/>
    <w:rsid w:val="002B57CA"/>
    <w:rsid w:val="002B596E"/>
    <w:rsid w:val="002B5976"/>
    <w:rsid w:val="002B646B"/>
    <w:rsid w:val="002B65C1"/>
    <w:rsid w:val="002B6A42"/>
    <w:rsid w:val="002B6BF5"/>
    <w:rsid w:val="002B6CAF"/>
    <w:rsid w:val="002B7183"/>
    <w:rsid w:val="002B77B1"/>
    <w:rsid w:val="002B7A3A"/>
    <w:rsid w:val="002C00F9"/>
    <w:rsid w:val="002C0809"/>
    <w:rsid w:val="002C0F7C"/>
    <w:rsid w:val="002C169F"/>
    <w:rsid w:val="002C18A5"/>
    <w:rsid w:val="002C2491"/>
    <w:rsid w:val="002C2706"/>
    <w:rsid w:val="002C2A89"/>
    <w:rsid w:val="002C2B0A"/>
    <w:rsid w:val="002C2E02"/>
    <w:rsid w:val="002C3508"/>
    <w:rsid w:val="002C3F39"/>
    <w:rsid w:val="002C4085"/>
    <w:rsid w:val="002C42FA"/>
    <w:rsid w:val="002C441C"/>
    <w:rsid w:val="002C44A6"/>
    <w:rsid w:val="002C4701"/>
    <w:rsid w:val="002C4F42"/>
    <w:rsid w:val="002C4FA0"/>
    <w:rsid w:val="002C520D"/>
    <w:rsid w:val="002C599D"/>
    <w:rsid w:val="002C5CF5"/>
    <w:rsid w:val="002C6072"/>
    <w:rsid w:val="002C6AED"/>
    <w:rsid w:val="002C6BE3"/>
    <w:rsid w:val="002C6C60"/>
    <w:rsid w:val="002C7130"/>
    <w:rsid w:val="002C715C"/>
    <w:rsid w:val="002C73D2"/>
    <w:rsid w:val="002C772E"/>
    <w:rsid w:val="002C7C5F"/>
    <w:rsid w:val="002C7CCD"/>
    <w:rsid w:val="002C7E35"/>
    <w:rsid w:val="002C7EBD"/>
    <w:rsid w:val="002D1135"/>
    <w:rsid w:val="002D1B28"/>
    <w:rsid w:val="002D1B39"/>
    <w:rsid w:val="002D1BF5"/>
    <w:rsid w:val="002D1D4F"/>
    <w:rsid w:val="002D1FC7"/>
    <w:rsid w:val="002D1FCC"/>
    <w:rsid w:val="002D2203"/>
    <w:rsid w:val="002D2E79"/>
    <w:rsid w:val="002D3450"/>
    <w:rsid w:val="002D36B9"/>
    <w:rsid w:val="002D3737"/>
    <w:rsid w:val="002D38B9"/>
    <w:rsid w:val="002D3C2B"/>
    <w:rsid w:val="002D3CCE"/>
    <w:rsid w:val="002D3D36"/>
    <w:rsid w:val="002D3DBF"/>
    <w:rsid w:val="002D3F6E"/>
    <w:rsid w:val="002D4146"/>
    <w:rsid w:val="002D42B1"/>
    <w:rsid w:val="002D4622"/>
    <w:rsid w:val="002D4C24"/>
    <w:rsid w:val="002D51C0"/>
    <w:rsid w:val="002D5D27"/>
    <w:rsid w:val="002D5FA5"/>
    <w:rsid w:val="002D6239"/>
    <w:rsid w:val="002D6952"/>
    <w:rsid w:val="002D6B62"/>
    <w:rsid w:val="002D6BAF"/>
    <w:rsid w:val="002D72E5"/>
    <w:rsid w:val="002D7378"/>
    <w:rsid w:val="002D74A9"/>
    <w:rsid w:val="002D795B"/>
    <w:rsid w:val="002D7A06"/>
    <w:rsid w:val="002E05DB"/>
    <w:rsid w:val="002E0679"/>
    <w:rsid w:val="002E15C8"/>
    <w:rsid w:val="002E1B6C"/>
    <w:rsid w:val="002E1BA8"/>
    <w:rsid w:val="002E1F3F"/>
    <w:rsid w:val="002E2B36"/>
    <w:rsid w:val="002E2EE7"/>
    <w:rsid w:val="002E3CEA"/>
    <w:rsid w:val="002E3FAF"/>
    <w:rsid w:val="002E41C0"/>
    <w:rsid w:val="002E42D9"/>
    <w:rsid w:val="002E443C"/>
    <w:rsid w:val="002E44F8"/>
    <w:rsid w:val="002E46DB"/>
    <w:rsid w:val="002E4A81"/>
    <w:rsid w:val="002E4D9C"/>
    <w:rsid w:val="002E4DBC"/>
    <w:rsid w:val="002E5A4A"/>
    <w:rsid w:val="002E5E5F"/>
    <w:rsid w:val="002E66F4"/>
    <w:rsid w:val="002E6A35"/>
    <w:rsid w:val="002E6E1D"/>
    <w:rsid w:val="002E6ED0"/>
    <w:rsid w:val="002E6F27"/>
    <w:rsid w:val="002E6FFD"/>
    <w:rsid w:val="002E7BD4"/>
    <w:rsid w:val="002E7D3D"/>
    <w:rsid w:val="002F0043"/>
    <w:rsid w:val="002F130F"/>
    <w:rsid w:val="002F1323"/>
    <w:rsid w:val="002F13CC"/>
    <w:rsid w:val="002F1D49"/>
    <w:rsid w:val="002F1D63"/>
    <w:rsid w:val="002F25A2"/>
    <w:rsid w:val="002F2792"/>
    <w:rsid w:val="002F27AC"/>
    <w:rsid w:val="002F2AB5"/>
    <w:rsid w:val="002F2E9B"/>
    <w:rsid w:val="002F30DE"/>
    <w:rsid w:val="002F327B"/>
    <w:rsid w:val="002F36EF"/>
    <w:rsid w:val="002F3868"/>
    <w:rsid w:val="002F4008"/>
    <w:rsid w:val="002F402C"/>
    <w:rsid w:val="002F44AA"/>
    <w:rsid w:val="002F4521"/>
    <w:rsid w:val="002F478D"/>
    <w:rsid w:val="002F4800"/>
    <w:rsid w:val="002F48E0"/>
    <w:rsid w:val="002F4988"/>
    <w:rsid w:val="002F4B73"/>
    <w:rsid w:val="002F5038"/>
    <w:rsid w:val="002F503B"/>
    <w:rsid w:val="002F50C6"/>
    <w:rsid w:val="002F5162"/>
    <w:rsid w:val="002F5682"/>
    <w:rsid w:val="002F5BA4"/>
    <w:rsid w:val="002F61DD"/>
    <w:rsid w:val="002F63E3"/>
    <w:rsid w:val="002F6585"/>
    <w:rsid w:val="002F6EEB"/>
    <w:rsid w:val="002F72C2"/>
    <w:rsid w:val="002F74A3"/>
    <w:rsid w:val="002F75E7"/>
    <w:rsid w:val="002F763D"/>
    <w:rsid w:val="002F7650"/>
    <w:rsid w:val="002F76FA"/>
    <w:rsid w:val="002F78B1"/>
    <w:rsid w:val="002F7CB1"/>
    <w:rsid w:val="002F7CE4"/>
    <w:rsid w:val="002F7F65"/>
    <w:rsid w:val="00300AB1"/>
    <w:rsid w:val="00300AB9"/>
    <w:rsid w:val="00300DA4"/>
    <w:rsid w:val="00300E11"/>
    <w:rsid w:val="003013DF"/>
    <w:rsid w:val="003015DC"/>
    <w:rsid w:val="00301BE7"/>
    <w:rsid w:val="00301D4A"/>
    <w:rsid w:val="00302085"/>
    <w:rsid w:val="00302666"/>
    <w:rsid w:val="00302969"/>
    <w:rsid w:val="0030298C"/>
    <w:rsid w:val="003029A1"/>
    <w:rsid w:val="00302A0A"/>
    <w:rsid w:val="00302DC0"/>
    <w:rsid w:val="00303547"/>
    <w:rsid w:val="00303AEF"/>
    <w:rsid w:val="00303B29"/>
    <w:rsid w:val="00303BCF"/>
    <w:rsid w:val="00303D7B"/>
    <w:rsid w:val="003042E4"/>
    <w:rsid w:val="003043AA"/>
    <w:rsid w:val="0030460D"/>
    <w:rsid w:val="003046C0"/>
    <w:rsid w:val="00304A1D"/>
    <w:rsid w:val="00304A20"/>
    <w:rsid w:val="00304D0A"/>
    <w:rsid w:val="00305714"/>
    <w:rsid w:val="00305D98"/>
    <w:rsid w:val="00305EDF"/>
    <w:rsid w:val="00305FB8"/>
    <w:rsid w:val="00305FFD"/>
    <w:rsid w:val="003060BD"/>
    <w:rsid w:val="00306393"/>
    <w:rsid w:val="00306454"/>
    <w:rsid w:val="003064E0"/>
    <w:rsid w:val="00306BBE"/>
    <w:rsid w:val="00307156"/>
    <w:rsid w:val="0030736A"/>
    <w:rsid w:val="003073A4"/>
    <w:rsid w:val="003073CE"/>
    <w:rsid w:val="00307612"/>
    <w:rsid w:val="00307835"/>
    <w:rsid w:val="003079D4"/>
    <w:rsid w:val="00307BF3"/>
    <w:rsid w:val="00307D28"/>
    <w:rsid w:val="00307D70"/>
    <w:rsid w:val="00307DF4"/>
    <w:rsid w:val="003101B6"/>
    <w:rsid w:val="0031060E"/>
    <w:rsid w:val="003106A3"/>
    <w:rsid w:val="0031084D"/>
    <w:rsid w:val="0031089A"/>
    <w:rsid w:val="003109A9"/>
    <w:rsid w:val="003109E6"/>
    <w:rsid w:val="00310E14"/>
    <w:rsid w:val="0031127C"/>
    <w:rsid w:val="00311592"/>
    <w:rsid w:val="00311660"/>
    <w:rsid w:val="003116AF"/>
    <w:rsid w:val="00311B2C"/>
    <w:rsid w:val="00312240"/>
    <w:rsid w:val="00312734"/>
    <w:rsid w:val="00312A0D"/>
    <w:rsid w:val="00312D31"/>
    <w:rsid w:val="00312F30"/>
    <w:rsid w:val="00313187"/>
    <w:rsid w:val="003133FD"/>
    <w:rsid w:val="0031396E"/>
    <w:rsid w:val="00314050"/>
    <w:rsid w:val="003144E5"/>
    <w:rsid w:val="00314550"/>
    <w:rsid w:val="00314A11"/>
    <w:rsid w:val="00314B61"/>
    <w:rsid w:val="00314C68"/>
    <w:rsid w:val="00314EDA"/>
    <w:rsid w:val="00315079"/>
    <w:rsid w:val="0031541E"/>
    <w:rsid w:val="003159AA"/>
    <w:rsid w:val="00315BB8"/>
    <w:rsid w:val="00315C3F"/>
    <w:rsid w:val="00315E5F"/>
    <w:rsid w:val="00316B33"/>
    <w:rsid w:val="0031733C"/>
    <w:rsid w:val="003176B9"/>
    <w:rsid w:val="0031787A"/>
    <w:rsid w:val="00317D36"/>
    <w:rsid w:val="0032009C"/>
    <w:rsid w:val="00320A6B"/>
    <w:rsid w:val="00321710"/>
    <w:rsid w:val="00321752"/>
    <w:rsid w:val="0032185A"/>
    <w:rsid w:val="00321AA1"/>
    <w:rsid w:val="00321DB0"/>
    <w:rsid w:val="00322209"/>
    <w:rsid w:val="003223EB"/>
    <w:rsid w:val="00322909"/>
    <w:rsid w:val="00322A8C"/>
    <w:rsid w:val="00323AEB"/>
    <w:rsid w:val="00323DE9"/>
    <w:rsid w:val="00323F07"/>
    <w:rsid w:val="00323FEF"/>
    <w:rsid w:val="003241D7"/>
    <w:rsid w:val="0032445C"/>
    <w:rsid w:val="00324ADD"/>
    <w:rsid w:val="00325464"/>
    <w:rsid w:val="00325B3D"/>
    <w:rsid w:val="00325E29"/>
    <w:rsid w:val="003276B2"/>
    <w:rsid w:val="00327A42"/>
    <w:rsid w:val="00327A88"/>
    <w:rsid w:val="00327B9B"/>
    <w:rsid w:val="0033013A"/>
    <w:rsid w:val="00330458"/>
    <w:rsid w:val="0033089D"/>
    <w:rsid w:val="00330DCC"/>
    <w:rsid w:val="00330F28"/>
    <w:rsid w:val="003318E6"/>
    <w:rsid w:val="00331B4F"/>
    <w:rsid w:val="00331B62"/>
    <w:rsid w:val="00331E97"/>
    <w:rsid w:val="003324B2"/>
    <w:rsid w:val="00332C58"/>
    <w:rsid w:val="003331D6"/>
    <w:rsid w:val="0033337F"/>
    <w:rsid w:val="003333FF"/>
    <w:rsid w:val="0033344B"/>
    <w:rsid w:val="003338ED"/>
    <w:rsid w:val="00333B42"/>
    <w:rsid w:val="00333DA6"/>
    <w:rsid w:val="003343F3"/>
    <w:rsid w:val="0033490D"/>
    <w:rsid w:val="00334BDA"/>
    <w:rsid w:val="00334C26"/>
    <w:rsid w:val="00334C39"/>
    <w:rsid w:val="00335980"/>
    <w:rsid w:val="00335A20"/>
    <w:rsid w:val="00335D0B"/>
    <w:rsid w:val="00336545"/>
    <w:rsid w:val="0033654A"/>
    <w:rsid w:val="00336F9E"/>
    <w:rsid w:val="003374A6"/>
    <w:rsid w:val="0034022B"/>
    <w:rsid w:val="0034041A"/>
    <w:rsid w:val="00340B96"/>
    <w:rsid w:val="00340CA4"/>
    <w:rsid w:val="00341074"/>
    <w:rsid w:val="003410BB"/>
    <w:rsid w:val="00341380"/>
    <w:rsid w:val="00341DD1"/>
    <w:rsid w:val="00341DE0"/>
    <w:rsid w:val="003426C0"/>
    <w:rsid w:val="003430EB"/>
    <w:rsid w:val="00343572"/>
    <w:rsid w:val="0034369E"/>
    <w:rsid w:val="00344073"/>
    <w:rsid w:val="003443DE"/>
    <w:rsid w:val="00344686"/>
    <w:rsid w:val="003446EE"/>
    <w:rsid w:val="0034544A"/>
    <w:rsid w:val="00345BB9"/>
    <w:rsid w:val="00345D4E"/>
    <w:rsid w:val="00345ECE"/>
    <w:rsid w:val="00345F3D"/>
    <w:rsid w:val="003460E4"/>
    <w:rsid w:val="003460F9"/>
    <w:rsid w:val="003461A5"/>
    <w:rsid w:val="00346345"/>
    <w:rsid w:val="003463D2"/>
    <w:rsid w:val="0034665E"/>
    <w:rsid w:val="00346AA5"/>
    <w:rsid w:val="00346C78"/>
    <w:rsid w:val="00347463"/>
    <w:rsid w:val="0034753B"/>
    <w:rsid w:val="0034763B"/>
    <w:rsid w:val="0034783B"/>
    <w:rsid w:val="00347AA7"/>
    <w:rsid w:val="0035099E"/>
    <w:rsid w:val="0035196F"/>
    <w:rsid w:val="0035202D"/>
    <w:rsid w:val="00352DC0"/>
    <w:rsid w:val="00353038"/>
    <w:rsid w:val="003535B7"/>
    <w:rsid w:val="00354618"/>
    <w:rsid w:val="00354A31"/>
    <w:rsid w:val="00354BCD"/>
    <w:rsid w:val="00354D9F"/>
    <w:rsid w:val="00354F2A"/>
    <w:rsid w:val="0035526D"/>
    <w:rsid w:val="00355646"/>
    <w:rsid w:val="00355E15"/>
    <w:rsid w:val="003561E5"/>
    <w:rsid w:val="0035623D"/>
    <w:rsid w:val="003562FC"/>
    <w:rsid w:val="0035636D"/>
    <w:rsid w:val="00356524"/>
    <w:rsid w:val="003568BE"/>
    <w:rsid w:val="00356B92"/>
    <w:rsid w:val="00356C7C"/>
    <w:rsid w:val="00356EEF"/>
    <w:rsid w:val="0035710C"/>
    <w:rsid w:val="0035715D"/>
    <w:rsid w:val="0035758D"/>
    <w:rsid w:val="003578D3"/>
    <w:rsid w:val="00357D0F"/>
    <w:rsid w:val="003604A5"/>
    <w:rsid w:val="003605B2"/>
    <w:rsid w:val="003607AE"/>
    <w:rsid w:val="003608B9"/>
    <w:rsid w:val="00360F9F"/>
    <w:rsid w:val="003612D3"/>
    <w:rsid w:val="0036138E"/>
    <w:rsid w:val="003615A4"/>
    <w:rsid w:val="003616AB"/>
    <w:rsid w:val="00361C46"/>
    <w:rsid w:val="00361DFE"/>
    <w:rsid w:val="003629FF"/>
    <w:rsid w:val="00363103"/>
    <w:rsid w:val="0036347F"/>
    <w:rsid w:val="00363540"/>
    <w:rsid w:val="0036354D"/>
    <w:rsid w:val="003646A9"/>
    <w:rsid w:val="00364F98"/>
    <w:rsid w:val="00365745"/>
    <w:rsid w:val="0036580C"/>
    <w:rsid w:val="0036588D"/>
    <w:rsid w:val="003668AA"/>
    <w:rsid w:val="003668E4"/>
    <w:rsid w:val="0036705E"/>
    <w:rsid w:val="0036743C"/>
    <w:rsid w:val="00367643"/>
    <w:rsid w:val="003677A5"/>
    <w:rsid w:val="00367F47"/>
    <w:rsid w:val="0037028A"/>
    <w:rsid w:val="00370BEB"/>
    <w:rsid w:val="00371C2A"/>
    <w:rsid w:val="00371C7E"/>
    <w:rsid w:val="00371D67"/>
    <w:rsid w:val="00371DBB"/>
    <w:rsid w:val="0037265F"/>
    <w:rsid w:val="0037311E"/>
    <w:rsid w:val="00373674"/>
    <w:rsid w:val="003737DF"/>
    <w:rsid w:val="00373967"/>
    <w:rsid w:val="003749A1"/>
    <w:rsid w:val="00374A25"/>
    <w:rsid w:val="00374A56"/>
    <w:rsid w:val="00374B4D"/>
    <w:rsid w:val="00375472"/>
    <w:rsid w:val="00375E31"/>
    <w:rsid w:val="00375F51"/>
    <w:rsid w:val="003766D4"/>
    <w:rsid w:val="0037732C"/>
    <w:rsid w:val="00377393"/>
    <w:rsid w:val="003775D2"/>
    <w:rsid w:val="0037760C"/>
    <w:rsid w:val="00377641"/>
    <w:rsid w:val="00377A5A"/>
    <w:rsid w:val="00377C8D"/>
    <w:rsid w:val="00377EF8"/>
    <w:rsid w:val="00377F3B"/>
    <w:rsid w:val="003804EB"/>
    <w:rsid w:val="003805DF"/>
    <w:rsid w:val="0038090B"/>
    <w:rsid w:val="00380D50"/>
    <w:rsid w:val="00380EE3"/>
    <w:rsid w:val="00381112"/>
    <w:rsid w:val="00381275"/>
    <w:rsid w:val="003812B5"/>
    <w:rsid w:val="003814EB"/>
    <w:rsid w:val="00381A78"/>
    <w:rsid w:val="00381A8B"/>
    <w:rsid w:val="00382677"/>
    <w:rsid w:val="00383323"/>
    <w:rsid w:val="00384092"/>
    <w:rsid w:val="0038472C"/>
    <w:rsid w:val="00384820"/>
    <w:rsid w:val="00384E78"/>
    <w:rsid w:val="00385760"/>
    <w:rsid w:val="00385968"/>
    <w:rsid w:val="00385AC2"/>
    <w:rsid w:val="00385C43"/>
    <w:rsid w:val="00385C96"/>
    <w:rsid w:val="0038606F"/>
    <w:rsid w:val="00386857"/>
    <w:rsid w:val="00386C1A"/>
    <w:rsid w:val="003872CD"/>
    <w:rsid w:val="0038769C"/>
    <w:rsid w:val="003877B1"/>
    <w:rsid w:val="00390091"/>
    <w:rsid w:val="00390561"/>
    <w:rsid w:val="003905CF"/>
    <w:rsid w:val="00390C86"/>
    <w:rsid w:val="0039175A"/>
    <w:rsid w:val="00391EBF"/>
    <w:rsid w:val="003922D6"/>
    <w:rsid w:val="00392A54"/>
    <w:rsid w:val="00393558"/>
    <w:rsid w:val="00394941"/>
    <w:rsid w:val="0039497D"/>
    <w:rsid w:val="00395946"/>
    <w:rsid w:val="003965FD"/>
    <w:rsid w:val="00396945"/>
    <w:rsid w:val="00396A5C"/>
    <w:rsid w:val="00396F95"/>
    <w:rsid w:val="00397121"/>
    <w:rsid w:val="00397B2F"/>
    <w:rsid w:val="00397E0C"/>
    <w:rsid w:val="003A0A31"/>
    <w:rsid w:val="003A0D06"/>
    <w:rsid w:val="003A16EB"/>
    <w:rsid w:val="003A1FED"/>
    <w:rsid w:val="003A2178"/>
    <w:rsid w:val="003A21C1"/>
    <w:rsid w:val="003A246E"/>
    <w:rsid w:val="003A2785"/>
    <w:rsid w:val="003A2A45"/>
    <w:rsid w:val="003A2A87"/>
    <w:rsid w:val="003A2F0B"/>
    <w:rsid w:val="003A2F63"/>
    <w:rsid w:val="003A312C"/>
    <w:rsid w:val="003A3616"/>
    <w:rsid w:val="003A483F"/>
    <w:rsid w:val="003A4A3D"/>
    <w:rsid w:val="003A4EE7"/>
    <w:rsid w:val="003A4FB6"/>
    <w:rsid w:val="003A5518"/>
    <w:rsid w:val="003A5C58"/>
    <w:rsid w:val="003A6200"/>
    <w:rsid w:val="003A697B"/>
    <w:rsid w:val="003A6A42"/>
    <w:rsid w:val="003A6B47"/>
    <w:rsid w:val="003A6DA0"/>
    <w:rsid w:val="003A798C"/>
    <w:rsid w:val="003A7D83"/>
    <w:rsid w:val="003A7F0C"/>
    <w:rsid w:val="003B10DD"/>
    <w:rsid w:val="003B1B5F"/>
    <w:rsid w:val="003B1C14"/>
    <w:rsid w:val="003B1ED9"/>
    <w:rsid w:val="003B2131"/>
    <w:rsid w:val="003B2625"/>
    <w:rsid w:val="003B294D"/>
    <w:rsid w:val="003B3219"/>
    <w:rsid w:val="003B35BE"/>
    <w:rsid w:val="003B3982"/>
    <w:rsid w:val="003B3E40"/>
    <w:rsid w:val="003B44CD"/>
    <w:rsid w:val="003B455B"/>
    <w:rsid w:val="003B4864"/>
    <w:rsid w:val="003B4BCB"/>
    <w:rsid w:val="003B4D6A"/>
    <w:rsid w:val="003B52C0"/>
    <w:rsid w:val="003B5DD3"/>
    <w:rsid w:val="003B611E"/>
    <w:rsid w:val="003B6331"/>
    <w:rsid w:val="003B638E"/>
    <w:rsid w:val="003B6727"/>
    <w:rsid w:val="003B6840"/>
    <w:rsid w:val="003B6AFB"/>
    <w:rsid w:val="003B7135"/>
    <w:rsid w:val="003B731A"/>
    <w:rsid w:val="003B75CD"/>
    <w:rsid w:val="003B75E3"/>
    <w:rsid w:val="003B779B"/>
    <w:rsid w:val="003B77E8"/>
    <w:rsid w:val="003B79C1"/>
    <w:rsid w:val="003B7EB6"/>
    <w:rsid w:val="003B7FBE"/>
    <w:rsid w:val="003B7FC8"/>
    <w:rsid w:val="003C0991"/>
    <w:rsid w:val="003C0D2D"/>
    <w:rsid w:val="003C11A2"/>
    <w:rsid w:val="003C177A"/>
    <w:rsid w:val="003C18E8"/>
    <w:rsid w:val="003C1DCA"/>
    <w:rsid w:val="003C1EEA"/>
    <w:rsid w:val="003C2147"/>
    <w:rsid w:val="003C2272"/>
    <w:rsid w:val="003C24C1"/>
    <w:rsid w:val="003C2503"/>
    <w:rsid w:val="003C25B4"/>
    <w:rsid w:val="003C2C4E"/>
    <w:rsid w:val="003C2CD7"/>
    <w:rsid w:val="003C2D16"/>
    <w:rsid w:val="003C2FBC"/>
    <w:rsid w:val="003C306C"/>
    <w:rsid w:val="003C3953"/>
    <w:rsid w:val="003C45D2"/>
    <w:rsid w:val="003C4D20"/>
    <w:rsid w:val="003C566E"/>
    <w:rsid w:val="003C58D2"/>
    <w:rsid w:val="003C5E79"/>
    <w:rsid w:val="003C6269"/>
    <w:rsid w:val="003C6294"/>
    <w:rsid w:val="003C63A8"/>
    <w:rsid w:val="003C6505"/>
    <w:rsid w:val="003C68C9"/>
    <w:rsid w:val="003C6B8E"/>
    <w:rsid w:val="003C7105"/>
    <w:rsid w:val="003C7678"/>
    <w:rsid w:val="003C781F"/>
    <w:rsid w:val="003C7A88"/>
    <w:rsid w:val="003C7BFF"/>
    <w:rsid w:val="003D002A"/>
    <w:rsid w:val="003D00B2"/>
    <w:rsid w:val="003D00C2"/>
    <w:rsid w:val="003D09B5"/>
    <w:rsid w:val="003D0AE7"/>
    <w:rsid w:val="003D106F"/>
    <w:rsid w:val="003D173B"/>
    <w:rsid w:val="003D17B8"/>
    <w:rsid w:val="003D1DBC"/>
    <w:rsid w:val="003D1E5D"/>
    <w:rsid w:val="003D1EB3"/>
    <w:rsid w:val="003D2397"/>
    <w:rsid w:val="003D259C"/>
    <w:rsid w:val="003D269B"/>
    <w:rsid w:val="003D283E"/>
    <w:rsid w:val="003D28BE"/>
    <w:rsid w:val="003D2A7A"/>
    <w:rsid w:val="003D2A9E"/>
    <w:rsid w:val="003D31C0"/>
    <w:rsid w:val="003D4046"/>
    <w:rsid w:val="003D4113"/>
    <w:rsid w:val="003D41B2"/>
    <w:rsid w:val="003D469F"/>
    <w:rsid w:val="003D4758"/>
    <w:rsid w:val="003D4BF2"/>
    <w:rsid w:val="003D4C7B"/>
    <w:rsid w:val="003D503E"/>
    <w:rsid w:val="003D53AE"/>
    <w:rsid w:val="003D5BE3"/>
    <w:rsid w:val="003D5C27"/>
    <w:rsid w:val="003D5D7E"/>
    <w:rsid w:val="003D60D4"/>
    <w:rsid w:val="003D696D"/>
    <w:rsid w:val="003D6980"/>
    <w:rsid w:val="003D6CD5"/>
    <w:rsid w:val="003D6DF4"/>
    <w:rsid w:val="003D6E28"/>
    <w:rsid w:val="003D704A"/>
    <w:rsid w:val="003D706B"/>
    <w:rsid w:val="003D711B"/>
    <w:rsid w:val="003D7724"/>
    <w:rsid w:val="003D7DF2"/>
    <w:rsid w:val="003E033B"/>
    <w:rsid w:val="003E0799"/>
    <w:rsid w:val="003E0EC2"/>
    <w:rsid w:val="003E1061"/>
    <w:rsid w:val="003E11D3"/>
    <w:rsid w:val="003E16F6"/>
    <w:rsid w:val="003E170D"/>
    <w:rsid w:val="003E1783"/>
    <w:rsid w:val="003E2B6C"/>
    <w:rsid w:val="003E2D60"/>
    <w:rsid w:val="003E2DD1"/>
    <w:rsid w:val="003E3346"/>
    <w:rsid w:val="003E34BA"/>
    <w:rsid w:val="003E3C50"/>
    <w:rsid w:val="003E3E54"/>
    <w:rsid w:val="003E4991"/>
    <w:rsid w:val="003E5705"/>
    <w:rsid w:val="003E598C"/>
    <w:rsid w:val="003E6080"/>
    <w:rsid w:val="003E63F3"/>
    <w:rsid w:val="003E647E"/>
    <w:rsid w:val="003E7632"/>
    <w:rsid w:val="003E76DB"/>
    <w:rsid w:val="003E797D"/>
    <w:rsid w:val="003E7A07"/>
    <w:rsid w:val="003E7DC3"/>
    <w:rsid w:val="003F00A6"/>
    <w:rsid w:val="003F00DD"/>
    <w:rsid w:val="003F01F3"/>
    <w:rsid w:val="003F02A9"/>
    <w:rsid w:val="003F048F"/>
    <w:rsid w:val="003F0753"/>
    <w:rsid w:val="003F0914"/>
    <w:rsid w:val="003F0956"/>
    <w:rsid w:val="003F0C53"/>
    <w:rsid w:val="003F0E7C"/>
    <w:rsid w:val="003F1198"/>
    <w:rsid w:val="003F1507"/>
    <w:rsid w:val="003F1803"/>
    <w:rsid w:val="003F1CB1"/>
    <w:rsid w:val="003F1E25"/>
    <w:rsid w:val="003F1EFE"/>
    <w:rsid w:val="003F1F99"/>
    <w:rsid w:val="003F2045"/>
    <w:rsid w:val="003F225A"/>
    <w:rsid w:val="003F23C7"/>
    <w:rsid w:val="003F2463"/>
    <w:rsid w:val="003F256A"/>
    <w:rsid w:val="003F274A"/>
    <w:rsid w:val="003F3096"/>
    <w:rsid w:val="003F31FD"/>
    <w:rsid w:val="003F386F"/>
    <w:rsid w:val="003F3B4E"/>
    <w:rsid w:val="003F462C"/>
    <w:rsid w:val="003F4B2E"/>
    <w:rsid w:val="003F4FC7"/>
    <w:rsid w:val="003F511E"/>
    <w:rsid w:val="003F520C"/>
    <w:rsid w:val="003F5347"/>
    <w:rsid w:val="003F59D2"/>
    <w:rsid w:val="003F5AAB"/>
    <w:rsid w:val="003F5BB5"/>
    <w:rsid w:val="003F68C4"/>
    <w:rsid w:val="003F6BA9"/>
    <w:rsid w:val="003F6C38"/>
    <w:rsid w:val="003F6C60"/>
    <w:rsid w:val="003F757D"/>
    <w:rsid w:val="003F75C8"/>
    <w:rsid w:val="003F78A0"/>
    <w:rsid w:val="003F7A93"/>
    <w:rsid w:val="003F7CFC"/>
    <w:rsid w:val="003F7F65"/>
    <w:rsid w:val="004000F1"/>
    <w:rsid w:val="00400188"/>
    <w:rsid w:val="00400823"/>
    <w:rsid w:val="00400B69"/>
    <w:rsid w:val="004011D6"/>
    <w:rsid w:val="00401350"/>
    <w:rsid w:val="00401E88"/>
    <w:rsid w:val="00401EC9"/>
    <w:rsid w:val="00402748"/>
    <w:rsid w:val="0040300A"/>
    <w:rsid w:val="004031C8"/>
    <w:rsid w:val="0040389C"/>
    <w:rsid w:val="004038E0"/>
    <w:rsid w:val="00404423"/>
    <w:rsid w:val="00404545"/>
    <w:rsid w:val="00404E3A"/>
    <w:rsid w:val="00404E73"/>
    <w:rsid w:val="0040532B"/>
    <w:rsid w:val="0040562F"/>
    <w:rsid w:val="004056E1"/>
    <w:rsid w:val="00405B2D"/>
    <w:rsid w:val="00405B5F"/>
    <w:rsid w:val="00405EC8"/>
    <w:rsid w:val="00406224"/>
    <w:rsid w:val="004071DF"/>
    <w:rsid w:val="00407442"/>
    <w:rsid w:val="0040746C"/>
    <w:rsid w:val="0040798B"/>
    <w:rsid w:val="0041005A"/>
    <w:rsid w:val="0041038E"/>
    <w:rsid w:val="00410D05"/>
    <w:rsid w:val="00410FF6"/>
    <w:rsid w:val="00412206"/>
    <w:rsid w:val="00412AD3"/>
    <w:rsid w:val="00414558"/>
    <w:rsid w:val="00414963"/>
    <w:rsid w:val="004149DA"/>
    <w:rsid w:val="00414A09"/>
    <w:rsid w:val="00415118"/>
    <w:rsid w:val="0041582C"/>
    <w:rsid w:val="004159F4"/>
    <w:rsid w:val="00415FF9"/>
    <w:rsid w:val="00416114"/>
    <w:rsid w:val="004165E2"/>
    <w:rsid w:val="00416963"/>
    <w:rsid w:val="00416A9D"/>
    <w:rsid w:val="0041769A"/>
    <w:rsid w:val="004177A5"/>
    <w:rsid w:val="0041782B"/>
    <w:rsid w:val="00417CC4"/>
    <w:rsid w:val="0042018B"/>
    <w:rsid w:val="00420245"/>
    <w:rsid w:val="00420280"/>
    <w:rsid w:val="00420C32"/>
    <w:rsid w:val="00420E41"/>
    <w:rsid w:val="00421071"/>
    <w:rsid w:val="00421825"/>
    <w:rsid w:val="00421A58"/>
    <w:rsid w:val="004224A0"/>
    <w:rsid w:val="00422CF9"/>
    <w:rsid w:val="0042319A"/>
    <w:rsid w:val="00423365"/>
    <w:rsid w:val="00423A2D"/>
    <w:rsid w:val="0042403B"/>
    <w:rsid w:val="004243A5"/>
    <w:rsid w:val="00424BCC"/>
    <w:rsid w:val="00424E51"/>
    <w:rsid w:val="00424FE1"/>
    <w:rsid w:val="00425283"/>
    <w:rsid w:val="00425721"/>
    <w:rsid w:val="00426016"/>
    <w:rsid w:val="00426215"/>
    <w:rsid w:val="00426446"/>
    <w:rsid w:val="00426773"/>
    <w:rsid w:val="00426BF5"/>
    <w:rsid w:val="00426C62"/>
    <w:rsid w:val="00427247"/>
    <w:rsid w:val="0042739E"/>
    <w:rsid w:val="00427659"/>
    <w:rsid w:val="004279F6"/>
    <w:rsid w:val="004305E1"/>
    <w:rsid w:val="0043076A"/>
    <w:rsid w:val="00430B12"/>
    <w:rsid w:val="0043118D"/>
    <w:rsid w:val="00431353"/>
    <w:rsid w:val="00432053"/>
    <w:rsid w:val="0043265B"/>
    <w:rsid w:val="00432988"/>
    <w:rsid w:val="00432F10"/>
    <w:rsid w:val="0043301A"/>
    <w:rsid w:val="004331F5"/>
    <w:rsid w:val="00433507"/>
    <w:rsid w:val="004339DA"/>
    <w:rsid w:val="004345B8"/>
    <w:rsid w:val="00434980"/>
    <w:rsid w:val="00434B32"/>
    <w:rsid w:val="00434F28"/>
    <w:rsid w:val="004350B6"/>
    <w:rsid w:val="00435160"/>
    <w:rsid w:val="0043517C"/>
    <w:rsid w:val="0043587A"/>
    <w:rsid w:val="00435BEE"/>
    <w:rsid w:val="00435DA1"/>
    <w:rsid w:val="00435EF2"/>
    <w:rsid w:val="00435F8B"/>
    <w:rsid w:val="004361F1"/>
    <w:rsid w:val="00436268"/>
    <w:rsid w:val="0043675C"/>
    <w:rsid w:val="0043743F"/>
    <w:rsid w:val="004376BC"/>
    <w:rsid w:val="0043777A"/>
    <w:rsid w:val="00437C90"/>
    <w:rsid w:val="00440673"/>
    <w:rsid w:val="00440767"/>
    <w:rsid w:val="004407EF"/>
    <w:rsid w:val="00440BCA"/>
    <w:rsid w:val="00440E79"/>
    <w:rsid w:val="004415A7"/>
    <w:rsid w:val="00441776"/>
    <w:rsid w:val="004419BA"/>
    <w:rsid w:val="00441B23"/>
    <w:rsid w:val="00441C0B"/>
    <w:rsid w:val="00441EEF"/>
    <w:rsid w:val="00441FD4"/>
    <w:rsid w:val="00442006"/>
    <w:rsid w:val="00442332"/>
    <w:rsid w:val="004423CC"/>
    <w:rsid w:val="00442793"/>
    <w:rsid w:val="00442930"/>
    <w:rsid w:val="00442A94"/>
    <w:rsid w:val="00442BDF"/>
    <w:rsid w:val="00442E9C"/>
    <w:rsid w:val="00443233"/>
    <w:rsid w:val="004432D3"/>
    <w:rsid w:val="004433AC"/>
    <w:rsid w:val="00443577"/>
    <w:rsid w:val="004438A8"/>
    <w:rsid w:val="004438DF"/>
    <w:rsid w:val="00443912"/>
    <w:rsid w:val="00444261"/>
    <w:rsid w:val="0044486D"/>
    <w:rsid w:val="00444937"/>
    <w:rsid w:val="00444A24"/>
    <w:rsid w:val="00444D6B"/>
    <w:rsid w:val="004452F8"/>
    <w:rsid w:val="00445996"/>
    <w:rsid w:val="004459FE"/>
    <w:rsid w:val="004465CA"/>
    <w:rsid w:val="004468E2"/>
    <w:rsid w:val="0044694A"/>
    <w:rsid w:val="00446D65"/>
    <w:rsid w:val="00446F71"/>
    <w:rsid w:val="0044738D"/>
    <w:rsid w:val="0044769D"/>
    <w:rsid w:val="00447C8A"/>
    <w:rsid w:val="00447D0B"/>
    <w:rsid w:val="00447F41"/>
    <w:rsid w:val="00451827"/>
    <w:rsid w:val="0045182A"/>
    <w:rsid w:val="00452408"/>
    <w:rsid w:val="004525CF"/>
    <w:rsid w:val="00452793"/>
    <w:rsid w:val="0045280D"/>
    <w:rsid w:val="00452972"/>
    <w:rsid w:val="00452A9E"/>
    <w:rsid w:val="00452AC7"/>
    <w:rsid w:val="00452E52"/>
    <w:rsid w:val="00452EAD"/>
    <w:rsid w:val="004533D2"/>
    <w:rsid w:val="0045347A"/>
    <w:rsid w:val="004536E7"/>
    <w:rsid w:val="00453A56"/>
    <w:rsid w:val="00453DF0"/>
    <w:rsid w:val="004541B5"/>
    <w:rsid w:val="0045457D"/>
    <w:rsid w:val="004546BD"/>
    <w:rsid w:val="00454EA7"/>
    <w:rsid w:val="00455075"/>
    <w:rsid w:val="004551AE"/>
    <w:rsid w:val="004552D4"/>
    <w:rsid w:val="00455557"/>
    <w:rsid w:val="00455E74"/>
    <w:rsid w:val="004565EC"/>
    <w:rsid w:val="004566A0"/>
    <w:rsid w:val="00456736"/>
    <w:rsid w:val="00456E22"/>
    <w:rsid w:val="004578C3"/>
    <w:rsid w:val="00457B86"/>
    <w:rsid w:val="00457EF3"/>
    <w:rsid w:val="004607C8"/>
    <w:rsid w:val="0046093F"/>
    <w:rsid w:val="00460DCF"/>
    <w:rsid w:val="00461046"/>
    <w:rsid w:val="004612F4"/>
    <w:rsid w:val="00461312"/>
    <w:rsid w:val="00461328"/>
    <w:rsid w:val="00461FC5"/>
    <w:rsid w:val="00462228"/>
    <w:rsid w:val="00462326"/>
    <w:rsid w:val="00462602"/>
    <w:rsid w:val="00462635"/>
    <w:rsid w:val="00462C46"/>
    <w:rsid w:val="00462D8D"/>
    <w:rsid w:val="004633C1"/>
    <w:rsid w:val="00463A59"/>
    <w:rsid w:val="004643AC"/>
    <w:rsid w:val="00464417"/>
    <w:rsid w:val="0046478E"/>
    <w:rsid w:val="00464F47"/>
    <w:rsid w:val="0046571D"/>
    <w:rsid w:val="00465B74"/>
    <w:rsid w:val="00465BD4"/>
    <w:rsid w:val="00466292"/>
    <w:rsid w:val="00466764"/>
    <w:rsid w:val="00466A2B"/>
    <w:rsid w:val="00466B83"/>
    <w:rsid w:val="00467093"/>
    <w:rsid w:val="0046742B"/>
    <w:rsid w:val="00467C80"/>
    <w:rsid w:val="0047004B"/>
    <w:rsid w:val="00470AD7"/>
    <w:rsid w:val="00471038"/>
    <w:rsid w:val="004711FA"/>
    <w:rsid w:val="004712BA"/>
    <w:rsid w:val="0047148B"/>
    <w:rsid w:val="00471520"/>
    <w:rsid w:val="00471888"/>
    <w:rsid w:val="004720A1"/>
    <w:rsid w:val="004720B2"/>
    <w:rsid w:val="00472529"/>
    <w:rsid w:val="00472814"/>
    <w:rsid w:val="004728AA"/>
    <w:rsid w:val="004728C7"/>
    <w:rsid w:val="00472E1B"/>
    <w:rsid w:val="00472FFC"/>
    <w:rsid w:val="004730B2"/>
    <w:rsid w:val="004731BB"/>
    <w:rsid w:val="00473627"/>
    <w:rsid w:val="00473ACC"/>
    <w:rsid w:val="0047413F"/>
    <w:rsid w:val="0047452C"/>
    <w:rsid w:val="00474862"/>
    <w:rsid w:val="00474B20"/>
    <w:rsid w:val="00474CFC"/>
    <w:rsid w:val="00475C6B"/>
    <w:rsid w:val="0047636B"/>
    <w:rsid w:val="004765B4"/>
    <w:rsid w:val="004767A5"/>
    <w:rsid w:val="00476823"/>
    <w:rsid w:val="00476BBC"/>
    <w:rsid w:val="00477192"/>
    <w:rsid w:val="004774C6"/>
    <w:rsid w:val="004779A2"/>
    <w:rsid w:val="00477A86"/>
    <w:rsid w:val="00477D90"/>
    <w:rsid w:val="00480119"/>
    <w:rsid w:val="00480152"/>
    <w:rsid w:val="004810AA"/>
    <w:rsid w:val="0048141D"/>
    <w:rsid w:val="00481451"/>
    <w:rsid w:val="0048152E"/>
    <w:rsid w:val="00481E84"/>
    <w:rsid w:val="00481FC8"/>
    <w:rsid w:val="00482310"/>
    <w:rsid w:val="00482843"/>
    <w:rsid w:val="00482B86"/>
    <w:rsid w:val="0048317D"/>
    <w:rsid w:val="00483726"/>
    <w:rsid w:val="00483C90"/>
    <w:rsid w:val="0048425C"/>
    <w:rsid w:val="00484B8E"/>
    <w:rsid w:val="00484BAE"/>
    <w:rsid w:val="00484DEF"/>
    <w:rsid w:val="0048541E"/>
    <w:rsid w:val="00485624"/>
    <w:rsid w:val="00485703"/>
    <w:rsid w:val="00485849"/>
    <w:rsid w:val="004862E0"/>
    <w:rsid w:val="004863D0"/>
    <w:rsid w:val="00486BDB"/>
    <w:rsid w:val="0048785F"/>
    <w:rsid w:val="00487EFC"/>
    <w:rsid w:val="004902BF"/>
    <w:rsid w:val="00490517"/>
    <w:rsid w:val="00490B68"/>
    <w:rsid w:val="00490F6D"/>
    <w:rsid w:val="00491090"/>
    <w:rsid w:val="0049135F"/>
    <w:rsid w:val="004914B1"/>
    <w:rsid w:val="00491870"/>
    <w:rsid w:val="00491A19"/>
    <w:rsid w:val="00491D87"/>
    <w:rsid w:val="00491DDA"/>
    <w:rsid w:val="00491DE3"/>
    <w:rsid w:val="0049271D"/>
    <w:rsid w:val="00492B6E"/>
    <w:rsid w:val="00492CA4"/>
    <w:rsid w:val="00492DD8"/>
    <w:rsid w:val="00493654"/>
    <w:rsid w:val="004936A7"/>
    <w:rsid w:val="004936C2"/>
    <w:rsid w:val="0049383B"/>
    <w:rsid w:val="00493CD1"/>
    <w:rsid w:val="004940E2"/>
    <w:rsid w:val="00494230"/>
    <w:rsid w:val="004944AC"/>
    <w:rsid w:val="004944BD"/>
    <w:rsid w:val="004946F4"/>
    <w:rsid w:val="00494D8A"/>
    <w:rsid w:val="00494DDD"/>
    <w:rsid w:val="00494E5F"/>
    <w:rsid w:val="004958ED"/>
    <w:rsid w:val="00495914"/>
    <w:rsid w:val="00495946"/>
    <w:rsid w:val="004964EB"/>
    <w:rsid w:val="004976EF"/>
    <w:rsid w:val="00497817"/>
    <w:rsid w:val="004978BA"/>
    <w:rsid w:val="004979C4"/>
    <w:rsid w:val="00497BAD"/>
    <w:rsid w:val="00497F0F"/>
    <w:rsid w:val="004A0038"/>
    <w:rsid w:val="004A0380"/>
    <w:rsid w:val="004A043F"/>
    <w:rsid w:val="004A0DAB"/>
    <w:rsid w:val="004A16E8"/>
    <w:rsid w:val="004A1C5B"/>
    <w:rsid w:val="004A1F2A"/>
    <w:rsid w:val="004A2132"/>
    <w:rsid w:val="004A229A"/>
    <w:rsid w:val="004A23B5"/>
    <w:rsid w:val="004A240F"/>
    <w:rsid w:val="004A25E3"/>
    <w:rsid w:val="004A2C2B"/>
    <w:rsid w:val="004A2FE5"/>
    <w:rsid w:val="004A306E"/>
    <w:rsid w:val="004A30EB"/>
    <w:rsid w:val="004A3496"/>
    <w:rsid w:val="004A357A"/>
    <w:rsid w:val="004A3768"/>
    <w:rsid w:val="004A3A24"/>
    <w:rsid w:val="004A3CA5"/>
    <w:rsid w:val="004A3CC0"/>
    <w:rsid w:val="004A449F"/>
    <w:rsid w:val="004A46C5"/>
    <w:rsid w:val="004A4723"/>
    <w:rsid w:val="004A4A21"/>
    <w:rsid w:val="004A4DC7"/>
    <w:rsid w:val="004A4E48"/>
    <w:rsid w:val="004A4EB5"/>
    <w:rsid w:val="004A52E7"/>
    <w:rsid w:val="004A55A3"/>
    <w:rsid w:val="004A57F0"/>
    <w:rsid w:val="004A58EB"/>
    <w:rsid w:val="004A5D9D"/>
    <w:rsid w:val="004A6296"/>
    <w:rsid w:val="004A679A"/>
    <w:rsid w:val="004A6927"/>
    <w:rsid w:val="004A69A9"/>
    <w:rsid w:val="004A7757"/>
    <w:rsid w:val="004A79BF"/>
    <w:rsid w:val="004A7CD9"/>
    <w:rsid w:val="004A7F0C"/>
    <w:rsid w:val="004B0607"/>
    <w:rsid w:val="004B1292"/>
    <w:rsid w:val="004B13D7"/>
    <w:rsid w:val="004B16AF"/>
    <w:rsid w:val="004B16C6"/>
    <w:rsid w:val="004B20DB"/>
    <w:rsid w:val="004B2129"/>
    <w:rsid w:val="004B2693"/>
    <w:rsid w:val="004B2946"/>
    <w:rsid w:val="004B2BED"/>
    <w:rsid w:val="004B2C4A"/>
    <w:rsid w:val="004B2DE7"/>
    <w:rsid w:val="004B3137"/>
    <w:rsid w:val="004B3553"/>
    <w:rsid w:val="004B35BA"/>
    <w:rsid w:val="004B372E"/>
    <w:rsid w:val="004B3D09"/>
    <w:rsid w:val="004B4468"/>
    <w:rsid w:val="004B496F"/>
    <w:rsid w:val="004B50AE"/>
    <w:rsid w:val="004B51EF"/>
    <w:rsid w:val="004B5233"/>
    <w:rsid w:val="004B5813"/>
    <w:rsid w:val="004B5C9C"/>
    <w:rsid w:val="004B68B1"/>
    <w:rsid w:val="004B6AFF"/>
    <w:rsid w:val="004B6F1D"/>
    <w:rsid w:val="004B7642"/>
    <w:rsid w:val="004C051B"/>
    <w:rsid w:val="004C069B"/>
    <w:rsid w:val="004C18CA"/>
    <w:rsid w:val="004C1B38"/>
    <w:rsid w:val="004C1FFF"/>
    <w:rsid w:val="004C216D"/>
    <w:rsid w:val="004C2720"/>
    <w:rsid w:val="004C3306"/>
    <w:rsid w:val="004C38C8"/>
    <w:rsid w:val="004C4669"/>
    <w:rsid w:val="004C4725"/>
    <w:rsid w:val="004C49C8"/>
    <w:rsid w:val="004C578E"/>
    <w:rsid w:val="004C5867"/>
    <w:rsid w:val="004C5BC7"/>
    <w:rsid w:val="004C5D4F"/>
    <w:rsid w:val="004C633A"/>
    <w:rsid w:val="004C6628"/>
    <w:rsid w:val="004C67E5"/>
    <w:rsid w:val="004C6B90"/>
    <w:rsid w:val="004C6EDF"/>
    <w:rsid w:val="004C6F17"/>
    <w:rsid w:val="004C7520"/>
    <w:rsid w:val="004C77B1"/>
    <w:rsid w:val="004C78D8"/>
    <w:rsid w:val="004C7B90"/>
    <w:rsid w:val="004C7FB5"/>
    <w:rsid w:val="004D027B"/>
    <w:rsid w:val="004D0A98"/>
    <w:rsid w:val="004D0BD8"/>
    <w:rsid w:val="004D1077"/>
    <w:rsid w:val="004D145F"/>
    <w:rsid w:val="004D1560"/>
    <w:rsid w:val="004D1AD4"/>
    <w:rsid w:val="004D1C2B"/>
    <w:rsid w:val="004D24C1"/>
    <w:rsid w:val="004D2843"/>
    <w:rsid w:val="004D2DE7"/>
    <w:rsid w:val="004D35FF"/>
    <w:rsid w:val="004D38FB"/>
    <w:rsid w:val="004D3AB0"/>
    <w:rsid w:val="004D41D2"/>
    <w:rsid w:val="004D4A03"/>
    <w:rsid w:val="004D4ADD"/>
    <w:rsid w:val="004D4D03"/>
    <w:rsid w:val="004D5086"/>
    <w:rsid w:val="004D528F"/>
    <w:rsid w:val="004D5536"/>
    <w:rsid w:val="004D58B1"/>
    <w:rsid w:val="004D58E9"/>
    <w:rsid w:val="004D5A05"/>
    <w:rsid w:val="004D60B5"/>
    <w:rsid w:val="004D638C"/>
    <w:rsid w:val="004D644C"/>
    <w:rsid w:val="004D6E8C"/>
    <w:rsid w:val="004D736F"/>
    <w:rsid w:val="004D73BC"/>
    <w:rsid w:val="004E0A14"/>
    <w:rsid w:val="004E0E2A"/>
    <w:rsid w:val="004E1359"/>
    <w:rsid w:val="004E1385"/>
    <w:rsid w:val="004E1E85"/>
    <w:rsid w:val="004E1FE1"/>
    <w:rsid w:val="004E230E"/>
    <w:rsid w:val="004E2496"/>
    <w:rsid w:val="004E24E5"/>
    <w:rsid w:val="004E24F1"/>
    <w:rsid w:val="004E268D"/>
    <w:rsid w:val="004E2F18"/>
    <w:rsid w:val="004E3020"/>
    <w:rsid w:val="004E341F"/>
    <w:rsid w:val="004E34C3"/>
    <w:rsid w:val="004E36B4"/>
    <w:rsid w:val="004E3A0D"/>
    <w:rsid w:val="004E3B92"/>
    <w:rsid w:val="004E3C34"/>
    <w:rsid w:val="004E3C62"/>
    <w:rsid w:val="004E4148"/>
    <w:rsid w:val="004E45DB"/>
    <w:rsid w:val="004E4988"/>
    <w:rsid w:val="004E4DEA"/>
    <w:rsid w:val="004E5136"/>
    <w:rsid w:val="004E527A"/>
    <w:rsid w:val="004E572E"/>
    <w:rsid w:val="004E577E"/>
    <w:rsid w:val="004E5B77"/>
    <w:rsid w:val="004E5CA8"/>
    <w:rsid w:val="004E5F15"/>
    <w:rsid w:val="004E6003"/>
    <w:rsid w:val="004E62C0"/>
    <w:rsid w:val="004E6521"/>
    <w:rsid w:val="004E654F"/>
    <w:rsid w:val="004E6FD5"/>
    <w:rsid w:val="004E72C7"/>
    <w:rsid w:val="004E746A"/>
    <w:rsid w:val="004E7B5F"/>
    <w:rsid w:val="004F05F2"/>
    <w:rsid w:val="004F08B9"/>
    <w:rsid w:val="004F10E5"/>
    <w:rsid w:val="004F120A"/>
    <w:rsid w:val="004F1239"/>
    <w:rsid w:val="004F193D"/>
    <w:rsid w:val="004F1C73"/>
    <w:rsid w:val="004F1F63"/>
    <w:rsid w:val="004F22D8"/>
    <w:rsid w:val="004F2E84"/>
    <w:rsid w:val="004F2F42"/>
    <w:rsid w:val="004F3220"/>
    <w:rsid w:val="004F356B"/>
    <w:rsid w:val="004F382C"/>
    <w:rsid w:val="004F38B1"/>
    <w:rsid w:val="004F3994"/>
    <w:rsid w:val="004F3B3B"/>
    <w:rsid w:val="004F3F9D"/>
    <w:rsid w:val="004F4000"/>
    <w:rsid w:val="004F463D"/>
    <w:rsid w:val="004F4E41"/>
    <w:rsid w:val="004F4F75"/>
    <w:rsid w:val="004F50BC"/>
    <w:rsid w:val="004F5138"/>
    <w:rsid w:val="004F51D5"/>
    <w:rsid w:val="004F55C8"/>
    <w:rsid w:val="004F568E"/>
    <w:rsid w:val="004F57EC"/>
    <w:rsid w:val="004F5963"/>
    <w:rsid w:val="004F598B"/>
    <w:rsid w:val="004F5A37"/>
    <w:rsid w:val="004F5E93"/>
    <w:rsid w:val="004F64D2"/>
    <w:rsid w:val="004F6D04"/>
    <w:rsid w:val="004F6F0A"/>
    <w:rsid w:val="004F6FBB"/>
    <w:rsid w:val="004F7704"/>
    <w:rsid w:val="004F7821"/>
    <w:rsid w:val="004F7E26"/>
    <w:rsid w:val="004F7E4B"/>
    <w:rsid w:val="005002B5"/>
    <w:rsid w:val="005007A8"/>
    <w:rsid w:val="00500A8E"/>
    <w:rsid w:val="005010A6"/>
    <w:rsid w:val="00501125"/>
    <w:rsid w:val="00501209"/>
    <w:rsid w:val="00501B00"/>
    <w:rsid w:val="00502094"/>
    <w:rsid w:val="0050297F"/>
    <w:rsid w:val="00502F43"/>
    <w:rsid w:val="0050322E"/>
    <w:rsid w:val="00503330"/>
    <w:rsid w:val="005039C3"/>
    <w:rsid w:val="00503ACD"/>
    <w:rsid w:val="00503AF5"/>
    <w:rsid w:val="00503B28"/>
    <w:rsid w:val="00503B97"/>
    <w:rsid w:val="00503EB1"/>
    <w:rsid w:val="00503F26"/>
    <w:rsid w:val="00503F50"/>
    <w:rsid w:val="005040A4"/>
    <w:rsid w:val="0050413F"/>
    <w:rsid w:val="00504797"/>
    <w:rsid w:val="005050DD"/>
    <w:rsid w:val="005055F0"/>
    <w:rsid w:val="005064A9"/>
    <w:rsid w:val="00506891"/>
    <w:rsid w:val="00506D95"/>
    <w:rsid w:val="005073D6"/>
    <w:rsid w:val="00507CFC"/>
    <w:rsid w:val="00507E9F"/>
    <w:rsid w:val="005101C5"/>
    <w:rsid w:val="00510D3A"/>
    <w:rsid w:val="00510DDE"/>
    <w:rsid w:val="00510E6A"/>
    <w:rsid w:val="00510F97"/>
    <w:rsid w:val="00511292"/>
    <w:rsid w:val="0051129B"/>
    <w:rsid w:val="00511715"/>
    <w:rsid w:val="0051251B"/>
    <w:rsid w:val="005125D7"/>
    <w:rsid w:val="005126C8"/>
    <w:rsid w:val="00512DB7"/>
    <w:rsid w:val="00513453"/>
    <w:rsid w:val="00513528"/>
    <w:rsid w:val="00513829"/>
    <w:rsid w:val="00513E56"/>
    <w:rsid w:val="00513E59"/>
    <w:rsid w:val="00514083"/>
    <w:rsid w:val="005140D5"/>
    <w:rsid w:val="00514133"/>
    <w:rsid w:val="005141BB"/>
    <w:rsid w:val="005147B0"/>
    <w:rsid w:val="0051490A"/>
    <w:rsid w:val="0051540D"/>
    <w:rsid w:val="00515574"/>
    <w:rsid w:val="0051568C"/>
    <w:rsid w:val="00515AAF"/>
    <w:rsid w:val="00515B52"/>
    <w:rsid w:val="00515D51"/>
    <w:rsid w:val="00515D55"/>
    <w:rsid w:val="00515EC1"/>
    <w:rsid w:val="005168E4"/>
    <w:rsid w:val="00516C5A"/>
    <w:rsid w:val="00516CD3"/>
    <w:rsid w:val="00516CDF"/>
    <w:rsid w:val="00516E7B"/>
    <w:rsid w:val="00516E99"/>
    <w:rsid w:val="00516F68"/>
    <w:rsid w:val="005172A5"/>
    <w:rsid w:val="0051736E"/>
    <w:rsid w:val="005178D7"/>
    <w:rsid w:val="00517ACC"/>
    <w:rsid w:val="00517E6E"/>
    <w:rsid w:val="005200BC"/>
    <w:rsid w:val="005200DF"/>
    <w:rsid w:val="005212F3"/>
    <w:rsid w:val="0052182D"/>
    <w:rsid w:val="00521A91"/>
    <w:rsid w:val="00522FDB"/>
    <w:rsid w:val="0052308A"/>
    <w:rsid w:val="00524191"/>
    <w:rsid w:val="005241B4"/>
    <w:rsid w:val="005244D5"/>
    <w:rsid w:val="005245A9"/>
    <w:rsid w:val="00524961"/>
    <w:rsid w:val="0052497F"/>
    <w:rsid w:val="00524DBC"/>
    <w:rsid w:val="00524E5C"/>
    <w:rsid w:val="00524ECC"/>
    <w:rsid w:val="00525074"/>
    <w:rsid w:val="0052595B"/>
    <w:rsid w:val="00525B5D"/>
    <w:rsid w:val="00525B5E"/>
    <w:rsid w:val="00526173"/>
    <w:rsid w:val="00526243"/>
    <w:rsid w:val="005263E9"/>
    <w:rsid w:val="005269A5"/>
    <w:rsid w:val="00526B7B"/>
    <w:rsid w:val="0052709F"/>
    <w:rsid w:val="0052737E"/>
    <w:rsid w:val="00527417"/>
    <w:rsid w:val="00527B5B"/>
    <w:rsid w:val="00527F09"/>
    <w:rsid w:val="0053015B"/>
    <w:rsid w:val="005306EE"/>
    <w:rsid w:val="00530BF5"/>
    <w:rsid w:val="00530E84"/>
    <w:rsid w:val="005310DE"/>
    <w:rsid w:val="00531114"/>
    <w:rsid w:val="00531948"/>
    <w:rsid w:val="00531A8B"/>
    <w:rsid w:val="00531BB9"/>
    <w:rsid w:val="00532368"/>
    <w:rsid w:val="005323FB"/>
    <w:rsid w:val="0053268D"/>
    <w:rsid w:val="00532C76"/>
    <w:rsid w:val="00532EFE"/>
    <w:rsid w:val="0053332C"/>
    <w:rsid w:val="00533658"/>
    <w:rsid w:val="00533E7E"/>
    <w:rsid w:val="00534502"/>
    <w:rsid w:val="00534687"/>
    <w:rsid w:val="00534EEE"/>
    <w:rsid w:val="00535286"/>
    <w:rsid w:val="005353EA"/>
    <w:rsid w:val="00535801"/>
    <w:rsid w:val="005359C5"/>
    <w:rsid w:val="00535BBC"/>
    <w:rsid w:val="0053617F"/>
    <w:rsid w:val="0053672B"/>
    <w:rsid w:val="00536B87"/>
    <w:rsid w:val="00537073"/>
    <w:rsid w:val="005370D8"/>
    <w:rsid w:val="0053792A"/>
    <w:rsid w:val="00537A30"/>
    <w:rsid w:val="0054019F"/>
    <w:rsid w:val="005401D6"/>
    <w:rsid w:val="00540373"/>
    <w:rsid w:val="00540568"/>
    <w:rsid w:val="005405EA"/>
    <w:rsid w:val="00540795"/>
    <w:rsid w:val="0054098B"/>
    <w:rsid w:val="00540A33"/>
    <w:rsid w:val="00540E61"/>
    <w:rsid w:val="00540F5F"/>
    <w:rsid w:val="00541364"/>
    <w:rsid w:val="0054166F"/>
    <w:rsid w:val="005417EF"/>
    <w:rsid w:val="00541896"/>
    <w:rsid w:val="00541B0E"/>
    <w:rsid w:val="00541CDE"/>
    <w:rsid w:val="0054216C"/>
    <w:rsid w:val="0054220F"/>
    <w:rsid w:val="0054225F"/>
    <w:rsid w:val="005425D9"/>
    <w:rsid w:val="00542733"/>
    <w:rsid w:val="005429B8"/>
    <w:rsid w:val="00542E99"/>
    <w:rsid w:val="00543A25"/>
    <w:rsid w:val="00543D10"/>
    <w:rsid w:val="00544046"/>
    <w:rsid w:val="00544173"/>
    <w:rsid w:val="00544364"/>
    <w:rsid w:val="005445D3"/>
    <w:rsid w:val="00544C71"/>
    <w:rsid w:val="00544CC9"/>
    <w:rsid w:val="00544EF7"/>
    <w:rsid w:val="00545149"/>
    <w:rsid w:val="00545220"/>
    <w:rsid w:val="0054525E"/>
    <w:rsid w:val="00545B59"/>
    <w:rsid w:val="00545B5A"/>
    <w:rsid w:val="00545E47"/>
    <w:rsid w:val="005460F2"/>
    <w:rsid w:val="00546313"/>
    <w:rsid w:val="00547166"/>
    <w:rsid w:val="00547399"/>
    <w:rsid w:val="00547A54"/>
    <w:rsid w:val="00550A78"/>
    <w:rsid w:val="00550E49"/>
    <w:rsid w:val="005515F9"/>
    <w:rsid w:val="005518E8"/>
    <w:rsid w:val="00551ADE"/>
    <w:rsid w:val="00551C9A"/>
    <w:rsid w:val="00551DF2"/>
    <w:rsid w:val="00552834"/>
    <w:rsid w:val="00552E5E"/>
    <w:rsid w:val="00553302"/>
    <w:rsid w:val="00553B85"/>
    <w:rsid w:val="00553BA4"/>
    <w:rsid w:val="00553D2B"/>
    <w:rsid w:val="00553E70"/>
    <w:rsid w:val="0055415E"/>
    <w:rsid w:val="00554581"/>
    <w:rsid w:val="005546C5"/>
    <w:rsid w:val="005546FE"/>
    <w:rsid w:val="00554914"/>
    <w:rsid w:val="00554D48"/>
    <w:rsid w:val="00554D95"/>
    <w:rsid w:val="00554E9A"/>
    <w:rsid w:val="0055550D"/>
    <w:rsid w:val="00555992"/>
    <w:rsid w:val="00555F32"/>
    <w:rsid w:val="00556136"/>
    <w:rsid w:val="00556559"/>
    <w:rsid w:val="00556608"/>
    <w:rsid w:val="00556611"/>
    <w:rsid w:val="00556D1A"/>
    <w:rsid w:val="00556D47"/>
    <w:rsid w:val="00556FD2"/>
    <w:rsid w:val="00557301"/>
    <w:rsid w:val="0055773A"/>
    <w:rsid w:val="00560622"/>
    <w:rsid w:val="00560875"/>
    <w:rsid w:val="00560924"/>
    <w:rsid w:val="00560F2F"/>
    <w:rsid w:val="00561116"/>
    <w:rsid w:val="005613AA"/>
    <w:rsid w:val="0056173F"/>
    <w:rsid w:val="00561BBA"/>
    <w:rsid w:val="00561D25"/>
    <w:rsid w:val="00561E76"/>
    <w:rsid w:val="00561E7F"/>
    <w:rsid w:val="00562586"/>
    <w:rsid w:val="00562A55"/>
    <w:rsid w:val="00562CE7"/>
    <w:rsid w:val="00563076"/>
    <w:rsid w:val="005631E2"/>
    <w:rsid w:val="00563592"/>
    <w:rsid w:val="005635EA"/>
    <w:rsid w:val="0056382E"/>
    <w:rsid w:val="005639CA"/>
    <w:rsid w:val="00563C0F"/>
    <w:rsid w:val="00563C9E"/>
    <w:rsid w:val="00563CA5"/>
    <w:rsid w:val="005642D5"/>
    <w:rsid w:val="00564455"/>
    <w:rsid w:val="0056458C"/>
    <w:rsid w:val="0056479D"/>
    <w:rsid w:val="00564A89"/>
    <w:rsid w:val="00564AC0"/>
    <w:rsid w:val="00564B3E"/>
    <w:rsid w:val="00564C91"/>
    <w:rsid w:val="00565349"/>
    <w:rsid w:val="005654EA"/>
    <w:rsid w:val="0056575A"/>
    <w:rsid w:val="00565BEE"/>
    <w:rsid w:val="00565EB7"/>
    <w:rsid w:val="00566120"/>
    <w:rsid w:val="005668B4"/>
    <w:rsid w:val="005669A9"/>
    <w:rsid w:val="00566A7E"/>
    <w:rsid w:val="00566B45"/>
    <w:rsid w:val="00567381"/>
    <w:rsid w:val="00567497"/>
    <w:rsid w:val="005674D8"/>
    <w:rsid w:val="005675FC"/>
    <w:rsid w:val="005678FB"/>
    <w:rsid w:val="00567B06"/>
    <w:rsid w:val="00567CAF"/>
    <w:rsid w:val="00567F5B"/>
    <w:rsid w:val="00567FC5"/>
    <w:rsid w:val="00570379"/>
    <w:rsid w:val="005706DA"/>
    <w:rsid w:val="00570CF8"/>
    <w:rsid w:val="00570DAD"/>
    <w:rsid w:val="00571020"/>
    <w:rsid w:val="00571A35"/>
    <w:rsid w:val="00571A7E"/>
    <w:rsid w:val="00571AFD"/>
    <w:rsid w:val="005723F7"/>
    <w:rsid w:val="00572521"/>
    <w:rsid w:val="00572A57"/>
    <w:rsid w:val="005731D8"/>
    <w:rsid w:val="00573365"/>
    <w:rsid w:val="00573445"/>
    <w:rsid w:val="005736CD"/>
    <w:rsid w:val="0057388B"/>
    <w:rsid w:val="005738DC"/>
    <w:rsid w:val="00573A02"/>
    <w:rsid w:val="00574493"/>
    <w:rsid w:val="00574A8F"/>
    <w:rsid w:val="00574FF4"/>
    <w:rsid w:val="005753C2"/>
    <w:rsid w:val="005758B6"/>
    <w:rsid w:val="005758FB"/>
    <w:rsid w:val="00575995"/>
    <w:rsid w:val="00575DA0"/>
    <w:rsid w:val="00575EEB"/>
    <w:rsid w:val="00576479"/>
    <w:rsid w:val="0057671F"/>
    <w:rsid w:val="0057699A"/>
    <w:rsid w:val="00576B37"/>
    <w:rsid w:val="00576C7F"/>
    <w:rsid w:val="00577199"/>
    <w:rsid w:val="005773FC"/>
    <w:rsid w:val="005776DD"/>
    <w:rsid w:val="00577BBD"/>
    <w:rsid w:val="00580A1B"/>
    <w:rsid w:val="00580D86"/>
    <w:rsid w:val="0058171C"/>
    <w:rsid w:val="00581B50"/>
    <w:rsid w:val="00581B7D"/>
    <w:rsid w:val="00581F62"/>
    <w:rsid w:val="00581F9A"/>
    <w:rsid w:val="00582A80"/>
    <w:rsid w:val="005830C9"/>
    <w:rsid w:val="005834F7"/>
    <w:rsid w:val="00583789"/>
    <w:rsid w:val="0058385A"/>
    <w:rsid w:val="00583BC6"/>
    <w:rsid w:val="00583FB4"/>
    <w:rsid w:val="0058408E"/>
    <w:rsid w:val="0058473E"/>
    <w:rsid w:val="00584ADC"/>
    <w:rsid w:val="00584F3E"/>
    <w:rsid w:val="005850D2"/>
    <w:rsid w:val="00585384"/>
    <w:rsid w:val="005853B1"/>
    <w:rsid w:val="00585B72"/>
    <w:rsid w:val="00585CA2"/>
    <w:rsid w:val="00585E06"/>
    <w:rsid w:val="00585F8C"/>
    <w:rsid w:val="00585FEC"/>
    <w:rsid w:val="005860D9"/>
    <w:rsid w:val="005869F1"/>
    <w:rsid w:val="00586C7B"/>
    <w:rsid w:val="00586CFD"/>
    <w:rsid w:val="00586FF5"/>
    <w:rsid w:val="00587572"/>
    <w:rsid w:val="0058761D"/>
    <w:rsid w:val="00587763"/>
    <w:rsid w:val="00587CF1"/>
    <w:rsid w:val="00590364"/>
    <w:rsid w:val="005905B3"/>
    <w:rsid w:val="00590683"/>
    <w:rsid w:val="00590958"/>
    <w:rsid w:val="00590A84"/>
    <w:rsid w:val="00591C58"/>
    <w:rsid w:val="00591F4A"/>
    <w:rsid w:val="00591FE7"/>
    <w:rsid w:val="00592044"/>
    <w:rsid w:val="005921B1"/>
    <w:rsid w:val="005930A2"/>
    <w:rsid w:val="0059320C"/>
    <w:rsid w:val="005934A6"/>
    <w:rsid w:val="00593969"/>
    <w:rsid w:val="00593A2F"/>
    <w:rsid w:val="00593BB0"/>
    <w:rsid w:val="00593F31"/>
    <w:rsid w:val="00594347"/>
    <w:rsid w:val="005944DC"/>
    <w:rsid w:val="005948C0"/>
    <w:rsid w:val="0059554D"/>
    <w:rsid w:val="00595A72"/>
    <w:rsid w:val="00595B7A"/>
    <w:rsid w:val="00595D2E"/>
    <w:rsid w:val="00595D32"/>
    <w:rsid w:val="0059617B"/>
    <w:rsid w:val="00596205"/>
    <w:rsid w:val="00596421"/>
    <w:rsid w:val="0059681D"/>
    <w:rsid w:val="0059701D"/>
    <w:rsid w:val="005971CE"/>
    <w:rsid w:val="005975EE"/>
    <w:rsid w:val="00597607"/>
    <w:rsid w:val="005A054A"/>
    <w:rsid w:val="005A0ACA"/>
    <w:rsid w:val="005A0EC6"/>
    <w:rsid w:val="005A1181"/>
    <w:rsid w:val="005A11EB"/>
    <w:rsid w:val="005A1880"/>
    <w:rsid w:val="005A18DD"/>
    <w:rsid w:val="005A190C"/>
    <w:rsid w:val="005A1997"/>
    <w:rsid w:val="005A1BED"/>
    <w:rsid w:val="005A1D5E"/>
    <w:rsid w:val="005A2269"/>
    <w:rsid w:val="005A26C7"/>
    <w:rsid w:val="005A2A93"/>
    <w:rsid w:val="005A2F21"/>
    <w:rsid w:val="005A2F2F"/>
    <w:rsid w:val="005A2FEF"/>
    <w:rsid w:val="005A3030"/>
    <w:rsid w:val="005A369A"/>
    <w:rsid w:val="005A379C"/>
    <w:rsid w:val="005A400D"/>
    <w:rsid w:val="005A40CE"/>
    <w:rsid w:val="005A43D0"/>
    <w:rsid w:val="005A48C3"/>
    <w:rsid w:val="005A4AB6"/>
    <w:rsid w:val="005A4F87"/>
    <w:rsid w:val="005A52E3"/>
    <w:rsid w:val="005A549D"/>
    <w:rsid w:val="005A59A6"/>
    <w:rsid w:val="005A5A5E"/>
    <w:rsid w:val="005A5B18"/>
    <w:rsid w:val="005A6102"/>
    <w:rsid w:val="005A6620"/>
    <w:rsid w:val="005A6633"/>
    <w:rsid w:val="005A6AAE"/>
    <w:rsid w:val="005A7444"/>
    <w:rsid w:val="005A76EB"/>
    <w:rsid w:val="005A772E"/>
    <w:rsid w:val="005A7E72"/>
    <w:rsid w:val="005B066F"/>
    <w:rsid w:val="005B0677"/>
    <w:rsid w:val="005B1402"/>
    <w:rsid w:val="005B1B5D"/>
    <w:rsid w:val="005B1BF4"/>
    <w:rsid w:val="005B1FAA"/>
    <w:rsid w:val="005B20E9"/>
    <w:rsid w:val="005B29A0"/>
    <w:rsid w:val="005B2B8F"/>
    <w:rsid w:val="005B3097"/>
    <w:rsid w:val="005B31E4"/>
    <w:rsid w:val="005B32AE"/>
    <w:rsid w:val="005B354B"/>
    <w:rsid w:val="005B3746"/>
    <w:rsid w:val="005B3A68"/>
    <w:rsid w:val="005B3BED"/>
    <w:rsid w:val="005B3F98"/>
    <w:rsid w:val="005B4376"/>
    <w:rsid w:val="005B4C54"/>
    <w:rsid w:val="005B501D"/>
    <w:rsid w:val="005B5489"/>
    <w:rsid w:val="005B575F"/>
    <w:rsid w:val="005B5A12"/>
    <w:rsid w:val="005B6308"/>
    <w:rsid w:val="005B69D0"/>
    <w:rsid w:val="005B703C"/>
    <w:rsid w:val="005B70C8"/>
    <w:rsid w:val="005B7397"/>
    <w:rsid w:val="005B7832"/>
    <w:rsid w:val="005B78B0"/>
    <w:rsid w:val="005B7D36"/>
    <w:rsid w:val="005B7DAA"/>
    <w:rsid w:val="005B7E84"/>
    <w:rsid w:val="005C015F"/>
    <w:rsid w:val="005C0320"/>
    <w:rsid w:val="005C09C0"/>
    <w:rsid w:val="005C0B49"/>
    <w:rsid w:val="005C0F2F"/>
    <w:rsid w:val="005C115E"/>
    <w:rsid w:val="005C13E3"/>
    <w:rsid w:val="005C13FA"/>
    <w:rsid w:val="005C1A7D"/>
    <w:rsid w:val="005C20B9"/>
    <w:rsid w:val="005C2653"/>
    <w:rsid w:val="005C2703"/>
    <w:rsid w:val="005C28D9"/>
    <w:rsid w:val="005C328E"/>
    <w:rsid w:val="005C32A7"/>
    <w:rsid w:val="005C3D53"/>
    <w:rsid w:val="005C40D7"/>
    <w:rsid w:val="005C47A8"/>
    <w:rsid w:val="005C4C77"/>
    <w:rsid w:val="005C5F01"/>
    <w:rsid w:val="005C63EF"/>
    <w:rsid w:val="005C6532"/>
    <w:rsid w:val="005C6728"/>
    <w:rsid w:val="005C677F"/>
    <w:rsid w:val="005C67D3"/>
    <w:rsid w:val="005C69D7"/>
    <w:rsid w:val="005C6A3B"/>
    <w:rsid w:val="005C6ACA"/>
    <w:rsid w:val="005C6B26"/>
    <w:rsid w:val="005C6B39"/>
    <w:rsid w:val="005C6C1E"/>
    <w:rsid w:val="005C7018"/>
    <w:rsid w:val="005C70CE"/>
    <w:rsid w:val="005C7172"/>
    <w:rsid w:val="005C71A8"/>
    <w:rsid w:val="005C7F36"/>
    <w:rsid w:val="005D01BD"/>
    <w:rsid w:val="005D0260"/>
    <w:rsid w:val="005D08CB"/>
    <w:rsid w:val="005D1014"/>
    <w:rsid w:val="005D1B4B"/>
    <w:rsid w:val="005D22B1"/>
    <w:rsid w:val="005D24A2"/>
    <w:rsid w:val="005D27ED"/>
    <w:rsid w:val="005D2B8A"/>
    <w:rsid w:val="005D2DC7"/>
    <w:rsid w:val="005D3B15"/>
    <w:rsid w:val="005D3D65"/>
    <w:rsid w:val="005D4039"/>
    <w:rsid w:val="005D41BE"/>
    <w:rsid w:val="005D4552"/>
    <w:rsid w:val="005D45BF"/>
    <w:rsid w:val="005D45C4"/>
    <w:rsid w:val="005D54DE"/>
    <w:rsid w:val="005D58F8"/>
    <w:rsid w:val="005D5CFC"/>
    <w:rsid w:val="005D6AC5"/>
    <w:rsid w:val="005D749E"/>
    <w:rsid w:val="005D7747"/>
    <w:rsid w:val="005D7AC7"/>
    <w:rsid w:val="005E10ED"/>
    <w:rsid w:val="005E10FF"/>
    <w:rsid w:val="005E12E6"/>
    <w:rsid w:val="005E138D"/>
    <w:rsid w:val="005E22D5"/>
    <w:rsid w:val="005E237C"/>
    <w:rsid w:val="005E24E0"/>
    <w:rsid w:val="005E2A72"/>
    <w:rsid w:val="005E2A9A"/>
    <w:rsid w:val="005E2BCD"/>
    <w:rsid w:val="005E2DBE"/>
    <w:rsid w:val="005E324E"/>
    <w:rsid w:val="005E37E2"/>
    <w:rsid w:val="005E3A1E"/>
    <w:rsid w:val="005E3A55"/>
    <w:rsid w:val="005E3F5C"/>
    <w:rsid w:val="005E4264"/>
    <w:rsid w:val="005E4798"/>
    <w:rsid w:val="005E47A6"/>
    <w:rsid w:val="005E4C3D"/>
    <w:rsid w:val="005E4F1A"/>
    <w:rsid w:val="005E5049"/>
    <w:rsid w:val="005E5068"/>
    <w:rsid w:val="005E5189"/>
    <w:rsid w:val="005E54CF"/>
    <w:rsid w:val="005E5532"/>
    <w:rsid w:val="005E5974"/>
    <w:rsid w:val="005E5BB3"/>
    <w:rsid w:val="005E6492"/>
    <w:rsid w:val="005E65E6"/>
    <w:rsid w:val="005E66AD"/>
    <w:rsid w:val="005E6A3A"/>
    <w:rsid w:val="005E6AE2"/>
    <w:rsid w:val="005E6ECD"/>
    <w:rsid w:val="005E6F94"/>
    <w:rsid w:val="005E7A5E"/>
    <w:rsid w:val="005E7DD9"/>
    <w:rsid w:val="005E7DF1"/>
    <w:rsid w:val="005E7F1C"/>
    <w:rsid w:val="005F050C"/>
    <w:rsid w:val="005F0677"/>
    <w:rsid w:val="005F06E8"/>
    <w:rsid w:val="005F07CD"/>
    <w:rsid w:val="005F083E"/>
    <w:rsid w:val="005F0997"/>
    <w:rsid w:val="005F0AF3"/>
    <w:rsid w:val="005F0E53"/>
    <w:rsid w:val="005F1100"/>
    <w:rsid w:val="005F14F2"/>
    <w:rsid w:val="005F15BF"/>
    <w:rsid w:val="005F178D"/>
    <w:rsid w:val="005F17EF"/>
    <w:rsid w:val="005F1B3C"/>
    <w:rsid w:val="005F1DC5"/>
    <w:rsid w:val="005F2011"/>
    <w:rsid w:val="005F222B"/>
    <w:rsid w:val="005F23EF"/>
    <w:rsid w:val="005F26C2"/>
    <w:rsid w:val="005F2914"/>
    <w:rsid w:val="005F2B37"/>
    <w:rsid w:val="005F38CC"/>
    <w:rsid w:val="005F4B5C"/>
    <w:rsid w:val="005F4DED"/>
    <w:rsid w:val="005F4E58"/>
    <w:rsid w:val="005F4F15"/>
    <w:rsid w:val="005F51F8"/>
    <w:rsid w:val="005F54DC"/>
    <w:rsid w:val="005F58E0"/>
    <w:rsid w:val="005F603A"/>
    <w:rsid w:val="005F6058"/>
    <w:rsid w:val="005F66CC"/>
    <w:rsid w:val="005F679A"/>
    <w:rsid w:val="005F67B4"/>
    <w:rsid w:val="005F6AE5"/>
    <w:rsid w:val="005F6BD6"/>
    <w:rsid w:val="005F6C90"/>
    <w:rsid w:val="005F6D0B"/>
    <w:rsid w:val="005F6D91"/>
    <w:rsid w:val="005F6E34"/>
    <w:rsid w:val="005F6EBE"/>
    <w:rsid w:val="005F700A"/>
    <w:rsid w:val="005F74F9"/>
    <w:rsid w:val="005F7949"/>
    <w:rsid w:val="005F7A18"/>
    <w:rsid w:val="005F7A30"/>
    <w:rsid w:val="00600245"/>
    <w:rsid w:val="006002CB"/>
    <w:rsid w:val="006003F1"/>
    <w:rsid w:val="00600B5E"/>
    <w:rsid w:val="00601249"/>
    <w:rsid w:val="00601679"/>
    <w:rsid w:val="0060225B"/>
    <w:rsid w:val="00602379"/>
    <w:rsid w:val="0060263E"/>
    <w:rsid w:val="00602730"/>
    <w:rsid w:val="00602F5B"/>
    <w:rsid w:val="006037EC"/>
    <w:rsid w:val="00603A5E"/>
    <w:rsid w:val="00604269"/>
    <w:rsid w:val="00604A3C"/>
    <w:rsid w:val="00604B74"/>
    <w:rsid w:val="0060524A"/>
    <w:rsid w:val="00605395"/>
    <w:rsid w:val="00605A28"/>
    <w:rsid w:val="00605AA2"/>
    <w:rsid w:val="0060614B"/>
    <w:rsid w:val="00606378"/>
    <w:rsid w:val="006065FA"/>
    <w:rsid w:val="00606609"/>
    <w:rsid w:val="006067EF"/>
    <w:rsid w:val="00606865"/>
    <w:rsid w:val="00606B4D"/>
    <w:rsid w:val="00607036"/>
    <w:rsid w:val="0060793A"/>
    <w:rsid w:val="006079E5"/>
    <w:rsid w:val="00607AC9"/>
    <w:rsid w:val="00607C14"/>
    <w:rsid w:val="00607D39"/>
    <w:rsid w:val="00610033"/>
    <w:rsid w:val="00610403"/>
    <w:rsid w:val="00610C6A"/>
    <w:rsid w:val="006112E3"/>
    <w:rsid w:val="00611408"/>
    <w:rsid w:val="0061192D"/>
    <w:rsid w:val="00611FA6"/>
    <w:rsid w:val="00612407"/>
    <w:rsid w:val="0061271B"/>
    <w:rsid w:val="00613225"/>
    <w:rsid w:val="00613A1B"/>
    <w:rsid w:val="00613C0D"/>
    <w:rsid w:val="00613E0D"/>
    <w:rsid w:val="00614268"/>
    <w:rsid w:val="006142A9"/>
    <w:rsid w:val="00614F62"/>
    <w:rsid w:val="00615452"/>
    <w:rsid w:val="0061565E"/>
    <w:rsid w:val="00615B24"/>
    <w:rsid w:val="00615F19"/>
    <w:rsid w:val="00616052"/>
    <w:rsid w:val="006160EA"/>
    <w:rsid w:val="00616338"/>
    <w:rsid w:val="0061651B"/>
    <w:rsid w:val="00616811"/>
    <w:rsid w:val="00616888"/>
    <w:rsid w:val="00616A52"/>
    <w:rsid w:val="00616D22"/>
    <w:rsid w:val="0061747E"/>
    <w:rsid w:val="0061753E"/>
    <w:rsid w:val="006176DA"/>
    <w:rsid w:val="00617BB7"/>
    <w:rsid w:val="00617DA6"/>
    <w:rsid w:val="00617F6E"/>
    <w:rsid w:val="0062001B"/>
    <w:rsid w:val="0062051C"/>
    <w:rsid w:val="0062085F"/>
    <w:rsid w:val="00620C37"/>
    <w:rsid w:val="00620C84"/>
    <w:rsid w:val="00620CA4"/>
    <w:rsid w:val="00620CF8"/>
    <w:rsid w:val="00620D4C"/>
    <w:rsid w:val="0062144D"/>
    <w:rsid w:val="00621471"/>
    <w:rsid w:val="00621A5F"/>
    <w:rsid w:val="0062232A"/>
    <w:rsid w:val="00622556"/>
    <w:rsid w:val="00622557"/>
    <w:rsid w:val="00622A48"/>
    <w:rsid w:val="00622E46"/>
    <w:rsid w:val="00623109"/>
    <w:rsid w:val="0062361A"/>
    <w:rsid w:val="006236DD"/>
    <w:rsid w:val="0062382A"/>
    <w:rsid w:val="00623C05"/>
    <w:rsid w:val="00623CB3"/>
    <w:rsid w:val="00623D5C"/>
    <w:rsid w:val="00624353"/>
    <w:rsid w:val="0062437B"/>
    <w:rsid w:val="0062442A"/>
    <w:rsid w:val="0062456D"/>
    <w:rsid w:val="0062462D"/>
    <w:rsid w:val="0062499C"/>
    <w:rsid w:val="006249D7"/>
    <w:rsid w:val="00624E90"/>
    <w:rsid w:val="00625062"/>
    <w:rsid w:val="00625252"/>
    <w:rsid w:val="0062532A"/>
    <w:rsid w:val="006259A9"/>
    <w:rsid w:val="00625CD8"/>
    <w:rsid w:val="006260DD"/>
    <w:rsid w:val="00626406"/>
    <w:rsid w:val="0062657A"/>
    <w:rsid w:val="006265CD"/>
    <w:rsid w:val="0062669F"/>
    <w:rsid w:val="00626D12"/>
    <w:rsid w:val="00626EED"/>
    <w:rsid w:val="00627405"/>
    <w:rsid w:val="00630275"/>
    <w:rsid w:val="006306CE"/>
    <w:rsid w:val="00630796"/>
    <w:rsid w:val="006308EE"/>
    <w:rsid w:val="00630BA2"/>
    <w:rsid w:val="00631237"/>
    <w:rsid w:val="00631692"/>
    <w:rsid w:val="00631705"/>
    <w:rsid w:val="00631AD1"/>
    <w:rsid w:val="00631E5F"/>
    <w:rsid w:val="00632436"/>
    <w:rsid w:val="00632941"/>
    <w:rsid w:val="00632B1F"/>
    <w:rsid w:val="0063348B"/>
    <w:rsid w:val="00633494"/>
    <w:rsid w:val="0063392C"/>
    <w:rsid w:val="006345CD"/>
    <w:rsid w:val="00634F1B"/>
    <w:rsid w:val="0063523D"/>
    <w:rsid w:val="00635484"/>
    <w:rsid w:val="00635542"/>
    <w:rsid w:val="00636274"/>
    <w:rsid w:val="00636603"/>
    <w:rsid w:val="006369C3"/>
    <w:rsid w:val="00636FC5"/>
    <w:rsid w:val="00637527"/>
    <w:rsid w:val="0063767D"/>
    <w:rsid w:val="006379D9"/>
    <w:rsid w:val="00637A61"/>
    <w:rsid w:val="00637ABF"/>
    <w:rsid w:val="00637BCA"/>
    <w:rsid w:val="00640409"/>
    <w:rsid w:val="00640439"/>
    <w:rsid w:val="006405FE"/>
    <w:rsid w:val="00640EBC"/>
    <w:rsid w:val="00640F6E"/>
    <w:rsid w:val="006413D2"/>
    <w:rsid w:val="00641468"/>
    <w:rsid w:val="006414BF"/>
    <w:rsid w:val="006416E6"/>
    <w:rsid w:val="006417F6"/>
    <w:rsid w:val="00642156"/>
    <w:rsid w:val="0064227F"/>
    <w:rsid w:val="00642C15"/>
    <w:rsid w:val="0064306B"/>
    <w:rsid w:val="0064307C"/>
    <w:rsid w:val="006432BF"/>
    <w:rsid w:val="00643489"/>
    <w:rsid w:val="006437E0"/>
    <w:rsid w:val="006439EF"/>
    <w:rsid w:val="00643AAB"/>
    <w:rsid w:val="00643B23"/>
    <w:rsid w:val="00643B9D"/>
    <w:rsid w:val="00643C31"/>
    <w:rsid w:val="00643F89"/>
    <w:rsid w:val="006440F8"/>
    <w:rsid w:val="006447F5"/>
    <w:rsid w:val="0064483E"/>
    <w:rsid w:val="00644873"/>
    <w:rsid w:val="00644936"/>
    <w:rsid w:val="006453DC"/>
    <w:rsid w:val="00645BAE"/>
    <w:rsid w:val="00645C6C"/>
    <w:rsid w:val="00645D20"/>
    <w:rsid w:val="0064656D"/>
    <w:rsid w:val="0064678C"/>
    <w:rsid w:val="00646BFA"/>
    <w:rsid w:val="00646D9B"/>
    <w:rsid w:val="00647381"/>
    <w:rsid w:val="0064749A"/>
    <w:rsid w:val="006474D7"/>
    <w:rsid w:val="00647840"/>
    <w:rsid w:val="00647DB1"/>
    <w:rsid w:val="00647E43"/>
    <w:rsid w:val="00650054"/>
    <w:rsid w:val="0065087A"/>
    <w:rsid w:val="00650A5B"/>
    <w:rsid w:val="00650B3C"/>
    <w:rsid w:val="00650D14"/>
    <w:rsid w:val="006511AF"/>
    <w:rsid w:val="00651519"/>
    <w:rsid w:val="006516A6"/>
    <w:rsid w:val="00651A88"/>
    <w:rsid w:val="00651EF7"/>
    <w:rsid w:val="006525B4"/>
    <w:rsid w:val="0065278F"/>
    <w:rsid w:val="00652D47"/>
    <w:rsid w:val="0065340F"/>
    <w:rsid w:val="006535FE"/>
    <w:rsid w:val="006539EF"/>
    <w:rsid w:val="00653EB1"/>
    <w:rsid w:val="0065411D"/>
    <w:rsid w:val="006542ED"/>
    <w:rsid w:val="00654339"/>
    <w:rsid w:val="006549EE"/>
    <w:rsid w:val="00654B2D"/>
    <w:rsid w:val="00654D62"/>
    <w:rsid w:val="00655053"/>
    <w:rsid w:val="006554CE"/>
    <w:rsid w:val="0065563B"/>
    <w:rsid w:val="0065592F"/>
    <w:rsid w:val="00655D2E"/>
    <w:rsid w:val="00656E2A"/>
    <w:rsid w:val="006570D5"/>
    <w:rsid w:val="00660175"/>
    <w:rsid w:val="0066019F"/>
    <w:rsid w:val="006606B9"/>
    <w:rsid w:val="006610A7"/>
    <w:rsid w:val="0066123C"/>
    <w:rsid w:val="006617E4"/>
    <w:rsid w:val="00661B8A"/>
    <w:rsid w:val="00661D63"/>
    <w:rsid w:val="006623AE"/>
    <w:rsid w:val="00662427"/>
    <w:rsid w:val="0066265F"/>
    <w:rsid w:val="006627E4"/>
    <w:rsid w:val="00662DFD"/>
    <w:rsid w:val="00662E35"/>
    <w:rsid w:val="006630D7"/>
    <w:rsid w:val="006634CD"/>
    <w:rsid w:val="0066391F"/>
    <w:rsid w:val="00663EE3"/>
    <w:rsid w:val="00664EFD"/>
    <w:rsid w:val="00665253"/>
    <w:rsid w:val="006652E0"/>
    <w:rsid w:val="006656A3"/>
    <w:rsid w:val="00665FD4"/>
    <w:rsid w:val="00666888"/>
    <w:rsid w:val="00666B97"/>
    <w:rsid w:val="00666DFC"/>
    <w:rsid w:val="00666F6F"/>
    <w:rsid w:val="00666FD5"/>
    <w:rsid w:val="00667195"/>
    <w:rsid w:val="0066732E"/>
    <w:rsid w:val="00667502"/>
    <w:rsid w:val="006679AF"/>
    <w:rsid w:val="006700A6"/>
    <w:rsid w:val="00670334"/>
    <w:rsid w:val="0067106A"/>
    <w:rsid w:val="0067119A"/>
    <w:rsid w:val="006718A7"/>
    <w:rsid w:val="00671928"/>
    <w:rsid w:val="00671996"/>
    <w:rsid w:val="00671EE3"/>
    <w:rsid w:val="0067220D"/>
    <w:rsid w:val="0067255C"/>
    <w:rsid w:val="00672567"/>
    <w:rsid w:val="0067267B"/>
    <w:rsid w:val="006726D8"/>
    <w:rsid w:val="00672731"/>
    <w:rsid w:val="006728E9"/>
    <w:rsid w:val="00672CCF"/>
    <w:rsid w:val="0067308C"/>
    <w:rsid w:val="00673295"/>
    <w:rsid w:val="0067335A"/>
    <w:rsid w:val="006736B1"/>
    <w:rsid w:val="00673740"/>
    <w:rsid w:val="00673C94"/>
    <w:rsid w:val="00673D7C"/>
    <w:rsid w:val="0067438D"/>
    <w:rsid w:val="00674C84"/>
    <w:rsid w:val="006752DD"/>
    <w:rsid w:val="00675584"/>
    <w:rsid w:val="0067565D"/>
    <w:rsid w:val="0067576C"/>
    <w:rsid w:val="00676424"/>
    <w:rsid w:val="00676558"/>
    <w:rsid w:val="00677057"/>
    <w:rsid w:val="00677701"/>
    <w:rsid w:val="00677BF8"/>
    <w:rsid w:val="00677F2A"/>
    <w:rsid w:val="00680201"/>
    <w:rsid w:val="006802C9"/>
    <w:rsid w:val="00680B42"/>
    <w:rsid w:val="00680D95"/>
    <w:rsid w:val="00680DA2"/>
    <w:rsid w:val="00680FE1"/>
    <w:rsid w:val="00681200"/>
    <w:rsid w:val="00681344"/>
    <w:rsid w:val="006814EE"/>
    <w:rsid w:val="006818C9"/>
    <w:rsid w:val="006818F9"/>
    <w:rsid w:val="00681D3B"/>
    <w:rsid w:val="006820CE"/>
    <w:rsid w:val="00682338"/>
    <w:rsid w:val="006823B8"/>
    <w:rsid w:val="0068283D"/>
    <w:rsid w:val="0068324E"/>
    <w:rsid w:val="006834D4"/>
    <w:rsid w:val="006835B8"/>
    <w:rsid w:val="0068375A"/>
    <w:rsid w:val="00683A5E"/>
    <w:rsid w:val="0068403B"/>
    <w:rsid w:val="00684551"/>
    <w:rsid w:val="006847C8"/>
    <w:rsid w:val="00684D6A"/>
    <w:rsid w:val="00684EDD"/>
    <w:rsid w:val="00684F3E"/>
    <w:rsid w:val="006853D1"/>
    <w:rsid w:val="00685855"/>
    <w:rsid w:val="00685895"/>
    <w:rsid w:val="0068594D"/>
    <w:rsid w:val="00685BD2"/>
    <w:rsid w:val="0068647E"/>
    <w:rsid w:val="0068701E"/>
    <w:rsid w:val="006870CA"/>
    <w:rsid w:val="00687CE6"/>
    <w:rsid w:val="00690A7F"/>
    <w:rsid w:val="00690E23"/>
    <w:rsid w:val="00690F10"/>
    <w:rsid w:val="00690FF2"/>
    <w:rsid w:val="0069101F"/>
    <w:rsid w:val="00691165"/>
    <w:rsid w:val="00691660"/>
    <w:rsid w:val="00691FB4"/>
    <w:rsid w:val="0069228C"/>
    <w:rsid w:val="00692567"/>
    <w:rsid w:val="0069277B"/>
    <w:rsid w:val="00692F59"/>
    <w:rsid w:val="00693125"/>
    <w:rsid w:val="00693255"/>
    <w:rsid w:val="006935DE"/>
    <w:rsid w:val="00693639"/>
    <w:rsid w:val="0069376E"/>
    <w:rsid w:val="00693AE4"/>
    <w:rsid w:val="00694477"/>
    <w:rsid w:val="0069450D"/>
    <w:rsid w:val="00694569"/>
    <w:rsid w:val="006947BB"/>
    <w:rsid w:val="00694BDE"/>
    <w:rsid w:val="00694F98"/>
    <w:rsid w:val="00695B26"/>
    <w:rsid w:val="00695B5C"/>
    <w:rsid w:val="00695F33"/>
    <w:rsid w:val="00696528"/>
    <w:rsid w:val="0069658B"/>
    <w:rsid w:val="00696868"/>
    <w:rsid w:val="00696AF6"/>
    <w:rsid w:val="00696DDC"/>
    <w:rsid w:val="00697342"/>
    <w:rsid w:val="006973B3"/>
    <w:rsid w:val="0069768A"/>
    <w:rsid w:val="006977C7"/>
    <w:rsid w:val="006A0485"/>
    <w:rsid w:val="006A08DF"/>
    <w:rsid w:val="006A0F84"/>
    <w:rsid w:val="006A157A"/>
    <w:rsid w:val="006A1D4C"/>
    <w:rsid w:val="006A1D5C"/>
    <w:rsid w:val="006A2046"/>
    <w:rsid w:val="006A2047"/>
    <w:rsid w:val="006A2057"/>
    <w:rsid w:val="006A2141"/>
    <w:rsid w:val="006A2285"/>
    <w:rsid w:val="006A2294"/>
    <w:rsid w:val="006A2331"/>
    <w:rsid w:val="006A2BD3"/>
    <w:rsid w:val="006A2E17"/>
    <w:rsid w:val="006A3D0D"/>
    <w:rsid w:val="006A3FC6"/>
    <w:rsid w:val="006A434B"/>
    <w:rsid w:val="006A4A82"/>
    <w:rsid w:val="006A4F64"/>
    <w:rsid w:val="006A4F99"/>
    <w:rsid w:val="006A5CBE"/>
    <w:rsid w:val="006A5D22"/>
    <w:rsid w:val="006A6819"/>
    <w:rsid w:val="006A6A47"/>
    <w:rsid w:val="006A700C"/>
    <w:rsid w:val="006A709C"/>
    <w:rsid w:val="006A7111"/>
    <w:rsid w:val="006A71A5"/>
    <w:rsid w:val="006A72D1"/>
    <w:rsid w:val="006A7F45"/>
    <w:rsid w:val="006B025F"/>
    <w:rsid w:val="006B0BB7"/>
    <w:rsid w:val="006B0C4D"/>
    <w:rsid w:val="006B168E"/>
    <w:rsid w:val="006B1E2B"/>
    <w:rsid w:val="006B2127"/>
    <w:rsid w:val="006B2196"/>
    <w:rsid w:val="006B270E"/>
    <w:rsid w:val="006B2A74"/>
    <w:rsid w:val="006B2F7D"/>
    <w:rsid w:val="006B301E"/>
    <w:rsid w:val="006B31DE"/>
    <w:rsid w:val="006B3291"/>
    <w:rsid w:val="006B3BBD"/>
    <w:rsid w:val="006B3E50"/>
    <w:rsid w:val="006B3E7E"/>
    <w:rsid w:val="006B44D7"/>
    <w:rsid w:val="006B4C17"/>
    <w:rsid w:val="006B4CB7"/>
    <w:rsid w:val="006B4E8D"/>
    <w:rsid w:val="006B51F4"/>
    <w:rsid w:val="006B538D"/>
    <w:rsid w:val="006B54DC"/>
    <w:rsid w:val="006B5D86"/>
    <w:rsid w:val="006B6CF2"/>
    <w:rsid w:val="006B71F1"/>
    <w:rsid w:val="006B72D8"/>
    <w:rsid w:val="006B750C"/>
    <w:rsid w:val="006C0579"/>
    <w:rsid w:val="006C0C6F"/>
    <w:rsid w:val="006C0D6D"/>
    <w:rsid w:val="006C1073"/>
    <w:rsid w:val="006C116A"/>
    <w:rsid w:val="006C11E1"/>
    <w:rsid w:val="006C131E"/>
    <w:rsid w:val="006C1683"/>
    <w:rsid w:val="006C18DE"/>
    <w:rsid w:val="006C195D"/>
    <w:rsid w:val="006C1A49"/>
    <w:rsid w:val="006C1BD4"/>
    <w:rsid w:val="006C1F72"/>
    <w:rsid w:val="006C2570"/>
    <w:rsid w:val="006C2758"/>
    <w:rsid w:val="006C2BCE"/>
    <w:rsid w:val="006C2FB0"/>
    <w:rsid w:val="006C31B5"/>
    <w:rsid w:val="006C34F7"/>
    <w:rsid w:val="006C3698"/>
    <w:rsid w:val="006C3859"/>
    <w:rsid w:val="006C3BCE"/>
    <w:rsid w:val="006C3EBC"/>
    <w:rsid w:val="006C4B50"/>
    <w:rsid w:val="006C4B59"/>
    <w:rsid w:val="006C4CF0"/>
    <w:rsid w:val="006C4F05"/>
    <w:rsid w:val="006C57C1"/>
    <w:rsid w:val="006C582F"/>
    <w:rsid w:val="006C5830"/>
    <w:rsid w:val="006C5FA7"/>
    <w:rsid w:val="006C6210"/>
    <w:rsid w:val="006C6301"/>
    <w:rsid w:val="006C6585"/>
    <w:rsid w:val="006C6826"/>
    <w:rsid w:val="006C6A25"/>
    <w:rsid w:val="006C7163"/>
    <w:rsid w:val="006C7277"/>
    <w:rsid w:val="006C7BB8"/>
    <w:rsid w:val="006C7C7E"/>
    <w:rsid w:val="006D0B6C"/>
    <w:rsid w:val="006D0DE5"/>
    <w:rsid w:val="006D184F"/>
    <w:rsid w:val="006D1AD0"/>
    <w:rsid w:val="006D1B0E"/>
    <w:rsid w:val="006D2383"/>
    <w:rsid w:val="006D26FA"/>
    <w:rsid w:val="006D29EC"/>
    <w:rsid w:val="006D2AB0"/>
    <w:rsid w:val="006D2EE7"/>
    <w:rsid w:val="006D31DB"/>
    <w:rsid w:val="006D3222"/>
    <w:rsid w:val="006D376E"/>
    <w:rsid w:val="006D3B49"/>
    <w:rsid w:val="006D4DDB"/>
    <w:rsid w:val="006D5205"/>
    <w:rsid w:val="006D532A"/>
    <w:rsid w:val="006D5484"/>
    <w:rsid w:val="006D5730"/>
    <w:rsid w:val="006D5A32"/>
    <w:rsid w:val="006D6556"/>
    <w:rsid w:val="006D706D"/>
    <w:rsid w:val="006D7087"/>
    <w:rsid w:val="006D7253"/>
    <w:rsid w:val="006D72EC"/>
    <w:rsid w:val="006D73B1"/>
    <w:rsid w:val="006D7418"/>
    <w:rsid w:val="006D7858"/>
    <w:rsid w:val="006D7CD3"/>
    <w:rsid w:val="006D7E2F"/>
    <w:rsid w:val="006E0220"/>
    <w:rsid w:val="006E0723"/>
    <w:rsid w:val="006E24DA"/>
    <w:rsid w:val="006E2B8B"/>
    <w:rsid w:val="006E2E75"/>
    <w:rsid w:val="006E3AB3"/>
    <w:rsid w:val="006E3FC6"/>
    <w:rsid w:val="006E44E9"/>
    <w:rsid w:val="006E4A42"/>
    <w:rsid w:val="006E54A4"/>
    <w:rsid w:val="006E56A8"/>
    <w:rsid w:val="006E576B"/>
    <w:rsid w:val="006E5B91"/>
    <w:rsid w:val="006E5DC4"/>
    <w:rsid w:val="006E5E16"/>
    <w:rsid w:val="006E5FAE"/>
    <w:rsid w:val="006E6417"/>
    <w:rsid w:val="006E68CD"/>
    <w:rsid w:val="006E75AA"/>
    <w:rsid w:val="006E77CB"/>
    <w:rsid w:val="006E79E1"/>
    <w:rsid w:val="006E7F2D"/>
    <w:rsid w:val="006F01DE"/>
    <w:rsid w:val="006F0451"/>
    <w:rsid w:val="006F054F"/>
    <w:rsid w:val="006F06E1"/>
    <w:rsid w:val="006F1521"/>
    <w:rsid w:val="006F1AEC"/>
    <w:rsid w:val="006F1C3E"/>
    <w:rsid w:val="006F2108"/>
    <w:rsid w:val="006F2248"/>
    <w:rsid w:val="006F22F7"/>
    <w:rsid w:val="006F2309"/>
    <w:rsid w:val="006F24FC"/>
    <w:rsid w:val="006F2566"/>
    <w:rsid w:val="006F2928"/>
    <w:rsid w:val="006F2A2B"/>
    <w:rsid w:val="006F2C42"/>
    <w:rsid w:val="006F2D1A"/>
    <w:rsid w:val="006F2EE1"/>
    <w:rsid w:val="006F3A04"/>
    <w:rsid w:val="006F47A1"/>
    <w:rsid w:val="006F5B4C"/>
    <w:rsid w:val="006F5DEC"/>
    <w:rsid w:val="006F6052"/>
    <w:rsid w:val="006F7539"/>
    <w:rsid w:val="006F7680"/>
    <w:rsid w:val="006F77B7"/>
    <w:rsid w:val="006F77C8"/>
    <w:rsid w:val="006F7992"/>
    <w:rsid w:val="006F7A21"/>
    <w:rsid w:val="006F7EB1"/>
    <w:rsid w:val="0070001C"/>
    <w:rsid w:val="007005CA"/>
    <w:rsid w:val="00700619"/>
    <w:rsid w:val="007006B0"/>
    <w:rsid w:val="00700814"/>
    <w:rsid w:val="0070092D"/>
    <w:rsid w:val="00701CCB"/>
    <w:rsid w:val="00701EDE"/>
    <w:rsid w:val="00701FC4"/>
    <w:rsid w:val="00702627"/>
    <w:rsid w:val="0070272A"/>
    <w:rsid w:val="0070274B"/>
    <w:rsid w:val="00702D43"/>
    <w:rsid w:val="00702E06"/>
    <w:rsid w:val="00703169"/>
    <w:rsid w:val="00703337"/>
    <w:rsid w:val="007034D7"/>
    <w:rsid w:val="00703801"/>
    <w:rsid w:val="00703FCC"/>
    <w:rsid w:val="00704055"/>
    <w:rsid w:val="00704F14"/>
    <w:rsid w:val="007058B5"/>
    <w:rsid w:val="00706133"/>
    <w:rsid w:val="00706281"/>
    <w:rsid w:val="00706CA0"/>
    <w:rsid w:val="00706F3E"/>
    <w:rsid w:val="007076B3"/>
    <w:rsid w:val="00707926"/>
    <w:rsid w:val="00707BA2"/>
    <w:rsid w:val="00710249"/>
    <w:rsid w:val="007102B7"/>
    <w:rsid w:val="007108F3"/>
    <w:rsid w:val="00710A38"/>
    <w:rsid w:val="00710D77"/>
    <w:rsid w:val="00710DFA"/>
    <w:rsid w:val="00711A60"/>
    <w:rsid w:val="00712063"/>
    <w:rsid w:val="00712205"/>
    <w:rsid w:val="00712B19"/>
    <w:rsid w:val="00712D68"/>
    <w:rsid w:val="00713086"/>
    <w:rsid w:val="0071324F"/>
    <w:rsid w:val="00713717"/>
    <w:rsid w:val="00713F47"/>
    <w:rsid w:val="00714209"/>
    <w:rsid w:val="007142F2"/>
    <w:rsid w:val="0071451C"/>
    <w:rsid w:val="007148C9"/>
    <w:rsid w:val="007149D4"/>
    <w:rsid w:val="00714FEC"/>
    <w:rsid w:val="0071538E"/>
    <w:rsid w:val="00715757"/>
    <w:rsid w:val="00715E70"/>
    <w:rsid w:val="00716066"/>
    <w:rsid w:val="007166E5"/>
    <w:rsid w:val="00716A48"/>
    <w:rsid w:val="00716AA6"/>
    <w:rsid w:val="007173C6"/>
    <w:rsid w:val="00717CB5"/>
    <w:rsid w:val="007207C7"/>
    <w:rsid w:val="007207F4"/>
    <w:rsid w:val="007209D1"/>
    <w:rsid w:val="00720C92"/>
    <w:rsid w:val="00720FFC"/>
    <w:rsid w:val="00721264"/>
    <w:rsid w:val="007219B3"/>
    <w:rsid w:val="00721A5C"/>
    <w:rsid w:val="00721D13"/>
    <w:rsid w:val="00721EF7"/>
    <w:rsid w:val="00721FEB"/>
    <w:rsid w:val="007222F4"/>
    <w:rsid w:val="007227F1"/>
    <w:rsid w:val="00722CA6"/>
    <w:rsid w:val="00722FE1"/>
    <w:rsid w:val="00723109"/>
    <w:rsid w:val="0072327C"/>
    <w:rsid w:val="00723375"/>
    <w:rsid w:val="007239FA"/>
    <w:rsid w:val="00723C76"/>
    <w:rsid w:val="0072414C"/>
    <w:rsid w:val="00724584"/>
    <w:rsid w:val="00724D37"/>
    <w:rsid w:val="0072500E"/>
    <w:rsid w:val="0072567C"/>
    <w:rsid w:val="007256B9"/>
    <w:rsid w:val="007256D1"/>
    <w:rsid w:val="0072599B"/>
    <w:rsid w:val="00725D5C"/>
    <w:rsid w:val="007263D2"/>
    <w:rsid w:val="00726689"/>
    <w:rsid w:val="00726C4B"/>
    <w:rsid w:val="0072743D"/>
    <w:rsid w:val="0072766A"/>
    <w:rsid w:val="00727AD1"/>
    <w:rsid w:val="00727B7A"/>
    <w:rsid w:val="00727DF6"/>
    <w:rsid w:val="00730067"/>
    <w:rsid w:val="0073028A"/>
    <w:rsid w:val="007307A4"/>
    <w:rsid w:val="00730AB3"/>
    <w:rsid w:val="00730FB4"/>
    <w:rsid w:val="0073109D"/>
    <w:rsid w:val="007310CF"/>
    <w:rsid w:val="0073118A"/>
    <w:rsid w:val="00731833"/>
    <w:rsid w:val="00732191"/>
    <w:rsid w:val="0073223E"/>
    <w:rsid w:val="00732275"/>
    <w:rsid w:val="007323E9"/>
    <w:rsid w:val="00732432"/>
    <w:rsid w:val="00732679"/>
    <w:rsid w:val="00732886"/>
    <w:rsid w:val="0073314D"/>
    <w:rsid w:val="007331CB"/>
    <w:rsid w:val="007332B3"/>
    <w:rsid w:val="00733578"/>
    <w:rsid w:val="007340E3"/>
    <w:rsid w:val="00734159"/>
    <w:rsid w:val="007341AD"/>
    <w:rsid w:val="0073445D"/>
    <w:rsid w:val="00734601"/>
    <w:rsid w:val="00734D78"/>
    <w:rsid w:val="007356A7"/>
    <w:rsid w:val="007358A4"/>
    <w:rsid w:val="00735A57"/>
    <w:rsid w:val="007368E3"/>
    <w:rsid w:val="00736A3B"/>
    <w:rsid w:val="00736F0A"/>
    <w:rsid w:val="007371ED"/>
    <w:rsid w:val="007372CF"/>
    <w:rsid w:val="0073788F"/>
    <w:rsid w:val="007378C8"/>
    <w:rsid w:val="00737F2E"/>
    <w:rsid w:val="00740567"/>
    <w:rsid w:val="00740659"/>
    <w:rsid w:val="00740678"/>
    <w:rsid w:val="007418C6"/>
    <w:rsid w:val="00741B84"/>
    <w:rsid w:val="00741CC9"/>
    <w:rsid w:val="00741DEF"/>
    <w:rsid w:val="00742013"/>
    <w:rsid w:val="007420D0"/>
    <w:rsid w:val="007421C2"/>
    <w:rsid w:val="00742674"/>
    <w:rsid w:val="007427D9"/>
    <w:rsid w:val="00742C67"/>
    <w:rsid w:val="00743285"/>
    <w:rsid w:val="00743939"/>
    <w:rsid w:val="00743995"/>
    <w:rsid w:val="007440B2"/>
    <w:rsid w:val="0074467A"/>
    <w:rsid w:val="00744E85"/>
    <w:rsid w:val="0074512D"/>
    <w:rsid w:val="007458AD"/>
    <w:rsid w:val="00745C17"/>
    <w:rsid w:val="00745E1A"/>
    <w:rsid w:val="0074605C"/>
    <w:rsid w:val="007471EB"/>
    <w:rsid w:val="007474E4"/>
    <w:rsid w:val="0074760E"/>
    <w:rsid w:val="00747813"/>
    <w:rsid w:val="007478C4"/>
    <w:rsid w:val="00747A08"/>
    <w:rsid w:val="00747C39"/>
    <w:rsid w:val="00747C9C"/>
    <w:rsid w:val="00747E26"/>
    <w:rsid w:val="0075000A"/>
    <w:rsid w:val="007501AD"/>
    <w:rsid w:val="0075026A"/>
    <w:rsid w:val="0075039A"/>
    <w:rsid w:val="007507F7"/>
    <w:rsid w:val="0075089F"/>
    <w:rsid w:val="00750C1E"/>
    <w:rsid w:val="00750FD5"/>
    <w:rsid w:val="00751131"/>
    <w:rsid w:val="00751376"/>
    <w:rsid w:val="0075140E"/>
    <w:rsid w:val="0075147F"/>
    <w:rsid w:val="007518DE"/>
    <w:rsid w:val="00751B4F"/>
    <w:rsid w:val="00751C4B"/>
    <w:rsid w:val="00751C70"/>
    <w:rsid w:val="00752010"/>
    <w:rsid w:val="007520D2"/>
    <w:rsid w:val="007520FC"/>
    <w:rsid w:val="00752624"/>
    <w:rsid w:val="00752A40"/>
    <w:rsid w:val="00752D92"/>
    <w:rsid w:val="007530FF"/>
    <w:rsid w:val="0075314D"/>
    <w:rsid w:val="00753BE7"/>
    <w:rsid w:val="007542ED"/>
    <w:rsid w:val="00754358"/>
    <w:rsid w:val="0075477F"/>
    <w:rsid w:val="0075498B"/>
    <w:rsid w:val="00754C3C"/>
    <w:rsid w:val="00754C40"/>
    <w:rsid w:val="00754E51"/>
    <w:rsid w:val="00755C3A"/>
    <w:rsid w:val="00756A54"/>
    <w:rsid w:val="00756CB0"/>
    <w:rsid w:val="00756E7B"/>
    <w:rsid w:val="00757C81"/>
    <w:rsid w:val="00757E3B"/>
    <w:rsid w:val="00760614"/>
    <w:rsid w:val="00761706"/>
    <w:rsid w:val="0076171C"/>
    <w:rsid w:val="007618D0"/>
    <w:rsid w:val="00761B7C"/>
    <w:rsid w:val="00761E49"/>
    <w:rsid w:val="00761FDA"/>
    <w:rsid w:val="007621FE"/>
    <w:rsid w:val="0076226C"/>
    <w:rsid w:val="007622C6"/>
    <w:rsid w:val="007624A2"/>
    <w:rsid w:val="00762656"/>
    <w:rsid w:val="00762B3A"/>
    <w:rsid w:val="00762CA1"/>
    <w:rsid w:val="0076328F"/>
    <w:rsid w:val="00763C20"/>
    <w:rsid w:val="0076455C"/>
    <w:rsid w:val="00764B79"/>
    <w:rsid w:val="00765089"/>
    <w:rsid w:val="00765352"/>
    <w:rsid w:val="00765EEA"/>
    <w:rsid w:val="00766020"/>
    <w:rsid w:val="007662CF"/>
    <w:rsid w:val="00766482"/>
    <w:rsid w:val="00766744"/>
    <w:rsid w:val="00766B80"/>
    <w:rsid w:val="00766E65"/>
    <w:rsid w:val="00767062"/>
    <w:rsid w:val="007674C5"/>
    <w:rsid w:val="00770248"/>
    <w:rsid w:val="00770C19"/>
    <w:rsid w:val="00770DF1"/>
    <w:rsid w:val="007713D5"/>
    <w:rsid w:val="00771513"/>
    <w:rsid w:val="00771AB1"/>
    <w:rsid w:val="00771C83"/>
    <w:rsid w:val="00771E25"/>
    <w:rsid w:val="0077213A"/>
    <w:rsid w:val="0077256A"/>
    <w:rsid w:val="00772915"/>
    <w:rsid w:val="007729CF"/>
    <w:rsid w:val="00772C4C"/>
    <w:rsid w:val="007731C4"/>
    <w:rsid w:val="0077343D"/>
    <w:rsid w:val="00773A52"/>
    <w:rsid w:val="00773B1C"/>
    <w:rsid w:val="00773BD9"/>
    <w:rsid w:val="00773BFD"/>
    <w:rsid w:val="007742DA"/>
    <w:rsid w:val="00774657"/>
    <w:rsid w:val="00774C2D"/>
    <w:rsid w:val="00774DCE"/>
    <w:rsid w:val="00774E22"/>
    <w:rsid w:val="007759B8"/>
    <w:rsid w:val="0077628B"/>
    <w:rsid w:val="007764A9"/>
    <w:rsid w:val="00777169"/>
    <w:rsid w:val="007774D5"/>
    <w:rsid w:val="00777730"/>
    <w:rsid w:val="007777A3"/>
    <w:rsid w:val="007777FE"/>
    <w:rsid w:val="00777832"/>
    <w:rsid w:val="00777D20"/>
    <w:rsid w:val="0078046D"/>
    <w:rsid w:val="00780AAC"/>
    <w:rsid w:val="00780DC0"/>
    <w:rsid w:val="00781073"/>
    <w:rsid w:val="00781395"/>
    <w:rsid w:val="00781426"/>
    <w:rsid w:val="00781594"/>
    <w:rsid w:val="007816C5"/>
    <w:rsid w:val="007816E9"/>
    <w:rsid w:val="00781C17"/>
    <w:rsid w:val="00781C92"/>
    <w:rsid w:val="00781F27"/>
    <w:rsid w:val="007820B4"/>
    <w:rsid w:val="0078266F"/>
    <w:rsid w:val="0078286C"/>
    <w:rsid w:val="007828DE"/>
    <w:rsid w:val="00782E77"/>
    <w:rsid w:val="007831A5"/>
    <w:rsid w:val="0078330A"/>
    <w:rsid w:val="0078378D"/>
    <w:rsid w:val="00783922"/>
    <w:rsid w:val="00784848"/>
    <w:rsid w:val="00784B56"/>
    <w:rsid w:val="00785D1C"/>
    <w:rsid w:val="00785F31"/>
    <w:rsid w:val="007868E9"/>
    <w:rsid w:val="00786F67"/>
    <w:rsid w:val="00786FC0"/>
    <w:rsid w:val="00787B73"/>
    <w:rsid w:val="00787B97"/>
    <w:rsid w:val="00790430"/>
    <w:rsid w:val="00790990"/>
    <w:rsid w:val="00790B1B"/>
    <w:rsid w:val="00790C4B"/>
    <w:rsid w:val="007913E7"/>
    <w:rsid w:val="00791A10"/>
    <w:rsid w:val="00791D99"/>
    <w:rsid w:val="00792542"/>
    <w:rsid w:val="00792707"/>
    <w:rsid w:val="00792757"/>
    <w:rsid w:val="0079275D"/>
    <w:rsid w:val="00792F20"/>
    <w:rsid w:val="007934AA"/>
    <w:rsid w:val="00793923"/>
    <w:rsid w:val="00793A91"/>
    <w:rsid w:val="00793C30"/>
    <w:rsid w:val="00794296"/>
    <w:rsid w:val="007942AA"/>
    <w:rsid w:val="0079431F"/>
    <w:rsid w:val="00794A64"/>
    <w:rsid w:val="00794FC9"/>
    <w:rsid w:val="00795420"/>
    <w:rsid w:val="00795624"/>
    <w:rsid w:val="007962B8"/>
    <w:rsid w:val="007967EB"/>
    <w:rsid w:val="00796DA4"/>
    <w:rsid w:val="007971B7"/>
    <w:rsid w:val="007972EF"/>
    <w:rsid w:val="007973AA"/>
    <w:rsid w:val="007A0064"/>
    <w:rsid w:val="007A0585"/>
    <w:rsid w:val="007A0BED"/>
    <w:rsid w:val="007A0EA3"/>
    <w:rsid w:val="007A102B"/>
    <w:rsid w:val="007A1062"/>
    <w:rsid w:val="007A1063"/>
    <w:rsid w:val="007A10E2"/>
    <w:rsid w:val="007A1999"/>
    <w:rsid w:val="007A1BD6"/>
    <w:rsid w:val="007A24B1"/>
    <w:rsid w:val="007A24FB"/>
    <w:rsid w:val="007A25B2"/>
    <w:rsid w:val="007A2C38"/>
    <w:rsid w:val="007A2CCE"/>
    <w:rsid w:val="007A2F10"/>
    <w:rsid w:val="007A35BE"/>
    <w:rsid w:val="007A3B8B"/>
    <w:rsid w:val="007A3D56"/>
    <w:rsid w:val="007A4158"/>
    <w:rsid w:val="007A482D"/>
    <w:rsid w:val="007A4DF7"/>
    <w:rsid w:val="007A518A"/>
    <w:rsid w:val="007A586F"/>
    <w:rsid w:val="007A5AD7"/>
    <w:rsid w:val="007A5CD9"/>
    <w:rsid w:val="007A5D78"/>
    <w:rsid w:val="007A5DF5"/>
    <w:rsid w:val="007A616D"/>
    <w:rsid w:val="007A65DB"/>
    <w:rsid w:val="007A6673"/>
    <w:rsid w:val="007A67DD"/>
    <w:rsid w:val="007A6D6F"/>
    <w:rsid w:val="007A6DAE"/>
    <w:rsid w:val="007A701E"/>
    <w:rsid w:val="007A71AB"/>
    <w:rsid w:val="007A75DA"/>
    <w:rsid w:val="007A79CF"/>
    <w:rsid w:val="007A7E71"/>
    <w:rsid w:val="007A7E9D"/>
    <w:rsid w:val="007B08B4"/>
    <w:rsid w:val="007B08C9"/>
    <w:rsid w:val="007B0D20"/>
    <w:rsid w:val="007B0E89"/>
    <w:rsid w:val="007B0FCA"/>
    <w:rsid w:val="007B1225"/>
    <w:rsid w:val="007B19A5"/>
    <w:rsid w:val="007B19E0"/>
    <w:rsid w:val="007B1B79"/>
    <w:rsid w:val="007B21DA"/>
    <w:rsid w:val="007B22A0"/>
    <w:rsid w:val="007B2450"/>
    <w:rsid w:val="007B27C1"/>
    <w:rsid w:val="007B2999"/>
    <w:rsid w:val="007B2F39"/>
    <w:rsid w:val="007B388D"/>
    <w:rsid w:val="007B44E8"/>
    <w:rsid w:val="007B4636"/>
    <w:rsid w:val="007B47EC"/>
    <w:rsid w:val="007B4939"/>
    <w:rsid w:val="007B49D9"/>
    <w:rsid w:val="007B4CB7"/>
    <w:rsid w:val="007B4F49"/>
    <w:rsid w:val="007B506A"/>
    <w:rsid w:val="007B584A"/>
    <w:rsid w:val="007B58D8"/>
    <w:rsid w:val="007B5EB5"/>
    <w:rsid w:val="007B5F12"/>
    <w:rsid w:val="007B68A8"/>
    <w:rsid w:val="007B69D0"/>
    <w:rsid w:val="007B6D9B"/>
    <w:rsid w:val="007B6DC3"/>
    <w:rsid w:val="007B6F0F"/>
    <w:rsid w:val="007B716A"/>
    <w:rsid w:val="007B730A"/>
    <w:rsid w:val="007B7522"/>
    <w:rsid w:val="007B77C4"/>
    <w:rsid w:val="007B794E"/>
    <w:rsid w:val="007B7D81"/>
    <w:rsid w:val="007B7DC1"/>
    <w:rsid w:val="007C0685"/>
    <w:rsid w:val="007C0A4B"/>
    <w:rsid w:val="007C0BC0"/>
    <w:rsid w:val="007C0BC5"/>
    <w:rsid w:val="007C0DC6"/>
    <w:rsid w:val="007C100D"/>
    <w:rsid w:val="007C14BA"/>
    <w:rsid w:val="007C1946"/>
    <w:rsid w:val="007C1998"/>
    <w:rsid w:val="007C1BB2"/>
    <w:rsid w:val="007C1BD2"/>
    <w:rsid w:val="007C2533"/>
    <w:rsid w:val="007C2659"/>
    <w:rsid w:val="007C2A3A"/>
    <w:rsid w:val="007C2A67"/>
    <w:rsid w:val="007C2C30"/>
    <w:rsid w:val="007C3004"/>
    <w:rsid w:val="007C3316"/>
    <w:rsid w:val="007C36F0"/>
    <w:rsid w:val="007C399D"/>
    <w:rsid w:val="007C43F2"/>
    <w:rsid w:val="007C45E1"/>
    <w:rsid w:val="007C4ECB"/>
    <w:rsid w:val="007C5201"/>
    <w:rsid w:val="007C532B"/>
    <w:rsid w:val="007C54F4"/>
    <w:rsid w:val="007C59DC"/>
    <w:rsid w:val="007C5AE6"/>
    <w:rsid w:val="007C62A1"/>
    <w:rsid w:val="007C65E4"/>
    <w:rsid w:val="007C689D"/>
    <w:rsid w:val="007C69B6"/>
    <w:rsid w:val="007C6A13"/>
    <w:rsid w:val="007C6BBC"/>
    <w:rsid w:val="007C6D19"/>
    <w:rsid w:val="007C6DC5"/>
    <w:rsid w:val="007C7156"/>
    <w:rsid w:val="007C716B"/>
    <w:rsid w:val="007C7279"/>
    <w:rsid w:val="007C7583"/>
    <w:rsid w:val="007D0633"/>
    <w:rsid w:val="007D0985"/>
    <w:rsid w:val="007D0A5D"/>
    <w:rsid w:val="007D10B8"/>
    <w:rsid w:val="007D113A"/>
    <w:rsid w:val="007D1151"/>
    <w:rsid w:val="007D14B0"/>
    <w:rsid w:val="007D1607"/>
    <w:rsid w:val="007D194B"/>
    <w:rsid w:val="007D1A00"/>
    <w:rsid w:val="007D208F"/>
    <w:rsid w:val="007D26EA"/>
    <w:rsid w:val="007D272F"/>
    <w:rsid w:val="007D2FD7"/>
    <w:rsid w:val="007D303C"/>
    <w:rsid w:val="007D35FB"/>
    <w:rsid w:val="007D37C4"/>
    <w:rsid w:val="007D38F5"/>
    <w:rsid w:val="007D3C14"/>
    <w:rsid w:val="007D3E0D"/>
    <w:rsid w:val="007D47D3"/>
    <w:rsid w:val="007D4A21"/>
    <w:rsid w:val="007D4CD3"/>
    <w:rsid w:val="007D4E58"/>
    <w:rsid w:val="007D4F70"/>
    <w:rsid w:val="007D5770"/>
    <w:rsid w:val="007D59F3"/>
    <w:rsid w:val="007D5C04"/>
    <w:rsid w:val="007D621E"/>
    <w:rsid w:val="007D6ABE"/>
    <w:rsid w:val="007D6B47"/>
    <w:rsid w:val="007D6C3D"/>
    <w:rsid w:val="007D6E1B"/>
    <w:rsid w:val="007D72F0"/>
    <w:rsid w:val="007D731A"/>
    <w:rsid w:val="007D7F5B"/>
    <w:rsid w:val="007E04CD"/>
    <w:rsid w:val="007E0D83"/>
    <w:rsid w:val="007E1A7F"/>
    <w:rsid w:val="007E2E52"/>
    <w:rsid w:val="007E2F28"/>
    <w:rsid w:val="007E3037"/>
    <w:rsid w:val="007E30AB"/>
    <w:rsid w:val="007E3449"/>
    <w:rsid w:val="007E39C7"/>
    <w:rsid w:val="007E4987"/>
    <w:rsid w:val="007E4E79"/>
    <w:rsid w:val="007E4F6E"/>
    <w:rsid w:val="007E5557"/>
    <w:rsid w:val="007E593D"/>
    <w:rsid w:val="007E5C83"/>
    <w:rsid w:val="007E5EC2"/>
    <w:rsid w:val="007E5F9A"/>
    <w:rsid w:val="007E6620"/>
    <w:rsid w:val="007E684E"/>
    <w:rsid w:val="007E6A10"/>
    <w:rsid w:val="007E719C"/>
    <w:rsid w:val="007E769A"/>
    <w:rsid w:val="007E78EB"/>
    <w:rsid w:val="007E7D7A"/>
    <w:rsid w:val="007E7D84"/>
    <w:rsid w:val="007F0415"/>
    <w:rsid w:val="007F0562"/>
    <w:rsid w:val="007F058F"/>
    <w:rsid w:val="007F0C9E"/>
    <w:rsid w:val="007F0CA1"/>
    <w:rsid w:val="007F19A0"/>
    <w:rsid w:val="007F1CA6"/>
    <w:rsid w:val="007F251F"/>
    <w:rsid w:val="007F261A"/>
    <w:rsid w:val="007F27B4"/>
    <w:rsid w:val="007F28E9"/>
    <w:rsid w:val="007F2AE5"/>
    <w:rsid w:val="007F2CDD"/>
    <w:rsid w:val="007F3130"/>
    <w:rsid w:val="007F34FD"/>
    <w:rsid w:val="007F3538"/>
    <w:rsid w:val="007F399D"/>
    <w:rsid w:val="007F3BFE"/>
    <w:rsid w:val="007F40EE"/>
    <w:rsid w:val="007F4337"/>
    <w:rsid w:val="007F4741"/>
    <w:rsid w:val="007F4CD9"/>
    <w:rsid w:val="007F5045"/>
    <w:rsid w:val="007F5D81"/>
    <w:rsid w:val="007F60FF"/>
    <w:rsid w:val="007F6250"/>
    <w:rsid w:val="007F6280"/>
    <w:rsid w:val="007F6386"/>
    <w:rsid w:val="007F6430"/>
    <w:rsid w:val="007F7335"/>
    <w:rsid w:val="007F7618"/>
    <w:rsid w:val="007F769B"/>
    <w:rsid w:val="007F7767"/>
    <w:rsid w:val="007F78D2"/>
    <w:rsid w:val="007F7B53"/>
    <w:rsid w:val="00800552"/>
    <w:rsid w:val="008006AA"/>
    <w:rsid w:val="00800DB7"/>
    <w:rsid w:val="00800EDD"/>
    <w:rsid w:val="0080159C"/>
    <w:rsid w:val="008017D4"/>
    <w:rsid w:val="00801B56"/>
    <w:rsid w:val="00801BB5"/>
    <w:rsid w:val="00802196"/>
    <w:rsid w:val="00802784"/>
    <w:rsid w:val="008027E8"/>
    <w:rsid w:val="008035C6"/>
    <w:rsid w:val="008037ED"/>
    <w:rsid w:val="00803DE7"/>
    <w:rsid w:val="00803FBC"/>
    <w:rsid w:val="00804672"/>
    <w:rsid w:val="00804C02"/>
    <w:rsid w:val="008051FA"/>
    <w:rsid w:val="008055D1"/>
    <w:rsid w:val="00805DA2"/>
    <w:rsid w:val="008067A6"/>
    <w:rsid w:val="0080686E"/>
    <w:rsid w:val="008072F5"/>
    <w:rsid w:val="0080735E"/>
    <w:rsid w:val="00807844"/>
    <w:rsid w:val="00807E2E"/>
    <w:rsid w:val="0081028F"/>
    <w:rsid w:val="008102D8"/>
    <w:rsid w:val="0081051B"/>
    <w:rsid w:val="00810549"/>
    <w:rsid w:val="008106B9"/>
    <w:rsid w:val="00810A90"/>
    <w:rsid w:val="00811549"/>
    <w:rsid w:val="00811979"/>
    <w:rsid w:val="00811A09"/>
    <w:rsid w:val="00811AFC"/>
    <w:rsid w:val="00811D72"/>
    <w:rsid w:val="00812111"/>
    <w:rsid w:val="0081221E"/>
    <w:rsid w:val="00812312"/>
    <w:rsid w:val="00812C13"/>
    <w:rsid w:val="00812D97"/>
    <w:rsid w:val="0081316A"/>
    <w:rsid w:val="008136E5"/>
    <w:rsid w:val="0081392B"/>
    <w:rsid w:val="00813A71"/>
    <w:rsid w:val="00813BA9"/>
    <w:rsid w:val="00813DF2"/>
    <w:rsid w:val="00813FE6"/>
    <w:rsid w:val="008141C3"/>
    <w:rsid w:val="00814340"/>
    <w:rsid w:val="00814827"/>
    <w:rsid w:val="00814A78"/>
    <w:rsid w:val="00814E05"/>
    <w:rsid w:val="00815300"/>
    <w:rsid w:val="00815360"/>
    <w:rsid w:val="00815766"/>
    <w:rsid w:val="00815B6D"/>
    <w:rsid w:val="00815EE3"/>
    <w:rsid w:val="00816245"/>
    <w:rsid w:val="00816479"/>
    <w:rsid w:val="0081693F"/>
    <w:rsid w:val="00816D82"/>
    <w:rsid w:val="0081717C"/>
    <w:rsid w:val="0081723C"/>
    <w:rsid w:val="00817981"/>
    <w:rsid w:val="0082056F"/>
    <w:rsid w:val="008208F0"/>
    <w:rsid w:val="008218B8"/>
    <w:rsid w:val="008218E3"/>
    <w:rsid w:val="008221B1"/>
    <w:rsid w:val="008221FF"/>
    <w:rsid w:val="0082246E"/>
    <w:rsid w:val="0082247A"/>
    <w:rsid w:val="008226CC"/>
    <w:rsid w:val="00822CA6"/>
    <w:rsid w:val="00822E2A"/>
    <w:rsid w:val="0082305F"/>
    <w:rsid w:val="00823299"/>
    <w:rsid w:val="00823A84"/>
    <w:rsid w:val="00823B04"/>
    <w:rsid w:val="00823B91"/>
    <w:rsid w:val="00823C4F"/>
    <w:rsid w:val="00823FF9"/>
    <w:rsid w:val="00824169"/>
    <w:rsid w:val="0082433C"/>
    <w:rsid w:val="00825099"/>
    <w:rsid w:val="00825163"/>
    <w:rsid w:val="00825770"/>
    <w:rsid w:val="00825803"/>
    <w:rsid w:val="00825DD8"/>
    <w:rsid w:val="0082660E"/>
    <w:rsid w:val="00826873"/>
    <w:rsid w:val="00826F4E"/>
    <w:rsid w:val="00827569"/>
    <w:rsid w:val="008279D7"/>
    <w:rsid w:val="00827ACB"/>
    <w:rsid w:val="00827B9A"/>
    <w:rsid w:val="00827D48"/>
    <w:rsid w:val="00827ED2"/>
    <w:rsid w:val="0083050D"/>
    <w:rsid w:val="008309EF"/>
    <w:rsid w:val="00830A79"/>
    <w:rsid w:val="00830F36"/>
    <w:rsid w:val="008311CE"/>
    <w:rsid w:val="00831670"/>
    <w:rsid w:val="00831879"/>
    <w:rsid w:val="00832762"/>
    <w:rsid w:val="00832A3D"/>
    <w:rsid w:val="00832D01"/>
    <w:rsid w:val="00833070"/>
    <w:rsid w:val="008333C6"/>
    <w:rsid w:val="008339FB"/>
    <w:rsid w:val="00834638"/>
    <w:rsid w:val="0083471B"/>
    <w:rsid w:val="00834F96"/>
    <w:rsid w:val="00835107"/>
    <w:rsid w:val="0083541F"/>
    <w:rsid w:val="00835FDE"/>
    <w:rsid w:val="0083645D"/>
    <w:rsid w:val="00836695"/>
    <w:rsid w:val="00836797"/>
    <w:rsid w:val="0083680A"/>
    <w:rsid w:val="00836BE1"/>
    <w:rsid w:val="00836D5E"/>
    <w:rsid w:val="00836E0C"/>
    <w:rsid w:val="008375D8"/>
    <w:rsid w:val="00837CAD"/>
    <w:rsid w:val="00840A29"/>
    <w:rsid w:val="008414CB"/>
    <w:rsid w:val="0084152A"/>
    <w:rsid w:val="008416C3"/>
    <w:rsid w:val="008420D8"/>
    <w:rsid w:val="00842471"/>
    <w:rsid w:val="0084265B"/>
    <w:rsid w:val="00842970"/>
    <w:rsid w:val="00842E59"/>
    <w:rsid w:val="00843128"/>
    <w:rsid w:val="008431DF"/>
    <w:rsid w:val="00843495"/>
    <w:rsid w:val="0084392C"/>
    <w:rsid w:val="00843942"/>
    <w:rsid w:val="00843A89"/>
    <w:rsid w:val="00843B94"/>
    <w:rsid w:val="00843FCC"/>
    <w:rsid w:val="008440B4"/>
    <w:rsid w:val="00844AE8"/>
    <w:rsid w:val="00845173"/>
    <w:rsid w:val="00845298"/>
    <w:rsid w:val="008453DA"/>
    <w:rsid w:val="00845722"/>
    <w:rsid w:val="00845C0A"/>
    <w:rsid w:val="00845C39"/>
    <w:rsid w:val="00845E9B"/>
    <w:rsid w:val="00845EE8"/>
    <w:rsid w:val="00845F5A"/>
    <w:rsid w:val="008465D5"/>
    <w:rsid w:val="00846B8D"/>
    <w:rsid w:val="00846C2C"/>
    <w:rsid w:val="00846F49"/>
    <w:rsid w:val="00846F93"/>
    <w:rsid w:val="008471ED"/>
    <w:rsid w:val="008472C8"/>
    <w:rsid w:val="00847368"/>
    <w:rsid w:val="00847472"/>
    <w:rsid w:val="00847832"/>
    <w:rsid w:val="00847A10"/>
    <w:rsid w:val="00847A8F"/>
    <w:rsid w:val="00847FCA"/>
    <w:rsid w:val="00850296"/>
    <w:rsid w:val="008504EB"/>
    <w:rsid w:val="0085064D"/>
    <w:rsid w:val="00850E0E"/>
    <w:rsid w:val="00851089"/>
    <w:rsid w:val="008517AE"/>
    <w:rsid w:val="00851A25"/>
    <w:rsid w:val="00851CB3"/>
    <w:rsid w:val="0085211C"/>
    <w:rsid w:val="0085219D"/>
    <w:rsid w:val="00852239"/>
    <w:rsid w:val="00852455"/>
    <w:rsid w:val="008529D3"/>
    <w:rsid w:val="00853683"/>
    <w:rsid w:val="008537C5"/>
    <w:rsid w:val="0085398C"/>
    <w:rsid w:val="00853A1E"/>
    <w:rsid w:val="00854325"/>
    <w:rsid w:val="0085466E"/>
    <w:rsid w:val="008546F7"/>
    <w:rsid w:val="00854956"/>
    <w:rsid w:val="00854ACB"/>
    <w:rsid w:val="00854BB8"/>
    <w:rsid w:val="00854CFB"/>
    <w:rsid w:val="0085569A"/>
    <w:rsid w:val="008559A6"/>
    <w:rsid w:val="00855D12"/>
    <w:rsid w:val="00856298"/>
    <w:rsid w:val="008565CC"/>
    <w:rsid w:val="008566DD"/>
    <w:rsid w:val="00856E37"/>
    <w:rsid w:val="00856E92"/>
    <w:rsid w:val="00856FA7"/>
    <w:rsid w:val="008579F5"/>
    <w:rsid w:val="00860040"/>
    <w:rsid w:val="008604D7"/>
    <w:rsid w:val="008605E4"/>
    <w:rsid w:val="0086067E"/>
    <w:rsid w:val="00860791"/>
    <w:rsid w:val="008607C3"/>
    <w:rsid w:val="00860857"/>
    <w:rsid w:val="00860F8F"/>
    <w:rsid w:val="008613DD"/>
    <w:rsid w:val="0086194B"/>
    <w:rsid w:val="0086206F"/>
    <w:rsid w:val="008622A0"/>
    <w:rsid w:val="0086295C"/>
    <w:rsid w:val="00862B50"/>
    <w:rsid w:val="00862D4A"/>
    <w:rsid w:val="00862DC6"/>
    <w:rsid w:val="008630EF"/>
    <w:rsid w:val="00863795"/>
    <w:rsid w:val="00863A8F"/>
    <w:rsid w:val="00863B38"/>
    <w:rsid w:val="00863B51"/>
    <w:rsid w:val="00863E91"/>
    <w:rsid w:val="00863F4D"/>
    <w:rsid w:val="00864624"/>
    <w:rsid w:val="00864838"/>
    <w:rsid w:val="00864893"/>
    <w:rsid w:val="00864ACF"/>
    <w:rsid w:val="00865489"/>
    <w:rsid w:val="00865828"/>
    <w:rsid w:val="008659DF"/>
    <w:rsid w:val="00865A34"/>
    <w:rsid w:val="00865D4C"/>
    <w:rsid w:val="008663DD"/>
    <w:rsid w:val="008664D5"/>
    <w:rsid w:val="00866BAB"/>
    <w:rsid w:val="00867151"/>
    <w:rsid w:val="008671E1"/>
    <w:rsid w:val="00867991"/>
    <w:rsid w:val="00867B12"/>
    <w:rsid w:val="00867B20"/>
    <w:rsid w:val="00867B82"/>
    <w:rsid w:val="0087032F"/>
    <w:rsid w:val="008705E7"/>
    <w:rsid w:val="008705F2"/>
    <w:rsid w:val="00870C9F"/>
    <w:rsid w:val="008714AD"/>
    <w:rsid w:val="00871C44"/>
    <w:rsid w:val="00871C63"/>
    <w:rsid w:val="008720C5"/>
    <w:rsid w:val="0087236E"/>
    <w:rsid w:val="008724DE"/>
    <w:rsid w:val="00872665"/>
    <w:rsid w:val="008726CA"/>
    <w:rsid w:val="00872A68"/>
    <w:rsid w:val="00872AF9"/>
    <w:rsid w:val="00872F55"/>
    <w:rsid w:val="00872F85"/>
    <w:rsid w:val="00873166"/>
    <w:rsid w:val="00873167"/>
    <w:rsid w:val="0087324D"/>
    <w:rsid w:val="00873B27"/>
    <w:rsid w:val="00873F39"/>
    <w:rsid w:val="00873F67"/>
    <w:rsid w:val="00874BB7"/>
    <w:rsid w:val="00874C47"/>
    <w:rsid w:val="00874DEE"/>
    <w:rsid w:val="00875499"/>
    <w:rsid w:val="008754FD"/>
    <w:rsid w:val="00875521"/>
    <w:rsid w:val="008759CF"/>
    <w:rsid w:val="008759E3"/>
    <w:rsid w:val="00875A6F"/>
    <w:rsid w:val="0087647B"/>
    <w:rsid w:val="00876798"/>
    <w:rsid w:val="00876AAD"/>
    <w:rsid w:val="00876AEC"/>
    <w:rsid w:val="00876AF5"/>
    <w:rsid w:val="008771B5"/>
    <w:rsid w:val="00877430"/>
    <w:rsid w:val="00877478"/>
    <w:rsid w:val="008774C1"/>
    <w:rsid w:val="00877572"/>
    <w:rsid w:val="0087768F"/>
    <w:rsid w:val="00877798"/>
    <w:rsid w:val="00877935"/>
    <w:rsid w:val="008779E6"/>
    <w:rsid w:val="008804D3"/>
    <w:rsid w:val="008810C6"/>
    <w:rsid w:val="008812CF"/>
    <w:rsid w:val="00881421"/>
    <w:rsid w:val="00881FE4"/>
    <w:rsid w:val="008827EB"/>
    <w:rsid w:val="008832AC"/>
    <w:rsid w:val="008836C3"/>
    <w:rsid w:val="00883804"/>
    <w:rsid w:val="00883D54"/>
    <w:rsid w:val="00883D97"/>
    <w:rsid w:val="008840F8"/>
    <w:rsid w:val="00884219"/>
    <w:rsid w:val="00884730"/>
    <w:rsid w:val="008849E6"/>
    <w:rsid w:val="00884C61"/>
    <w:rsid w:val="00884FAB"/>
    <w:rsid w:val="00885337"/>
    <w:rsid w:val="008853A7"/>
    <w:rsid w:val="00885B51"/>
    <w:rsid w:val="0088609B"/>
    <w:rsid w:val="0088697C"/>
    <w:rsid w:val="00886ECE"/>
    <w:rsid w:val="00886F09"/>
    <w:rsid w:val="00887D7F"/>
    <w:rsid w:val="00887D94"/>
    <w:rsid w:val="008900A3"/>
    <w:rsid w:val="00890405"/>
    <w:rsid w:val="00890E30"/>
    <w:rsid w:val="00890E58"/>
    <w:rsid w:val="008913B0"/>
    <w:rsid w:val="008913DE"/>
    <w:rsid w:val="00891482"/>
    <w:rsid w:val="008915F2"/>
    <w:rsid w:val="008919C8"/>
    <w:rsid w:val="00891C55"/>
    <w:rsid w:val="00891E32"/>
    <w:rsid w:val="00891F80"/>
    <w:rsid w:val="0089218B"/>
    <w:rsid w:val="00892514"/>
    <w:rsid w:val="008925A5"/>
    <w:rsid w:val="00892963"/>
    <w:rsid w:val="0089334D"/>
    <w:rsid w:val="00893474"/>
    <w:rsid w:val="0089397F"/>
    <w:rsid w:val="00894134"/>
    <w:rsid w:val="00894809"/>
    <w:rsid w:val="008952C3"/>
    <w:rsid w:val="00895699"/>
    <w:rsid w:val="008956F5"/>
    <w:rsid w:val="00895841"/>
    <w:rsid w:val="008959FD"/>
    <w:rsid w:val="00895B1C"/>
    <w:rsid w:val="00895E21"/>
    <w:rsid w:val="00895F9C"/>
    <w:rsid w:val="008965BD"/>
    <w:rsid w:val="00896672"/>
    <w:rsid w:val="00896842"/>
    <w:rsid w:val="00896A98"/>
    <w:rsid w:val="00896AF3"/>
    <w:rsid w:val="0089707E"/>
    <w:rsid w:val="00897276"/>
    <w:rsid w:val="00897EF6"/>
    <w:rsid w:val="00897FE1"/>
    <w:rsid w:val="008A02C5"/>
    <w:rsid w:val="008A079A"/>
    <w:rsid w:val="008A0828"/>
    <w:rsid w:val="008A0908"/>
    <w:rsid w:val="008A16B8"/>
    <w:rsid w:val="008A170E"/>
    <w:rsid w:val="008A1756"/>
    <w:rsid w:val="008A1A43"/>
    <w:rsid w:val="008A200C"/>
    <w:rsid w:val="008A2586"/>
    <w:rsid w:val="008A2863"/>
    <w:rsid w:val="008A2B4D"/>
    <w:rsid w:val="008A39CE"/>
    <w:rsid w:val="008A3E41"/>
    <w:rsid w:val="008A3EA3"/>
    <w:rsid w:val="008A3FF5"/>
    <w:rsid w:val="008A3FF6"/>
    <w:rsid w:val="008A4093"/>
    <w:rsid w:val="008A4599"/>
    <w:rsid w:val="008A48DE"/>
    <w:rsid w:val="008A4AB9"/>
    <w:rsid w:val="008A4BAA"/>
    <w:rsid w:val="008A53E0"/>
    <w:rsid w:val="008A617D"/>
    <w:rsid w:val="008A61A6"/>
    <w:rsid w:val="008A6381"/>
    <w:rsid w:val="008A64D6"/>
    <w:rsid w:val="008A718F"/>
    <w:rsid w:val="008A781A"/>
    <w:rsid w:val="008A7983"/>
    <w:rsid w:val="008A7DFD"/>
    <w:rsid w:val="008B02C1"/>
    <w:rsid w:val="008B0E72"/>
    <w:rsid w:val="008B12D5"/>
    <w:rsid w:val="008B130C"/>
    <w:rsid w:val="008B13E6"/>
    <w:rsid w:val="008B1966"/>
    <w:rsid w:val="008B1EBD"/>
    <w:rsid w:val="008B241A"/>
    <w:rsid w:val="008B2627"/>
    <w:rsid w:val="008B2D8D"/>
    <w:rsid w:val="008B35F0"/>
    <w:rsid w:val="008B365C"/>
    <w:rsid w:val="008B3A61"/>
    <w:rsid w:val="008B3AE1"/>
    <w:rsid w:val="008B3D6E"/>
    <w:rsid w:val="008B443F"/>
    <w:rsid w:val="008B466F"/>
    <w:rsid w:val="008B4F84"/>
    <w:rsid w:val="008B54AA"/>
    <w:rsid w:val="008B5C3B"/>
    <w:rsid w:val="008B5D22"/>
    <w:rsid w:val="008B5F3B"/>
    <w:rsid w:val="008B60B6"/>
    <w:rsid w:val="008B6E88"/>
    <w:rsid w:val="008B6FE9"/>
    <w:rsid w:val="008B70F1"/>
    <w:rsid w:val="008B7231"/>
    <w:rsid w:val="008B72DD"/>
    <w:rsid w:val="008B78BD"/>
    <w:rsid w:val="008B7C09"/>
    <w:rsid w:val="008C03A2"/>
    <w:rsid w:val="008C0417"/>
    <w:rsid w:val="008C07CB"/>
    <w:rsid w:val="008C087B"/>
    <w:rsid w:val="008C0EEB"/>
    <w:rsid w:val="008C1CC1"/>
    <w:rsid w:val="008C1EF2"/>
    <w:rsid w:val="008C2505"/>
    <w:rsid w:val="008C27ED"/>
    <w:rsid w:val="008C28F7"/>
    <w:rsid w:val="008C2C63"/>
    <w:rsid w:val="008C30C0"/>
    <w:rsid w:val="008C3293"/>
    <w:rsid w:val="008C3337"/>
    <w:rsid w:val="008C3690"/>
    <w:rsid w:val="008C37F0"/>
    <w:rsid w:val="008C3A99"/>
    <w:rsid w:val="008C4048"/>
    <w:rsid w:val="008C4172"/>
    <w:rsid w:val="008C4552"/>
    <w:rsid w:val="008C4834"/>
    <w:rsid w:val="008C48C8"/>
    <w:rsid w:val="008C4AE5"/>
    <w:rsid w:val="008C4CB0"/>
    <w:rsid w:val="008C4FC8"/>
    <w:rsid w:val="008C57DB"/>
    <w:rsid w:val="008C5902"/>
    <w:rsid w:val="008C5951"/>
    <w:rsid w:val="008C5AA0"/>
    <w:rsid w:val="008C6165"/>
    <w:rsid w:val="008C638C"/>
    <w:rsid w:val="008C6A2B"/>
    <w:rsid w:val="008C6AA9"/>
    <w:rsid w:val="008C6B4A"/>
    <w:rsid w:val="008C74BA"/>
    <w:rsid w:val="008C7604"/>
    <w:rsid w:val="008C7A7F"/>
    <w:rsid w:val="008C7D08"/>
    <w:rsid w:val="008C7E0A"/>
    <w:rsid w:val="008C7F9D"/>
    <w:rsid w:val="008D02AD"/>
    <w:rsid w:val="008D0AAA"/>
    <w:rsid w:val="008D0CBD"/>
    <w:rsid w:val="008D0E04"/>
    <w:rsid w:val="008D0E37"/>
    <w:rsid w:val="008D121F"/>
    <w:rsid w:val="008D1685"/>
    <w:rsid w:val="008D1FAE"/>
    <w:rsid w:val="008D2906"/>
    <w:rsid w:val="008D2914"/>
    <w:rsid w:val="008D2964"/>
    <w:rsid w:val="008D3BE0"/>
    <w:rsid w:val="008D3C93"/>
    <w:rsid w:val="008D3D31"/>
    <w:rsid w:val="008D4561"/>
    <w:rsid w:val="008D4782"/>
    <w:rsid w:val="008D49B8"/>
    <w:rsid w:val="008D4DE3"/>
    <w:rsid w:val="008D4E07"/>
    <w:rsid w:val="008D5AD7"/>
    <w:rsid w:val="008D5DF0"/>
    <w:rsid w:val="008D6284"/>
    <w:rsid w:val="008D6379"/>
    <w:rsid w:val="008D638A"/>
    <w:rsid w:val="008D6716"/>
    <w:rsid w:val="008E000B"/>
    <w:rsid w:val="008E06DB"/>
    <w:rsid w:val="008E072B"/>
    <w:rsid w:val="008E0763"/>
    <w:rsid w:val="008E095F"/>
    <w:rsid w:val="008E0B2E"/>
    <w:rsid w:val="008E111F"/>
    <w:rsid w:val="008E1AE3"/>
    <w:rsid w:val="008E238F"/>
    <w:rsid w:val="008E27CE"/>
    <w:rsid w:val="008E2D47"/>
    <w:rsid w:val="008E2D8B"/>
    <w:rsid w:val="008E342E"/>
    <w:rsid w:val="008E38D8"/>
    <w:rsid w:val="008E4135"/>
    <w:rsid w:val="008E4737"/>
    <w:rsid w:val="008E4989"/>
    <w:rsid w:val="008E4F82"/>
    <w:rsid w:val="008E5198"/>
    <w:rsid w:val="008E5950"/>
    <w:rsid w:val="008E6026"/>
    <w:rsid w:val="008E631A"/>
    <w:rsid w:val="008E6515"/>
    <w:rsid w:val="008E6598"/>
    <w:rsid w:val="008E6845"/>
    <w:rsid w:val="008E6A58"/>
    <w:rsid w:val="008E7617"/>
    <w:rsid w:val="008E763D"/>
    <w:rsid w:val="008E7EBC"/>
    <w:rsid w:val="008F01CF"/>
    <w:rsid w:val="008F038A"/>
    <w:rsid w:val="008F109F"/>
    <w:rsid w:val="008F132E"/>
    <w:rsid w:val="008F15A9"/>
    <w:rsid w:val="008F15FB"/>
    <w:rsid w:val="008F19A4"/>
    <w:rsid w:val="008F1CE8"/>
    <w:rsid w:val="008F1F99"/>
    <w:rsid w:val="008F20AA"/>
    <w:rsid w:val="008F2CCB"/>
    <w:rsid w:val="008F2FE5"/>
    <w:rsid w:val="008F3109"/>
    <w:rsid w:val="008F33DA"/>
    <w:rsid w:val="008F362D"/>
    <w:rsid w:val="008F3B08"/>
    <w:rsid w:val="008F3C7C"/>
    <w:rsid w:val="008F3CDC"/>
    <w:rsid w:val="008F3E22"/>
    <w:rsid w:val="008F3E69"/>
    <w:rsid w:val="008F3FE6"/>
    <w:rsid w:val="008F4348"/>
    <w:rsid w:val="008F45F3"/>
    <w:rsid w:val="008F4611"/>
    <w:rsid w:val="008F4F51"/>
    <w:rsid w:val="008F5358"/>
    <w:rsid w:val="008F5405"/>
    <w:rsid w:val="008F55FF"/>
    <w:rsid w:val="008F584D"/>
    <w:rsid w:val="008F6090"/>
    <w:rsid w:val="008F6102"/>
    <w:rsid w:val="008F657F"/>
    <w:rsid w:val="008F6693"/>
    <w:rsid w:val="008F6F35"/>
    <w:rsid w:val="008F717E"/>
    <w:rsid w:val="008F7BA9"/>
    <w:rsid w:val="008F7E9A"/>
    <w:rsid w:val="0090062C"/>
    <w:rsid w:val="0090092B"/>
    <w:rsid w:val="00900DFA"/>
    <w:rsid w:val="00900E7A"/>
    <w:rsid w:val="00900F33"/>
    <w:rsid w:val="00901992"/>
    <w:rsid w:val="00901D7E"/>
    <w:rsid w:val="00901DBC"/>
    <w:rsid w:val="00901F0D"/>
    <w:rsid w:val="00902460"/>
    <w:rsid w:val="009031BD"/>
    <w:rsid w:val="009032E9"/>
    <w:rsid w:val="00904141"/>
    <w:rsid w:val="00904EDC"/>
    <w:rsid w:val="0090549B"/>
    <w:rsid w:val="0090558A"/>
    <w:rsid w:val="009058FA"/>
    <w:rsid w:val="00905B78"/>
    <w:rsid w:val="009065EA"/>
    <w:rsid w:val="00906712"/>
    <w:rsid w:val="0090680D"/>
    <w:rsid w:val="00906B62"/>
    <w:rsid w:val="00906F6C"/>
    <w:rsid w:val="0090710A"/>
    <w:rsid w:val="00907976"/>
    <w:rsid w:val="00907BEE"/>
    <w:rsid w:val="00907C08"/>
    <w:rsid w:val="00907DF4"/>
    <w:rsid w:val="00907E8B"/>
    <w:rsid w:val="00907F9E"/>
    <w:rsid w:val="00907FDF"/>
    <w:rsid w:val="009120CD"/>
    <w:rsid w:val="009124BC"/>
    <w:rsid w:val="00912B9E"/>
    <w:rsid w:val="00912CE4"/>
    <w:rsid w:val="00912EF2"/>
    <w:rsid w:val="009130C2"/>
    <w:rsid w:val="009134A6"/>
    <w:rsid w:val="00913530"/>
    <w:rsid w:val="00913AA1"/>
    <w:rsid w:val="00914062"/>
    <w:rsid w:val="009143DE"/>
    <w:rsid w:val="0091471E"/>
    <w:rsid w:val="00914AC3"/>
    <w:rsid w:val="00914B23"/>
    <w:rsid w:val="00914C14"/>
    <w:rsid w:val="00914C37"/>
    <w:rsid w:val="009158A1"/>
    <w:rsid w:val="00915D16"/>
    <w:rsid w:val="00915EB5"/>
    <w:rsid w:val="00916299"/>
    <w:rsid w:val="00916876"/>
    <w:rsid w:val="00916A41"/>
    <w:rsid w:val="00916A79"/>
    <w:rsid w:val="009177C2"/>
    <w:rsid w:val="00920604"/>
    <w:rsid w:val="00920677"/>
    <w:rsid w:val="009206BC"/>
    <w:rsid w:val="009209B1"/>
    <w:rsid w:val="009209EE"/>
    <w:rsid w:val="00920D0F"/>
    <w:rsid w:val="009214CB"/>
    <w:rsid w:val="00921770"/>
    <w:rsid w:val="009218C1"/>
    <w:rsid w:val="00921E01"/>
    <w:rsid w:val="00921EFE"/>
    <w:rsid w:val="009222DB"/>
    <w:rsid w:val="009223A4"/>
    <w:rsid w:val="009223B2"/>
    <w:rsid w:val="00922A84"/>
    <w:rsid w:val="00922CE8"/>
    <w:rsid w:val="009237F8"/>
    <w:rsid w:val="00924050"/>
    <w:rsid w:val="0092434E"/>
    <w:rsid w:val="00924684"/>
    <w:rsid w:val="0092468A"/>
    <w:rsid w:val="00925071"/>
    <w:rsid w:val="0092529C"/>
    <w:rsid w:val="009252C7"/>
    <w:rsid w:val="0092545E"/>
    <w:rsid w:val="00925BC2"/>
    <w:rsid w:val="0092613B"/>
    <w:rsid w:val="009263BD"/>
    <w:rsid w:val="0092644F"/>
    <w:rsid w:val="009266C6"/>
    <w:rsid w:val="009266CB"/>
    <w:rsid w:val="009268CA"/>
    <w:rsid w:val="009268E9"/>
    <w:rsid w:val="009268F6"/>
    <w:rsid w:val="009269B8"/>
    <w:rsid w:val="00926BE7"/>
    <w:rsid w:val="00926DA2"/>
    <w:rsid w:val="00927444"/>
    <w:rsid w:val="0092779E"/>
    <w:rsid w:val="00927A3A"/>
    <w:rsid w:val="00927FAB"/>
    <w:rsid w:val="00930579"/>
    <w:rsid w:val="00930771"/>
    <w:rsid w:val="00930AE6"/>
    <w:rsid w:val="0093131A"/>
    <w:rsid w:val="00931536"/>
    <w:rsid w:val="009316EC"/>
    <w:rsid w:val="00932375"/>
    <w:rsid w:val="00932E71"/>
    <w:rsid w:val="009330CE"/>
    <w:rsid w:val="00933276"/>
    <w:rsid w:val="00933678"/>
    <w:rsid w:val="00933952"/>
    <w:rsid w:val="00933AF1"/>
    <w:rsid w:val="0093403B"/>
    <w:rsid w:val="00934763"/>
    <w:rsid w:val="00934797"/>
    <w:rsid w:val="00934B24"/>
    <w:rsid w:val="00935044"/>
    <w:rsid w:val="0093591A"/>
    <w:rsid w:val="009359C4"/>
    <w:rsid w:val="00935A9E"/>
    <w:rsid w:val="00935B39"/>
    <w:rsid w:val="00935E80"/>
    <w:rsid w:val="00935E87"/>
    <w:rsid w:val="00936615"/>
    <w:rsid w:val="00936820"/>
    <w:rsid w:val="0093763D"/>
    <w:rsid w:val="00937C9A"/>
    <w:rsid w:val="00940772"/>
    <w:rsid w:val="0094097D"/>
    <w:rsid w:val="009411C6"/>
    <w:rsid w:val="0094128E"/>
    <w:rsid w:val="0094157E"/>
    <w:rsid w:val="009415C2"/>
    <w:rsid w:val="009415C5"/>
    <w:rsid w:val="009419E5"/>
    <w:rsid w:val="00941A29"/>
    <w:rsid w:val="00941D09"/>
    <w:rsid w:val="009421E3"/>
    <w:rsid w:val="009423DC"/>
    <w:rsid w:val="009426C4"/>
    <w:rsid w:val="00942F9F"/>
    <w:rsid w:val="00943078"/>
    <w:rsid w:val="009432F6"/>
    <w:rsid w:val="009435DD"/>
    <w:rsid w:val="00944077"/>
    <w:rsid w:val="0094447A"/>
    <w:rsid w:val="0094471D"/>
    <w:rsid w:val="0094471E"/>
    <w:rsid w:val="00944A96"/>
    <w:rsid w:val="00944D43"/>
    <w:rsid w:val="00944FE6"/>
    <w:rsid w:val="00945235"/>
    <w:rsid w:val="00945303"/>
    <w:rsid w:val="00945D7A"/>
    <w:rsid w:val="00945D90"/>
    <w:rsid w:val="00945E8E"/>
    <w:rsid w:val="00946369"/>
    <w:rsid w:val="00946EEF"/>
    <w:rsid w:val="00946F1E"/>
    <w:rsid w:val="0094703E"/>
    <w:rsid w:val="00947736"/>
    <w:rsid w:val="00947A87"/>
    <w:rsid w:val="00947BB2"/>
    <w:rsid w:val="00950B47"/>
    <w:rsid w:val="00950C87"/>
    <w:rsid w:val="009510AF"/>
    <w:rsid w:val="00951103"/>
    <w:rsid w:val="00951A1D"/>
    <w:rsid w:val="00951CDE"/>
    <w:rsid w:val="00951F81"/>
    <w:rsid w:val="00951FD3"/>
    <w:rsid w:val="0095270A"/>
    <w:rsid w:val="00953231"/>
    <w:rsid w:val="009533A9"/>
    <w:rsid w:val="00953516"/>
    <w:rsid w:val="00953864"/>
    <w:rsid w:val="00953A6A"/>
    <w:rsid w:val="00953AC3"/>
    <w:rsid w:val="00953B47"/>
    <w:rsid w:val="00953D70"/>
    <w:rsid w:val="00954654"/>
    <w:rsid w:val="00954727"/>
    <w:rsid w:val="00955344"/>
    <w:rsid w:val="0095542A"/>
    <w:rsid w:val="00955469"/>
    <w:rsid w:val="009554F6"/>
    <w:rsid w:val="00955648"/>
    <w:rsid w:val="00955843"/>
    <w:rsid w:val="00955939"/>
    <w:rsid w:val="00955C93"/>
    <w:rsid w:val="00955DE5"/>
    <w:rsid w:val="00956183"/>
    <w:rsid w:val="00956648"/>
    <w:rsid w:val="009567AD"/>
    <w:rsid w:val="009570F6"/>
    <w:rsid w:val="0095732B"/>
    <w:rsid w:val="009577EC"/>
    <w:rsid w:val="00957A53"/>
    <w:rsid w:val="00957CE5"/>
    <w:rsid w:val="00957E35"/>
    <w:rsid w:val="00960377"/>
    <w:rsid w:val="009604EE"/>
    <w:rsid w:val="00961459"/>
    <w:rsid w:val="0096147E"/>
    <w:rsid w:val="00961F64"/>
    <w:rsid w:val="0096242D"/>
    <w:rsid w:val="00962503"/>
    <w:rsid w:val="00962B9A"/>
    <w:rsid w:val="009631C9"/>
    <w:rsid w:val="009632C5"/>
    <w:rsid w:val="00963E1B"/>
    <w:rsid w:val="00964139"/>
    <w:rsid w:val="00964205"/>
    <w:rsid w:val="0096443F"/>
    <w:rsid w:val="009645D6"/>
    <w:rsid w:val="0096478B"/>
    <w:rsid w:val="00964B8D"/>
    <w:rsid w:val="00965005"/>
    <w:rsid w:val="00965110"/>
    <w:rsid w:val="00965276"/>
    <w:rsid w:val="009652CC"/>
    <w:rsid w:val="009659B0"/>
    <w:rsid w:val="00965A35"/>
    <w:rsid w:val="00965C32"/>
    <w:rsid w:val="00965DA7"/>
    <w:rsid w:val="009660BF"/>
    <w:rsid w:val="009663ED"/>
    <w:rsid w:val="00966B5B"/>
    <w:rsid w:val="009676A2"/>
    <w:rsid w:val="00967754"/>
    <w:rsid w:val="00967B09"/>
    <w:rsid w:val="00967C8C"/>
    <w:rsid w:val="00967EF8"/>
    <w:rsid w:val="009710B8"/>
    <w:rsid w:val="00971139"/>
    <w:rsid w:val="009712E6"/>
    <w:rsid w:val="0097139E"/>
    <w:rsid w:val="00971CBB"/>
    <w:rsid w:val="00972544"/>
    <w:rsid w:val="009726B6"/>
    <w:rsid w:val="0097284C"/>
    <w:rsid w:val="00972BB5"/>
    <w:rsid w:val="00972E31"/>
    <w:rsid w:val="00973035"/>
    <w:rsid w:val="009735A7"/>
    <w:rsid w:val="009737BF"/>
    <w:rsid w:val="00973966"/>
    <w:rsid w:val="00973AD2"/>
    <w:rsid w:val="00973B19"/>
    <w:rsid w:val="00973BF3"/>
    <w:rsid w:val="00973E1B"/>
    <w:rsid w:val="00973E71"/>
    <w:rsid w:val="00973F4D"/>
    <w:rsid w:val="009743FF"/>
    <w:rsid w:val="00974D04"/>
    <w:rsid w:val="00974E06"/>
    <w:rsid w:val="00974E22"/>
    <w:rsid w:val="00974E6C"/>
    <w:rsid w:val="00975005"/>
    <w:rsid w:val="009755EB"/>
    <w:rsid w:val="00975CB6"/>
    <w:rsid w:val="00975DA8"/>
    <w:rsid w:val="009763C9"/>
    <w:rsid w:val="00976496"/>
    <w:rsid w:val="00976CB4"/>
    <w:rsid w:val="00976E0C"/>
    <w:rsid w:val="009770A6"/>
    <w:rsid w:val="00977210"/>
    <w:rsid w:val="00977A68"/>
    <w:rsid w:val="00980AFE"/>
    <w:rsid w:val="00981695"/>
    <w:rsid w:val="00981C91"/>
    <w:rsid w:val="00981E64"/>
    <w:rsid w:val="0098265F"/>
    <w:rsid w:val="009828D6"/>
    <w:rsid w:val="009829B5"/>
    <w:rsid w:val="00982F2A"/>
    <w:rsid w:val="00983148"/>
    <w:rsid w:val="009832D3"/>
    <w:rsid w:val="009832FF"/>
    <w:rsid w:val="009834AC"/>
    <w:rsid w:val="009834C8"/>
    <w:rsid w:val="009834FC"/>
    <w:rsid w:val="00983E39"/>
    <w:rsid w:val="00983F9C"/>
    <w:rsid w:val="00983FF3"/>
    <w:rsid w:val="00984031"/>
    <w:rsid w:val="0098442C"/>
    <w:rsid w:val="00984466"/>
    <w:rsid w:val="00984487"/>
    <w:rsid w:val="00984DAD"/>
    <w:rsid w:val="00985877"/>
    <w:rsid w:val="00985AA9"/>
    <w:rsid w:val="00985ACB"/>
    <w:rsid w:val="0098617D"/>
    <w:rsid w:val="009861EF"/>
    <w:rsid w:val="00986493"/>
    <w:rsid w:val="009865BA"/>
    <w:rsid w:val="00986838"/>
    <w:rsid w:val="00986AD6"/>
    <w:rsid w:val="00986AF5"/>
    <w:rsid w:val="00986CD8"/>
    <w:rsid w:val="00987B62"/>
    <w:rsid w:val="00990019"/>
    <w:rsid w:val="00990021"/>
    <w:rsid w:val="0099057F"/>
    <w:rsid w:val="009908D5"/>
    <w:rsid w:val="009916FA"/>
    <w:rsid w:val="00991889"/>
    <w:rsid w:val="00991F58"/>
    <w:rsid w:val="00991FDF"/>
    <w:rsid w:val="009925C4"/>
    <w:rsid w:val="00992712"/>
    <w:rsid w:val="00992A44"/>
    <w:rsid w:val="00992EBA"/>
    <w:rsid w:val="00992EEF"/>
    <w:rsid w:val="00993205"/>
    <w:rsid w:val="00993421"/>
    <w:rsid w:val="00993505"/>
    <w:rsid w:val="0099388C"/>
    <w:rsid w:val="00993ED6"/>
    <w:rsid w:val="00994292"/>
    <w:rsid w:val="00994498"/>
    <w:rsid w:val="0099459E"/>
    <w:rsid w:val="0099518A"/>
    <w:rsid w:val="00995626"/>
    <w:rsid w:val="009956CE"/>
    <w:rsid w:val="00995C61"/>
    <w:rsid w:val="00995D6D"/>
    <w:rsid w:val="00995E0B"/>
    <w:rsid w:val="00995F2A"/>
    <w:rsid w:val="009965CB"/>
    <w:rsid w:val="00996612"/>
    <w:rsid w:val="009966CC"/>
    <w:rsid w:val="00996920"/>
    <w:rsid w:val="00996B63"/>
    <w:rsid w:val="00996DD5"/>
    <w:rsid w:val="00996EF9"/>
    <w:rsid w:val="009971F7"/>
    <w:rsid w:val="00997231"/>
    <w:rsid w:val="00997272"/>
    <w:rsid w:val="009972BC"/>
    <w:rsid w:val="00997514"/>
    <w:rsid w:val="00997544"/>
    <w:rsid w:val="00997720"/>
    <w:rsid w:val="00997AF6"/>
    <w:rsid w:val="00997B25"/>
    <w:rsid w:val="00997F51"/>
    <w:rsid w:val="009A019A"/>
    <w:rsid w:val="009A03FF"/>
    <w:rsid w:val="009A0601"/>
    <w:rsid w:val="009A0D0A"/>
    <w:rsid w:val="009A1042"/>
    <w:rsid w:val="009A1B67"/>
    <w:rsid w:val="009A27D0"/>
    <w:rsid w:val="009A2A0B"/>
    <w:rsid w:val="009A2A42"/>
    <w:rsid w:val="009A2B8F"/>
    <w:rsid w:val="009A3070"/>
    <w:rsid w:val="009A3624"/>
    <w:rsid w:val="009A3789"/>
    <w:rsid w:val="009A3F67"/>
    <w:rsid w:val="009A41E7"/>
    <w:rsid w:val="009A4944"/>
    <w:rsid w:val="009A4A39"/>
    <w:rsid w:val="009A5A0F"/>
    <w:rsid w:val="009A5F30"/>
    <w:rsid w:val="009A682A"/>
    <w:rsid w:val="009A6A8F"/>
    <w:rsid w:val="009A6D96"/>
    <w:rsid w:val="009A7668"/>
    <w:rsid w:val="009A7BB6"/>
    <w:rsid w:val="009A7DD3"/>
    <w:rsid w:val="009B025E"/>
    <w:rsid w:val="009B0384"/>
    <w:rsid w:val="009B07F8"/>
    <w:rsid w:val="009B0898"/>
    <w:rsid w:val="009B111E"/>
    <w:rsid w:val="009B1664"/>
    <w:rsid w:val="009B1BE4"/>
    <w:rsid w:val="009B1EEC"/>
    <w:rsid w:val="009B263E"/>
    <w:rsid w:val="009B297C"/>
    <w:rsid w:val="009B316E"/>
    <w:rsid w:val="009B319E"/>
    <w:rsid w:val="009B32FF"/>
    <w:rsid w:val="009B3899"/>
    <w:rsid w:val="009B4017"/>
    <w:rsid w:val="009B468D"/>
    <w:rsid w:val="009B4755"/>
    <w:rsid w:val="009B4B54"/>
    <w:rsid w:val="009B4C95"/>
    <w:rsid w:val="009B5275"/>
    <w:rsid w:val="009B631B"/>
    <w:rsid w:val="009B646D"/>
    <w:rsid w:val="009B6F5B"/>
    <w:rsid w:val="009B711F"/>
    <w:rsid w:val="009B78D8"/>
    <w:rsid w:val="009B7BAD"/>
    <w:rsid w:val="009B7E63"/>
    <w:rsid w:val="009B7FD1"/>
    <w:rsid w:val="009C00C4"/>
    <w:rsid w:val="009C0551"/>
    <w:rsid w:val="009C060A"/>
    <w:rsid w:val="009C083D"/>
    <w:rsid w:val="009C0D33"/>
    <w:rsid w:val="009C109A"/>
    <w:rsid w:val="009C10B7"/>
    <w:rsid w:val="009C12F4"/>
    <w:rsid w:val="009C1556"/>
    <w:rsid w:val="009C1E68"/>
    <w:rsid w:val="009C2595"/>
    <w:rsid w:val="009C2705"/>
    <w:rsid w:val="009C2BD6"/>
    <w:rsid w:val="009C333C"/>
    <w:rsid w:val="009C35CA"/>
    <w:rsid w:val="009C3A29"/>
    <w:rsid w:val="009C3E42"/>
    <w:rsid w:val="009C3F6B"/>
    <w:rsid w:val="009C4304"/>
    <w:rsid w:val="009C437E"/>
    <w:rsid w:val="009C4F63"/>
    <w:rsid w:val="009C5115"/>
    <w:rsid w:val="009C567D"/>
    <w:rsid w:val="009C56AD"/>
    <w:rsid w:val="009C57AC"/>
    <w:rsid w:val="009C5812"/>
    <w:rsid w:val="009C583E"/>
    <w:rsid w:val="009C584E"/>
    <w:rsid w:val="009C5A52"/>
    <w:rsid w:val="009C5D07"/>
    <w:rsid w:val="009C5F2F"/>
    <w:rsid w:val="009C61DF"/>
    <w:rsid w:val="009C67F6"/>
    <w:rsid w:val="009C6896"/>
    <w:rsid w:val="009C6CB7"/>
    <w:rsid w:val="009C7098"/>
    <w:rsid w:val="009C7320"/>
    <w:rsid w:val="009C75FA"/>
    <w:rsid w:val="009C7AF3"/>
    <w:rsid w:val="009C7C35"/>
    <w:rsid w:val="009D00B7"/>
    <w:rsid w:val="009D01E5"/>
    <w:rsid w:val="009D0249"/>
    <w:rsid w:val="009D051F"/>
    <w:rsid w:val="009D05F6"/>
    <w:rsid w:val="009D068B"/>
    <w:rsid w:val="009D093A"/>
    <w:rsid w:val="009D0B6B"/>
    <w:rsid w:val="009D153A"/>
    <w:rsid w:val="009D17B2"/>
    <w:rsid w:val="009D1946"/>
    <w:rsid w:val="009D1A53"/>
    <w:rsid w:val="009D2676"/>
    <w:rsid w:val="009D2D1E"/>
    <w:rsid w:val="009D305E"/>
    <w:rsid w:val="009D3542"/>
    <w:rsid w:val="009D3800"/>
    <w:rsid w:val="009D3975"/>
    <w:rsid w:val="009D3AFB"/>
    <w:rsid w:val="009D3BDE"/>
    <w:rsid w:val="009D4012"/>
    <w:rsid w:val="009D40E8"/>
    <w:rsid w:val="009D4B36"/>
    <w:rsid w:val="009D4B79"/>
    <w:rsid w:val="009D568A"/>
    <w:rsid w:val="009D5FF6"/>
    <w:rsid w:val="009D65F9"/>
    <w:rsid w:val="009D698C"/>
    <w:rsid w:val="009D7F47"/>
    <w:rsid w:val="009E04C5"/>
    <w:rsid w:val="009E0CA4"/>
    <w:rsid w:val="009E10FE"/>
    <w:rsid w:val="009E16F9"/>
    <w:rsid w:val="009E1AD8"/>
    <w:rsid w:val="009E1CA9"/>
    <w:rsid w:val="009E1FB0"/>
    <w:rsid w:val="009E2093"/>
    <w:rsid w:val="009E20F1"/>
    <w:rsid w:val="009E25F8"/>
    <w:rsid w:val="009E260B"/>
    <w:rsid w:val="009E2906"/>
    <w:rsid w:val="009E2961"/>
    <w:rsid w:val="009E2A97"/>
    <w:rsid w:val="009E2B88"/>
    <w:rsid w:val="009E3264"/>
    <w:rsid w:val="009E3447"/>
    <w:rsid w:val="009E34B3"/>
    <w:rsid w:val="009E37D7"/>
    <w:rsid w:val="009E381F"/>
    <w:rsid w:val="009E3838"/>
    <w:rsid w:val="009E3B75"/>
    <w:rsid w:val="009E3F76"/>
    <w:rsid w:val="009E41ED"/>
    <w:rsid w:val="009E432C"/>
    <w:rsid w:val="009E43D9"/>
    <w:rsid w:val="009E43FD"/>
    <w:rsid w:val="009E46D2"/>
    <w:rsid w:val="009E4B33"/>
    <w:rsid w:val="009E4B75"/>
    <w:rsid w:val="009E5599"/>
    <w:rsid w:val="009E58C6"/>
    <w:rsid w:val="009E5E16"/>
    <w:rsid w:val="009E65CC"/>
    <w:rsid w:val="009E661F"/>
    <w:rsid w:val="009E6638"/>
    <w:rsid w:val="009E667C"/>
    <w:rsid w:val="009E6CA4"/>
    <w:rsid w:val="009E70EF"/>
    <w:rsid w:val="009E71FC"/>
    <w:rsid w:val="009E78DA"/>
    <w:rsid w:val="009E7A28"/>
    <w:rsid w:val="009E7AF8"/>
    <w:rsid w:val="009F0331"/>
    <w:rsid w:val="009F04CC"/>
    <w:rsid w:val="009F18A1"/>
    <w:rsid w:val="009F1EFC"/>
    <w:rsid w:val="009F29FD"/>
    <w:rsid w:val="009F2C63"/>
    <w:rsid w:val="009F3451"/>
    <w:rsid w:val="009F3A37"/>
    <w:rsid w:val="009F3B97"/>
    <w:rsid w:val="009F3E8A"/>
    <w:rsid w:val="009F423E"/>
    <w:rsid w:val="009F495F"/>
    <w:rsid w:val="009F4A0E"/>
    <w:rsid w:val="009F4D08"/>
    <w:rsid w:val="009F51E7"/>
    <w:rsid w:val="009F5869"/>
    <w:rsid w:val="009F5CA6"/>
    <w:rsid w:val="009F5F3E"/>
    <w:rsid w:val="009F637D"/>
    <w:rsid w:val="009F6D1A"/>
    <w:rsid w:val="009F6F6F"/>
    <w:rsid w:val="009F7153"/>
    <w:rsid w:val="009F74AA"/>
    <w:rsid w:val="009F74E6"/>
    <w:rsid w:val="009F7BDC"/>
    <w:rsid w:val="009F7E87"/>
    <w:rsid w:val="009F7F77"/>
    <w:rsid w:val="00A00015"/>
    <w:rsid w:val="00A003B5"/>
    <w:rsid w:val="00A00671"/>
    <w:rsid w:val="00A00B5C"/>
    <w:rsid w:val="00A00E6C"/>
    <w:rsid w:val="00A00E8F"/>
    <w:rsid w:val="00A01616"/>
    <w:rsid w:val="00A01C4E"/>
    <w:rsid w:val="00A01D90"/>
    <w:rsid w:val="00A0219F"/>
    <w:rsid w:val="00A0232D"/>
    <w:rsid w:val="00A023C8"/>
    <w:rsid w:val="00A02690"/>
    <w:rsid w:val="00A029E4"/>
    <w:rsid w:val="00A0301C"/>
    <w:rsid w:val="00A0366E"/>
    <w:rsid w:val="00A03CAC"/>
    <w:rsid w:val="00A03DD2"/>
    <w:rsid w:val="00A03F81"/>
    <w:rsid w:val="00A03F9A"/>
    <w:rsid w:val="00A042C1"/>
    <w:rsid w:val="00A042CA"/>
    <w:rsid w:val="00A0439E"/>
    <w:rsid w:val="00A047F4"/>
    <w:rsid w:val="00A048C0"/>
    <w:rsid w:val="00A049B9"/>
    <w:rsid w:val="00A04B15"/>
    <w:rsid w:val="00A05015"/>
    <w:rsid w:val="00A0549B"/>
    <w:rsid w:val="00A054A3"/>
    <w:rsid w:val="00A05BC5"/>
    <w:rsid w:val="00A07425"/>
    <w:rsid w:val="00A076A3"/>
    <w:rsid w:val="00A07EA5"/>
    <w:rsid w:val="00A1021C"/>
    <w:rsid w:val="00A106C6"/>
    <w:rsid w:val="00A111F5"/>
    <w:rsid w:val="00A11A05"/>
    <w:rsid w:val="00A1214E"/>
    <w:rsid w:val="00A12D30"/>
    <w:rsid w:val="00A12DC6"/>
    <w:rsid w:val="00A141A0"/>
    <w:rsid w:val="00A14BC7"/>
    <w:rsid w:val="00A14D85"/>
    <w:rsid w:val="00A14F04"/>
    <w:rsid w:val="00A15095"/>
    <w:rsid w:val="00A15276"/>
    <w:rsid w:val="00A152A7"/>
    <w:rsid w:val="00A15726"/>
    <w:rsid w:val="00A15E36"/>
    <w:rsid w:val="00A16538"/>
    <w:rsid w:val="00A171EB"/>
    <w:rsid w:val="00A1752E"/>
    <w:rsid w:val="00A17A79"/>
    <w:rsid w:val="00A17C81"/>
    <w:rsid w:val="00A17FDA"/>
    <w:rsid w:val="00A206E5"/>
    <w:rsid w:val="00A208C4"/>
    <w:rsid w:val="00A20B8E"/>
    <w:rsid w:val="00A20EB9"/>
    <w:rsid w:val="00A20F0C"/>
    <w:rsid w:val="00A21075"/>
    <w:rsid w:val="00A2131B"/>
    <w:rsid w:val="00A21970"/>
    <w:rsid w:val="00A21F5F"/>
    <w:rsid w:val="00A22027"/>
    <w:rsid w:val="00A223AD"/>
    <w:rsid w:val="00A226C3"/>
    <w:rsid w:val="00A229D2"/>
    <w:rsid w:val="00A230CD"/>
    <w:rsid w:val="00A23252"/>
    <w:rsid w:val="00A236AC"/>
    <w:rsid w:val="00A24128"/>
    <w:rsid w:val="00A24923"/>
    <w:rsid w:val="00A24C6D"/>
    <w:rsid w:val="00A24F58"/>
    <w:rsid w:val="00A25132"/>
    <w:rsid w:val="00A2556D"/>
    <w:rsid w:val="00A255F2"/>
    <w:rsid w:val="00A2570C"/>
    <w:rsid w:val="00A259A6"/>
    <w:rsid w:val="00A25AB2"/>
    <w:rsid w:val="00A25E1D"/>
    <w:rsid w:val="00A25FAD"/>
    <w:rsid w:val="00A262BD"/>
    <w:rsid w:val="00A26419"/>
    <w:rsid w:val="00A265FC"/>
    <w:rsid w:val="00A26608"/>
    <w:rsid w:val="00A26628"/>
    <w:rsid w:val="00A27089"/>
    <w:rsid w:val="00A27253"/>
    <w:rsid w:val="00A273EF"/>
    <w:rsid w:val="00A274A4"/>
    <w:rsid w:val="00A275FE"/>
    <w:rsid w:val="00A279C7"/>
    <w:rsid w:val="00A27E32"/>
    <w:rsid w:val="00A27EFE"/>
    <w:rsid w:val="00A30192"/>
    <w:rsid w:val="00A3061D"/>
    <w:rsid w:val="00A30820"/>
    <w:rsid w:val="00A30A93"/>
    <w:rsid w:val="00A30AC3"/>
    <w:rsid w:val="00A31036"/>
    <w:rsid w:val="00A312BC"/>
    <w:rsid w:val="00A313A8"/>
    <w:rsid w:val="00A3160A"/>
    <w:rsid w:val="00A317BB"/>
    <w:rsid w:val="00A318DF"/>
    <w:rsid w:val="00A319E6"/>
    <w:rsid w:val="00A31D4F"/>
    <w:rsid w:val="00A327A1"/>
    <w:rsid w:val="00A327EF"/>
    <w:rsid w:val="00A32C1C"/>
    <w:rsid w:val="00A32D06"/>
    <w:rsid w:val="00A330B0"/>
    <w:rsid w:val="00A336C1"/>
    <w:rsid w:val="00A339D9"/>
    <w:rsid w:val="00A33C78"/>
    <w:rsid w:val="00A33F26"/>
    <w:rsid w:val="00A340A6"/>
    <w:rsid w:val="00A344FA"/>
    <w:rsid w:val="00A34556"/>
    <w:rsid w:val="00A348B6"/>
    <w:rsid w:val="00A351E8"/>
    <w:rsid w:val="00A353CF"/>
    <w:rsid w:val="00A357F8"/>
    <w:rsid w:val="00A35805"/>
    <w:rsid w:val="00A35B82"/>
    <w:rsid w:val="00A35DDF"/>
    <w:rsid w:val="00A35FBF"/>
    <w:rsid w:val="00A3659C"/>
    <w:rsid w:val="00A36D6A"/>
    <w:rsid w:val="00A37361"/>
    <w:rsid w:val="00A3752F"/>
    <w:rsid w:val="00A37D0C"/>
    <w:rsid w:val="00A37E0F"/>
    <w:rsid w:val="00A400DC"/>
    <w:rsid w:val="00A4040A"/>
    <w:rsid w:val="00A406AF"/>
    <w:rsid w:val="00A407C6"/>
    <w:rsid w:val="00A411F4"/>
    <w:rsid w:val="00A412E9"/>
    <w:rsid w:val="00A41B3B"/>
    <w:rsid w:val="00A41C7B"/>
    <w:rsid w:val="00A41D50"/>
    <w:rsid w:val="00A41D75"/>
    <w:rsid w:val="00A41EDB"/>
    <w:rsid w:val="00A4202A"/>
    <w:rsid w:val="00A42B74"/>
    <w:rsid w:val="00A42CFE"/>
    <w:rsid w:val="00A432F0"/>
    <w:rsid w:val="00A434BF"/>
    <w:rsid w:val="00A43BB0"/>
    <w:rsid w:val="00A43D8E"/>
    <w:rsid w:val="00A4425E"/>
    <w:rsid w:val="00A443FB"/>
    <w:rsid w:val="00A44742"/>
    <w:rsid w:val="00A44D93"/>
    <w:rsid w:val="00A45BBA"/>
    <w:rsid w:val="00A45EB8"/>
    <w:rsid w:val="00A45F77"/>
    <w:rsid w:val="00A46230"/>
    <w:rsid w:val="00A462FD"/>
    <w:rsid w:val="00A464E6"/>
    <w:rsid w:val="00A464E9"/>
    <w:rsid w:val="00A466C2"/>
    <w:rsid w:val="00A46DDF"/>
    <w:rsid w:val="00A47216"/>
    <w:rsid w:val="00A506E8"/>
    <w:rsid w:val="00A50716"/>
    <w:rsid w:val="00A5124F"/>
    <w:rsid w:val="00A51685"/>
    <w:rsid w:val="00A518F8"/>
    <w:rsid w:val="00A51A48"/>
    <w:rsid w:val="00A5222A"/>
    <w:rsid w:val="00A52523"/>
    <w:rsid w:val="00A5268E"/>
    <w:rsid w:val="00A528FF"/>
    <w:rsid w:val="00A5290A"/>
    <w:rsid w:val="00A52A36"/>
    <w:rsid w:val="00A52E32"/>
    <w:rsid w:val="00A533C9"/>
    <w:rsid w:val="00A53DA9"/>
    <w:rsid w:val="00A53EA5"/>
    <w:rsid w:val="00A53EF6"/>
    <w:rsid w:val="00A5427E"/>
    <w:rsid w:val="00A54678"/>
    <w:rsid w:val="00A54C14"/>
    <w:rsid w:val="00A54D0B"/>
    <w:rsid w:val="00A54DFB"/>
    <w:rsid w:val="00A55333"/>
    <w:rsid w:val="00A55556"/>
    <w:rsid w:val="00A55959"/>
    <w:rsid w:val="00A55E53"/>
    <w:rsid w:val="00A55FCE"/>
    <w:rsid w:val="00A56448"/>
    <w:rsid w:val="00A5685D"/>
    <w:rsid w:val="00A56A78"/>
    <w:rsid w:val="00A56CD4"/>
    <w:rsid w:val="00A56D81"/>
    <w:rsid w:val="00A56FEB"/>
    <w:rsid w:val="00A5781E"/>
    <w:rsid w:val="00A57BE6"/>
    <w:rsid w:val="00A57C3A"/>
    <w:rsid w:val="00A600B9"/>
    <w:rsid w:val="00A60171"/>
    <w:rsid w:val="00A60265"/>
    <w:rsid w:val="00A606F4"/>
    <w:rsid w:val="00A60C79"/>
    <w:rsid w:val="00A6241D"/>
    <w:rsid w:val="00A624BE"/>
    <w:rsid w:val="00A626EC"/>
    <w:rsid w:val="00A63915"/>
    <w:rsid w:val="00A639CF"/>
    <w:rsid w:val="00A63CF2"/>
    <w:rsid w:val="00A6465D"/>
    <w:rsid w:val="00A6540E"/>
    <w:rsid w:val="00A6544E"/>
    <w:rsid w:val="00A65786"/>
    <w:rsid w:val="00A65E6E"/>
    <w:rsid w:val="00A660C5"/>
    <w:rsid w:val="00A663FD"/>
    <w:rsid w:val="00A66CC6"/>
    <w:rsid w:val="00A674F5"/>
    <w:rsid w:val="00A676E4"/>
    <w:rsid w:val="00A67937"/>
    <w:rsid w:val="00A67C1F"/>
    <w:rsid w:val="00A67ECB"/>
    <w:rsid w:val="00A70183"/>
    <w:rsid w:val="00A70486"/>
    <w:rsid w:val="00A7099E"/>
    <w:rsid w:val="00A70BCB"/>
    <w:rsid w:val="00A70C40"/>
    <w:rsid w:val="00A70E63"/>
    <w:rsid w:val="00A71056"/>
    <w:rsid w:val="00A71213"/>
    <w:rsid w:val="00A7196D"/>
    <w:rsid w:val="00A719C9"/>
    <w:rsid w:val="00A72106"/>
    <w:rsid w:val="00A728A0"/>
    <w:rsid w:val="00A72A88"/>
    <w:rsid w:val="00A72AC6"/>
    <w:rsid w:val="00A72BEA"/>
    <w:rsid w:val="00A72BF2"/>
    <w:rsid w:val="00A72F30"/>
    <w:rsid w:val="00A72F87"/>
    <w:rsid w:val="00A731A2"/>
    <w:rsid w:val="00A73BAD"/>
    <w:rsid w:val="00A73DFB"/>
    <w:rsid w:val="00A744A9"/>
    <w:rsid w:val="00A746B1"/>
    <w:rsid w:val="00A7484E"/>
    <w:rsid w:val="00A748D3"/>
    <w:rsid w:val="00A74B1A"/>
    <w:rsid w:val="00A74CF5"/>
    <w:rsid w:val="00A74FA2"/>
    <w:rsid w:val="00A7545D"/>
    <w:rsid w:val="00A75492"/>
    <w:rsid w:val="00A75AD4"/>
    <w:rsid w:val="00A75EF3"/>
    <w:rsid w:val="00A760AF"/>
    <w:rsid w:val="00A7650E"/>
    <w:rsid w:val="00A765FF"/>
    <w:rsid w:val="00A76984"/>
    <w:rsid w:val="00A76B51"/>
    <w:rsid w:val="00A76E82"/>
    <w:rsid w:val="00A77561"/>
    <w:rsid w:val="00A776E1"/>
    <w:rsid w:val="00A77838"/>
    <w:rsid w:val="00A778E8"/>
    <w:rsid w:val="00A7796E"/>
    <w:rsid w:val="00A779C1"/>
    <w:rsid w:val="00A77AA2"/>
    <w:rsid w:val="00A8029A"/>
    <w:rsid w:val="00A808B2"/>
    <w:rsid w:val="00A80D07"/>
    <w:rsid w:val="00A812D6"/>
    <w:rsid w:val="00A81470"/>
    <w:rsid w:val="00A819C5"/>
    <w:rsid w:val="00A81ADB"/>
    <w:rsid w:val="00A828E4"/>
    <w:rsid w:val="00A82AE9"/>
    <w:rsid w:val="00A82C5D"/>
    <w:rsid w:val="00A82C87"/>
    <w:rsid w:val="00A82CEE"/>
    <w:rsid w:val="00A835EF"/>
    <w:rsid w:val="00A8394B"/>
    <w:rsid w:val="00A83D34"/>
    <w:rsid w:val="00A84053"/>
    <w:rsid w:val="00A84227"/>
    <w:rsid w:val="00A84769"/>
    <w:rsid w:val="00A84FBC"/>
    <w:rsid w:val="00A85642"/>
    <w:rsid w:val="00A85AB4"/>
    <w:rsid w:val="00A85F80"/>
    <w:rsid w:val="00A8629D"/>
    <w:rsid w:val="00A86B5A"/>
    <w:rsid w:val="00A876CA"/>
    <w:rsid w:val="00A87EFF"/>
    <w:rsid w:val="00A87F9F"/>
    <w:rsid w:val="00A9018B"/>
    <w:rsid w:val="00A90360"/>
    <w:rsid w:val="00A90592"/>
    <w:rsid w:val="00A911B4"/>
    <w:rsid w:val="00A9146A"/>
    <w:rsid w:val="00A9171A"/>
    <w:rsid w:val="00A91910"/>
    <w:rsid w:val="00A91C8F"/>
    <w:rsid w:val="00A91D1C"/>
    <w:rsid w:val="00A92315"/>
    <w:rsid w:val="00A9236A"/>
    <w:rsid w:val="00A92827"/>
    <w:rsid w:val="00A9308C"/>
    <w:rsid w:val="00A932D9"/>
    <w:rsid w:val="00A93337"/>
    <w:rsid w:val="00A93BC5"/>
    <w:rsid w:val="00A9493E"/>
    <w:rsid w:val="00A94A04"/>
    <w:rsid w:val="00A94A82"/>
    <w:rsid w:val="00A94DAB"/>
    <w:rsid w:val="00A94E9B"/>
    <w:rsid w:val="00A95003"/>
    <w:rsid w:val="00A954CF"/>
    <w:rsid w:val="00A955D3"/>
    <w:rsid w:val="00A956CE"/>
    <w:rsid w:val="00A959E5"/>
    <w:rsid w:val="00A95CEF"/>
    <w:rsid w:val="00A95D99"/>
    <w:rsid w:val="00A96343"/>
    <w:rsid w:val="00A96591"/>
    <w:rsid w:val="00A965E1"/>
    <w:rsid w:val="00A96C5A"/>
    <w:rsid w:val="00A96CDB"/>
    <w:rsid w:val="00A96DE3"/>
    <w:rsid w:val="00A970A0"/>
    <w:rsid w:val="00A97212"/>
    <w:rsid w:val="00A972A3"/>
    <w:rsid w:val="00AA0062"/>
    <w:rsid w:val="00AA0452"/>
    <w:rsid w:val="00AA1B20"/>
    <w:rsid w:val="00AA2221"/>
    <w:rsid w:val="00AA232D"/>
    <w:rsid w:val="00AA2479"/>
    <w:rsid w:val="00AA25BD"/>
    <w:rsid w:val="00AA2672"/>
    <w:rsid w:val="00AA26BC"/>
    <w:rsid w:val="00AA29E8"/>
    <w:rsid w:val="00AA2E90"/>
    <w:rsid w:val="00AA2F31"/>
    <w:rsid w:val="00AA3117"/>
    <w:rsid w:val="00AA314C"/>
    <w:rsid w:val="00AA326A"/>
    <w:rsid w:val="00AA39DC"/>
    <w:rsid w:val="00AA43E5"/>
    <w:rsid w:val="00AA4524"/>
    <w:rsid w:val="00AA458F"/>
    <w:rsid w:val="00AA4DF3"/>
    <w:rsid w:val="00AA503F"/>
    <w:rsid w:val="00AA512C"/>
    <w:rsid w:val="00AA5187"/>
    <w:rsid w:val="00AA5AC9"/>
    <w:rsid w:val="00AA5CBD"/>
    <w:rsid w:val="00AA611A"/>
    <w:rsid w:val="00AA70AD"/>
    <w:rsid w:val="00AA72F8"/>
    <w:rsid w:val="00AA77F0"/>
    <w:rsid w:val="00AA7D0A"/>
    <w:rsid w:val="00AB00F6"/>
    <w:rsid w:val="00AB062D"/>
    <w:rsid w:val="00AB0EE9"/>
    <w:rsid w:val="00AB159F"/>
    <w:rsid w:val="00AB179B"/>
    <w:rsid w:val="00AB1AD2"/>
    <w:rsid w:val="00AB1D2E"/>
    <w:rsid w:val="00AB1FA9"/>
    <w:rsid w:val="00AB2785"/>
    <w:rsid w:val="00AB299B"/>
    <w:rsid w:val="00AB2AE2"/>
    <w:rsid w:val="00AB2CF9"/>
    <w:rsid w:val="00AB2F31"/>
    <w:rsid w:val="00AB34EC"/>
    <w:rsid w:val="00AB3FBA"/>
    <w:rsid w:val="00AB4077"/>
    <w:rsid w:val="00AB4222"/>
    <w:rsid w:val="00AB480E"/>
    <w:rsid w:val="00AB4906"/>
    <w:rsid w:val="00AB4FFE"/>
    <w:rsid w:val="00AB5271"/>
    <w:rsid w:val="00AB53EA"/>
    <w:rsid w:val="00AB5769"/>
    <w:rsid w:val="00AB5789"/>
    <w:rsid w:val="00AB5F59"/>
    <w:rsid w:val="00AB5FEE"/>
    <w:rsid w:val="00AB634F"/>
    <w:rsid w:val="00AB65CF"/>
    <w:rsid w:val="00AB6B2D"/>
    <w:rsid w:val="00AB7387"/>
    <w:rsid w:val="00AB7705"/>
    <w:rsid w:val="00AB7DB3"/>
    <w:rsid w:val="00AB7E57"/>
    <w:rsid w:val="00AB7EEA"/>
    <w:rsid w:val="00AB7F2D"/>
    <w:rsid w:val="00AC0465"/>
    <w:rsid w:val="00AC1374"/>
    <w:rsid w:val="00AC157A"/>
    <w:rsid w:val="00AC1FD2"/>
    <w:rsid w:val="00AC1FF7"/>
    <w:rsid w:val="00AC262B"/>
    <w:rsid w:val="00AC2A40"/>
    <w:rsid w:val="00AC2B0B"/>
    <w:rsid w:val="00AC2B36"/>
    <w:rsid w:val="00AC3228"/>
    <w:rsid w:val="00AC38E4"/>
    <w:rsid w:val="00AC3974"/>
    <w:rsid w:val="00AC3A87"/>
    <w:rsid w:val="00AC3B46"/>
    <w:rsid w:val="00AC3D73"/>
    <w:rsid w:val="00AC40CD"/>
    <w:rsid w:val="00AC41F1"/>
    <w:rsid w:val="00AC4519"/>
    <w:rsid w:val="00AC45E5"/>
    <w:rsid w:val="00AC49E3"/>
    <w:rsid w:val="00AC4B9B"/>
    <w:rsid w:val="00AC4CD8"/>
    <w:rsid w:val="00AC4F61"/>
    <w:rsid w:val="00AC5C24"/>
    <w:rsid w:val="00AC5DD6"/>
    <w:rsid w:val="00AC6259"/>
    <w:rsid w:val="00AC6335"/>
    <w:rsid w:val="00AC63F6"/>
    <w:rsid w:val="00AC6606"/>
    <w:rsid w:val="00AC66D4"/>
    <w:rsid w:val="00AC6C3E"/>
    <w:rsid w:val="00AC6FCA"/>
    <w:rsid w:val="00AC73FC"/>
    <w:rsid w:val="00AC79F7"/>
    <w:rsid w:val="00AC7A94"/>
    <w:rsid w:val="00AC7B13"/>
    <w:rsid w:val="00AC7E5F"/>
    <w:rsid w:val="00AD05D0"/>
    <w:rsid w:val="00AD1072"/>
    <w:rsid w:val="00AD195D"/>
    <w:rsid w:val="00AD1A65"/>
    <w:rsid w:val="00AD1AC3"/>
    <w:rsid w:val="00AD1C58"/>
    <w:rsid w:val="00AD1D47"/>
    <w:rsid w:val="00AD1D7F"/>
    <w:rsid w:val="00AD221D"/>
    <w:rsid w:val="00AD2474"/>
    <w:rsid w:val="00AD2B0E"/>
    <w:rsid w:val="00AD2FB1"/>
    <w:rsid w:val="00AD3027"/>
    <w:rsid w:val="00AD3361"/>
    <w:rsid w:val="00AD3372"/>
    <w:rsid w:val="00AD3B24"/>
    <w:rsid w:val="00AD4879"/>
    <w:rsid w:val="00AD4C36"/>
    <w:rsid w:val="00AD4D66"/>
    <w:rsid w:val="00AD4DA8"/>
    <w:rsid w:val="00AD4E01"/>
    <w:rsid w:val="00AD5A86"/>
    <w:rsid w:val="00AD5B4F"/>
    <w:rsid w:val="00AD5FCA"/>
    <w:rsid w:val="00AD61AA"/>
    <w:rsid w:val="00AD6201"/>
    <w:rsid w:val="00AD63F5"/>
    <w:rsid w:val="00AD64E8"/>
    <w:rsid w:val="00AD65E2"/>
    <w:rsid w:val="00AD7484"/>
    <w:rsid w:val="00AD7829"/>
    <w:rsid w:val="00AD7BA5"/>
    <w:rsid w:val="00AD7D58"/>
    <w:rsid w:val="00AD7DF4"/>
    <w:rsid w:val="00AE0C76"/>
    <w:rsid w:val="00AE0C9A"/>
    <w:rsid w:val="00AE0E7A"/>
    <w:rsid w:val="00AE110C"/>
    <w:rsid w:val="00AE1A7D"/>
    <w:rsid w:val="00AE21E9"/>
    <w:rsid w:val="00AE232A"/>
    <w:rsid w:val="00AE23BD"/>
    <w:rsid w:val="00AE2704"/>
    <w:rsid w:val="00AE2846"/>
    <w:rsid w:val="00AE2876"/>
    <w:rsid w:val="00AE2D74"/>
    <w:rsid w:val="00AE303B"/>
    <w:rsid w:val="00AE38A8"/>
    <w:rsid w:val="00AE3ED2"/>
    <w:rsid w:val="00AE3F2A"/>
    <w:rsid w:val="00AE4C99"/>
    <w:rsid w:val="00AE4E7B"/>
    <w:rsid w:val="00AE554C"/>
    <w:rsid w:val="00AE5A02"/>
    <w:rsid w:val="00AE5A11"/>
    <w:rsid w:val="00AE5B08"/>
    <w:rsid w:val="00AE6869"/>
    <w:rsid w:val="00AE6D16"/>
    <w:rsid w:val="00AE7190"/>
    <w:rsid w:val="00AE71F5"/>
    <w:rsid w:val="00AE7805"/>
    <w:rsid w:val="00AE7A34"/>
    <w:rsid w:val="00AE7BB0"/>
    <w:rsid w:val="00AF055A"/>
    <w:rsid w:val="00AF08B8"/>
    <w:rsid w:val="00AF0D23"/>
    <w:rsid w:val="00AF0FC5"/>
    <w:rsid w:val="00AF128B"/>
    <w:rsid w:val="00AF14A5"/>
    <w:rsid w:val="00AF14F5"/>
    <w:rsid w:val="00AF181D"/>
    <w:rsid w:val="00AF18AD"/>
    <w:rsid w:val="00AF1F19"/>
    <w:rsid w:val="00AF2018"/>
    <w:rsid w:val="00AF2127"/>
    <w:rsid w:val="00AF267B"/>
    <w:rsid w:val="00AF26F6"/>
    <w:rsid w:val="00AF2773"/>
    <w:rsid w:val="00AF2869"/>
    <w:rsid w:val="00AF28BA"/>
    <w:rsid w:val="00AF2987"/>
    <w:rsid w:val="00AF2DBD"/>
    <w:rsid w:val="00AF2E32"/>
    <w:rsid w:val="00AF2EFC"/>
    <w:rsid w:val="00AF337D"/>
    <w:rsid w:val="00AF3941"/>
    <w:rsid w:val="00AF3D32"/>
    <w:rsid w:val="00AF3D9E"/>
    <w:rsid w:val="00AF3DA2"/>
    <w:rsid w:val="00AF4385"/>
    <w:rsid w:val="00AF448B"/>
    <w:rsid w:val="00AF44E5"/>
    <w:rsid w:val="00AF4BC6"/>
    <w:rsid w:val="00AF4BE0"/>
    <w:rsid w:val="00AF512A"/>
    <w:rsid w:val="00AF5543"/>
    <w:rsid w:val="00AF58A0"/>
    <w:rsid w:val="00AF5B35"/>
    <w:rsid w:val="00AF650A"/>
    <w:rsid w:val="00AF6598"/>
    <w:rsid w:val="00AF65B0"/>
    <w:rsid w:val="00AF6D57"/>
    <w:rsid w:val="00AF70AB"/>
    <w:rsid w:val="00AF7555"/>
    <w:rsid w:val="00AF795D"/>
    <w:rsid w:val="00B00192"/>
    <w:rsid w:val="00B0019A"/>
    <w:rsid w:val="00B001C0"/>
    <w:rsid w:val="00B003EB"/>
    <w:rsid w:val="00B00536"/>
    <w:rsid w:val="00B0065A"/>
    <w:rsid w:val="00B00979"/>
    <w:rsid w:val="00B01025"/>
    <w:rsid w:val="00B0144E"/>
    <w:rsid w:val="00B018AA"/>
    <w:rsid w:val="00B01E9D"/>
    <w:rsid w:val="00B02FDD"/>
    <w:rsid w:val="00B0325A"/>
    <w:rsid w:val="00B03420"/>
    <w:rsid w:val="00B03AC6"/>
    <w:rsid w:val="00B03D55"/>
    <w:rsid w:val="00B03EA4"/>
    <w:rsid w:val="00B0427B"/>
    <w:rsid w:val="00B0455A"/>
    <w:rsid w:val="00B04AEF"/>
    <w:rsid w:val="00B052BB"/>
    <w:rsid w:val="00B0545E"/>
    <w:rsid w:val="00B05FB5"/>
    <w:rsid w:val="00B065FC"/>
    <w:rsid w:val="00B06E70"/>
    <w:rsid w:val="00B06EDC"/>
    <w:rsid w:val="00B1049D"/>
    <w:rsid w:val="00B106A1"/>
    <w:rsid w:val="00B108EF"/>
    <w:rsid w:val="00B10A82"/>
    <w:rsid w:val="00B10D8F"/>
    <w:rsid w:val="00B1109D"/>
    <w:rsid w:val="00B11D55"/>
    <w:rsid w:val="00B11EC0"/>
    <w:rsid w:val="00B12164"/>
    <w:rsid w:val="00B1252E"/>
    <w:rsid w:val="00B12B93"/>
    <w:rsid w:val="00B12C9A"/>
    <w:rsid w:val="00B12DBD"/>
    <w:rsid w:val="00B132D5"/>
    <w:rsid w:val="00B13732"/>
    <w:rsid w:val="00B138CB"/>
    <w:rsid w:val="00B138EA"/>
    <w:rsid w:val="00B140F2"/>
    <w:rsid w:val="00B146B9"/>
    <w:rsid w:val="00B14AFB"/>
    <w:rsid w:val="00B14B1E"/>
    <w:rsid w:val="00B14C13"/>
    <w:rsid w:val="00B1505C"/>
    <w:rsid w:val="00B15340"/>
    <w:rsid w:val="00B15487"/>
    <w:rsid w:val="00B15985"/>
    <w:rsid w:val="00B15A78"/>
    <w:rsid w:val="00B15D31"/>
    <w:rsid w:val="00B166B1"/>
    <w:rsid w:val="00B16F11"/>
    <w:rsid w:val="00B170F6"/>
    <w:rsid w:val="00B173D1"/>
    <w:rsid w:val="00B176C4"/>
    <w:rsid w:val="00B17828"/>
    <w:rsid w:val="00B20EB5"/>
    <w:rsid w:val="00B211F4"/>
    <w:rsid w:val="00B2127E"/>
    <w:rsid w:val="00B216BF"/>
    <w:rsid w:val="00B217E8"/>
    <w:rsid w:val="00B21CFB"/>
    <w:rsid w:val="00B220AF"/>
    <w:rsid w:val="00B2251C"/>
    <w:rsid w:val="00B2274F"/>
    <w:rsid w:val="00B227BD"/>
    <w:rsid w:val="00B22F98"/>
    <w:rsid w:val="00B22FA7"/>
    <w:rsid w:val="00B23590"/>
    <w:rsid w:val="00B235A6"/>
    <w:rsid w:val="00B23681"/>
    <w:rsid w:val="00B23958"/>
    <w:rsid w:val="00B23F3E"/>
    <w:rsid w:val="00B240AC"/>
    <w:rsid w:val="00B25136"/>
    <w:rsid w:val="00B266BD"/>
    <w:rsid w:val="00B26AFC"/>
    <w:rsid w:val="00B2753B"/>
    <w:rsid w:val="00B27642"/>
    <w:rsid w:val="00B277DA"/>
    <w:rsid w:val="00B27DA1"/>
    <w:rsid w:val="00B27F39"/>
    <w:rsid w:val="00B30089"/>
    <w:rsid w:val="00B30498"/>
    <w:rsid w:val="00B30D81"/>
    <w:rsid w:val="00B30ED3"/>
    <w:rsid w:val="00B313EC"/>
    <w:rsid w:val="00B31955"/>
    <w:rsid w:val="00B31D50"/>
    <w:rsid w:val="00B326F0"/>
    <w:rsid w:val="00B327C7"/>
    <w:rsid w:val="00B33143"/>
    <w:rsid w:val="00B335EE"/>
    <w:rsid w:val="00B3394C"/>
    <w:rsid w:val="00B33D22"/>
    <w:rsid w:val="00B33DBA"/>
    <w:rsid w:val="00B33EFC"/>
    <w:rsid w:val="00B341D4"/>
    <w:rsid w:val="00B3426B"/>
    <w:rsid w:val="00B3433A"/>
    <w:rsid w:val="00B34340"/>
    <w:rsid w:val="00B34E5D"/>
    <w:rsid w:val="00B3505D"/>
    <w:rsid w:val="00B35264"/>
    <w:rsid w:val="00B35C1D"/>
    <w:rsid w:val="00B35F12"/>
    <w:rsid w:val="00B366A7"/>
    <w:rsid w:val="00B370C5"/>
    <w:rsid w:val="00B370F9"/>
    <w:rsid w:val="00B378AA"/>
    <w:rsid w:val="00B37C28"/>
    <w:rsid w:val="00B37C58"/>
    <w:rsid w:val="00B37DA5"/>
    <w:rsid w:val="00B37F4D"/>
    <w:rsid w:val="00B40465"/>
    <w:rsid w:val="00B40477"/>
    <w:rsid w:val="00B40C3F"/>
    <w:rsid w:val="00B40D22"/>
    <w:rsid w:val="00B4135A"/>
    <w:rsid w:val="00B415C6"/>
    <w:rsid w:val="00B417F7"/>
    <w:rsid w:val="00B419B6"/>
    <w:rsid w:val="00B41D8C"/>
    <w:rsid w:val="00B42071"/>
    <w:rsid w:val="00B4278F"/>
    <w:rsid w:val="00B427E7"/>
    <w:rsid w:val="00B42CCF"/>
    <w:rsid w:val="00B43150"/>
    <w:rsid w:val="00B43369"/>
    <w:rsid w:val="00B4343F"/>
    <w:rsid w:val="00B435BA"/>
    <w:rsid w:val="00B43EBE"/>
    <w:rsid w:val="00B43FD4"/>
    <w:rsid w:val="00B4418B"/>
    <w:rsid w:val="00B44EB3"/>
    <w:rsid w:val="00B4538F"/>
    <w:rsid w:val="00B45580"/>
    <w:rsid w:val="00B45618"/>
    <w:rsid w:val="00B459AE"/>
    <w:rsid w:val="00B4605B"/>
    <w:rsid w:val="00B46093"/>
    <w:rsid w:val="00B462E5"/>
    <w:rsid w:val="00B463EE"/>
    <w:rsid w:val="00B46516"/>
    <w:rsid w:val="00B468F3"/>
    <w:rsid w:val="00B47491"/>
    <w:rsid w:val="00B475B7"/>
    <w:rsid w:val="00B479AE"/>
    <w:rsid w:val="00B47B79"/>
    <w:rsid w:val="00B50124"/>
    <w:rsid w:val="00B50839"/>
    <w:rsid w:val="00B50ADB"/>
    <w:rsid w:val="00B50F32"/>
    <w:rsid w:val="00B5101A"/>
    <w:rsid w:val="00B51E45"/>
    <w:rsid w:val="00B52827"/>
    <w:rsid w:val="00B52DEB"/>
    <w:rsid w:val="00B53113"/>
    <w:rsid w:val="00B54CC5"/>
    <w:rsid w:val="00B559F8"/>
    <w:rsid w:val="00B560ED"/>
    <w:rsid w:val="00B56167"/>
    <w:rsid w:val="00B56425"/>
    <w:rsid w:val="00B566A5"/>
    <w:rsid w:val="00B5696D"/>
    <w:rsid w:val="00B56D1F"/>
    <w:rsid w:val="00B57499"/>
    <w:rsid w:val="00B57595"/>
    <w:rsid w:val="00B578CF"/>
    <w:rsid w:val="00B60CEF"/>
    <w:rsid w:val="00B61065"/>
    <w:rsid w:val="00B617D4"/>
    <w:rsid w:val="00B61D26"/>
    <w:rsid w:val="00B62713"/>
    <w:rsid w:val="00B629E6"/>
    <w:rsid w:val="00B6338D"/>
    <w:rsid w:val="00B635CC"/>
    <w:rsid w:val="00B63627"/>
    <w:rsid w:val="00B6369E"/>
    <w:rsid w:val="00B63C9B"/>
    <w:rsid w:val="00B64055"/>
    <w:rsid w:val="00B64112"/>
    <w:rsid w:val="00B643F1"/>
    <w:rsid w:val="00B6458A"/>
    <w:rsid w:val="00B6474A"/>
    <w:rsid w:val="00B64918"/>
    <w:rsid w:val="00B65395"/>
    <w:rsid w:val="00B65904"/>
    <w:rsid w:val="00B659B2"/>
    <w:rsid w:val="00B65DC2"/>
    <w:rsid w:val="00B65E55"/>
    <w:rsid w:val="00B661E8"/>
    <w:rsid w:val="00B662A2"/>
    <w:rsid w:val="00B66A92"/>
    <w:rsid w:val="00B66CF7"/>
    <w:rsid w:val="00B66DC8"/>
    <w:rsid w:val="00B675A2"/>
    <w:rsid w:val="00B676BC"/>
    <w:rsid w:val="00B70C75"/>
    <w:rsid w:val="00B710B6"/>
    <w:rsid w:val="00B717FC"/>
    <w:rsid w:val="00B71B8F"/>
    <w:rsid w:val="00B7227F"/>
    <w:rsid w:val="00B724F3"/>
    <w:rsid w:val="00B7289C"/>
    <w:rsid w:val="00B7324F"/>
    <w:rsid w:val="00B738BD"/>
    <w:rsid w:val="00B73ABD"/>
    <w:rsid w:val="00B741F7"/>
    <w:rsid w:val="00B7422D"/>
    <w:rsid w:val="00B74CB1"/>
    <w:rsid w:val="00B74E28"/>
    <w:rsid w:val="00B753D2"/>
    <w:rsid w:val="00B7582E"/>
    <w:rsid w:val="00B75B27"/>
    <w:rsid w:val="00B75B5F"/>
    <w:rsid w:val="00B75E39"/>
    <w:rsid w:val="00B76138"/>
    <w:rsid w:val="00B76913"/>
    <w:rsid w:val="00B76D7E"/>
    <w:rsid w:val="00B7702E"/>
    <w:rsid w:val="00B770F9"/>
    <w:rsid w:val="00B776CB"/>
    <w:rsid w:val="00B778D3"/>
    <w:rsid w:val="00B77971"/>
    <w:rsid w:val="00B77AE1"/>
    <w:rsid w:val="00B80354"/>
    <w:rsid w:val="00B8071C"/>
    <w:rsid w:val="00B808B3"/>
    <w:rsid w:val="00B808F0"/>
    <w:rsid w:val="00B80C17"/>
    <w:rsid w:val="00B81304"/>
    <w:rsid w:val="00B81508"/>
    <w:rsid w:val="00B81680"/>
    <w:rsid w:val="00B81B7F"/>
    <w:rsid w:val="00B81D8E"/>
    <w:rsid w:val="00B81FB6"/>
    <w:rsid w:val="00B830A8"/>
    <w:rsid w:val="00B836D3"/>
    <w:rsid w:val="00B8371F"/>
    <w:rsid w:val="00B837D1"/>
    <w:rsid w:val="00B83FE0"/>
    <w:rsid w:val="00B8470E"/>
    <w:rsid w:val="00B8495C"/>
    <w:rsid w:val="00B84A04"/>
    <w:rsid w:val="00B84DCE"/>
    <w:rsid w:val="00B84E22"/>
    <w:rsid w:val="00B8536B"/>
    <w:rsid w:val="00B85720"/>
    <w:rsid w:val="00B85B01"/>
    <w:rsid w:val="00B8665B"/>
    <w:rsid w:val="00B86709"/>
    <w:rsid w:val="00B86A49"/>
    <w:rsid w:val="00B8751A"/>
    <w:rsid w:val="00B87BD8"/>
    <w:rsid w:val="00B907CB"/>
    <w:rsid w:val="00B9080A"/>
    <w:rsid w:val="00B90E27"/>
    <w:rsid w:val="00B912A8"/>
    <w:rsid w:val="00B91B51"/>
    <w:rsid w:val="00B9219C"/>
    <w:rsid w:val="00B9263C"/>
    <w:rsid w:val="00B92724"/>
    <w:rsid w:val="00B9295C"/>
    <w:rsid w:val="00B93043"/>
    <w:rsid w:val="00B93139"/>
    <w:rsid w:val="00B9332C"/>
    <w:rsid w:val="00B93501"/>
    <w:rsid w:val="00B94BD8"/>
    <w:rsid w:val="00B94F0C"/>
    <w:rsid w:val="00B954A4"/>
    <w:rsid w:val="00B9585E"/>
    <w:rsid w:val="00B95AD3"/>
    <w:rsid w:val="00B95FFE"/>
    <w:rsid w:val="00B962BA"/>
    <w:rsid w:val="00B962C7"/>
    <w:rsid w:val="00B9671D"/>
    <w:rsid w:val="00B96C60"/>
    <w:rsid w:val="00B96FE3"/>
    <w:rsid w:val="00B97218"/>
    <w:rsid w:val="00B97B98"/>
    <w:rsid w:val="00B97D16"/>
    <w:rsid w:val="00BA0100"/>
    <w:rsid w:val="00BA02B1"/>
    <w:rsid w:val="00BA07D1"/>
    <w:rsid w:val="00BA0BF8"/>
    <w:rsid w:val="00BA0DD7"/>
    <w:rsid w:val="00BA1408"/>
    <w:rsid w:val="00BA169E"/>
    <w:rsid w:val="00BA17B3"/>
    <w:rsid w:val="00BA17F7"/>
    <w:rsid w:val="00BA1A55"/>
    <w:rsid w:val="00BA1A79"/>
    <w:rsid w:val="00BA1DD9"/>
    <w:rsid w:val="00BA1E9B"/>
    <w:rsid w:val="00BA227B"/>
    <w:rsid w:val="00BA262B"/>
    <w:rsid w:val="00BA2631"/>
    <w:rsid w:val="00BA2BD3"/>
    <w:rsid w:val="00BA321D"/>
    <w:rsid w:val="00BA3453"/>
    <w:rsid w:val="00BA35E0"/>
    <w:rsid w:val="00BA3A46"/>
    <w:rsid w:val="00BA4682"/>
    <w:rsid w:val="00BA46AB"/>
    <w:rsid w:val="00BA48A3"/>
    <w:rsid w:val="00BA4C90"/>
    <w:rsid w:val="00BA5049"/>
    <w:rsid w:val="00BA5315"/>
    <w:rsid w:val="00BA5EE2"/>
    <w:rsid w:val="00BA60EA"/>
    <w:rsid w:val="00BA6178"/>
    <w:rsid w:val="00BA6E40"/>
    <w:rsid w:val="00BA75A9"/>
    <w:rsid w:val="00BA79AD"/>
    <w:rsid w:val="00BB09CD"/>
    <w:rsid w:val="00BB0D4E"/>
    <w:rsid w:val="00BB0FE8"/>
    <w:rsid w:val="00BB1238"/>
    <w:rsid w:val="00BB1413"/>
    <w:rsid w:val="00BB145B"/>
    <w:rsid w:val="00BB1786"/>
    <w:rsid w:val="00BB1C28"/>
    <w:rsid w:val="00BB2641"/>
    <w:rsid w:val="00BB2727"/>
    <w:rsid w:val="00BB358A"/>
    <w:rsid w:val="00BB3B01"/>
    <w:rsid w:val="00BB3B65"/>
    <w:rsid w:val="00BB3EED"/>
    <w:rsid w:val="00BB40AC"/>
    <w:rsid w:val="00BB418A"/>
    <w:rsid w:val="00BB43CB"/>
    <w:rsid w:val="00BB45A5"/>
    <w:rsid w:val="00BB4885"/>
    <w:rsid w:val="00BB4B3E"/>
    <w:rsid w:val="00BB4CA9"/>
    <w:rsid w:val="00BB55E2"/>
    <w:rsid w:val="00BB5760"/>
    <w:rsid w:val="00BB59FA"/>
    <w:rsid w:val="00BB5AB6"/>
    <w:rsid w:val="00BB6430"/>
    <w:rsid w:val="00BB67E0"/>
    <w:rsid w:val="00BB6A90"/>
    <w:rsid w:val="00BB7A11"/>
    <w:rsid w:val="00BB7B10"/>
    <w:rsid w:val="00BB7B97"/>
    <w:rsid w:val="00BB7C34"/>
    <w:rsid w:val="00BB7DCC"/>
    <w:rsid w:val="00BB7E79"/>
    <w:rsid w:val="00BC007F"/>
    <w:rsid w:val="00BC08CB"/>
    <w:rsid w:val="00BC0D46"/>
    <w:rsid w:val="00BC1184"/>
    <w:rsid w:val="00BC13E0"/>
    <w:rsid w:val="00BC1724"/>
    <w:rsid w:val="00BC1865"/>
    <w:rsid w:val="00BC244F"/>
    <w:rsid w:val="00BC27A1"/>
    <w:rsid w:val="00BC2DF7"/>
    <w:rsid w:val="00BC2E5A"/>
    <w:rsid w:val="00BC3057"/>
    <w:rsid w:val="00BC3141"/>
    <w:rsid w:val="00BC33E1"/>
    <w:rsid w:val="00BC366A"/>
    <w:rsid w:val="00BC36BB"/>
    <w:rsid w:val="00BC3B1B"/>
    <w:rsid w:val="00BC3D7F"/>
    <w:rsid w:val="00BC3FC9"/>
    <w:rsid w:val="00BC424E"/>
    <w:rsid w:val="00BC4565"/>
    <w:rsid w:val="00BC52BE"/>
    <w:rsid w:val="00BC54EA"/>
    <w:rsid w:val="00BC5B2A"/>
    <w:rsid w:val="00BC6352"/>
    <w:rsid w:val="00BC6658"/>
    <w:rsid w:val="00BC6B42"/>
    <w:rsid w:val="00BC6CB5"/>
    <w:rsid w:val="00BC72B1"/>
    <w:rsid w:val="00BC72BA"/>
    <w:rsid w:val="00BC7F5E"/>
    <w:rsid w:val="00BD045E"/>
    <w:rsid w:val="00BD09E3"/>
    <w:rsid w:val="00BD109B"/>
    <w:rsid w:val="00BD145F"/>
    <w:rsid w:val="00BD1587"/>
    <w:rsid w:val="00BD18DF"/>
    <w:rsid w:val="00BD1A7E"/>
    <w:rsid w:val="00BD2475"/>
    <w:rsid w:val="00BD29D8"/>
    <w:rsid w:val="00BD2A7A"/>
    <w:rsid w:val="00BD2C4D"/>
    <w:rsid w:val="00BD32FA"/>
    <w:rsid w:val="00BD34BA"/>
    <w:rsid w:val="00BD34C6"/>
    <w:rsid w:val="00BD37DF"/>
    <w:rsid w:val="00BD38FB"/>
    <w:rsid w:val="00BD40DE"/>
    <w:rsid w:val="00BD4444"/>
    <w:rsid w:val="00BD4A51"/>
    <w:rsid w:val="00BD551A"/>
    <w:rsid w:val="00BD5F32"/>
    <w:rsid w:val="00BD61AB"/>
    <w:rsid w:val="00BD6329"/>
    <w:rsid w:val="00BD63FA"/>
    <w:rsid w:val="00BD64C1"/>
    <w:rsid w:val="00BD7732"/>
    <w:rsid w:val="00BD7A1D"/>
    <w:rsid w:val="00BD7DAF"/>
    <w:rsid w:val="00BE0B79"/>
    <w:rsid w:val="00BE0E7A"/>
    <w:rsid w:val="00BE16C2"/>
    <w:rsid w:val="00BE16D3"/>
    <w:rsid w:val="00BE17A1"/>
    <w:rsid w:val="00BE1B97"/>
    <w:rsid w:val="00BE1DAF"/>
    <w:rsid w:val="00BE1E9A"/>
    <w:rsid w:val="00BE203C"/>
    <w:rsid w:val="00BE20F6"/>
    <w:rsid w:val="00BE2A32"/>
    <w:rsid w:val="00BE2C31"/>
    <w:rsid w:val="00BE2CF5"/>
    <w:rsid w:val="00BE30AF"/>
    <w:rsid w:val="00BE3907"/>
    <w:rsid w:val="00BE4272"/>
    <w:rsid w:val="00BE464B"/>
    <w:rsid w:val="00BE468F"/>
    <w:rsid w:val="00BE48B8"/>
    <w:rsid w:val="00BE49A9"/>
    <w:rsid w:val="00BE5309"/>
    <w:rsid w:val="00BE59A4"/>
    <w:rsid w:val="00BE5DFA"/>
    <w:rsid w:val="00BE6283"/>
    <w:rsid w:val="00BE6CE8"/>
    <w:rsid w:val="00BE7744"/>
    <w:rsid w:val="00BE7A12"/>
    <w:rsid w:val="00BF00E1"/>
    <w:rsid w:val="00BF01BD"/>
    <w:rsid w:val="00BF02BA"/>
    <w:rsid w:val="00BF08EF"/>
    <w:rsid w:val="00BF0A10"/>
    <w:rsid w:val="00BF1432"/>
    <w:rsid w:val="00BF1A28"/>
    <w:rsid w:val="00BF1C03"/>
    <w:rsid w:val="00BF1D6C"/>
    <w:rsid w:val="00BF1E6C"/>
    <w:rsid w:val="00BF1EB1"/>
    <w:rsid w:val="00BF1F22"/>
    <w:rsid w:val="00BF202B"/>
    <w:rsid w:val="00BF232A"/>
    <w:rsid w:val="00BF266B"/>
    <w:rsid w:val="00BF2797"/>
    <w:rsid w:val="00BF2854"/>
    <w:rsid w:val="00BF2A12"/>
    <w:rsid w:val="00BF349E"/>
    <w:rsid w:val="00BF3732"/>
    <w:rsid w:val="00BF3900"/>
    <w:rsid w:val="00BF3EC0"/>
    <w:rsid w:val="00BF436B"/>
    <w:rsid w:val="00BF482D"/>
    <w:rsid w:val="00BF4A26"/>
    <w:rsid w:val="00BF4E18"/>
    <w:rsid w:val="00BF4E7C"/>
    <w:rsid w:val="00BF505A"/>
    <w:rsid w:val="00BF574B"/>
    <w:rsid w:val="00BF5929"/>
    <w:rsid w:val="00BF5BDA"/>
    <w:rsid w:val="00BF5BF0"/>
    <w:rsid w:val="00BF605F"/>
    <w:rsid w:val="00BF60BE"/>
    <w:rsid w:val="00BF6605"/>
    <w:rsid w:val="00BF66C9"/>
    <w:rsid w:val="00BF68AF"/>
    <w:rsid w:val="00BF6B7A"/>
    <w:rsid w:val="00BF6F28"/>
    <w:rsid w:val="00BF7264"/>
    <w:rsid w:val="00BF7359"/>
    <w:rsid w:val="00BF7485"/>
    <w:rsid w:val="00BF753B"/>
    <w:rsid w:val="00BF7BF6"/>
    <w:rsid w:val="00C0011A"/>
    <w:rsid w:val="00C001DE"/>
    <w:rsid w:val="00C0047E"/>
    <w:rsid w:val="00C00633"/>
    <w:rsid w:val="00C00A24"/>
    <w:rsid w:val="00C00B92"/>
    <w:rsid w:val="00C0101F"/>
    <w:rsid w:val="00C0115F"/>
    <w:rsid w:val="00C012C5"/>
    <w:rsid w:val="00C01518"/>
    <w:rsid w:val="00C018D4"/>
    <w:rsid w:val="00C01DC6"/>
    <w:rsid w:val="00C0237B"/>
    <w:rsid w:val="00C0262F"/>
    <w:rsid w:val="00C030A7"/>
    <w:rsid w:val="00C03254"/>
    <w:rsid w:val="00C03627"/>
    <w:rsid w:val="00C03C20"/>
    <w:rsid w:val="00C03C3B"/>
    <w:rsid w:val="00C0402B"/>
    <w:rsid w:val="00C045C4"/>
    <w:rsid w:val="00C04B87"/>
    <w:rsid w:val="00C04FC8"/>
    <w:rsid w:val="00C0634B"/>
    <w:rsid w:val="00C065BA"/>
    <w:rsid w:val="00C06C0B"/>
    <w:rsid w:val="00C06E94"/>
    <w:rsid w:val="00C072BD"/>
    <w:rsid w:val="00C07C28"/>
    <w:rsid w:val="00C1011A"/>
    <w:rsid w:val="00C10292"/>
    <w:rsid w:val="00C10AF7"/>
    <w:rsid w:val="00C10B87"/>
    <w:rsid w:val="00C10FB6"/>
    <w:rsid w:val="00C11095"/>
    <w:rsid w:val="00C11B01"/>
    <w:rsid w:val="00C12031"/>
    <w:rsid w:val="00C120A7"/>
    <w:rsid w:val="00C12418"/>
    <w:rsid w:val="00C12420"/>
    <w:rsid w:val="00C12D87"/>
    <w:rsid w:val="00C131B6"/>
    <w:rsid w:val="00C13582"/>
    <w:rsid w:val="00C13AA7"/>
    <w:rsid w:val="00C13EEB"/>
    <w:rsid w:val="00C13FCA"/>
    <w:rsid w:val="00C1463A"/>
    <w:rsid w:val="00C14ABE"/>
    <w:rsid w:val="00C14ED0"/>
    <w:rsid w:val="00C14ED5"/>
    <w:rsid w:val="00C15326"/>
    <w:rsid w:val="00C15ACF"/>
    <w:rsid w:val="00C15D9B"/>
    <w:rsid w:val="00C15DCF"/>
    <w:rsid w:val="00C15E21"/>
    <w:rsid w:val="00C15F0D"/>
    <w:rsid w:val="00C15F2D"/>
    <w:rsid w:val="00C16357"/>
    <w:rsid w:val="00C163E1"/>
    <w:rsid w:val="00C16817"/>
    <w:rsid w:val="00C16836"/>
    <w:rsid w:val="00C16D1E"/>
    <w:rsid w:val="00C16D20"/>
    <w:rsid w:val="00C1753D"/>
    <w:rsid w:val="00C17862"/>
    <w:rsid w:val="00C17B1F"/>
    <w:rsid w:val="00C17C43"/>
    <w:rsid w:val="00C17DB4"/>
    <w:rsid w:val="00C17F65"/>
    <w:rsid w:val="00C20436"/>
    <w:rsid w:val="00C20C72"/>
    <w:rsid w:val="00C20D6E"/>
    <w:rsid w:val="00C20F92"/>
    <w:rsid w:val="00C212E4"/>
    <w:rsid w:val="00C2130E"/>
    <w:rsid w:val="00C21CC0"/>
    <w:rsid w:val="00C224FF"/>
    <w:rsid w:val="00C22648"/>
    <w:rsid w:val="00C22A47"/>
    <w:rsid w:val="00C235AB"/>
    <w:rsid w:val="00C23FD5"/>
    <w:rsid w:val="00C243F4"/>
    <w:rsid w:val="00C24950"/>
    <w:rsid w:val="00C24AC6"/>
    <w:rsid w:val="00C24B8F"/>
    <w:rsid w:val="00C252D7"/>
    <w:rsid w:val="00C2582A"/>
    <w:rsid w:val="00C25983"/>
    <w:rsid w:val="00C25BB1"/>
    <w:rsid w:val="00C2625D"/>
    <w:rsid w:val="00C263FD"/>
    <w:rsid w:val="00C26845"/>
    <w:rsid w:val="00C26B42"/>
    <w:rsid w:val="00C26B9C"/>
    <w:rsid w:val="00C26D97"/>
    <w:rsid w:val="00C270F5"/>
    <w:rsid w:val="00C273AE"/>
    <w:rsid w:val="00C2767B"/>
    <w:rsid w:val="00C27A89"/>
    <w:rsid w:val="00C303F8"/>
    <w:rsid w:val="00C304CB"/>
    <w:rsid w:val="00C3064D"/>
    <w:rsid w:val="00C30B22"/>
    <w:rsid w:val="00C30BAD"/>
    <w:rsid w:val="00C30E9C"/>
    <w:rsid w:val="00C31026"/>
    <w:rsid w:val="00C31A1E"/>
    <w:rsid w:val="00C31B00"/>
    <w:rsid w:val="00C32446"/>
    <w:rsid w:val="00C32A0D"/>
    <w:rsid w:val="00C32E72"/>
    <w:rsid w:val="00C32F48"/>
    <w:rsid w:val="00C33387"/>
    <w:rsid w:val="00C33486"/>
    <w:rsid w:val="00C33F0D"/>
    <w:rsid w:val="00C33FCB"/>
    <w:rsid w:val="00C34428"/>
    <w:rsid w:val="00C34780"/>
    <w:rsid w:val="00C349EC"/>
    <w:rsid w:val="00C3524E"/>
    <w:rsid w:val="00C35443"/>
    <w:rsid w:val="00C35702"/>
    <w:rsid w:val="00C35BF2"/>
    <w:rsid w:val="00C35C88"/>
    <w:rsid w:val="00C35C9B"/>
    <w:rsid w:val="00C365C6"/>
    <w:rsid w:val="00C36ED4"/>
    <w:rsid w:val="00C372D7"/>
    <w:rsid w:val="00C3750D"/>
    <w:rsid w:val="00C3761A"/>
    <w:rsid w:val="00C37BEC"/>
    <w:rsid w:val="00C37E18"/>
    <w:rsid w:val="00C37EFE"/>
    <w:rsid w:val="00C37F13"/>
    <w:rsid w:val="00C403ED"/>
    <w:rsid w:val="00C40940"/>
    <w:rsid w:val="00C40C6F"/>
    <w:rsid w:val="00C40D0E"/>
    <w:rsid w:val="00C41240"/>
    <w:rsid w:val="00C41561"/>
    <w:rsid w:val="00C418AA"/>
    <w:rsid w:val="00C42303"/>
    <w:rsid w:val="00C42916"/>
    <w:rsid w:val="00C429B5"/>
    <w:rsid w:val="00C42AC8"/>
    <w:rsid w:val="00C42C2A"/>
    <w:rsid w:val="00C42DAF"/>
    <w:rsid w:val="00C4332F"/>
    <w:rsid w:val="00C4340F"/>
    <w:rsid w:val="00C4383C"/>
    <w:rsid w:val="00C43BFE"/>
    <w:rsid w:val="00C43F9C"/>
    <w:rsid w:val="00C44005"/>
    <w:rsid w:val="00C44095"/>
    <w:rsid w:val="00C44144"/>
    <w:rsid w:val="00C441CE"/>
    <w:rsid w:val="00C443A9"/>
    <w:rsid w:val="00C44AA4"/>
    <w:rsid w:val="00C4562E"/>
    <w:rsid w:val="00C45A43"/>
    <w:rsid w:val="00C45CF9"/>
    <w:rsid w:val="00C45D3B"/>
    <w:rsid w:val="00C45EE2"/>
    <w:rsid w:val="00C46652"/>
    <w:rsid w:val="00C469D4"/>
    <w:rsid w:val="00C46DA5"/>
    <w:rsid w:val="00C47A56"/>
    <w:rsid w:val="00C50009"/>
    <w:rsid w:val="00C50110"/>
    <w:rsid w:val="00C50178"/>
    <w:rsid w:val="00C50DBF"/>
    <w:rsid w:val="00C50DCD"/>
    <w:rsid w:val="00C511FB"/>
    <w:rsid w:val="00C51432"/>
    <w:rsid w:val="00C51650"/>
    <w:rsid w:val="00C522FD"/>
    <w:rsid w:val="00C52303"/>
    <w:rsid w:val="00C5242D"/>
    <w:rsid w:val="00C526CF"/>
    <w:rsid w:val="00C52703"/>
    <w:rsid w:val="00C5293B"/>
    <w:rsid w:val="00C53152"/>
    <w:rsid w:val="00C53382"/>
    <w:rsid w:val="00C54794"/>
    <w:rsid w:val="00C54B36"/>
    <w:rsid w:val="00C558A8"/>
    <w:rsid w:val="00C565A3"/>
    <w:rsid w:val="00C565DA"/>
    <w:rsid w:val="00C56780"/>
    <w:rsid w:val="00C56AFE"/>
    <w:rsid w:val="00C56DBD"/>
    <w:rsid w:val="00C571FC"/>
    <w:rsid w:val="00C574E2"/>
    <w:rsid w:val="00C57510"/>
    <w:rsid w:val="00C57545"/>
    <w:rsid w:val="00C57A63"/>
    <w:rsid w:val="00C57AA9"/>
    <w:rsid w:val="00C60341"/>
    <w:rsid w:val="00C60A5F"/>
    <w:rsid w:val="00C60CD4"/>
    <w:rsid w:val="00C60D56"/>
    <w:rsid w:val="00C60F8D"/>
    <w:rsid w:val="00C6101D"/>
    <w:rsid w:val="00C61D6C"/>
    <w:rsid w:val="00C62024"/>
    <w:rsid w:val="00C620C6"/>
    <w:rsid w:val="00C626EE"/>
    <w:rsid w:val="00C62763"/>
    <w:rsid w:val="00C62E00"/>
    <w:rsid w:val="00C62EC6"/>
    <w:rsid w:val="00C62F3F"/>
    <w:rsid w:val="00C62FBB"/>
    <w:rsid w:val="00C633D3"/>
    <w:rsid w:val="00C635DA"/>
    <w:rsid w:val="00C636BC"/>
    <w:rsid w:val="00C63DF6"/>
    <w:rsid w:val="00C63E97"/>
    <w:rsid w:val="00C63ED6"/>
    <w:rsid w:val="00C643B2"/>
    <w:rsid w:val="00C64710"/>
    <w:rsid w:val="00C64A0B"/>
    <w:rsid w:val="00C64AE6"/>
    <w:rsid w:val="00C64BA8"/>
    <w:rsid w:val="00C64C09"/>
    <w:rsid w:val="00C64F67"/>
    <w:rsid w:val="00C6585F"/>
    <w:rsid w:val="00C6614C"/>
    <w:rsid w:val="00C66535"/>
    <w:rsid w:val="00C66FFB"/>
    <w:rsid w:val="00C67091"/>
    <w:rsid w:val="00C6795B"/>
    <w:rsid w:val="00C67BF2"/>
    <w:rsid w:val="00C70170"/>
    <w:rsid w:val="00C7094E"/>
    <w:rsid w:val="00C70B1B"/>
    <w:rsid w:val="00C711D6"/>
    <w:rsid w:val="00C71426"/>
    <w:rsid w:val="00C7147E"/>
    <w:rsid w:val="00C7169C"/>
    <w:rsid w:val="00C7200E"/>
    <w:rsid w:val="00C72EF5"/>
    <w:rsid w:val="00C7325C"/>
    <w:rsid w:val="00C7347D"/>
    <w:rsid w:val="00C7384D"/>
    <w:rsid w:val="00C73F4D"/>
    <w:rsid w:val="00C73FD4"/>
    <w:rsid w:val="00C74985"/>
    <w:rsid w:val="00C75250"/>
    <w:rsid w:val="00C75298"/>
    <w:rsid w:val="00C7554A"/>
    <w:rsid w:val="00C7586E"/>
    <w:rsid w:val="00C75A15"/>
    <w:rsid w:val="00C75D4B"/>
    <w:rsid w:val="00C75E4C"/>
    <w:rsid w:val="00C76A2C"/>
    <w:rsid w:val="00C76AF3"/>
    <w:rsid w:val="00C76DFF"/>
    <w:rsid w:val="00C776EB"/>
    <w:rsid w:val="00C779D8"/>
    <w:rsid w:val="00C77BCC"/>
    <w:rsid w:val="00C80120"/>
    <w:rsid w:val="00C8051D"/>
    <w:rsid w:val="00C808E1"/>
    <w:rsid w:val="00C80C86"/>
    <w:rsid w:val="00C80E5B"/>
    <w:rsid w:val="00C8110F"/>
    <w:rsid w:val="00C812DC"/>
    <w:rsid w:val="00C815EF"/>
    <w:rsid w:val="00C81950"/>
    <w:rsid w:val="00C81F9C"/>
    <w:rsid w:val="00C81FE1"/>
    <w:rsid w:val="00C82082"/>
    <w:rsid w:val="00C829E4"/>
    <w:rsid w:val="00C82C3A"/>
    <w:rsid w:val="00C833CC"/>
    <w:rsid w:val="00C834A4"/>
    <w:rsid w:val="00C8388C"/>
    <w:rsid w:val="00C839C3"/>
    <w:rsid w:val="00C841A7"/>
    <w:rsid w:val="00C84705"/>
    <w:rsid w:val="00C84ACB"/>
    <w:rsid w:val="00C84C98"/>
    <w:rsid w:val="00C84D54"/>
    <w:rsid w:val="00C85C72"/>
    <w:rsid w:val="00C85CA9"/>
    <w:rsid w:val="00C85D35"/>
    <w:rsid w:val="00C85EC0"/>
    <w:rsid w:val="00C862EA"/>
    <w:rsid w:val="00C86429"/>
    <w:rsid w:val="00C86750"/>
    <w:rsid w:val="00C87101"/>
    <w:rsid w:val="00C8780D"/>
    <w:rsid w:val="00C87816"/>
    <w:rsid w:val="00C9043C"/>
    <w:rsid w:val="00C905E8"/>
    <w:rsid w:val="00C90C25"/>
    <w:rsid w:val="00C90C78"/>
    <w:rsid w:val="00C91080"/>
    <w:rsid w:val="00C911B4"/>
    <w:rsid w:val="00C914AC"/>
    <w:rsid w:val="00C916DE"/>
    <w:rsid w:val="00C91AD4"/>
    <w:rsid w:val="00C91B42"/>
    <w:rsid w:val="00C91D33"/>
    <w:rsid w:val="00C920C8"/>
    <w:rsid w:val="00C923B6"/>
    <w:rsid w:val="00C923CF"/>
    <w:rsid w:val="00C925B6"/>
    <w:rsid w:val="00C92817"/>
    <w:rsid w:val="00C928D5"/>
    <w:rsid w:val="00C92BF9"/>
    <w:rsid w:val="00C93215"/>
    <w:rsid w:val="00C93917"/>
    <w:rsid w:val="00C93D53"/>
    <w:rsid w:val="00C9496F"/>
    <w:rsid w:val="00C949A7"/>
    <w:rsid w:val="00C94B1F"/>
    <w:rsid w:val="00C94B62"/>
    <w:rsid w:val="00C94DD1"/>
    <w:rsid w:val="00C94FE3"/>
    <w:rsid w:val="00C95317"/>
    <w:rsid w:val="00C95647"/>
    <w:rsid w:val="00C9565A"/>
    <w:rsid w:val="00C9577F"/>
    <w:rsid w:val="00C95830"/>
    <w:rsid w:val="00C95838"/>
    <w:rsid w:val="00C95BCC"/>
    <w:rsid w:val="00C964D5"/>
    <w:rsid w:val="00C96659"/>
    <w:rsid w:val="00C9666A"/>
    <w:rsid w:val="00C96B9B"/>
    <w:rsid w:val="00C96C43"/>
    <w:rsid w:val="00C96D0B"/>
    <w:rsid w:val="00C977BD"/>
    <w:rsid w:val="00C979AE"/>
    <w:rsid w:val="00C97A1A"/>
    <w:rsid w:val="00C97B17"/>
    <w:rsid w:val="00CA0006"/>
    <w:rsid w:val="00CA0067"/>
    <w:rsid w:val="00CA02FB"/>
    <w:rsid w:val="00CA03D9"/>
    <w:rsid w:val="00CA0548"/>
    <w:rsid w:val="00CA05C2"/>
    <w:rsid w:val="00CA076E"/>
    <w:rsid w:val="00CA0A86"/>
    <w:rsid w:val="00CA0C07"/>
    <w:rsid w:val="00CA0FB7"/>
    <w:rsid w:val="00CA1061"/>
    <w:rsid w:val="00CA10D4"/>
    <w:rsid w:val="00CA12B6"/>
    <w:rsid w:val="00CA150F"/>
    <w:rsid w:val="00CA16CE"/>
    <w:rsid w:val="00CA21F8"/>
    <w:rsid w:val="00CA239D"/>
    <w:rsid w:val="00CA29B8"/>
    <w:rsid w:val="00CA302E"/>
    <w:rsid w:val="00CA3593"/>
    <w:rsid w:val="00CA3B1F"/>
    <w:rsid w:val="00CA3CF8"/>
    <w:rsid w:val="00CA3E5E"/>
    <w:rsid w:val="00CA4109"/>
    <w:rsid w:val="00CA4235"/>
    <w:rsid w:val="00CA48BC"/>
    <w:rsid w:val="00CA4CB8"/>
    <w:rsid w:val="00CA4D26"/>
    <w:rsid w:val="00CA5539"/>
    <w:rsid w:val="00CA553E"/>
    <w:rsid w:val="00CA5980"/>
    <w:rsid w:val="00CA62D0"/>
    <w:rsid w:val="00CA64B1"/>
    <w:rsid w:val="00CA65F6"/>
    <w:rsid w:val="00CA691C"/>
    <w:rsid w:val="00CA6A6C"/>
    <w:rsid w:val="00CA6FB6"/>
    <w:rsid w:val="00CA7109"/>
    <w:rsid w:val="00CA7691"/>
    <w:rsid w:val="00CA7970"/>
    <w:rsid w:val="00CA7AC4"/>
    <w:rsid w:val="00CA7B42"/>
    <w:rsid w:val="00CB0017"/>
    <w:rsid w:val="00CB02AF"/>
    <w:rsid w:val="00CB1126"/>
    <w:rsid w:val="00CB1151"/>
    <w:rsid w:val="00CB1566"/>
    <w:rsid w:val="00CB20B5"/>
    <w:rsid w:val="00CB235D"/>
    <w:rsid w:val="00CB24EC"/>
    <w:rsid w:val="00CB2C16"/>
    <w:rsid w:val="00CB301E"/>
    <w:rsid w:val="00CB3080"/>
    <w:rsid w:val="00CB32EB"/>
    <w:rsid w:val="00CB3318"/>
    <w:rsid w:val="00CB38FC"/>
    <w:rsid w:val="00CB3B3C"/>
    <w:rsid w:val="00CB4519"/>
    <w:rsid w:val="00CB4B0C"/>
    <w:rsid w:val="00CB51A3"/>
    <w:rsid w:val="00CB57BC"/>
    <w:rsid w:val="00CB66CE"/>
    <w:rsid w:val="00CB6C4A"/>
    <w:rsid w:val="00CB6D24"/>
    <w:rsid w:val="00CB6FCA"/>
    <w:rsid w:val="00CB71F2"/>
    <w:rsid w:val="00CB7528"/>
    <w:rsid w:val="00CB7777"/>
    <w:rsid w:val="00CC0014"/>
    <w:rsid w:val="00CC019E"/>
    <w:rsid w:val="00CC0375"/>
    <w:rsid w:val="00CC08FF"/>
    <w:rsid w:val="00CC0A6E"/>
    <w:rsid w:val="00CC0AF9"/>
    <w:rsid w:val="00CC0B75"/>
    <w:rsid w:val="00CC10B2"/>
    <w:rsid w:val="00CC1665"/>
    <w:rsid w:val="00CC1EF8"/>
    <w:rsid w:val="00CC20FE"/>
    <w:rsid w:val="00CC2264"/>
    <w:rsid w:val="00CC22E0"/>
    <w:rsid w:val="00CC2568"/>
    <w:rsid w:val="00CC25E1"/>
    <w:rsid w:val="00CC322B"/>
    <w:rsid w:val="00CC3A14"/>
    <w:rsid w:val="00CC3E3F"/>
    <w:rsid w:val="00CC3F9E"/>
    <w:rsid w:val="00CC40BF"/>
    <w:rsid w:val="00CC4200"/>
    <w:rsid w:val="00CC554A"/>
    <w:rsid w:val="00CC5790"/>
    <w:rsid w:val="00CC5CB1"/>
    <w:rsid w:val="00CC5E90"/>
    <w:rsid w:val="00CC615D"/>
    <w:rsid w:val="00CC6573"/>
    <w:rsid w:val="00CC6704"/>
    <w:rsid w:val="00CC67FE"/>
    <w:rsid w:val="00CC6B03"/>
    <w:rsid w:val="00CC6D85"/>
    <w:rsid w:val="00CC6E21"/>
    <w:rsid w:val="00CC72D7"/>
    <w:rsid w:val="00CD0010"/>
    <w:rsid w:val="00CD0572"/>
    <w:rsid w:val="00CD12C7"/>
    <w:rsid w:val="00CD1EF7"/>
    <w:rsid w:val="00CD2634"/>
    <w:rsid w:val="00CD2779"/>
    <w:rsid w:val="00CD27DF"/>
    <w:rsid w:val="00CD283B"/>
    <w:rsid w:val="00CD2D82"/>
    <w:rsid w:val="00CD2DB4"/>
    <w:rsid w:val="00CD2EEF"/>
    <w:rsid w:val="00CD36F4"/>
    <w:rsid w:val="00CD41C3"/>
    <w:rsid w:val="00CD41D0"/>
    <w:rsid w:val="00CD4408"/>
    <w:rsid w:val="00CD4466"/>
    <w:rsid w:val="00CD4AAC"/>
    <w:rsid w:val="00CD4D7B"/>
    <w:rsid w:val="00CD4DC4"/>
    <w:rsid w:val="00CD51E8"/>
    <w:rsid w:val="00CD5E2D"/>
    <w:rsid w:val="00CD662F"/>
    <w:rsid w:val="00CD724C"/>
    <w:rsid w:val="00CD756C"/>
    <w:rsid w:val="00CD78BC"/>
    <w:rsid w:val="00CD7E51"/>
    <w:rsid w:val="00CE0818"/>
    <w:rsid w:val="00CE08C4"/>
    <w:rsid w:val="00CE09C6"/>
    <w:rsid w:val="00CE10CA"/>
    <w:rsid w:val="00CE1719"/>
    <w:rsid w:val="00CE1A75"/>
    <w:rsid w:val="00CE1B4C"/>
    <w:rsid w:val="00CE218F"/>
    <w:rsid w:val="00CE21DF"/>
    <w:rsid w:val="00CE2408"/>
    <w:rsid w:val="00CE2536"/>
    <w:rsid w:val="00CE26FD"/>
    <w:rsid w:val="00CE2FD3"/>
    <w:rsid w:val="00CE3610"/>
    <w:rsid w:val="00CE3D3D"/>
    <w:rsid w:val="00CE3DF5"/>
    <w:rsid w:val="00CE4925"/>
    <w:rsid w:val="00CE4AA5"/>
    <w:rsid w:val="00CE4C9C"/>
    <w:rsid w:val="00CE4F68"/>
    <w:rsid w:val="00CE50B6"/>
    <w:rsid w:val="00CE577A"/>
    <w:rsid w:val="00CE59C0"/>
    <w:rsid w:val="00CE614E"/>
    <w:rsid w:val="00CE6194"/>
    <w:rsid w:val="00CE6599"/>
    <w:rsid w:val="00CE6821"/>
    <w:rsid w:val="00CE6A8E"/>
    <w:rsid w:val="00CE6D5E"/>
    <w:rsid w:val="00CE720D"/>
    <w:rsid w:val="00CE74B4"/>
    <w:rsid w:val="00CE7BFE"/>
    <w:rsid w:val="00CE7C3B"/>
    <w:rsid w:val="00CE7F0B"/>
    <w:rsid w:val="00CE7F52"/>
    <w:rsid w:val="00CF00BC"/>
    <w:rsid w:val="00CF026A"/>
    <w:rsid w:val="00CF03A4"/>
    <w:rsid w:val="00CF0530"/>
    <w:rsid w:val="00CF0629"/>
    <w:rsid w:val="00CF080C"/>
    <w:rsid w:val="00CF0830"/>
    <w:rsid w:val="00CF0890"/>
    <w:rsid w:val="00CF0B8F"/>
    <w:rsid w:val="00CF0C21"/>
    <w:rsid w:val="00CF1CC2"/>
    <w:rsid w:val="00CF1F32"/>
    <w:rsid w:val="00CF2578"/>
    <w:rsid w:val="00CF2DBA"/>
    <w:rsid w:val="00CF3416"/>
    <w:rsid w:val="00CF4334"/>
    <w:rsid w:val="00CF448E"/>
    <w:rsid w:val="00CF45DA"/>
    <w:rsid w:val="00CF4AA8"/>
    <w:rsid w:val="00CF4C7F"/>
    <w:rsid w:val="00CF4CF6"/>
    <w:rsid w:val="00CF4EA1"/>
    <w:rsid w:val="00CF50D8"/>
    <w:rsid w:val="00CF5588"/>
    <w:rsid w:val="00CF5CA7"/>
    <w:rsid w:val="00CF71C5"/>
    <w:rsid w:val="00CF75F8"/>
    <w:rsid w:val="00CF7835"/>
    <w:rsid w:val="00CF7950"/>
    <w:rsid w:val="00D00322"/>
    <w:rsid w:val="00D008DC"/>
    <w:rsid w:val="00D00982"/>
    <w:rsid w:val="00D00AE2"/>
    <w:rsid w:val="00D00C36"/>
    <w:rsid w:val="00D00F2A"/>
    <w:rsid w:val="00D0150D"/>
    <w:rsid w:val="00D01846"/>
    <w:rsid w:val="00D01A35"/>
    <w:rsid w:val="00D01B8D"/>
    <w:rsid w:val="00D01C13"/>
    <w:rsid w:val="00D0244C"/>
    <w:rsid w:val="00D029C1"/>
    <w:rsid w:val="00D02D86"/>
    <w:rsid w:val="00D02E98"/>
    <w:rsid w:val="00D031A6"/>
    <w:rsid w:val="00D0337E"/>
    <w:rsid w:val="00D03870"/>
    <w:rsid w:val="00D03945"/>
    <w:rsid w:val="00D039D9"/>
    <w:rsid w:val="00D03AED"/>
    <w:rsid w:val="00D04133"/>
    <w:rsid w:val="00D04A47"/>
    <w:rsid w:val="00D04C46"/>
    <w:rsid w:val="00D0505C"/>
    <w:rsid w:val="00D050E1"/>
    <w:rsid w:val="00D050E4"/>
    <w:rsid w:val="00D0523A"/>
    <w:rsid w:val="00D05276"/>
    <w:rsid w:val="00D05302"/>
    <w:rsid w:val="00D05BE5"/>
    <w:rsid w:val="00D06189"/>
    <w:rsid w:val="00D06425"/>
    <w:rsid w:val="00D06807"/>
    <w:rsid w:val="00D06C66"/>
    <w:rsid w:val="00D06E86"/>
    <w:rsid w:val="00D07268"/>
    <w:rsid w:val="00D076B6"/>
    <w:rsid w:val="00D07A6C"/>
    <w:rsid w:val="00D07C70"/>
    <w:rsid w:val="00D07E68"/>
    <w:rsid w:val="00D100EF"/>
    <w:rsid w:val="00D101C1"/>
    <w:rsid w:val="00D106D0"/>
    <w:rsid w:val="00D1086C"/>
    <w:rsid w:val="00D10A1A"/>
    <w:rsid w:val="00D10D7B"/>
    <w:rsid w:val="00D11C6D"/>
    <w:rsid w:val="00D1224C"/>
    <w:rsid w:val="00D1269E"/>
    <w:rsid w:val="00D12A96"/>
    <w:rsid w:val="00D12BDB"/>
    <w:rsid w:val="00D12F70"/>
    <w:rsid w:val="00D1380C"/>
    <w:rsid w:val="00D13C0F"/>
    <w:rsid w:val="00D14162"/>
    <w:rsid w:val="00D148EC"/>
    <w:rsid w:val="00D152DC"/>
    <w:rsid w:val="00D1538C"/>
    <w:rsid w:val="00D15759"/>
    <w:rsid w:val="00D16075"/>
    <w:rsid w:val="00D16493"/>
    <w:rsid w:val="00D167B7"/>
    <w:rsid w:val="00D16813"/>
    <w:rsid w:val="00D16DEA"/>
    <w:rsid w:val="00D16F56"/>
    <w:rsid w:val="00D17034"/>
    <w:rsid w:val="00D174C2"/>
    <w:rsid w:val="00D17504"/>
    <w:rsid w:val="00D1768A"/>
    <w:rsid w:val="00D1775C"/>
    <w:rsid w:val="00D17C8F"/>
    <w:rsid w:val="00D17EC3"/>
    <w:rsid w:val="00D20122"/>
    <w:rsid w:val="00D2013E"/>
    <w:rsid w:val="00D208EA"/>
    <w:rsid w:val="00D20AF6"/>
    <w:rsid w:val="00D210C5"/>
    <w:rsid w:val="00D21A9C"/>
    <w:rsid w:val="00D21AD7"/>
    <w:rsid w:val="00D21ECD"/>
    <w:rsid w:val="00D221CC"/>
    <w:rsid w:val="00D223EC"/>
    <w:rsid w:val="00D22517"/>
    <w:rsid w:val="00D22BEC"/>
    <w:rsid w:val="00D22D8F"/>
    <w:rsid w:val="00D22DA9"/>
    <w:rsid w:val="00D2354A"/>
    <w:rsid w:val="00D2356B"/>
    <w:rsid w:val="00D23715"/>
    <w:rsid w:val="00D2409D"/>
    <w:rsid w:val="00D245F6"/>
    <w:rsid w:val="00D247F6"/>
    <w:rsid w:val="00D2484C"/>
    <w:rsid w:val="00D24D18"/>
    <w:rsid w:val="00D252D2"/>
    <w:rsid w:val="00D256AD"/>
    <w:rsid w:val="00D25BEE"/>
    <w:rsid w:val="00D25DD6"/>
    <w:rsid w:val="00D2621E"/>
    <w:rsid w:val="00D26917"/>
    <w:rsid w:val="00D26959"/>
    <w:rsid w:val="00D2706A"/>
    <w:rsid w:val="00D2724B"/>
    <w:rsid w:val="00D273F3"/>
    <w:rsid w:val="00D275D2"/>
    <w:rsid w:val="00D275FB"/>
    <w:rsid w:val="00D27928"/>
    <w:rsid w:val="00D3022A"/>
    <w:rsid w:val="00D30358"/>
    <w:rsid w:val="00D305C7"/>
    <w:rsid w:val="00D30D7F"/>
    <w:rsid w:val="00D30DDF"/>
    <w:rsid w:val="00D30ED7"/>
    <w:rsid w:val="00D30F2C"/>
    <w:rsid w:val="00D3115D"/>
    <w:rsid w:val="00D313D0"/>
    <w:rsid w:val="00D313DA"/>
    <w:rsid w:val="00D31A1D"/>
    <w:rsid w:val="00D31A4F"/>
    <w:rsid w:val="00D320E0"/>
    <w:rsid w:val="00D3263C"/>
    <w:rsid w:val="00D33510"/>
    <w:rsid w:val="00D3375D"/>
    <w:rsid w:val="00D343F9"/>
    <w:rsid w:val="00D346DA"/>
    <w:rsid w:val="00D3485C"/>
    <w:rsid w:val="00D34BB7"/>
    <w:rsid w:val="00D3505D"/>
    <w:rsid w:val="00D354FA"/>
    <w:rsid w:val="00D35677"/>
    <w:rsid w:val="00D35856"/>
    <w:rsid w:val="00D361EB"/>
    <w:rsid w:val="00D36355"/>
    <w:rsid w:val="00D36606"/>
    <w:rsid w:val="00D36A33"/>
    <w:rsid w:val="00D36A44"/>
    <w:rsid w:val="00D36F29"/>
    <w:rsid w:val="00D377EA"/>
    <w:rsid w:val="00D377F2"/>
    <w:rsid w:val="00D37DDE"/>
    <w:rsid w:val="00D37EFC"/>
    <w:rsid w:val="00D402E0"/>
    <w:rsid w:val="00D403CD"/>
    <w:rsid w:val="00D40508"/>
    <w:rsid w:val="00D4062E"/>
    <w:rsid w:val="00D407A0"/>
    <w:rsid w:val="00D40907"/>
    <w:rsid w:val="00D41FD6"/>
    <w:rsid w:val="00D42455"/>
    <w:rsid w:val="00D425EC"/>
    <w:rsid w:val="00D42809"/>
    <w:rsid w:val="00D42DF9"/>
    <w:rsid w:val="00D43263"/>
    <w:rsid w:val="00D434E6"/>
    <w:rsid w:val="00D43918"/>
    <w:rsid w:val="00D43980"/>
    <w:rsid w:val="00D43B26"/>
    <w:rsid w:val="00D43B44"/>
    <w:rsid w:val="00D44DB2"/>
    <w:rsid w:val="00D454F3"/>
    <w:rsid w:val="00D460B5"/>
    <w:rsid w:val="00D4655F"/>
    <w:rsid w:val="00D46965"/>
    <w:rsid w:val="00D46B4B"/>
    <w:rsid w:val="00D46F7E"/>
    <w:rsid w:val="00D46FD3"/>
    <w:rsid w:val="00D47376"/>
    <w:rsid w:val="00D4739C"/>
    <w:rsid w:val="00D475B7"/>
    <w:rsid w:val="00D47908"/>
    <w:rsid w:val="00D50102"/>
    <w:rsid w:val="00D50129"/>
    <w:rsid w:val="00D502B9"/>
    <w:rsid w:val="00D5065F"/>
    <w:rsid w:val="00D507D4"/>
    <w:rsid w:val="00D508FF"/>
    <w:rsid w:val="00D50A5F"/>
    <w:rsid w:val="00D50B19"/>
    <w:rsid w:val="00D50F5A"/>
    <w:rsid w:val="00D522AC"/>
    <w:rsid w:val="00D524E5"/>
    <w:rsid w:val="00D533A7"/>
    <w:rsid w:val="00D539D0"/>
    <w:rsid w:val="00D53E94"/>
    <w:rsid w:val="00D5414B"/>
    <w:rsid w:val="00D54670"/>
    <w:rsid w:val="00D5467C"/>
    <w:rsid w:val="00D54C6D"/>
    <w:rsid w:val="00D54F19"/>
    <w:rsid w:val="00D55456"/>
    <w:rsid w:val="00D5554D"/>
    <w:rsid w:val="00D5561F"/>
    <w:rsid w:val="00D55AA9"/>
    <w:rsid w:val="00D55F85"/>
    <w:rsid w:val="00D5621E"/>
    <w:rsid w:val="00D563BE"/>
    <w:rsid w:val="00D565A9"/>
    <w:rsid w:val="00D56640"/>
    <w:rsid w:val="00D56842"/>
    <w:rsid w:val="00D56C41"/>
    <w:rsid w:val="00D56E40"/>
    <w:rsid w:val="00D56EF7"/>
    <w:rsid w:val="00D5733B"/>
    <w:rsid w:val="00D5772D"/>
    <w:rsid w:val="00D57928"/>
    <w:rsid w:val="00D5795C"/>
    <w:rsid w:val="00D6066D"/>
    <w:rsid w:val="00D60B20"/>
    <w:rsid w:val="00D60FCC"/>
    <w:rsid w:val="00D624B0"/>
    <w:rsid w:val="00D62ED4"/>
    <w:rsid w:val="00D632D0"/>
    <w:rsid w:val="00D6345E"/>
    <w:rsid w:val="00D64448"/>
    <w:rsid w:val="00D64FB0"/>
    <w:rsid w:val="00D655BD"/>
    <w:rsid w:val="00D65A0C"/>
    <w:rsid w:val="00D65E44"/>
    <w:rsid w:val="00D66017"/>
    <w:rsid w:val="00D66323"/>
    <w:rsid w:val="00D66332"/>
    <w:rsid w:val="00D6686D"/>
    <w:rsid w:val="00D66B02"/>
    <w:rsid w:val="00D66B33"/>
    <w:rsid w:val="00D66C85"/>
    <w:rsid w:val="00D6729C"/>
    <w:rsid w:val="00D6730C"/>
    <w:rsid w:val="00D6784D"/>
    <w:rsid w:val="00D67EF4"/>
    <w:rsid w:val="00D70023"/>
    <w:rsid w:val="00D70196"/>
    <w:rsid w:val="00D7021B"/>
    <w:rsid w:val="00D7028D"/>
    <w:rsid w:val="00D7044D"/>
    <w:rsid w:val="00D704B2"/>
    <w:rsid w:val="00D70714"/>
    <w:rsid w:val="00D70B04"/>
    <w:rsid w:val="00D71601"/>
    <w:rsid w:val="00D71945"/>
    <w:rsid w:val="00D719BF"/>
    <w:rsid w:val="00D719C0"/>
    <w:rsid w:val="00D7206A"/>
    <w:rsid w:val="00D72B51"/>
    <w:rsid w:val="00D72BCC"/>
    <w:rsid w:val="00D73171"/>
    <w:rsid w:val="00D73180"/>
    <w:rsid w:val="00D7370A"/>
    <w:rsid w:val="00D73DC3"/>
    <w:rsid w:val="00D73F99"/>
    <w:rsid w:val="00D7407D"/>
    <w:rsid w:val="00D74247"/>
    <w:rsid w:val="00D742C0"/>
    <w:rsid w:val="00D743F8"/>
    <w:rsid w:val="00D7497C"/>
    <w:rsid w:val="00D74A67"/>
    <w:rsid w:val="00D75448"/>
    <w:rsid w:val="00D764BE"/>
    <w:rsid w:val="00D766C9"/>
    <w:rsid w:val="00D768D9"/>
    <w:rsid w:val="00D76D21"/>
    <w:rsid w:val="00D7700E"/>
    <w:rsid w:val="00D77299"/>
    <w:rsid w:val="00D777AC"/>
    <w:rsid w:val="00D77C07"/>
    <w:rsid w:val="00D80130"/>
    <w:rsid w:val="00D80697"/>
    <w:rsid w:val="00D80977"/>
    <w:rsid w:val="00D80C23"/>
    <w:rsid w:val="00D80F81"/>
    <w:rsid w:val="00D80FA8"/>
    <w:rsid w:val="00D812AF"/>
    <w:rsid w:val="00D81696"/>
    <w:rsid w:val="00D8177F"/>
    <w:rsid w:val="00D81804"/>
    <w:rsid w:val="00D81AB4"/>
    <w:rsid w:val="00D81F31"/>
    <w:rsid w:val="00D82644"/>
    <w:rsid w:val="00D82901"/>
    <w:rsid w:val="00D83FC8"/>
    <w:rsid w:val="00D8493A"/>
    <w:rsid w:val="00D84C41"/>
    <w:rsid w:val="00D84C79"/>
    <w:rsid w:val="00D84E8A"/>
    <w:rsid w:val="00D84EA7"/>
    <w:rsid w:val="00D8567C"/>
    <w:rsid w:val="00D857DB"/>
    <w:rsid w:val="00D861AE"/>
    <w:rsid w:val="00D8621F"/>
    <w:rsid w:val="00D86447"/>
    <w:rsid w:val="00D865AE"/>
    <w:rsid w:val="00D866DE"/>
    <w:rsid w:val="00D869FD"/>
    <w:rsid w:val="00D86BD9"/>
    <w:rsid w:val="00D86C12"/>
    <w:rsid w:val="00D87177"/>
    <w:rsid w:val="00D87450"/>
    <w:rsid w:val="00D875AB"/>
    <w:rsid w:val="00D876A1"/>
    <w:rsid w:val="00D878D1"/>
    <w:rsid w:val="00D87B42"/>
    <w:rsid w:val="00D87C05"/>
    <w:rsid w:val="00D87D9B"/>
    <w:rsid w:val="00D87DA4"/>
    <w:rsid w:val="00D87DB5"/>
    <w:rsid w:val="00D9033A"/>
    <w:rsid w:val="00D9063C"/>
    <w:rsid w:val="00D908E3"/>
    <w:rsid w:val="00D916C6"/>
    <w:rsid w:val="00D91CBA"/>
    <w:rsid w:val="00D91D20"/>
    <w:rsid w:val="00D91E95"/>
    <w:rsid w:val="00D9284F"/>
    <w:rsid w:val="00D92A87"/>
    <w:rsid w:val="00D92F74"/>
    <w:rsid w:val="00D92FB1"/>
    <w:rsid w:val="00D9304D"/>
    <w:rsid w:val="00D9321A"/>
    <w:rsid w:val="00D93D7E"/>
    <w:rsid w:val="00D94490"/>
    <w:rsid w:val="00D94626"/>
    <w:rsid w:val="00D946E6"/>
    <w:rsid w:val="00D947E6"/>
    <w:rsid w:val="00D948FA"/>
    <w:rsid w:val="00D94CF9"/>
    <w:rsid w:val="00D94F4A"/>
    <w:rsid w:val="00D94FF4"/>
    <w:rsid w:val="00D9532A"/>
    <w:rsid w:val="00D953F4"/>
    <w:rsid w:val="00D9580C"/>
    <w:rsid w:val="00D95AC0"/>
    <w:rsid w:val="00D9604E"/>
    <w:rsid w:val="00D9626F"/>
    <w:rsid w:val="00D96687"/>
    <w:rsid w:val="00D96BCF"/>
    <w:rsid w:val="00D96C66"/>
    <w:rsid w:val="00D96D08"/>
    <w:rsid w:val="00D96D32"/>
    <w:rsid w:val="00D971B1"/>
    <w:rsid w:val="00D97841"/>
    <w:rsid w:val="00D97B93"/>
    <w:rsid w:val="00DA0640"/>
    <w:rsid w:val="00DA08E1"/>
    <w:rsid w:val="00DA0F74"/>
    <w:rsid w:val="00DA1072"/>
    <w:rsid w:val="00DA11E2"/>
    <w:rsid w:val="00DA139A"/>
    <w:rsid w:val="00DA144F"/>
    <w:rsid w:val="00DA18ED"/>
    <w:rsid w:val="00DA1985"/>
    <w:rsid w:val="00DA20D6"/>
    <w:rsid w:val="00DA21C3"/>
    <w:rsid w:val="00DA22D1"/>
    <w:rsid w:val="00DA26C3"/>
    <w:rsid w:val="00DA2843"/>
    <w:rsid w:val="00DA336B"/>
    <w:rsid w:val="00DA349B"/>
    <w:rsid w:val="00DA3B22"/>
    <w:rsid w:val="00DA45A4"/>
    <w:rsid w:val="00DA4669"/>
    <w:rsid w:val="00DA477C"/>
    <w:rsid w:val="00DA4AB7"/>
    <w:rsid w:val="00DA4C51"/>
    <w:rsid w:val="00DA4E0B"/>
    <w:rsid w:val="00DA51CF"/>
    <w:rsid w:val="00DA5495"/>
    <w:rsid w:val="00DA54AE"/>
    <w:rsid w:val="00DA5A05"/>
    <w:rsid w:val="00DA67D4"/>
    <w:rsid w:val="00DA7280"/>
    <w:rsid w:val="00DA7600"/>
    <w:rsid w:val="00DA7FEF"/>
    <w:rsid w:val="00DB0019"/>
    <w:rsid w:val="00DB0663"/>
    <w:rsid w:val="00DB09DD"/>
    <w:rsid w:val="00DB1882"/>
    <w:rsid w:val="00DB1A59"/>
    <w:rsid w:val="00DB1BDC"/>
    <w:rsid w:val="00DB1CA0"/>
    <w:rsid w:val="00DB1E68"/>
    <w:rsid w:val="00DB20DD"/>
    <w:rsid w:val="00DB2325"/>
    <w:rsid w:val="00DB289C"/>
    <w:rsid w:val="00DB29F1"/>
    <w:rsid w:val="00DB338E"/>
    <w:rsid w:val="00DB3DC8"/>
    <w:rsid w:val="00DB43E5"/>
    <w:rsid w:val="00DB4793"/>
    <w:rsid w:val="00DB4A46"/>
    <w:rsid w:val="00DB5476"/>
    <w:rsid w:val="00DB5CAC"/>
    <w:rsid w:val="00DB5DAE"/>
    <w:rsid w:val="00DB6586"/>
    <w:rsid w:val="00DB669D"/>
    <w:rsid w:val="00DB69B4"/>
    <w:rsid w:val="00DB6A3C"/>
    <w:rsid w:val="00DB6E46"/>
    <w:rsid w:val="00DB71E4"/>
    <w:rsid w:val="00DB732A"/>
    <w:rsid w:val="00DB7399"/>
    <w:rsid w:val="00DB755B"/>
    <w:rsid w:val="00DB7CAF"/>
    <w:rsid w:val="00DB7D6B"/>
    <w:rsid w:val="00DB7EBF"/>
    <w:rsid w:val="00DC01EB"/>
    <w:rsid w:val="00DC0632"/>
    <w:rsid w:val="00DC095F"/>
    <w:rsid w:val="00DC0AFD"/>
    <w:rsid w:val="00DC0BEB"/>
    <w:rsid w:val="00DC1102"/>
    <w:rsid w:val="00DC1203"/>
    <w:rsid w:val="00DC14E2"/>
    <w:rsid w:val="00DC1E62"/>
    <w:rsid w:val="00DC1FD8"/>
    <w:rsid w:val="00DC2566"/>
    <w:rsid w:val="00DC2612"/>
    <w:rsid w:val="00DC266F"/>
    <w:rsid w:val="00DC274F"/>
    <w:rsid w:val="00DC27AA"/>
    <w:rsid w:val="00DC28E0"/>
    <w:rsid w:val="00DC3009"/>
    <w:rsid w:val="00DC3170"/>
    <w:rsid w:val="00DC33D0"/>
    <w:rsid w:val="00DC35A7"/>
    <w:rsid w:val="00DC3827"/>
    <w:rsid w:val="00DC3F62"/>
    <w:rsid w:val="00DC4308"/>
    <w:rsid w:val="00DC4A11"/>
    <w:rsid w:val="00DC5437"/>
    <w:rsid w:val="00DC58D3"/>
    <w:rsid w:val="00DC5A35"/>
    <w:rsid w:val="00DC5CB8"/>
    <w:rsid w:val="00DC6A74"/>
    <w:rsid w:val="00DC73C3"/>
    <w:rsid w:val="00DC74DD"/>
    <w:rsid w:val="00DC789C"/>
    <w:rsid w:val="00DC7955"/>
    <w:rsid w:val="00DD133D"/>
    <w:rsid w:val="00DD15C9"/>
    <w:rsid w:val="00DD19AA"/>
    <w:rsid w:val="00DD210A"/>
    <w:rsid w:val="00DD259D"/>
    <w:rsid w:val="00DD3331"/>
    <w:rsid w:val="00DD3416"/>
    <w:rsid w:val="00DD3552"/>
    <w:rsid w:val="00DD357E"/>
    <w:rsid w:val="00DD3A49"/>
    <w:rsid w:val="00DD3F28"/>
    <w:rsid w:val="00DD3F78"/>
    <w:rsid w:val="00DD408E"/>
    <w:rsid w:val="00DD4855"/>
    <w:rsid w:val="00DD4EB2"/>
    <w:rsid w:val="00DD5075"/>
    <w:rsid w:val="00DD52F4"/>
    <w:rsid w:val="00DD54BE"/>
    <w:rsid w:val="00DD558B"/>
    <w:rsid w:val="00DD58E6"/>
    <w:rsid w:val="00DD59FA"/>
    <w:rsid w:val="00DD655F"/>
    <w:rsid w:val="00DD6710"/>
    <w:rsid w:val="00DD6914"/>
    <w:rsid w:val="00DD6B47"/>
    <w:rsid w:val="00DD6CB9"/>
    <w:rsid w:val="00DD6E8F"/>
    <w:rsid w:val="00DD6F1E"/>
    <w:rsid w:val="00DD7A4B"/>
    <w:rsid w:val="00DD7EA6"/>
    <w:rsid w:val="00DD7ED3"/>
    <w:rsid w:val="00DD7FC7"/>
    <w:rsid w:val="00DE0016"/>
    <w:rsid w:val="00DE0360"/>
    <w:rsid w:val="00DE066E"/>
    <w:rsid w:val="00DE08EB"/>
    <w:rsid w:val="00DE0A58"/>
    <w:rsid w:val="00DE13CF"/>
    <w:rsid w:val="00DE1401"/>
    <w:rsid w:val="00DE189B"/>
    <w:rsid w:val="00DE1FC4"/>
    <w:rsid w:val="00DE24DD"/>
    <w:rsid w:val="00DE267B"/>
    <w:rsid w:val="00DE2B1D"/>
    <w:rsid w:val="00DE2CE8"/>
    <w:rsid w:val="00DE310D"/>
    <w:rsid w:val="00DE33EE"/>
    <w:rsid w:val="00DE3848"/>
    <w:rsid w:val="00DE3948"/>
    <w:rsid w:val="00DE4379"/>
    <w:rsid w:val="00DE46DB"/>
    <w:rsid w:val="00DE4950"/>
    <w:rsid w:val="00DE53E0"/>
    <w:rsid w:val="00DE66FD"/>
    <w:rsid w:val="00DE6796"/>
    <w:rsid w:val="00DE70D1"/>
    <w:rsid w:val="00DE768A"/>
    <w:rsid w:val="00DE79DE"/>
    <w:rsid w:val="00DE79E8"/>
    <w:rsid w:val="00DE7AD6"/>
    <w:rsid w:val="00DE7B40"/>
    <w:rsid w:val="00DE7CC5"/>
    <w:rsid w:val="00DE7F05"/>
    <w:rsid w:val="00DF0086"/>
    <w:rsid w:val="00DF06F0"/>
    <w:rsid w:val="00DF0868"/>
    <w:rsid w:val="00DF0AB1"/>
    <w:rsid w:val="00DF0B97"/>
    <w:rsid w:val="00DF1116"/>
    <w:rsid w:val="00DF11D4"/>
    <w:rsid w:val="00DF1B8F"/>
    <w:rsid w:val="00DF202C"/>
    <w:rsid w:val="00DF23A9"/>
    <w:rsid w:val="00DF24ED"/>
    <w:rsid w:val="00DF28EB"/>
    <w:rsid w:val="00DF2C30"/>
    <w:rsid w:val="00DF3A8E"/>
    <w:rsid w:val="00DF43BF"/>
    <w:rsid w:val="00DF43E2"/>
    <w:rsid w:val="00DF443A"/>
    <w:rsid w:val="00DF47E7"/>
    <w:rsid w:val="00DF47F2"/>
    <w:rsid w:val="00DF4BD8"/>
    <w:rsid w:val="00DF4E7C"/>
    <w:rsid w:val="00DF546B"/>
    <w:rsid w:val="00DF5575"/>
    <w:rsid w:val="00DF5821"/>
    <w:rsid w:val="00DF5D0B"/>
    <w:rsid w:val="00DF60CA"/>
    <w:rsid w:val="00DF6101"/>
    <w:rsid w:val="00DF6664"/>
    <w:rsid w:val="00DF6ADA"/>
    <w:rsid w:val="00DF702E"/>
    <w:rsid w:val="00DF7183"/>
    <w:rsid w:val="00DF73E1"/>
    <w:rsid w:val="00DF7835"/>
    <w:rsid w:val="00DF7C63"/>
    <w:rsid w:val="00E005C8"/>
    <w:rsid w:val="00E0073B"/>
    <w:rsid w:val="00E008E4"/>
    <w:rsid w:val="00E00AA0"/>
    <w:rsid w:val="00E00B34"/>
    <w:rsid w:val="00E00B4D"/>
    <w:rsid w:val="00E01718"/>
    <w:rsid w:val="00E01CB7"/>
    <w:rsid w:val="00E02027"/>
    <w:rsid w:val="00E0212C"/>
    <w:rsid w:val="00E0265F"/>
    <w:rsid w:val="00E02721"/>
    <w:rsid w:val="00E028FD"/>
    <w:rsid w:val="00E02A99"/>
    <w:rsid w:val="00E02C1E"/>
    <w:rsid w:val="00E02C94"/>
    <w:rsid w:val="00E03978"/>
    <w:rsid w:val="00E03BD2"/>
    <w:rsid w:val="00E03D09"/>
    <w:rsid w:val="00E03F71"/>
    <w:rsid w:val="00E04006"/>
    <w:rsid w:val="00E04104"/>
    <w:rsid w:val="00E046DB"/>
    <w:rsid w:val="00E048DB"/>
    <w:rsid w:val="00E04A83"/>
    <w:rsid w:val="00E04FDE"/>
    <w:rsid w:val="00E052F4"/>
    <w:rsid w:val="00E0545A"/>
    <w:rsid w:val="00E05A16"/>
    <w:rsid w:val="00E05E4A"/>
    <w:rsid w:val="00E061CA"/>
    <w:rsid w:val="00E06512"/>
    <w:rsid w:val="00E06579"/>
    <w:rsid w:val="00E06C73"/>
    <w:rsid w:val="00E0775E"/>
    <w:rsid w:val="00E07D9B"/>
    <w:rsid w:val="00E10038"/>
    <w:rsid w:val="00E100BA"/>
    <w:rsid w:val="00E10203"/>
    <w:rsid w:val="00E1055A"/>
    <w:rsid w:val="00E10956"/>
    <w:rsid w:val="00E10AEC"/>
    <w:rsid w:val="00E11120"/>
    <w:rsid w:val="00E11237"/>
    <w:rsid w:val="00E112B4"/>
    <w:rsid w:val="00E1158C"/>
    <w:rsid w:val="00E1160E"/>
    <w:rsid w:val="00E1166E"/>
    <w:rsid w:val="00E11737"/>
    <w:rsid w:val="00E11DEE"/>
    <w:rsid w:val="00E11F07"/>
    <w:rsid w:val="00E1201F"/>
    <w:rsid w:val="00E12541"/>
    <w:rsid w:val="00E128B8"/>
    <w:rsid w:val="00E12BC1"/>
    <w:rsid w:val="00E12E57"/>
    <w:rsid w:val="00E130F1"/>
    <w:rsid w:val="00E136E7"/>
    <w:rsid w:val="00E13861"/>
    <w:rsid w:val="00E13FC7"/>
    <w:rsid w:val="00E1409B"/>
    <w:rsid w:val="00E142E0"/>
    <w:rsid w:val="00E144DC"/>
    <w:rsid w:val="00E14979"/>
    <w:rsid w:val="00E14A5D"/>
    <w:rsid w:val="00E15282"/>
    <w:rsid w:val="00E15463"/>
    <w:rsid w:val="00E156FC"/>
    <w:rsid w:val="00E15ECD"/>
    <w:rsid w:val="00E16306"/>
    <w:rsid w:val="00E16438"/>
    <w:rsid w:val="00E167A2"/>
    <w:rsid w:val="00E16817"/>
    <w:rsid w:val="00E1692B"/>
    <w:rsid w:val="00E16EF3"/>
    <w:rsid w:val="00E16F1B"/>
    <w:rsid w:val="00E176ED"/>
    <w:rsid w:val="00E17A46"/>
    <w:rsid w:val="00E20089"/>
    <w:rsid w:val="00E20C7E"/>
    <w:rsid w:val="00E20CB5"/>
    <w:rsid w:val="00E20E33"/>
    <w:rsid w:val="00E20FB9"/>
    <w:rsid w:val="00E20FF8"/>
    <w:rsid w:val="00E21DCD"/>
    <w:rsid w:val="00E22170"/>
    <w:rsid w:val="00E22196"/>
    <w:rsid w:val="00E22C16"/>
    <w:rsid w:val="00E22DE7"/>
    <w:rsid w:val="00E232CD"/>
    <w:rsid w:val="00E23441"/>
    <w:rsid w:val="00E2388D"/>
    <w:rsid w:val="00E23A67"/>
    <w:rsid w:val="00E24313"/>
    <w:rsid w:val="00E24643"/>
    <w:rsid w:val="00E2469A"/>
    <w:rsid w:val="00E2512E"/>
    <w:rsid w:val="00E254B1"/>
    <w:rsid w:val="00E25A5C"/>
    <w:rsid w:val="00E25CF5"/>
    <w:rsid w:val="00E25DBD"/>
    <w:rsid w:val="00E25EBF"/>
    <w:rsid w:val="00E261EF"/>
    <w:rsid w:val="00E26570"/>
    <w:rsid w:val="00E27167"/>
    <w:rsid w:val="00E27D7F"/>
    <w:rsid w:val="00E27F84"/>
    <w:rsid w:val="00E30313"/>
    <w:rsid w:val="00E30C6F"/>
    <w:rsid w:val="00E30FDE"/>
    <w:rsid w:val="00E31579"/>
    <w:rsid w:val="00E31761"/>
    <w:rsid w:val="00E319E2"/>
    <w:rsid w:val="00E32533"/>
    <w:rsid w:val="00E32BAB"/>
    <w:rsid w:val="00E33138"/>
    <w:rsid w:val="00E33440"/>
    <w:rsid w:val="00E339BC"/>
    <w:rsid w:val="00E33D55"/>
    <w:rsid w:val="00E34402"/>
    <w:rsid w:val="00E34A98"/>
    <w:rsid w:val="00E34E4D"/>
    <w:rsid w:val="00E34F13"/>
    <w:rsid w:val="00E35099"/>
    <w:rsid w:val="00E3580E"/>
    <w:rsid w:val="00E359AE"/>
    <w:rsid w:val="00E35C30"/>
    <w:rsid w:val="00E3666C"/>
    <w:rsid w:val="00E36A58"/>
    <w:rsid w:val="00E36F2C"/>
    <w:rsid w:val="00E37043"/>
    <w:rsid w:val="00E37125"/>
    <w:rsid w:val="00E40047"/>
    <w:rsid w:val="00E4062D"/>
    <w:rsid w:val="00E40685"/>
    <w:rsid w:val="00E407FB"/>
    <w:rsid w:val="00E408F8"/>
    <w:rsid w:val="00E409BB"/>
    <w:rsid w:val="00E40B89"/>
    <w:rsid w:val="00E40E97"/>
    <w:rsid w:val="00E410C2"/>
    <w:rsid w:val="00E41595"/>
    <w:rsid w:val="00E42742"/>
    <w:rsid w:val="00E435EA"/>
    <w:rsid w:val="00E43C96"/>
    <w:rsid w:val="00E44781"/>
    <w:rsid w:val="00E448CE"/>
    <w:rsid w:val="00E455CE"/>
    <w:rsid w:val="00E455FB"/>
    <w:rsid w:val="00E45E69"/>
    <w:rsid w:val="00E45F4F"/>
    <w:rsid w:val="00E4663A"/>
    <w:rsid w:val="00E46854"/>
    <w:rsid w:val="00E46CE9"/>
    <w:rsid w:val="00E4735C"/>
    <w:rsid w:val="00E4747B"/>
    <w:rsid w:val="00E4747F"/>
    <w:rsid w:val="00E474CA"/>
    <w:rsid w:val="00E50144"/>
    <w:rsid w:val="00E50B27"/>
    <w:rsid w:val="00E50D08"/>
    <w:rsid w:val="00E514D4"/>
    <w:rsid w:val="00E519BE"/>
    <w:rsid w:val="00E51B20"/>
    <w:rsid w:val="00E51E07"/>
    <w:rsid w:val="00E51F80"/>
    <w:rsid w:val="00E524FA"/>
    <w:rsid w:val="00E52547"/>
    <w:rsid w:val="00E52DC0"/>
    <w:rsid w:val="00E530AD"/>
    <w:rsid w:val="00E531BE"/>
    <w:rsid w:val="00E5330C"/>
    <w:rsid w:val="00E53A9C"/>
    <w:rsid w:val="00E53CE0"/>
    <w:rsid w:val="00E54092"/>
    <w:rsid w:val="00E54387"/>
    <w:rsid w:val="00E545F0"/>
    <w:rsid w:val="00E54F72"/>
    <w:rsid w:val="00E54FC8"/>
    <w:rsid w:val="00E5507B"/>
    <w:rsid w:val="00E550E5"/>
    <w:rsid w:val="00E55B70"/>
    <w:rsid w:val="00E55CB7"/>
    <w:rsid w:val="00E55D5C"/>
    <w:rsid w:val="00E5616C"/>
    <w:rsid w:val="00E56374"/>
    <w:rsid w:val="00E5643E"/>
    <w:rsid w:val="00E574C6"/>
    <w:rsid w:val="00E574E2"/>
    <w:rsid w:val="00E57A32"/>
    <w:rsid w:val="00E57B30"/>
    <w:rsid w:val="00E57C19"/>
    <w:rsid w:val="00E57E3A"/>
    <w:rsid w:val="00E607DE"/>
    <w:rsid w:val="00E609A3"/>
    <w:rsid w:val="00E6189E"/>
    <w:rsid w:val="00E61EE3"/>
    <w:rsid w:val="00E62017"/>
    <w:rsid w:val="00E6246F"/>
    <w:rsid w:val="00E62DC0"/>
    <w:rsid w:val="00E6327C"/>
    <w:rsid w:val="00E63C13"/>
    <w:rsid w:val="00E63DB0"/>
    <w:rsid w:val="00E642BF"/>
    <w:rsid w:val="00E644AB"/>
    <w:rsid w:val="00E64AB6"/>
    <w:rsid w:val="00E64BAF"/>
    <w:rsid w:val="00E64E55"/>
    <w:rsid w:val="00E6538A"/>
    <w:rsid w:val="00E655AA"/>
    <w:rsid w:val="00E655BB"/>
    <w:rsid w:val="00E655CF"/>
    <w:rsid w:val="00E655F8"/>
    <w:rsid w:val="00E65960"/>
    <w:rsid w:val="00E66DF0"/>
    <w:rsid w:val="00E67429"/>
    <w:rsid w:val="00E6760D"/>
    <w:rsid w:val="00E67B11"/>
    <w:rsid w:val="00E67E55"/>
    <w:rsid w:val="00E70AB6"/>
    <w:rsid w:val="00E70C9B"/>
    <w:rsid w:val="00E70DD7"/>
    <w:rsid w:val="00E70F78"/>
    <w:rsid w:val="00E71004"/>
    <w:rsid w:val="00E7105A"/>
    <w:rsid w:val="00E71317"/>
    <w:rsid w:val="00E713AB"/>
    <w:rsid w:val="00E71A0A"/>
    <w:rsid w:val="00E71D61"/>
    <w:rsid w:val="00E7246C"/>
    <w:rsid w:val="00E7298A"/>
    <w:rsid w:val="00E72A7B"/>
    <w:rsid w:val="00E72D55"/>
    <w:rsid w:val="00E72E32"/>
    <w:rsid w:val="00E730A1"/>
    <w:rsid w:val="00E733E8"/>
    <w:rsid w:val="00E73692"/>
    <w:rsid w:val="00E745BF"/>
    <w:rsid w:val="00E74BFF"/>
    <w:rsid w:val="00E7508F"/>
    <w:rsid w:val="00E75AE9"/>
    <w:rsid w:val="00E761A4"/>
    <w:rsid w:val="00E765B7"/>
    <w:rsid w:val="00E769C2"/>
    <w:rsid w:val="00E769FF"/>
    <w:rsid w:val="00E76B83"/>
    <w:rsid w:val="00E76E97"/>
    <w:rsid w:val="00E779D4"/>
    <w:rsid w:val="00E77D58"/>
    <w:rsid w:val="00E80B3C"/>
    <w:rsid w:val="00E811F1"/>
    <w:rsid w:val="00E8121B"/>
    <w:rsid w:val="00E81872"/>
    <w:rsid w:val="00E81948"/>
    <w:rsid w:val="00E8212A"/>
    <w:rsid w:val="00E82311"/>
    <w:rsid w:val="00E8243B"/>
    <w:rsid w:val="00E82888"/>
    <w:rsid w:val="00E82AB2"/>
    <w:rsid w:val="00E82CC5"/>
    <w:rsid w:val="00E82CDF"/>
    <w:rsid w:val="00E830B7"/>
    <w:rsid w:val="00E831B3"/>
    <w:rsid w:val="00E8326C"/>
    <w:rsid w:val="00E834DD"/>
    <w:rsid w:val="00E8350F"/>
    <w:rsid w:val="00E8385C"/>
    <w:rsid w:val="00E8440A"/>
    <w:rsid w:val="00E84E67"/>
    <w:rsid w:val="00E8528C"/>
    <w:rsid w:val="00E853E3"/>
    <w:rsid w:val="00E8541C"/>
    <w:rsid w:val="00E85670"/>
    <w:rsid w:val="00E8586F"/>
    <w:rsid w:val="00E85A61"/>
    <w:rsid w:val="00E85DE0"/>
    <w:rsid w:val="00E85DFD"/>
    <w:rsid w:val="00E85E6B"/>
    <w:rsid w:val="00E86580"/>
    <w:rsid w:val="00E86743"/>
    <w:rsid w:val="00E86782"/>
    <w:rsid w:val="00E86C37"/>
    <w:rsid w:val="00E86C70"/>
    <w:rsid w:val="00E86C7C"/>
    <w:rsid w:val="00E86EE6"/>
    <w:rsid w:val="00E8787B"/>
    <w:rsid w:val="00E901F8"/>
    <w:rsid w:val="00E90B49"/>
    <w:rsid w:val="00E9159B"/>
    <w:rsid w:val="00E91CAD"/>
    <w:rsid w:val="00E91D7A"/>
    <w:rsid w:val="00E92036"/>
    <w:rsid w:val="00E922F6"/>
    <w:rsid w:val="00E92B55"/>
    <w:rsid w:val="00E93736"/>
    <w:rsid w:val="00E9435C"/>
    <w:rsid w:val="00E9442A"/>
    <w:rsid w:val="00E9497D"/>
    <w:rsid w:val="00E94F41"/>
    <w:rsid w:val="00E95563"/>
    <w:rsid w:val="00E9599B"/>
    <w:rsid w:val="00E95AAD"/>
    <w:rsid w:val="00E95AFC"/>
    <w:rsid w:val="00E95C57"/>
    <w:rsid w:val="00E963DB"/>
    <w:rsid w:val="00E97044"/>
    <w:rsid w:val="00E9708A"/>
    <w:rsid w:val="00E97280"/>
    <w:rsid w:val="00E97514"/>
    <w:rsid w:val="00E97560"/>
    <w:rsid w:val="00E9771C"/>
    <w:rsid w:val="00E97B57"/>
    <w:rsid w:val="00E97BEE"/>
    <w:rsid w:val="00EA005C"/>
    <w:rsid w:val="00EA04EE"/>
    <w:rsid w:val="00EA06B8"/>
    <w:rsid w:val="00EA0CCC"/>
    <w:rsid w:val="00EA10BB"/>
    <w:rsid w:val="00EA14B0"/>
    <w:rsid w:val="00EA181A"/>
    <w:rsid w:val="00EA1976"/>
    <w:rsid w:val="00EA1FA9"/>
    <w:rsid w:val="00EA20CC"/>
    <w:rsid w:val="00EA2A12"/>
    <w:rsid w:val="00EA2C36"/>
    <w:rsid w:val="00EA2C4A"/>
    <w:rsid w:val="00EA2F27"/>
    <w:rsid w:val="00EA395D"/>
    <w:rsid w:val="00EA3A67"/>
    <w:rsid w:val="00EA3CDF"/>
    <w:rsid w:val="00EA3D4E"/>
    <w:rsid w:val="00EA3E9D"/>
    <w:rsid w:val="00EA3F77"/>
    <w:rsid w:val="00EA4348"/>
    <w:rsid w:val="00EA4A55"/>
    <w:rsid w:val="00EA4F7A"/>
    <w:rsid w:val="00EA55E7"/>
    <w:rsid w:val="00EA57C2"/>
    <w:rsid w:val="00EA6259"/>
    <w:rsid w:val="00EA6338"/>
    <w:rsid w:val="00EA63FB"/>
    <w:rsid w:val="00EA67CD"/>
    <w:rsid w:val="00EA68E5"/>
    <w:rsid w:val="00EA6D7A"/>
    <w:rsid w:val="00EA70E6"/>
    <w:rsid w:val="00EA7565"/>
    <w:rsid w:val="00EA7AAF"/>
    <w:rsid w:val="00EA7BEE"/>
    <w:rsid w:val="00EA7D26"/>
    <w:rsid w:val="00EA7FBE"/>
    <w:rsid w:val="00EB0BFA"/>
    <w:rsid w:val="00EB0F33"/>
    <w:rsid w:val="00EB109C"/>
    <w:rsid w:val="00EB1125"/>
    <w:rsid w:val="00EB1446"/>
    <w:rsid w:val="00EB1894"/>
    <w:rsid w:val="00EB1A67"/>
    <w:rsid w:val="00EB1B84"/>
    <w:rsid w:val="00EB2304"/>
    <w:rsid w:val="00EB23BE"/>
    <w:rsid w:val="00EB23D1"/>
    <w:rsid w:val="00EB257D"/>
    <w:rsid w:val="00EB28E3"/>
    <w:rsid w:val="00EB2A85"/>
    <w:rsid w:val="00EB2D7B"/>
    <w:rsid w:val="00EB2EB7"/>
    <w:rsid w:val="00EB2FD7"/>
    <w:rsid w:val="00EB30F8"/>
    <w:rsid w:val="00EB3355"/>
    <w:rsid w:val="00EB3498"/>
    <w:rsid w:val="00EB3E0A"/>
    <w:rsid w:val="00EB46A4"/>
    <w:rsid w:val="00EB4984"/>
    <w:rsid w:val="00EB4B42"/>
    <w:rsid w:val="00EB4E10"/>
    <w:rsid w:val="00EB4E41"/>
    <w:rsid w:val="00EB4EF9"/>
    <w:rsid w:val="00EB5182"/>
    <w:rsid w:val="00EB52E6"/>
    <w:rsid w:val="00EB53EC"/>
    <w:rsid w:val="00EB5B84"/>
    <w:rsid w:val="00EB5FE3"/>
    <w:rsid w:val="00EB643A"/>
    <w:rsid w:val="00EB6982"/>
    <w:rsid w:val="00EB6CFC"/>
    <w:rsid w:val="00EB72F3"/>
    <w:rsid w:val="00EB751A"/>
    <w:rsid w:val="00EB7F3C"/>
    <w:rsid w:val="00EC0047"/>
    <w:rsid w:val="00EC0212"/>
    <w:rsid w:val="00EC03B7"/>
    <w:rsid w:val="00EC0609"/>
    <w:rsid w:val="00EC07B7"/>
    <w:rsid w:val="00EC0CE3"/>
    <w:rsid w:val="00EC13EB"/>
    <w:rsid w:val="00EC1718"/>
    <w:rsid w:val="00EC172E"/>
    <w:rsid w:val="00EC1894"/>
    <w:rsid w:val="00EC1AB2"/>
    <w:rsid w:val="00EC2197"/>
    <w:rsid w:val="00EC2934"/>
    <w:rsid w:val="00EC2A4C"/>
    <w:rsid w:val="00EC34FB"/>
    <w:rsid w:val="00EC3D75"/>
    <w:rsid w:val="00EC419E"/>
    <w:rsid w:val="00EC44FC"/>
    <w:rsid w:val="00EC48D6"/>
    <w:rsid w:val="00EC4A31"/>
    <w:rsid w:val="00EC4A54"/>
    <w:rsid w:val="00EC4C8B"/>
    <w:rsid w:val="00EC4D63"/>
    <w:rsid w:val="00EC5006"/>
    <w:rsid w:val="00EC50C1"/>
    <w:rsid w:val="00EC5589"/>
    <w:rsid w:val="00EC58AC"/>
    <w:rsid w:val="00EC5967"/>
    <w:rsid w:val="00EC5DC4"/>
    <w:rsid w:val="00EC5DD3"/>
    <w:rsid w:val="00EC615F"/>
    <w:rsid w:val="00EC6BBD"/>
    <w:rsid w:val="00EC6D00"/>
    <w:rsid w:val="00EC6EF6"/>
    <w:rsid w:val="00EC713F"/>
    <w:rsid w:val="00EC720F"/>
    <w:rsid w:val="00EC72F4"/>
    <w:rsid w:val="00EC7840"/>
    <w:rsid w:val="00ED0007"/>
    <w:rsid w:val="00ED0098"/>
    <w:rsid w:val="00ED02E9"/>
    <w:rsid w:val="00ED04F7"/>
    <w:rsid w:val="00ED0726"/>
    <w:rsid w:val="00ED122E"/>
    <w:rsid w:val="00ED159C"/>
    <w:rsid w:val="00ED15DF"/>
    <w:rsid w:val="00ED1BFD"/>
    <w:rsid w:val="00ED2006"/>
    <w:rsid w:val="00ED2F97"/>
    <w:rsid w:val="00ED360C"/>
    <w:rsid w:val="00ED373F"/>
    <w:rsid w:val="00ED3AEC"/>
    <w:rsid w:val="00ED464B"/>
    <w:rsid w:val="00ED4650"/>
    <w:rsid w:val="00ED47E6"/>
    <w:rsid w:val="00ED495A"/>
    <w:rsid w:val="00ED4A4C"/>
    <w:rsid w:val="00ED4B57"/>
    <w:rsid w:val="00ED4D5D"/>
    <w:rsid w:val="00ED50FC"/>
    <w:rsid w:val="00ED544D"/>
    <w:rsid w:val="00ED55CB"/>
    <w:rsid w:val="00ED5ACC"/>
    <w:rsid w:val="00ED61DD"/>
    <w:rsid w:val="00ED6301"/>
    <w:rsid w:val="00ED64C1"/>
    <w:rsid w:val="00ED6529"/>
    <w:rsid w:val="00ED65D5"/>
    <w:rsid w:val="00ED73D8"/>
    <w:rsid w:val="00ED75D6"/>
    <w:rsid w:val="00ED76C3"/>
    <w:rsid w:val="00ED7BA7"/>
    <w:rsid w:val="00ED7E87"/>
    <w:rsid w:val="00ED7F8A"/>
    <w:rsid w:val="00EE0261"/>
    <w:rsid w:val="00EE0ACF"/>
    <w:rsid w:val="00EE1003"/>
    <w:rsid w:val="00EE113F"/>
    <w:rsid w:val="00EE1578"/>
    <w:rsid w:val="00EE17D4"/>
    <w:rsid w:val="00EE1A42"/>
    <w:rsid w:val="00EE1D84"/>
    <w:rsid w:val="00EE24CD"/>
    <w:rsid w:val="00EE26C2"/>
    <w:rsid w:val="00EE2829"/>
    <w:rsid w:val="00EE2C32"/>
    <w:rsid w:val="00EE2C5D"/>
    <w:rsid w:val="00EE2E65"/>
    <w:rsid w:val="00EE3007"/>
    <w:rsid w:val="00EE31FF"/>
    <w:rsid w:val="00EE33EF"/>
    <w:rsid w:val="00EE3540"/>
    <w:rsid w:val="00EE378F"/>
    <w:rsid w:val="00EE39B6"/>
    <w:rsid w:val="00EE3B33"/>
    <w:rsid w:val="00EE3B9F"/>
    <w:rsid w:val="00EE406F"/>
    <w:rsid w:val="00EE43D6"/>
    <w:rsid w:val="00EE5159"/>
    <w:rsid w:val="00EE5224"/>
    <w:rsid w:val="00EE54FE"/>
    <w:rsid w:val="00EE5A2B"/>
    <w:rsid w:val="00EE5B23"/>
    <w:rsid w:val="00EE67F1"/>
    <w:rsid w:val="00EE719E"/>
    <w:rsid w:val="00EE7645"/>
    <w:rsid w:val="00EE7728"/>
    <w:rsid w:val="00EE7906"/>
    <w:rsid w:val="00EF0174"/>
    <w:rsid w:val="00EF01D6"/>
    <w:rsid w:val="00EF027A"/>
    <w:rsid w:val="00EF02B2"/>
    <w:rsid w:val="00EF03B3"/>
    <w:rsid w:val="00EF081C"/>
    <w:rsid w:val="00EF0CB4"/>
    <w:rsid w:val="00EF0EC1"/>
    <w:rsid w:val="00EF0FAE"/>
    <w:rsid w:val="00EF0FE7"/>
    <w:rsid w:val="00EF0FEF"/>
    <w:rsid w:val="00EF1767"/>
    <w:rsid w:val="00EF1ACB"/>
    <w:rsid w:val="00EF1BAC"/>
    <w:rsid w:val="00EF1F16"/>
    <w:rsid w:val="00EF1F5A"/>
    <w:rsid w:val="00EF217F"/>
    <w:rsid w:val="00EF21B8"/>
    <w:rsid w:val="00EF22CE"/>
    <w:rsid w:val="00EF2328"/>
    <w:rsid w:val="00EF251D"/>
    <w:rsid w:val="00EF256D"/>
    <w:rsid w:val="00EF27AE"/>
    <w:rsid w:val="00EF2B82"/>
    <w:rsid w:val="00EF2D18"/>
    <w:rsid w:val="00EF2D1F"/>
    <w:rsid w:val="00EF2EA8"/>
    <w:rsid w:val="00EF3151"/>
    <w:rsid w:val="00EF3328"/>
    <w:rsid w:val="00EF3686"/>
    <w:rsid w:val="00EF4673"/>
    <w:rsid w:val="00EF4860"/>
    <w:rsid w:val="00EF49EC"/>
    <w:rsid w:val="00EF532E"/>
    <w:rsid w:val="00EF5D76"/>
    <w:rsid w:val="00EF61D1"/>
    <w:rsid w:val="00EF62D3"/>
    <w:rsid w:val="00EF6AA8"/>
    <w:rsid w:val="00EF6B22"/>
    <w:rsid w:val="00EF6B64"/>
    <w:rsid w:val="00EF6F41"/>
    <w:rsid w:val="00EF705A"/>
    <w:rsid w:val="00EF71CE"/>
    <w:rsid w:val="00EF7F60"/>
    <w:rsid w:val="00EF7F8E"/>
    <w:rsid w:val="00F00A1D"/>
    <w:rsid w:val="00F00AAE"/>
    <w:rsid w:val="00F00B00"/>
    <w:rsid w:val="00F00B77"/>
    <w:rsid w:val="00F00C69"/>
    <w:rsid w:val="00F00D22"/>
    <w:rsid w:val="00F010DB"/>
    <w:rsid w:val="00F0138C"/>
    <w:rsid w:val="00F01544"/>
    <w:rsid w:val="00F01C22"/>
    <w:rsid w:val="00F0232E"/>
    <w:rsid w:val="00F0269D"/>
    <w:rsid w:val="00F0276D"/>
    <w:rsid w:val="00F03458"/>
    <w:rsid w:val="00F03ACD"/>
    <w:rsid w:val="00F04010"/>
    <w:rsid w:val="00F04076"/>
    <w:rsid w:val="00F0446A"/>
    <w:rsid w:val="00F046EB"/>
    <w:rsid w:val="00F048F9"/>
    <w:rsid w:val="00F04FB2"/>
    <w:rsid w:val="00F050F4"/>
    <w:rsid w:val="00F05420"/>
    <w:rsid w:val="00F05922"/>
    <w:rsid w:val="00F05C04"/>
    <w:rsid w:val="00F05C81"/>
    <w:rsid w:val="00F05EEB"/>
    <w:rsid w:val="00F06DEA"/>
    <w:rsid w:val="00F07012"/>
    <w:rsid w:val="00F0738E"/>
    <w:rsid w:val="00F073B4"/>
    <w:rsid w:val="00F07720"/>
    <w:rsid w:val="00F07BCF"/>
    <w:rsid w:val="00F07E5A"/>
    <w:rsid w:val="00F10680"/>
    <w:rsid w:val="00F10C1B"/>
    <w:rsid w:val="00F10C83"/>
    <w:rsid w:val="00F11405"/>
    <w:rsid w:val="00F115D3"/>
    <w:rsid w:val="00F11BDE"/>
    <w:rsid w:val="00F11C50"/>
    <w:rsid w:val="00F11EAA"/>
    <w:rsid w:val="00F127CC"/>
    <w:rsid w:val="00F12D48"/>
    <w:rsid w:val="00F12DA7"/>
    <w:rsid w:val="00F13041"/>
    <w:rsid w:val="00F13ADD"/>
    <w:rsid w:val="00F13C66"/>
    <w:rsid w:val="00F13DD5"/>
    <w:rsid w:val="00F1426B"/>
    <w:rsid w:val="00F144FD"/>
    <w:rsid w:val="00F1457B"/>
    <w:rsid w:val="00F14F2F"/>
    <w:rsid w:val="00F14F67"/>
    <w:rsid w:val="00F1517F"/>
    <w:rsid w:val="00F151DC"/>
    <w:rsid w:val="00F154EA"/>
    <w:rsid w:val="00F15E0F"/>
    <w:rsid w:val="00F1657E"/>
    <w:rsid w:val="00F16B5B"/>
    <w:rsid w:val="00F16D7E"/>
    <w:rsid w:val="00F17503"/>
    <w:rsid w:val="00F1776A"/>
    <w:rsid w:val="00F17915"/>
    <w:rsid w:val="00F17AC9"/>
    <w:rsid w:val="00F17C75"/>
    <w:rsid w:val="00F17D23"/>
    <w:rsid w:val="00F17E25"/>
    <w:rsid w:val="00F201AE"/>
    <w:rsid w:val="00F202A7"/>
    <w:rsid w:val="00F20EC0"/>
    <w:rsid w:val="00F20ECB"/>
    <w:rsid w:val="00F210D6"/>
    <w:rsid w:val="00F21129"/>
    <w:rsid w:val="00F211E3"/>
    <w:rsid w:val="00F214A9"/>
    <w:rsid w:val="00F21599"/>
    <w:rsid w:val="00F21773"/>
    <w:rsid w:val="00F219B6"/>
    <w:rsid w:val="00F21A02"/>
    <w:rsid w:val="00F21AC0"/>
    <w:rsid w:val="00F21DDF"/>
    <w:rsid w:val="00F22278"/>
    <w:rsid w:val="00F22FA3"/>
    <w:rsid w:val="00F2337D"/>
    <w:rsid w:val="00F2344A"/>
    <w:rsid w:val="00F23478"/>
    <w:rsid w:val="00F23F7D"/>
    <w:rsid w:val="00F2461B"/>
    <w:rsid w:val="00F246C5"/>
    <w:rsid w:val="00F25010"/>
    <w:rsid w:val="00F25413"/>
    <w:rsid w:val="00F260D4"/>
    <w:rsid w:val="00F26452"/>
    <w:rsid w:val="00F26E5E"/>
    <w:rsid w:val="00F271CD"/>
    <w:rsid w:val="00F27738"/>
    <w:rsid w:val="00F27941"/>
    <w:rsid w:val="00F27B50"/>
    <w:rsid w:val="00F27BCA"/>
    <w:rsid w:val="00F27F60"/>
    <w:rsid w:val="00F3053A"/>
    <w:rsid w:val="00F30816"/>
    <w:rsid w:val="00F30979"/>
    <w:rsid w:val="00F30E3A"/>
    <w:rsid w:val="00F312B6"/>
    <w:rsid w:val="00F316B8"/>
    <w:rsid w:val="00F31A62"/>
    <w:rsid w:val="00F3200C"/>
    <w:rsid w:val="00F324A7"/>
    <w:rsid w:val="00F32735"/>
    <w:rsid w:val="00F329F7"/>
    <w:rsid w:val="00F32AF4"/>
    <w:rsid w:val="00F332DA"/>
    <w:rsid w:val="00F3392B"/>
    <w:rsid w:val="00F33D44"/>
    <w:rsid w:val="00F34023"/>
    <w:rsid w:val="00F340B3"/>
    <w:rsid w:val="00F3438A"/>
    <w:rsid w:val="00F346F3"/>
    <w:rsid w:val="00F34833"/>
    <w:rsid w:val="00F34CD4"/>
    <w:rsid w:val="00F350B5"/>
    <w:rsid w:val="00F3521C"/>
    <w:rsid w:val="00F3543C"/>
    <w:rsid w:val="00F35491"/>
    <w:rsid w:val="00F3557B"/>
    <w:rsid w:val="00F35A42"/>
    <w:rsid w:val="00F35B23"/>
    <w:rsid w:val="00F35C11"/>
    <w:rsid w:val="00F360FB"/>
    <w:rsid w:val="00F36DCE"/>
    <w:rsid w:val="00F36ED4"/>
    <w:rsid w:val="00F3794B"/>
    <w:rsid w:val="00F379D2"/>
    <w:rsid w:val="00F37B49"/>
    <w:rsid w:val="00F40666"/>
    <w:rsid w:val="00F406E9"/>
    <w:rsid w:val="00F40912"/>
    <w:rsid w:val="00F40A37"/>
    <w:rsid w:val="00F41B2F"/>
    <w:rsid w:val="00F41D2D"/>
    <w:rsid w:val="00F4229F"/>
    <w:rsid w:val="00F42487"/>
    <w:rsid w:val="00F43345"/>
    <w:rsid w:val="00F43D74"/>
    <w:rsid w:val="00F43DB0"/>
    <w:rsid w:val="00F43E8E"/>
    <w:rsid w:val="00F44CBE"/>
    <w:rsid w:val="00F44E0F"/>
    <w:rsid w:val="00F453ED"/>
    <w:rsid w:val="00F45554"/>
    <w:rsid w:val="00F45627"/>
    <w:rsid w:val="00F457CE"/>
    <w:rsid w:val="00F458FF"/>
    <w:rsid w:val="00F45E99"/>
    <w:rsid w:val="00F45F36"/>
    <w:rsid w:val="00F4630B"/>
    <w:rsid w:val="00F4631F"/>
    <w:rsid w:val="00F467AD"/>
    <w:rsid w:val="00F46804"/>
    <w:rsid w:val="00F46B3B"/>
    <w:rsid w:val="00F472DD"/>
    <w:rsid w:val="00F47755"/>
    <w:rsid w:val="00F47787"/>
    <w:rsid w:val="00F477A1"/>
    <w:rsid w:val="00F477F0"/>
    <w:rsid w:val="00F47909"/>
    <w:rsid w:val="00F47922"/>
    <w:rsid w:val="00F47C8B"/>
    <w:rsid w:val="00F50440"/>
    <w:rsid w:val="00F507B8"/>
    <w:rsid w:val="00F50A7F"/>
    <w:rsid w:val="00F51295"/>
    <w:rsid w:val="00F51A27"/>
    <w:rsid w:val="00F51C0B"/>
    <w:rsid w:val="00F51FDA"/>
    <w:rsid w:val="00F52B39"/>
    <w:rsid w:val="00F5311E"/>
    <w:rsid w:val="00F533FD"/>
    <w:rsid w:val="00F54400"/>
    <w:rsid w:val="00F5447A"/>
    <w:rsid w:val="00F54685"/>
    <w:rsid w:val="00F54865"/>
    <w:rsid w:val="00F548D7"/>
    <w:rsid w:val="00F54ADA"/>
    <w:rsid w:val="00F54D51"/>
    <w:rsid w:val="00F551C2"/>
    <w:rsid w:val="00F551E5"/>
    <w:rsid w:val="00F5523D"/>
    <w:rsid w:val="00F5573A"/>
    <w:rsid w:val="00F55900"/>
    <w:rsid w:val="00F55CFD"/>
    <w:rsid w:val="00F562B6"/>
    <w:rsid w:val="00F563F5"/>
    <w:rsid w:val="00F56D5A"/>
    <w:rsid w:val="00F56FAB"/>
    <w:rsid w:val="00F5737A"/>
    <w:rsid w:val="00F60A18"/>
    <w:rsid w:val="00F60DD5"/>
    <w:rsid w:val="00F60EE6"/>
    <w:rsid w:val="00F6128A"/>
    <w:rsid w:val="00F6139C"/>
    <w:rsid w:val="00F61930"/>
    <w:rsid w:val="00F61C01"/>
    <w:rsid w:val="00F61EE8"/>
    <w:rsid w:val="00F620E7"/>
    <w:rsid w:val="00F6221B"/>
    <w:rsid w:val="00F623EF"/>
    <w:rsid w:val="00F627AF"/>
    <w:rsid w:val="00F628DE"/>
    <w:rsid w:val="00F62B48"/>
    <w:rsid w:val="00F63158"/>
    <w:rsid w:val="00F634F4"/>
    <w:rsid w:val="00F63853"/>
    <w:rsid w:val="00F63B3E"/>
    <w:rsid w:val="00F63F90"/>
    <w:rsid w:val="00F64087"/>
    <w:rsid w:val="00F64108"/>
    <w:rsid w:val="00F64692"/>
    <w:rsid w:val="00F64817"/>
    <w:rsid w:val="00F64C73"/>
    <w:rsid w:val="00F64F32"/>
    <w:rsid w:val="00F6524D"/>
    <w:rsid w:val="00F654BD"/>
    <w:rsid w:val="00F655B6"/>
    <w:rsid w:val="00F657A4"/>
    <w:rsid w:val="00F65C23"/>
    <w:rsid w:val="00F65E99"/>
    <w:rsid w:val="00F66C46"/>
    <w:rsid w:val="00F66E0C"/>
    <w:rsid w:val="00F67B81"/>
    <w:rsid w:val="00F70185"/>
    <w:rsid w:val="00F70249"/>
    <w:rsid w:val="00F70939"/>
    <w:rsid w:val="00F70D98"/>
    <w:rsid w:val="00F7101E"/>
    <w:rsid w:val="00F712C3"/>
    <w:rsid w:val="00F712D8"/>
    <w:rsid w:val="00F713A1"/>
    <w:rsid w:val="00F713C6"/>
    <w:rsid w:val="00F714DB"/>
    <w:rsid w:val="00F71D18"/>
    <w:rsid w:val="00F71E5C"/>
    <w:rsid w:val="00F7228E"/>
    <w:rsid w:val="00F72456"/>
    <w:rsid w:val="00F72F65"/>
    <w:rsid w:val="00F7308C"/>
    <w:rsid w:val="00F73146"/>
    <w:rsid w:val="00F73277"/>
    <w:rsid w:val="00F735AA"/>
    <w:rsid w:val="00F73821"/>
    <w:rsid w:val="00F73954"/>
    <w:rsid w:val="00F73E2F"/>
    <w:rsid w:val="00F74156"/>
    <w:rsid w:val="00F744B7"/>
    <w:rsid w:val="00F748C8"/>
    <w:rsid w:val="00F749B9"/>
    <w:rsid w:val="00F74D71"/>
    <w:rsid w:val="00F7530E"/>
    <w:rsid w:val="00F7544E"/>
    <w:rsid w:val="00F75B4B"/>
    <w:rsid w:val="00F75D41"/>
    <w:rsid w:val="00F75DBC"/>
    <w:rsid w:val="00F75E3F"/>
    <w:rsid w:val="00F760AD"/>
    <w:rsid w:val="00F7636A"/>
    <w:rsid w:val="00F76373"/>
    <w:rsid w:val="00F764E4"/>
    <w:rsid w:val="00F76BCE"/>
    <w:rsid w:val="00F77529"/>
    <w:rsid w:val="00F77A15"/>
    <w:rsid w:val="00F77E91"/>
    <w:rsid w:val="00F80BC9"/>
    <w:rsid w:val="00F8113D"/>
    <w:rsid w:val="00F811D2"/>
    <w:rsid w:val="00F812A1"/>
    <w:rsid w:val="00F813A5"/>
    <w:rsid w:val="00F813C2"/>
    <w:rsid w:val="00F813E7"/>
    <w:rsid w:val="00F8177A"/>
    <w:rsid w:val="00F81A1D"/>
    <w:rsid w:val="00F820EB"/>
    <w:rsid w:val="00F827BE"/>
    <w:rsid w:val="00F82F47"/>
    <w:rsid w:val="00F830A6"/>
    <w:rsid w:val="00F830F6"/>
    <w:rsid w:val="00F832D6"/>
    <w:rsid w:val="00F83318"/>
    <w:rsid w:val="00F8346D"/>
    <w:rsid w:val="00F836EC"/>
    <w:rsid w:val="00F837E9"/>
    <w:rsid w:val="00F83B1D"/>
    <w:rsid w:val="00F83E76"/>
    <w:rsid w:val="00F8410A"/>
    <w:rsid w:val="00F8416B"/>
    <w:rsid w:val="00F84A32"/>
    <w:rsid w:val="00F84A93"/>
    <w:rsid w:val="00F85284"/>
    <w:rsid w:val="00F855D2"/>
    <w:rsid w:val="00F85AED"/>
    <w:rsid w:val="00F85F28"/>
    <w:rsid w:val="00F86741"/>
    <w:rsid w:val="00F86853"/>
    <w:rsid w:val="00F87242"/>
    <w:rsid w:val="00F872DB"/>
    <w:rsid w:val="00F8758F"/>
    <w:rsid w:val="00F87826"/>
    <w:rsid w:val="00F879A8"/>
    <w:rsid w:val="00F87BED"/>
    <w:rsid w:val="00F87C07"/>
    <w:rsid w:val="00F9087A"/>
    <w:rsid w:val="00F90D7B"/>
    <w:rsid w:val="00F910B5"/>
    <w:rsid w:val="00F911B5"/>
    <w:rsid w:val="00F9145B"/>
    <w:rsid w:val="00F91785"/>
    <w:rsid w:val="00F91C40"/>
    <w:rsid w:val="00F91FCB"/>
    <w:rsid w:val="00F9289D"/>
    <w:rsid w:val="00F933A8"/>
    <w:rsid w:val="00F936B4"/>
    <w:rsid w:val="00F93A41"/>
    <w:rsid w:val="00F93C6E"/>
    <w:rsid w:val="00F93CB7"/>
    <w:rsid w:val="00F940C0"/>
    <w:rsid w:val="00F94411"/>
    <w:rsid w:val="00F94910"/>
    <w:rsid w:val="00F9498A"/>
    <w:rsid w:val="00F951D3"/>
    <w:rsid w:val="00F9559F"/>
    <w:rsid w:val="00F95B14"/>
    <w:rsid w:val="00F96022"/>
    <w:rsid w:val="00F961F2"/>
    <w:rsid w:val="00F964F0"/>
    <w:rsid w:val="00F9670F"/>
    <w:rsid w:val="00F96B1E"/>
    <w:rsid w:val="00F96BB0"/>
    <w:rsid w:val="00F96DF3"/>
    <w:rsid w:val="00F96E07"/>
    <w:rsid w:val="00F97442"/>
    <w:rsid w:val="00F97842"/>
    <w:rsid w:val="00F97BF7"/>
    <w:rsid w:val="00F97CBE"/>
    <w:rsid w:val="00FA02DE"/>
    <w:rsid w:val="00FA04D1"/>
    <w:rsid w:val="00FA04F4"/>
    <w:rsid w:val="00FA0B3A"/>
    <w:rsid w:val="00FA0D78"/>
    <w:rsid w:val="00FA0F02"/>
    <w:rsid w:val="00FA129B"/>
    <w:rsid w:val="00FA14DC"/>
    <w:rsid w:val="00FA1631"/>
    <w:rsid w:val="00FA244C"/>
    <w:rsid w:val="00FA247D"/>
    <w:rsid w:val="00FA2A1A"/>
    <w:rsid w:val="00FA2B89"/>
    <w:rsid w:val="00FA2BED"/>
    <w:rsid w:val="00FA2C33"/>
    <w:rsid w:val="00FA3A60"/>
    <w:rsid w:val="00FA3D97"/>
    <w:rsid w:val="00FA40ED"/>
    <w:rsid w:val="00FA40F8"/>
    <w:rsid w:val="00FA458B"/>
    <w:rsid w:val="00FA46C4"/>
    <w:rsid w:val="00FA4974"/>
    <w:rsid w:val="00FA4CE0"/>
    <w:rsid w:val="00FA55A0"/>
    <w:rsid w:val="00FA5CAF"/>
    <w:rsid w:val="00FA64D2"/>
    <w:rsid w:val="00FA68C4"/>
    <w:rsid w:val="00FA6905"/>
    <w:rsid w:val="00FA6B36"/>
    <w:rsid w:val="00FA708C"/>
    <w:rsid w:val="00FA745F"/>
    <w:rsid w:val="00FA7917"/>
    <w:rsid w:val="00FA7A03"/>
    <w:rsid w:val="00FA7BC8"/>
    <w:rsid w:val="00FA7F08"/>
    <w:rsid w:val="00FB06B7"/>
    <w:rsid w:val="00FB0AAE"/>
    <w:rsid w:val="00FB0D77"/>
    <w:rsid w:val="00FB10BC"/>
    <w:rsid w:val="00FB14B3"/>
    <w:rsid w:val="00FB15FC"/>
    <w:rsid w:val="00FB193E"/>
    <w:rsid w:val="00FB1F51"/>
    <w:rsid w:val="00FB3714"/>
    <w:rsid w:val="00FB3E84"/>
    <w:rsid w:val="00FB4181"/>
    <w:rsid w:val="00FB4336"/>
    <w:rsid w:val="00FB4393"/>
    <w:rsid w:val="00FB4546"/>
    <w:rsid w:val="00FB497D"/>
    <w:rsid w:val="00FB4F1B"/>
    <w:rsid w:val="00FB566F"/>
    <w:rsid w:val="00FB58EE"/>
    <w:rsid w:val="00FB5B23"/>
    <w:rsid w:val="00FB5BC0"/>
    <w:rsid w:val="00FB6CB6"/>
    <w:rsid w:val="00FB750E"/>
    <w:rsid w:val="00FB75D3"/>
    <w:rsid w:val="00FB7A79"/>
    <w:rsid w:val="00FB7CDD"/>
    <w:rsid w:val="00FB7ED9"/>
    <w:rsid w:val="00FC01C3"/>
    <w:rsid w:val="00FC01EC"/>
    <w:rsid w:val="00FC03D7"/>
    <w:rsid w:val="00FC1988"/>
    <w:rsid w:val="00FC1B0C"/>
    <w:rsid w:val="00FC1B3C"/>
    <w:rsid w:val="00FC1CBC"/>
    <w:rsid w:val="00FC1EFA"/>
    <w:rsid w:val="00FC2419"/>
    <w:rsid w:val="00FC2C5E"/>
    <w:rsid w:val="00FC3095"/>
    <w:rsid w:val="00FC3653"/>
    <w:rsid w:val="00FC3D19"/>
    <w:rsid w:val="00FC3EFE"/>
    <w:rsid w:val="00FC427D"/>
    <w:rsid w:val="00FC4305"/>
    <w:rsid w:val="00FC4661"/>
    <w:rsid w:val="00FC4D82"/>
    <w:rsid w:val="00FC4DC3"/>
    <w:rsid w:val="00FC52F2"/>
    <w:rsid w:val="00FC542D"/>
    <w:rsid w:val="00FC5483"/>
    <w:rsid w:val="00FC5506"/>
    <w:rsid w:val="00FC5517"/>
    <w:rsid w:val="00FC626C"/>
    <w:rsid w:val="00FC6DBE"/>
    <w:rsid w:val="00FC7411"/>
    <w:rsid w:val="00FC7666"/>
    <w:rsid w:val="00FC76FB"/>
    <w:rsid w:val="00FC7935"/>
    <w:rsid w:val="00FC7B9F"/>
    <w:rsid w:val="00FD032D"/>
    <w:rsid w:val="00FD077A"/>
    <w:rsid w:val="00FD099F"/>
    <w:rsid w:val="00FD1512"/>
    <w:rsid w:val="00FD151F"/>
    <w:rsid w:val="00FD1681"/>
    <w:rsid w:val="00FD1A00"/>
    <w:rsid w:val="00FD1A77"/>
    <w:rsid w:val="00FD1D4A"/>
    <w:rsid w:val="00FD2163"/>
    <w:rsid w:val="00FD223C"/>
    <w:rsid w:val="00FD23C4"/>
    <w:rsid w:val="00FD25A2"/>
    <w:rsid w:val="00FD27C9"/>
    <w:rsid w:val="00FD2892"/>
    <w:rsid w:val="00FD28DA"/>
    <w:rsid w:val="00FD293C"/>
    <w:rsid w:val="00FD2D08"/>
    <w:rsid w:val="00FD2F85"/>
    <w:rsid w:val="00FD3066"/>
    <w:rsid w:val="00FD31C3"/>
    <w:rsid w:val="00FD3300"/>
    <w:rsid w:val="00FD35C7"/>
    <w:rsid w:val="00FD39B9"/>
    <w:rsid w:val="00FD3B93"/>
    <w:rsid w:val="00FD3C27"/>
    <w:rsid w:val="00FD41CF"/>
    <w:rsid w:val="00FD4A06"/>
    <w:rsid w:val="00FD4AFA"/>
    <w:rsid w:val="00FD529B"/>
    <w:rsid w:val="00FD52C1"/>
    <w:rsid w:val="00FD5748"/>
    <w:rsid w:val="00FD58A9"/>
    <w:rsid w:val="00FD5E27"/>
    <w:rsid w:val="00FD61C7"/>
    <w:rsid w:val="00FD6495"/>
    <w:rsid w:val="00FD67D2"/>
    <w:rsid w:val="00FD683B"/>
    <w:rsid w:val="00FD6A78"/>
    <w:rsid w:val="00FD6A7D"/>
    <w:rsid w:val="00FD7381"/>
    <w:rsid w:val="00FD77C3"/>
    <w:rsid w:val="00FD7DAD"/>
    <w:rsid w:val="00FE0B28"/>
    <w:rsid w:val="00FE0EB3"/>
    <w:rsid w:val="00FE14A1"/>
    <w:rsid w:val="00FE17D9"/>
    <w:rsid w:val="00FE197C"/>
    <w:rsid w:val="00FE1986"/>
    <w:rsid w:val="00FE1B45"/>
    <w:rsid w:val="00FE2537"/>
    <w:rsid w:val="00FE2825"/>
    <w:rsid w:val="00FE2C28"/>
    <w:rsid w:val="00FE2CAB"/>
    <w:rsid w:val="00FE2E45"/>
    <w:rsid w:val="00FE31BF"/>
    <w:rsid w:val="00FE34C0"/>
    <w:rsid w:val="00FE3505"/>
    <w:rsid w:val="00FE37FB"/>
    <w:rsid w:val="00FE3FF9"/>
    <w:rsid w:val="00FE45B7"/>
    <w:rsid w:val="00FE475C"/>
    <w:rsid w:val="00FE4BB8"/>
    <w:rsid w:val="00FE4C6E"/>
    <w:rsid w:val="00FE4F26"/>
    <w:rsid w:val="00FE5316"/>
    <w:rsid w:val="00FE55A0"/>
    <w:rsid w:val="00FE6609"/>
    <w:rsid w:val="00FE670E"/>
    <w:rsid w:val="00FE682E"/>
    <w:rsid w:val="00FE6C39"/>
    <w:rsid w:val="00FE6F4A"/>
    <w:rsid w:val="00FE721C"/>
    <w:rsid w:val="00FE7386"/>
    <w:rsid w:val="00FE73D6"/>
    <w:rsid w:val="00FE7A80"/>
    <w:rsid w:val="00FE7BF5"/>
    <w:rsid w:val="00FE7DB8"/>
    <w:rsid w:val="00FF00D8"/>
    <w:rsid w:val="00FF044F"/>
    <w:rsid w:val="00FF0530"/>
    <w:rsid w:val="00FF09B9"/>
    <w:rsid w:val="00FF0B14"/>
    <w:rsid w:val="00FF0C88"/>
    <w:rsid w:val="00FF0EAA"/>
    <w:rsid w:val="00FF1B2A"/>
    <w:rsid w:val="00FF1BA3"/>
    <w:rsid w:val="00FF1E2A"/>
    <w:rsid w:val="00FF2120"/>
    <w:rsid w:val="00FF229B"/>
    <w:rsid w:val="00FF3029"/>
    <w:rsid w:val="00FF312C"/>
    <w:rsid w:val="00FF365F"/>
    <w:rsid w:val="00FF37E6"/>
    <w:rsid w:val="00FF39F0"/>
    <w:rsid w:val="00FF3EA0"/>
    <w:rsid w:val="00FF4167"/>
    <w:rsid w:val="00FF43A8"/>
    <w:rsid w:val="00FF4734"/>
    <w:rsid w:val="00FF4AC7"/>
    <w:rsid w:val="00FF4F3A"/>
    <w:rsid w:val="00FF513A"/>
    <w:rsid w:val="00FF6C5F"/>
    <w:rsid w:val="00FF6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C7043D"/>
  <w15:docId w15:val="{17811777-141C-497B-A917-0DD32079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A8B"/>
    <w:pPr>
      <w:widowControl w:val="0"/>
      <w:autoSpaceDE w:val="0"/>
      <w:autoSpaceDN w:val="0"/>
      <w:adjustRightInd w:val="0"/>
    </w:pPr>
    <w:rPr>
      <w:rFonts w:ascii="Times New Roman" w:hAnsi="Times New Roman"/>
    </w:rPr>
  </w:style>
  <w:style w:type="paragraph" w:styleId="Heading1">
    <w:name w:val="heading 1"/>
    <w:basedOn w:val="Normal"/>
    <w:next w:val="Normal"/>
    <w:link w:val="Heading1Char"/>
    <w:qFormat/>
    <w:rsid w:val="0005769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4E0A14"/>
    <w:pPr>
      <w:keepNext/>
      <w:widowControl/>
      <w:autoSpaceDE/>
      <w:autoSpaceDN/>
      <w:adjustRightInd/>
      <w:outlineLvl w:val="1"/>
    </w:pPr>
    <w:rPr>
      <w:b/>
      <w:sz w:val="28"/>
    </w:rPr>
  </w:style>
  <w:style w:type="paragraph" w:styleId="Heading3">
    <w:name w:val="heading 3"/>
    <w:basedOn w:val="Normal"/>
    <w:next w:val="Text"/>
    <w:link w:val="Heading3Char"/>
    <w:uiPriority w:val="9"/>
    <w:qFormat/>
    <w:rsid w:val="008E5198"/>
    <w:pPr>
      <w:keepNext/>
      <w:widowControl/>
      <w:overflowPunct w:val="0"/>
      <w:spacing w:before="80" w:after="80"/>
      <w:textAlignment w:val="baseline"/>
      <w:outlineLvl w:val="2"/>
    </w:pPr>
    <w:rPr>
      <w:b/>
      <w:bCs/>
      <w:iCs/>
      <w:sz w:val="24"/>
      <w:lang w:eastAsia="en-US"/>
    </w:rPr>
  </w:style>
  <w:style w:type="paragraph" w:styleId="Heading4">
    <w:name w:val="heading 4"/>
    <w:basedOn w:val="Normal"/>
    <w:next w:val="Normal"/>
    <w:link w:val="Heading4Char"/>
    <w:uiPriority w:val="9"/>
    <w:unhideWhenUsed/>
    <w:qFormat/>
    <w:rsid w:val="00A42CFE"/>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8E5198"/>
    <w:pPr>
      <w:widowControl/>
      <w:overflowPunct w:val="0"/>
      <w:spacing w:before="80" w:after="80"/>
      <w:textAlignment w:val="baseline"/>
      <w:outlineLvl w:val="4"/>
    </w:pPr>
    <w:rPr>
      <w:sz w:val="22"/>
      <w:lang w:eastAsia="en-US"/>
    </w:rPr>
  </w:style>
  <w:style w:type="paragraph" w:styleId="Heading6">
    <w:name w:val="heading 6"/>
    <w:basedOn w:val="Normal"/>
    <w:next w:val="Heading7"/>
    <w:link w:val="Heading6Char"/>
    <w:uiPriority w:val="9"/>
    <w:qFormat/>
    <w:rsid w:val="008E5198"/>
    <w:pPr>
      <w:widowControl/>
      <w:overflowPunct w:val="0"/>
      <w:spacing w:before="80" w:after="80"/>
      <w:textAlignment w:val="baseline"/>
      <w:outlineLvl w:val="5"/>
    </w:pPr>
    <w:rPr>
      <w:i/>
      <w:iCs/>
      <w:sz w:val="22"/>
      <w:lang w:eastAsia="en-US"/>
    </w:rPr>
  </w:style>
  <w:style w:type="paragraph" w:styleId="Heading7">
    <w:name w:val="heading 7"/>
    <w:basedOn w:val="Normal"/>
    <w:next w:val="Normal"/>
    <w:link w:val="Heading7Char"/>
    <w:uiPriority w:val="9"/>
    <w:qFormat/>
    <w:rsid w:val="008E5198"/>
    <w:pPr>
      <w:widowControl/>
      <w:overflowPunct w:val="0"/>
      <w:spacing w:before="80" w:after="80"/>
      <w:textAlignment w:val="baseline"/>
      <w:outlineLvl w:val="6"/>
    </w:pPr>
    <w:rPr>
      <w:sz w:val="22"/>
      <w:lang w:eastAsia="en-US"/>
    </w:rPr>
  </w:style>
  <w:style w:type="paragraph" w:styleId="Heading8">
    <w:name w:val="heading 8"/>
    <w:basedOn w:val="Normal"/>
    <w:next w:val="Normal"/>
    <w:link w:val="Heading8Char"/>
    <w:uiPriority w:val="9"/>
    <w:qFormat/>
    <w:rsid w:val="008E5198"/>
    <w:pPr>
      <w:widowControl/>
      <w:overflowPunct w:val="0"/>
      <w:spacing w:before="80" w:after="80"/>
      <w:textAlignment w:val="baseline"/>
      <w:outlineLvl w:val="7"/>
    </w:pPr>
    <w:rPr>
      <w:sz w:val="22"/>
      <w:lang w:eastAsia="en-US"/>
    </w:rPr>
  </w:style>
  <w:style w:type="paragraph" w:styleId="Heading9">
    <w:name w:val="heading 9"/>
    <w:basedOn w:val="Normal"/>
    <w:next w:val="Normal"/>
    <w:link w:val="Heading9Char"/>
    <w:uiPriority w:val="9"/>
    <w:qFormat/>
    <w:rsid w:val="008E5198"/>
    <w:pPr>
      <w:widowControl/>
      <w:overflowPunct w:val="0"/>
      <w:spacing w:before="80" w:after="80"/>
      <w:textAlignment w:val="baseline"/>
      <w:outlineLvl w:val="8"/>
    </w:pPr>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57694"/>
    <w:rPr>
      <w:rFonts w:ascii="Cambria" w:eastAsia="Times New Roman" w:hAnsi="Cambria" w:cs="Times New Roman"/>
      <w:b/>
      <w:bCs/>
      <w:kern w:val="32"/>
      <w:sz w:val="32"/>
      <w:szCs w:val="32"/>
    </w:rPr>
  </w:style>
  <w:style w:type="character" w:customStyle="1" w:styleId="Heading2Char">
    <w:name w:val="Heading 2 Char"/>
    <w:link w:val="Heading2"/>
    <w:uiPriority w:val="9"/>
    <w:rsid w:val="004E0A14"/>
    <w:rPr>
      <w:rFonts w:ascii="Times New Roman" w:hAnsi="Times New Roman"/>
      <w:b/>
      <w:sz w:val="28"/>
      <w:lang w:eastAsia="ro-RO"/>
    </w:rPr>
  </w:style>
  <w:style w:type="paragraph" w:customStyle="1" w:styleId="Text">
    <w:name w:val="Text"/>
    <w:basedOn w:val="Normal"/>
    <w:uiPriority w:val="99"/>
    <w:rsid w:val="001111D8"/>
    <w:pPr>
      <w:widowControl/>
      <w:overflowPunct w:val="0"/>
      <w:spacing w:after="260"/>
      <w:jc w:val="both"/>
      <w:textAlignment w:val="baseline"/>
    </w:pPr>
    <w:rPr>
      <w:sz w:val="22"/>
      <w:lang w:eastAsia="en-US"/>
    </w:rPr>
  </w:style>
  <w:style w:type="character" w:customStyle="1" w:styleId="Heading3Char">
    <w:name w:val="Heading 3 Char"/>
    <w:link w:val="Heading3"/>
    <w:uiPriority w:val="9"/>
    <w:rsid w:val="008E5198"/>
    <w:rPr>
      <w:rFonts w:ascii="Times New Roman" w:hAnsi="Times New Roman"/>
      <w:b/>
      <w:bCs/>
      <w:iCs/>
      <w:sz w:val="24"/>
      <w:lang w:val="en-US" w:eastAsia="en-US"/>
    </w:rPr>
  </w:style>
  <w:style w:type="character" w:customStyle="1" w:styleId="Heading4Char">
    <w:name w:val="Heading 4 Char"/>
    <w:link w:val="Heading4"/>
    <w:uiPriority w:val="9"/>
    <w:rsid w:val="00A42CFE"/>
    <w:rPr>
      <w:rFonts w:ascii="Calibri" w:eastAsia="Times New Roman" w:hAnsi="Calibri" w:cs="Times New Roman"/>
      <w:b/>
      <w:bCs/>
      <w:sz w:val="28"/>
      <w:szCs w:val="28"/>
    </w:rPr>
  </w:style>
  <w:style w:type="character" w:customStyle="1" w:styleId="Heading5Char">
    <w:name w:val="Heading 5 Char"/>
    <w:link w:val="Heading5"/>
    <w:uiPriority w:val="9"/>
    <w:rsid w:val="008E5198"/>
    <w:rPr>
      <w:rFonts w:ascii="Times New Roman" w:hAnsi="Times New Roman"/>
      <w:sz w:val="22"/>
      <w:lang w:val="en-US" w:eastAsia="en-US"/>
    </w:rPr>
  </w:style>
  <w:style w:type="character" w:customStyle="1" w:styleId="Heading7Char">
    <w:name w:val="Heading 7 Char"/>
    <w:link w:val="Heading7"/>
    <w:uiPriority w:val="9"/>
    <w:rsid w:val="008E5198"/>
    <w:rPr>
      <w:rFonts w:ascii="Times New Roman" w:hAnsi="Times New Roman"/>
      <w:sz w:val="22"/>
      <w:lang w:val="en-US" w:eastAsia="en-US"/>
    </w:rPr>
  </w:style>
  <w:style w:type="character" w:customStyle="1" w:styleId="Heading6Char">
    <w:name w:val="Heading 6 Char"/>
    <w:link w:val="Heading6"/>
    <w:uiPriority w:val="9"/>
    <w:rsid w:val="008E5198"/>
    <w:rPr>
      <w:rFonts w:ascii="Times New Roman" w:hAnsi="Times New Roman"/>
      <w:i/>
      <w:iCs/>
      <w:sz w:val="22"/>
      <w:lang w:val="en-US" w:eastAsia="en-US"/>
    </w:rPr>
  </w:style>
  <w:style w:type="character" w:customStyle="1" w:styleId="Heading8Char">
    <w:name w:val="Heading 8 Char"/>
    <w:link w:val="Heading8"/>
    <w:uiPriority w:val="9"/>
    <w:rsid w:val="008E5198"/>
    <w:rPr>
      <w:rFonts w:ascii="Times New Roman" w:hAnsi="Times New Roman"/>
      <w:sz w:val="22"/>
      <w:lang w:val="en-US" w:eastAsia="en-US"/>
    </w:rPr>
  </w:style>
  <w:style w:type="character" w:customStyle="1" w:styleId="Heading9Char">
    <w:name w:val="Heading 9 Char"/>
    <w:link w:val="Heading9"/>
    <w:uiPriority w:val="9"/>
    <w:rsid w:val="008E5198"/>
    <w:rPr>
      <w:rFonts w:ascii="Times New Roman" w:hAnsi="Times New Roman"/>
      <w:sz w:val="22"/>
      <w:lang w:val="en-US" w:eastAsia="en-US"/>
    </w:rPr>
  </w:style>
  <w:style w:type="paragraph" w:styleId="Header">
    <w:name w:val="header"/>
    <w:aliases w:val="even"/>
    <w:basedOn w:val="Normal"/>
    <w:link w:val="HeaderChar"/>
    <w:unhideWhenUsed/>
    <w:rsid w:val="00EB3498"/>
    <w:pPr>
      <w:tabs>
        <w:tab w:val="center" w:pos="4680"/>
        <w:tab w:val="right" w:pos="9360"/>
      </w:tabs>
    </w:pPr>
  </w:style>
  <w:style w:type="character" w:customStyle="1" w:styleId="HeaderChar">
    <w:name w:val="Header Char"/>
    <w:aliases w:val="even Char"/>
    <w:link w:val="Header"/>
    <w:rsid w:val="00EB3498"/>
    <w:rPr>
      <w:rFonts w:ascii="Times New Roman" w:hAnsi="Times New Roman"/>
      <w:lang w:val="en-US" w:eastAsia="ro-RO"/>
    </w:rPr>
  </w:style>
  <w:style w:type="paragraph" w:styleId="Footer">
    <w:name w:val="footer"/>
    <w:basedOn w:val="Normal"/>
    <w:link w:val="FooterChar"/>
    <w:uiPriority w:val="99"/>
    <w:unhideWhenUsed/>
    <w:rsid w:val="00EB3498"/>
    <w:pPr>
      <w:tabs>
        <w:tab w:val="center" w:pos="4680"/>
        <w:tab w:val="right" w:pos="9360"/>
      </w:tabs>
    </w:pPr>
  </w:style>
  <w:style w:type="character" w:customStyle="1" w:styleId="FooterChar">
    <w:name w:val="Footer Char"/>
    <w:link w:val="Footer"/>
    <w:uiPriority w:val="99"/>
    <w:rsid w:val="00EB3498"/>
    <w:rPr>
      <w:rFonts w:ascii="Times New Roman" w:hAnsi="Times New Roman"/>
      <w:lang w:val="en-US" w:eastAsia="ro-RO"/>
    </w:rPr>
  </w:style>
  <w:style w:type="paragraph" w:customStyle="1" w:styleId="CharChar1CharCharCharCharCharCharCharCharCharCharChar">
    <w:name w:val="Char Char1 Char Char Char Char Char Char Char Char Char Char Char"/>
    <w:basedOn w:val="Normal"/>
    <w:rsid w:val="00843495"/>
    <w:pPr>
      <w:widowControl/>
      <w:autoSpaceDE/>
      <w:autoSpaceDN/>
      <w:adjustRightInd/>
      <w:spacing w:after="160" w:line="240" w:lineRule="exact"/>
    </w:pPr>
    <w:rPr>
      <w:rFonts w:ascii="Verdana" w:hAnsi="Verdana"/>
    </w:rPr>
  </w:style>
  <w:style w:type="paragraph" w:customStyle="1" w:styleId="Blockquote">
    <w:name w:val="Blockquote"/>
    <w:basedOn w:val="Normal"/>
    <w:rsid w:val="00F60EE6"/>
    <w:pPr>
      <w:widowControl/>
      <w:autoSpaceDE/>
      <w:autoSpaceDN/>
      <w:adjustRightInd/>
      <w:spacing w:before="100" w:after="100"/>
      <w:ind w:left="360" w:right="360"/>
    </w:pPr>
    <w:rPr>
      <w:snapToGrid w:val="0"/>
      <w:sz w:val="24"/>
      <w:lang w:eastAsia="en-US"/>
    </w:rPr>
  </w:style>
  <w:style w:type="character" w:styleId="Hyperlink">
    <w:name w:val="Hyperlink"/>
    <w:unhideWhenUsed/>
    <w:rsid w:val="003C6505"/>
    <w:rPr>
      <w:color w:val="0000FF"/>
      <w:u w:val="single"/>
    </w:rPr>
  </w:style>
  <w:style w:type="paragraph" w:customStyle="1" w:styleId="AnswerFont">
    <w:name w:val="Answer Font"/>
    <w:basedOn w:val="NormalIndent"/>
    <w:rsid w:val="0054225F"/>
    <w:pPr>
      <w:widowControl/>
      <w:autoSpaceDE/>
      <w:autoSpaceDN/>
      <w:adjustRightInd/>
      <w:spacing w:before="120" w:after="240" w:line="240" w:lineRule="atLeast"/>
      <w:ind w:left="0"/>
    </w:pPr>
    <w:rPr>
      <w:rFonts w:ascii="Tahoma" w:hAnsi="Tahoma" w:cs="Arial"/>
      <w:lang w:eastAsia="en-US"/>
    </w:rPr>
  </w:style>
  <w:style w:type="paragraph" w:styleId="NormalIndent">
    <w:name w:val="Normal Indent"/>
    <w:basedOn w:val="Normal"/>
    <w:unhideWhenUsed/>
    <w:rsid w:val="0054225F"/>
    <w:pPr>
      <w:ind w:left="720"/>
    </w:pPr>
  </w:style>
  <w:style w:type="character" w:styleId="Strong">
    <w:name w:val="Strong"/>
    <w:uiPriority w:val="22"/>
    <w:qFormat/>
    <w:rsid w:val="004E0A14"/>
    <w:rPr>
      <w:b/>
      <w:bCs/>
    </w:rPr>
  </w:style>
  <w:style w:type="paragraph" w:styleId="BodyText">
    <w:name w:val="Body Text"/>
    <w:basedOn w:val="Normal"/>
    <w:link w:val="BodyTextChar"/>
    <w:rsid w:val="00A54678"/>
    <w:pPr>
      <w:widowControl/>
      <w:autoSpaceDE/>
      <w:autoSpaceDN/>
      <w:adjustRightInd/>
      <w:jc w:val="both"/>
    </w:pPr>
    <w:rPr>
      <w:rFonts w:ascii="Arial" w:hAnsi="Arial"/>
      <w:sz w:val="24"/>
    </w:rPr>
  </w:style>
  <w:style w:type="character" w:customStyle="1" w:styleId="BodyTextChar">
    <w:name w:val="Body Text Char"/>
    <w:link w:val="BodyText"/>
    <w:rsid w:val="00A54678"/>
    <w:rPr>
      <w:rFonts w:ascii="Arial" w:hAnsi="Arial"/>
      <w:sz w:val="24"/>
      <w:lang w:val="en-US"/>
    </w:rPr>
  </w:style>
  <w:style w:type="paragraph" w:styleId="BodyTextIndent">
    <w:name w:val="Body Text Indent"/>
    <w:basedOn w:val="Normal"/>
    <w:link w:val="BodyTextIndentChar"/>
    <w:unhideWhenUsed/>
    <w:rsid w:val="00302666"/>
    <w:pPr>
      <w:spacing w:after="120"/>
      <w:ind w:left="283"/>
    </w:pPr>
  </w:style>
  <w:style w:type="character" w:customStyle="1" w:styleId="BodyTextIndentChar">
    <w:name w:val="Body Text Indent Char"/>
    <w:link w:val="BodyTextIndent"/>
    <w:rsid w:val="00302666"/>
    <w:rPr>
      <w:rFonts w:ascii="Times New Roman" w:hAnsi="Times New Roman"/>
      <w:lang w:val="en-US" w:eastAsia="ro-RO"/>
    </w:rPr>
  </w:style>
  <w:style w:type="paragraph" w:styleId="ListParagraph">
    <w:name w:val="List Paragraph"/>
    <w:basedOn w:val="Normal"/>
    <w:link w:val="ListParagraphChar"/>
    <w:uiPriority w:val="34"/>
    <w:qFormat/>
    <w:rsid w:val="00194648"/>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earch9">
    <w:name w:val="search9"/>
    <w:rsid w:val="00194648"/>
    <w:rPr>
      <w:rFonts w:ascii="Arial" w:hAnsi="Arial" w:cs="Arial" w:hint="default"/>
      <w:b/>
      <w:bCs/>
      <w:color w:val="0000FF"/>
      <w:sz w:val="13"/>
      <w:szCs w:val="13"/>
    </w:rPr>
  </w:style>
  <w:style w:type="character" w:customStyle="1" w:styleId="style110">
    <w:name w:val="style11"/>
    <w:rsid w:val="00194648"/>
    <w:rPr>
      <w:b/>
      <w:bCs/>
      <w:color w:val="05376C"/>
    </w:rPr>
  </w:style>
  <w:style w:type="table" w:styleId="TableGrid">
    <w:name w:val="Table Grid"/>
    <w:basedOn w:val="TableNormal"/>
    <w:rsid w:val="004728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3158"/>
    <w:pPr>
      <w:autoSpaceDE w:val="0"/>
      <w:autoSpaceDN w:val="0"/>
      <w:adjustRightInd w:val="0"/>
    </w:pPr>
    <w:rPr>
      <w:rFonts w:ascii="Times New Roman" w:hAnsi="Times New Roman"/>
      <w:color w:val="000000"/>
      <w:sz w:val="24"/>
      <w:szCs w:val="24"/>
    </w:rPr>
  </w:style>
  <w:style w:type="paragraph" w:styleId="BodyTextIndent2">
    <w:name w:val="Body Text Indent 2"/>
    <w:basedOn w:val="Normal"/>
    <w:link w:val="BodyTextIndent2Char"/>
    <w:unhideWhenUsed/>
    <w:rsid w:val="0040798B"/>
    <w:pPr>
      <w:widowControl/>
      <w:autoSpaceDE/>
      <w:autoSpaceDN/>
      <w:adjustRightInd/>
      <w:spacing w:after="120" w:line="480" w:lineRule="auto"/>
      <w:ind w:left="283"/>
    </w:pPr>
    <w:rPr>
      <w:sz w:val="24"/>
      <w:szCs w:val="24"/>
    </w:rPr>
  </w:style>
  <w:style w:type="character" w:customStyle="1" w:styleId="BodyTextIndent2Char">
    <w:name w:val="Body Text Indent 2 Char"/>
    <w:link w:val="BodyTextIndent2"/>
    <w:rsid w:val="0040798B"/>
    <w:rPr>
      <w:rFonts w:ascii="Times New Roman" w:hAnsi="Times New Roman"/>
      <w:sz w:val="24"/>
      <w:szCs w:val="24"/>
      <w:lang w:val="en-US" w:eastAsia="ro-RO"/>
    </w:rPr>
  </w:style>
  <w:style w:type="paragraph" w:styleId="BalloonText">
    <w:name w:val="Balloon Text"/>
    <w:basedOn w:val="Normal"/>
    <w:link w:val="BalloonTextChar"/>
    <w:semiHidden/>
    <w:unhideWhenUsed/>
    <w:rsid w:val="00C469D4"/>
    <w:rPr>
      <w:rFonts w:ascii="Tahoma" w:hAnsi="Tahoma"/>
      <w:sz w:val="16"/>
      <w:szCs w:val="16"/>
    </w:rPr>
  </w:style>
  <w:style w:type="character" w:customStyle="1" w:styleId="BalloonTextChar">
    <w:name w:val="Balloon Text Char"/>
    <w:link w:val="BalloonText"/>
    <w:semiHidden/>
    <w:rsid w:val="00C469D4"/>
    <w:rPr>
      <w:rFonts w:ascii="Tahoma" w:hAnsi="Tahoma" w:cs="Tahoma"/>
      <w:sz w:val="16"/>
      <w:szCs w:val="16"/>
      <w:lang w:val="en-US" w:eastAsia="ro-RO"/>
    </w:rPr>
  </w:style>
  <w:style w:type="paragraph" w:styleId="NormalWeb">
    <w:name w:val="Normal (Web)"/>
    <w:basedOn w:val="Normal"/>
    <w:uiPriority w:val="99"/>
    <w:unhideWhenUsed/>
    <w:rsid w:val="00266CC9"/>
    <w:pPr>
      <w:widowControl/>
      <w:autoSpaceDE/>
      <w:autoSpaceDN/>
      <w:adjustRightInd/>
      <w:spacing w:before="100" w:beforeAutospacing="1" w:after="100" w:afterAutospacing="1"/>
    </w:pPr>
    <w:rPr>
      <w:sz w:val="24"/>
      <w:szCs w:val="24"/>
    </w:rPr>
  </w:style>
  <w:style w:type="character" w:customStyle="1" w:styleId="blue">
    <w:name w:val="blue"/>
    <w:basedOn w:val="DefaultParagraphFont"/>
    <w:rsid w:val="00266CC9"/>
  </w:style>
  <w:style w:type="paragraph" w:customStyle="1" w:styleId="CharChar1CharCharCharCharCharCharCharCharCharCharChar0">
    <w:name w:val="Char Char1 Char Char Char Char Char Char Char Char Char Char Char"/>
    <w:basedOn w:val="Normal"/>
    <w:rsid w:val="00EE0ACF"/>
    <w:pPr>
      <w:widowControl/>
      <w:autoSpaceDE/>
      <w:autoSpaceDN/>
      <w:adjustRightInd/>
      <w:spacing w:after="160" w:line="240" w:lineRule="exact"/>
    </w:pPr>
    <w:rPr>
      <w:rFonts w:ascii="Verdana" w:hAnsi="Verdana"/>
    </w:rPr>
  </w:style>
  <w:style w:type="paragraph" w:styleId="BodyText2">
    <w:name w:val="Body Text 2"/>
    <w:basedOn w:val="Normal"/>
    <w:link w:val="BodyText2Char"/>
    <w:uiPriority w:val="99"/>
    <w:unhideWhenUsed/>
    <w:rsid w:val="00615F19"/>
    <w:pPr>
      <w:spacing w:after="120" w:line="480" w:lineRule="auto"/>
    </w:pPr>
  </w:style>
  <w:style w:type="character" w:customStyle="1" w:styleId="BodyText2Char">
    <w:name w:val="Body Text 2 Char"/>
    <w:link w:val="BodyText2"/>
    <w:uiPriority w:val="99"/>
    <w:rsid w:val="00615F19"/>
    <w:rPr>
      <w:rFonts w:ascii="Times New Roman" w:hAnsi="Times New Roman"/>
    </w:rPr>
  </w:style>
  <w:style w:type="paragraph" w:customStyle="1" w:styleId="meta">
    <w:name w:val="meta"/>
    <w:basedOn w:val="Normal"/>
    <w:rsid w:val="00524ECC"/>
    <w:pPr>
      <w:widowControl/>
      <w:autoSpaceDE/>
      <w:autoSpaceDN/>
      <w:adjustRightInd/>
      <w:spacing w:before="100" w:beforeAutospacing="1" w:after="100" w:afterAutospacing="1"/>
    </w:pPr>
    <w:rPr>
      <w:sz w:val="24"/>
      <w:szCs w:val="24"/>
    </w:rPr>
  </w:style>
  <w:style w:type="paragraph" w:customStyle="1" w:styleId="CaracterCaracterCharCharCaracterCaracterCharCharCaracterCaracterCharCharCaracterCaracterCharChar">
    <w:name w:val="Caracter Caracter Char Char Caracter Caracter Char Char Caracter Caracter Char Char Caracter Caracter Char Char"/>
    <w:basedOn w:val="Normal"/>
    <w:rsid w:val="002A5C53"/>
    <w:pPr>
      <w:widowControl/>
      <w:autoSpaceDE/>
      <w:autoSpaceDN/>
      <w:adjustRightInd/>
    </w:pPr>
    <w:rPr>
      <w:sz w:val="24"/>
      <w:szCs w:val="24"/>
      <w:lang w:eastAsia="pl-PL"/>
    </w:rPr>
  </w:style>
  <w:style w:type="paragraph" w:customStyle="1" w:styleId="CMSHeadL5">
    <w:name w:val="CMS Head L5"/>
    <w:basedOn w:val="Normal"/>
    <w:rsid w:val="002A5C53"/>
    <w:pPr>
      <w:widowControl/>
      <w:tabs>
        <w:tab w:val="num" w:pos="2551"/>
      </w:tabs>
      <w:autoSpaceDE/>
      <w:autoSpaceDN/>
      <w:adjustRightInd/>
      <w:spacing w:after="240"/>
      <w:ind w:left="2551" w:hanging="850"/>
      <w:outlineLvl w:val="4"/>
    </w:pPr>
    <w:rPr>
      <w:rFonts w:eastAsia="SimSun"/>
      <w:sz w:val="22"/>
      <w:szCs w:val="24"/>
      <w:lang w:eastAsia="zh-CN"/>
    </w:rPr>
  </w:style>
  <w:style w:type="paragraph" w:customStyle="1" w:styleId="CMSHeadL6">
    <w:name w:val="CMS Head L6"/>
    <w:basedOn w:val="Normal"/>
    <w:rsid w:val="002A5C53"/>
    <w:pPr>
      <w:widowControl/>
      <w:tabs>
        <w:tab w:val="num" w:pos="3402"/>
      </w:tabs>
      <w:autoSpaceDE/>
      <w:autoSpaceDN/>
      <w:adjustRightInd/>
      <w:spacing w:after="240"/>
      <w:ind w:left="3402" w:hanging="851"/>
      <w:outlineLvl w:val="5"/>
    </w:pPr>
    <w:rPr>
      <w:rFonts w:eastAsia="SimSun"/>
      <w:sz w:val="22"/>
      <w:szCs w:val="24"/>
      <w:lang w:eastAsia="zh-CN"/>
    </w:rPr>
  </w:style>
  <w:style w:type="paragraph" w:customStyle="1" w:styleId="CMSHeadL7">
    <w:name w:val="CMS Head L7"/>
    <w:basedOn w:val="Normal"/>
    <w:rsid w:val="002A5C53"/>
    <w:pPr>
      <w:widowControl/>
      <w:autoSpaceDE/>
      <w:autoSpaceDN/>
      <w:adjustRightInd/>
      <w:spacing w:after="240"/>
      <w:ind w:left="851"/>
      <w:outlineLvl w:val="6"/>
    </w:pPr>
    <w:rPr>
      <w:rFonts w:eastAsia="SimSun"/>
      <w:sz w:val="22"/>
      <w:szCs w:val="24"/>
      <w:lang w:eastAsia="zh-CN"/>
    </w:rPr>
  </w:style>
  <w:style w:type="paragraph" w:customStyle="1" w:styleId="CMSHeadL8">
    <w:name w:val="CMS Head L8"/>
    <w:basedOn w:val="Normal"/>
    <w:rsid w:val="002A5C53"/>
    <w:pPr>
      <w:widowControl/>
      <w:tabs>
        <w:tab w:val="num" w:pos="1701"/>
      </w:tabs>
      <w:autoSpaceDE/>
      <w:autoSpaceDN/>
      <w:adjustRightInd/>
      <w:spacing w:after="240"/>
      <w:ind w:left="1701" w:hanging="850"/>
      <w:outlineLvl w:val="7"/>
    </w:pPr>
    <w:rPr>
      <w:rFonts w:eastAsia="SimSun"/>
      <w:sz w:val="22"/>
      <w:szCs w:val="24"/>
      <w:lang w:eastAsia="zh-CN"/>
    </w:rPr>
  </w:style>
  <w:style w:type="paragraph" w:customStyle="1" w:styleId="CMSHeadL9">
    <w:name w:val="CMS Head L9"/>
    <w:basedOn w:val="Normal"/>
    <w:rsid w:val="002A5C53"/>
    <w:pPr>
      <w:widowControl/>
      <w:tabs>
        <w:tab w:val="num" w:pos="2552"/>
      </w:tabs>
      <w:autoSpaceDE/>
      <w:autoSpaceDN/>
      <w:adjustRightInd/>
      <w:spacing w:after="240"/>
      <w:ind w:left="2552" w:hanging="851"/>
      <w:outlineLvl w:val="8"/>
    </w:pPr>
    <w:rPr>
      <w:rFonts w:eastAsia="SimSun"/>
      <w:sz w:val="22"/>
      <w:szCs w:val="24"/>
      <w:lang w:eastAsia="zh-CN"/>
    </w:rPr>
  </w:style>
  <w:style w:type="paragraph" w:customStyle="1" w:styleId="CMSIndentL3">
    <w:name w:val="CMS Indent L3"/>
    <w:basedOn w:val="Normal"/>
    <w:rsid w:val="002A5C53"/>
    <w:pPr>
      <w:widowControl/>
      <w:autoSpaceDE/>
      <w:autoSpaceDN/>
      <w:adjustRightInd/>
      <w:spacing w:after="240"/>
      <w:ind w:left="851"/>
    </w:pPr>
    <w:rPr>
      <w:rFonts w:eastAsia="SimSun"/>
      <w:sz w:val="22"/>
      <w:szCs w:val="24"/>
      <w:lang w:eastAsia="zh-CN"/>
    </w:rPr>
  </w:style>
  <w:style w:type="paragraph" w:customStyle="1" w:styleId="CMSIndentL4">
    <w:name w:val="CMS Indent L4"/>
    <w:basedOn w:val="Normal"/>
    <w:rsid w:val="002A5C53"/>
    <w:pPr>
      <w:widowControl/>
      <w:autoSpaceDE/>
      <w:autoSpaceDN/>
      <w:adjustRightInd/>
      <w:spacing w:after="240"/>
      <w:ind w:left="1701"/>
    </w:pPr>
    <w:rPr>
      <w:rFonts w:eastAsia="SimSun"/>
      <w:sz w:val="22"/>
      <w:szCs w:val="24"/>
      <w:lang w:eastAsia="zh-CN"/>
    </w:rPr>
  </w:style>
  <w:style w:type="paragraph" w:customStyle="1" w:styleId="CMSIndentL5">
    <w:name w:val="CMS Indent L5"/>
    <w:basedOn w:val="Normal"/>
    <w:rsid w:val="002A5C53"/>
    <w:pPr>
      <w:widowControl/>
      <w:autoSpaceDE/>
      <w:autoSpaceDN/>
      <w:adjustRightInd/>
      <w:spacing w:after="240"/>
      <w:ind w:left="2552"/>
    </w:pPr>
    <w:rPr>
      <w:rFonts w:eastAsia="SimSun"/>
      <w:sz w:val="22"/>
      <w:szCs w:val="24"/>
      <w:lang w:eastAsia="zh-CN"/>
    </w:rPr>
  </w:style>
  <w:style w:type="paragraph" w:customStyle="1" w:styleId="CMSIndentL6">
    <w:name w:val="CMS Indent L6"/>
    <w:basedOn w:val="Normal"/>
    <w:rsid w:val="002A5C53"/>
    <w:pPr>
      <w:widowControl/>
      <w:autoSpaceDE/>
      <w:autoSpaceDN/>
      <w:adjustRightInd/>
      <w:spacing w:after="240"/>
      <w:ind w:left="3402"/>
    </w:pPr>
    <w:rPr>
      <w:rFonts w:eastAsia="SimSun"/>
      <w:sz w:val="22"/>
      <w:szCs w:val="24"/>
      <w:lang w:eastAsia="zh-CN"/>
    </w:rPr>
  </w:style>
  <w:style w:type="paragraph" w:customStyle="1" w:styleId="CharCharCaracterCaracter">
    <w:name w:val="Char Char Caracter Caracter"/>
    <w:basedOn w:val="Normal"/>
    <w:rsid w:val="006003F1"/>
    <w:pPr>
      <w:widowControl/>
      <w:autoSpaceDE/>
      <w:autoSpaceDN/>
      <w:adjustRightInd/>
      <w:spacing w:after="160" w:line="240" w:lineRule="exact"/>
    </w:pPr>
    <w:rPr>
      <w:rFonts w:ascii="Verdana" w:hAnsi="Verdana" w:cs="Verdana"/>
      <w:lang w:eastAsia="en-US"/>
    </w:rPr>
  </w:style>
  <w:style w:type="paragraph" w:styleId="BodyTextIndent3">
    <w:name w:val="Body Text Indent 3"/>
    <w:basedOn w:val="Normal"/>
    <w:link w:val="BodyTextIndent3Char"/>
    <w:uiPriority w:val="99"/>
    <w:semiHidden/>
    <w:unhideWhenUsed/>
    <w:rsid w:val="00112BF7"/>
    <w:pPr>
      <w:spacing w:after="120"/>
      <w:ind w:left="283"/>
    </w:pPr>
    <w:rPr>
      <w:sz w:val="16"/>
      <w:szCs w:val="16"/>
    </w:rPr>
  </w:style>
  <w:style w:type="character" w:customStyle="1" w:styleId="BodyTextIndent3Char">
    <w:name w:val="Body Text Indent 3 Char"/>
    <w:link w:val="BodyTextIndent3"/>
    <w:uiPriority w:val="99"/>
    <w:semiHidden/>
    <w:rsid w:val="00112BF7"/>
    <w:rPr>
      <w:rFonts w:ascii="Times New Roman" w:hAnsi="Times New Roman"/>
      <w:sz w:val="16"/>
      <w:szCs w:val="16"/>
    </w:rPr>
  </w:style>
  <w:style w:type="paragraph" w:customStyle="1" w:styleId="CharChar">
    <w:name w:val="Char Char"/>
    <w:basedOn w:val="Normal"/>
    <w:rsid w:val="002212C5"/>
    <w:pPr>
      <w:widowControl/>
      <w:autoSpaceDE/>
      <w:autoSpaceDN/>
      <w:adjustRightInd/>
      <w:spacing w:after="160" w:line="240" w:lineRule="exact"/>
    </w:pPr>
    <w:rPr>
      <w:rFonts w:ascii="Verdana" w:hAnsi="Verdana" w:cs="Verdana"/>
      <w:lang w:eastAsia="en-US"/>
    </w:rPr>
  </w:style>
  <w:style w:type="paragraph" w:customStyle="1" w:styleId="titlu2">
    <w:name w:val="titlu 2"/>
    <w:basedOn w:val="Heading4"/>
    <w:link w:val="titlu2Char"/>
    <w:autoRedefine/>
    <w:qFormat/>
    <w:rsid w:val="00A42CFE"/>
    <w:pPr>
      <w:widowControl/>
      <w:overflowPunct w:val="0"/>
      <w:spacing w:before="80" w:after="80"/>
      <w:jc w:val="both"/>
      <w:textAlignment w:val="baseline"/>
    </w:pPr>
    <w:rPr>
      <w:iCs/>
      <w:sz w:val="24"/>
      <w:szCs w:val="22"/>
      <w:lang w:eastAsia="en-US"/>
    </w:rPr>
  </w:style>
  <w:style w:type="character" w:customStyle="1" w:styleId="titlu2Char">
    <w:name w:val="titlu 2 Char"/>
    <w:link w:val="titlu2"/>
    <w:rsid w:val="00A42CFE"/>
    <w:rPr>
      <w:rFonts w:ascii="Calibri" w:eastAsia="Times New Roman" w:hAnsi="Calibri" w:cs="Times New Roman"/>
      <w:b/>
      <w:bCs/>
      <w:iCs/>
      <w:sz w:val="24"/>
      <w:szCs w:val="22"/>
      <w:lang w:val="en-US" w:eastAsia="en-US"/>
    </w:rPr>
  </w:style>
  <w:style w:type="paragraph" w:styleId="Caption">
    <w:name w:val="caption"/>
    <w:basedOn w:val="Normal"/>
    <w:next w:val="Graphic"/>
    <w:uiPriority w:val="35"/>
    <w:qFormat/>
    <w:rsid w:val="008E5198"/>
    <w:pPr>
      <w:keepNext/>
      <w:keepLines/>
      <w:widowControl/>
      <w:overflowPunct w:val="0"/>
      <w:spacing w:before="130" w:after="130"/>
      <w:textAlignment w:val="baseline"/>
    </w:pPr>
    <w:rPr>
      <w:b/>
      <w:sz w:val="22"/>
      <w:lang w:eastAsia="en-US"/>
    </w:rPr>
  </w:style>
  <w:style w:type="paragraph" w:customStyle="1" w:styleId="Graphic">
    <w:name w:val="Graphic"/>
    <w:basedOn w:val="Text"/>
    <w:rsid w:val="008E5198"/>
    <w:pPr>
      <w:keepNext/>
      <w:spacing w:after="130"/>
      <w:jc w:val="center"/>
    </w:pPr>
  </w:style>
  <w:style w:type="paragraph" w:styleId="TOC2">
    <w:name w:val="toc 2"/>
    <w:basedOn w:val="Normal"/>
    <w:uiPriority w:val="39"/>
    <w:rsid w:val="008E5198"/>
    <w:pPr>
      <w:widowControl/>
      <w:tabs>
        <w:tab w:val="left" w:pos="709"/>
        <w:tab w:val="right" w:pos="7938"/>
      </w:tabs>
      <w:overflowPunct w:val="0"/>
      <w:ind w:left="709" w:right="567" w:hanging="709"/>
      <w:textAlignment w:val="baseline"/>
    </w:pPr>
    <w:rPr>
      <w:rFonts w:ascii="Calibri" w:hAnsi="Calibri"/>
      <w:noProof/>
      <w:sz w:val="24"/>
      <w:szCs w:val="28"/>
      <w:lang w:eastAsia="en-US"/>
    </w:rPr>
  </w:style>
  <w:style w:type="paragraph" w:styleId="TOC1">
    <w:name w:val="toc 1"/>
    <w:basedOn w:val="Normal"/>
    <w:uiPriority w:val="39"/>
    <w:rsid w:val="008E5198"/>
    <w:pPr>
      <w:widowControl/>
      <w:tabs>
        <w:tab w:val="left" w:pos="709"/>
        <w:tab w:val="right" w:pos="7938"/>
      </w:tabs>
      <w:overflowPunct w:val="0"/>
      <w:spacing w:before="260" w:after="60"/>
      <w:ind w:left="709" w:right="567" w:hanging="709"/>
      <w:textAlignment w:val="baseline"/>
    </w:pPr>
    <w:rPr>
      <w:rFonts w:ascii="Calibri" w:hAnsi="Calibri"/>
      <w:b/>
      <w:noProof/>
      <w:sz w:val="28"/>
      <w:szCs w:val="32"/>
      <w:lang w:eastAsia="en-US"/>
    </w:rPr>
  </w:style>
  <w:style w:type="paragraph" w:styleId="Index1">
    <w:name w:val="index 1"/>
    <w:basedOn w:val="Normal"/>
    <w:next w:val="Index2"/>
    <w:semiHidden/>
    <w:rsid w:val="008E5198"/>
    <w:pPr>
      <w:widowControl/>
      <w:overflowPunct w:val="0"/>
      <w:spacing w:before="200"/>
      <w:ind w:left="851"/>
      <w:textAlignment w:val="baseline"/>
    </w:pPr>
    <w:rPr>
      <w:b/>
      <w:sz w:val="22"/>
      <w:lang w:eastAsia="en-US"/>
    </w:rPr>
  </w:style>
  <w:style w:type="paragraph" w:styleId="Index2">
    <w:name w:val="index 2"/>
    <w:basedOn w:val="Normal"/>
    <w:semiHidden/>
    <w:rsid w:val="008E5198"/>
    <w:pPr>
      <w:widowControl/>
      <w:overflowPunct w:val="0"/>
      <w:ind w:left="1520"/>
      <w:textAlignment w:val="baseline"/>
    </w:pPr>
    <w:rPr>
      <w:sz w:val="22"/>
      <w:lang w:eastAsia="en-US"/>
    </w:rPr>
  </w:style>
  <w:style w:type="paragraph" w:customStyle="1" w:styleId="ReportCopyRight">
    <w:name w:val="ReportCopyRight"/>
    <w:basedOn w:val="Normal"/>
    <w:rsid w:val="008E5198"/>
    <w:pPr>
      <w:widowControl/>
      <w:autoSpaceDE/>
      <w:autoSpaceDN/>
      <w:adjustRightInd/>
    </w:pPr>
    <w:rPr>
      <w:sz w:val="14"/>
      <w:szCs w:val="14"/>
      <w:lang w:eastAsia="en-US"/>
    </w:rPr>
  </w:style>
  <w:style w:type="paragraph" w:customStyle="1" w:styleId="CoverClientName">
    <w:name w:val="Cover Client Name"/>
    <w:rsid w:val="008E5198"/>
    <w:pPr>
      <w:spacing w:before="80" w:after="520"/>
      <w:jc w:val="center"/>
    </w:pPr>
    <w:rPr>
      <w:rFonts w:ascii="Tms Rmn" w:hAnsi="Tms Rmn"/>
      <w:b/>
      <w:sz w:val="26"/>
      <w:lang w:eastAsia="en-US"/>
    </w:rPr>
  </w:style>
  <w:style w:type="paragraph" w:customStyle="1" w:styleId="Single">
    <w:name w:val="Single"/>
    <w:basedOn w:val="Normal"/>
    <w:rsid w:val="008E5198"/>
    <w:pPr>
      <w:widowControl/>
      <w:overflowPunct w:val="0"/>
      <w:spacing w:after="130"/>
      <w:jc w:val="right"/>
      <w:textAlignment w:val="baseline"/>
    </w:pPr>
    <w:rPr>
      <w:sz w:val="22"/>
      <w:u w:val="single"/>
      <w:lang w:eastAsia="en-US"/>
    </w:rPr>
  </w:style>
  <w:style w:type="paragraph" w:customStyle="1" w:styleId="CoverTitle">
    <w:name w:val="Cover Title"/>
    <w:rsid w:val="008E5198"/>
    <w:pPr>
      <w:spacing w:line="440" w:lineRule="exact"/>
      <w:jc w:val="center"/>
    </w:pPr>
    <w:rPr>
      <w:rFonts w:ascii="Tms Rmn" w:hAnsi="Tms Rmn"/>
      <w:sz w:val="36"/>
      <w:lang w:eastAsia="en-US"/>
    </w:rPr>
  </w:style>
  <w:style w:type="paragraph" w:customStyle="1" w:styleId="Bullet">
    <w:name w:val="Bullet"/>
    <w:basedOn w:val="Normal"/>
    <w:rsid w:val="008E5198"/>
    <w:pPr>
      <w:widowControl/>
      <w:numPr>
        <w:numId w:val="1"/>
      </w:numPr>
      <w:tabs>
        <w:tab w:val="left" w:pos="284"/>
      </w:tabs>
      <w:overflowPunct w:val="0"/>
      <w:spacing w:after="130"/>
      <w:jc w:val="both"/>
      <w:textAlignment w:val="baseline"/>
    </w:pPr>
    <w:rPr>
      <w:sz w:val="22"/>
      <w:lang w:eastAsia="en-US"/>
    </w:rPr>
  </w:style>
  <w:style w:type="paragraph" w:customStyle="1" w:styleId="SubCoverTitle">
    <w:name w:val="Sub Cover Title"/>
    <w:basedOn w:val="Normal"/>
    <w:rsid w:val="008E5198"/>
    <w:pPr>
      <w:framePr w:w="5999" w:hSpace="180" w:vSpace="180" w:wrap="auto" w:vAnchor="page" w:hAnchor="text" w:xAlign="center" w:y="3841"/>
      <w:widowControl/>
      <w:overflowPunct w:val="0"/>
      <w:spacing w:line="440" w:lineRule="exact"/>
      <w:ind w:left="567"/>
      <w:textAlignment w:val="baseline"/>
    </w:pPr>
    <w:rPr>
      <w:sz w:val="26"/>
      <w:lang w:eastAsia="en-US"/>
    </w:rPr>
  </w:style>
  <w:style w:type="character" w:customStyle="1" w:styleId="ContentsPageNumber">
    <w:name w:val="Contents Page Number"/>
    <w:rsid w:val="008E5198"/>
    <w:rPr>
      <w:rFonts w:ascii="Times New Roman" w:hAnsi="Times New Roman"/>
      <w:sz w:val="22"/>
    </w:rPr>
  </w:style>
  <w:style w:type="paragraph" w:customStyle="1" w:styleId="Double">
    <w:name w:val="Double"/>
    <w:basedOn w:val="Normal"/>
    <w:rsid w:val="008E5198"/>
    <w:pPr>
      <w:widowControl/>
      <w:overflowPunct w:val="0"/>
      <w:spacing w:after="130"/>
      <w:jc w:val="right"/>
      <w:textAlignment w:val="baseline"/>
    </w:pPr>
    <w:rPr>
      <w:sz w:val="22"/>
      <w:u w:val="double"/>
      <w:lang w:eastAsia="en-US"/>
    </w:rPr>
  </w:style>
  <w:style w:type="paragraph" w:customStyle="1" w:styleId="Tabletext">
    <w:name w:val="Tabletext"/>
    <w:basedOn w:val="Normal"/>
    <w:rsid w:val="008E5198"/>
    <w:pPr>
      <w:widowControl/>
      <w:overflowPunct w:val="0"/>
      <w:textAlignment w:val="baseline"/>
    </w:pPr>
    <w:rPr>
      <w:sz w:val="18"/>
      <w:lang w:eastAsia="en-US"/>
    </w:rPr>
  </w:style>
  <w:style w:type="paragraph" w:customStyle="1" w:styleId="Tablehead">
    <w:name w:val="Tablehead"/>
    <w:basedOn w:val="Normal"/>
    <w:rsid w:val="008E5198"/>
    <w:pPr>
      <w:widowControl/>
      <w:overflowPunct w:val="0"/>
      <w:spacing w:before="130"/>
      <w:jc w:val="right"/>
      <w:textAlignment w:val="baseline"/>
    </w:pPr>
    <w:rPr>
      <w:sz w:val="18"/>
      <w:lang w:eastAsia="en-US"/>
    </w:rPr>
  </w:style>
  <w:style w:type="paragraph" w:customStyle="1" w:styleId="Tablenums">
    <w:name w:val="Tablenums"/>
    <w:basedOn w:val="Normal"/>
    <w:rsid w:val="008E5198"/>
    <w:pPr>
      <w:widowControl/>
      <w:tabs>
        <w:tab w:val="decimal" w:pos="794"/>
      </w:tabs>
      <w:overflowPunct w:val="0"/>
      <w:textAlignment w:val="baseline"/>
    </w:pPr>
    <w:rPr>
      <w:sz w:val="18"/>
      <w:lang w:eastAsia="en-US"/>
    </w:rPr>
  </w:style>
  <w:style w:type="paragraph" w:customStyle="1" w:styleId="Denomination">
    <w:name w:val="Denomination"/>
    <w:basedOn w:val="Tablehead"/>
    <w:rsid w:val="008E5198"/>
    <w:pPr>
      <w:spacing w:before="0"/>
    </w:pPr>
  </w:style>
  <w:style w:type="paragraph" w:customStyle="1" w:styleId="Source">
    <w:name w:val="Source"/>
    <w:basedOn w:val="Normal"/>
    <w:next w:val="Text"/>
    <w:rsid w:val="008E5198"/>
    <w:pPr>
      <w:keepLines/>
      <w:widowControl/>
      <w:overflowPunct w:val="0"/>
      <w:spacing w:after="130" w:line="260" w:lineRule="exact"/>
      <w:jc w:val="both"/>
      <w:textAlignment w:val="baseline"/>
    </w:pPr>
    <w:rPr>
      <w:i/>
      <w:sz w:val="18"/>
      <w:lang w:eastAsia="en-US"/>
    </w:rPr>
  </w:style>
  <w:style w:type="character" w:customStyle="1" w:styleId="FootnoteTextChar">
    <w:name w:val="Footnote Text Char"/>
    <w:link w:val="FootnoteText"/>
    <w:uiPriority w:val="99"/>
    <w:semiHidden/>
    <w:rsid w:val="008E5198"/>
    <w:rPr>
      <w:rFonts w:ascii="Times New Roman" w:hAnsi="Times New Roman"/>
      <w:lang w:val="en-US" w:eastAsia="en-US"/>
    </w:rPr>
  </w:style>
  <w:style w:type="paragraph" w:styleId="FootnoteText">
    <w:name w:val="footnote text"/>
    <w:basedOn w:val="Normal"/>
    <w:link w:val="FootnoteTextChar"/>
    <w:uiPriority w:val="99"/>
    <w:semiHidden/>
    <w:rsid w:val="008E5198"/>
    <w:pPr>
      <w:widowControl/>
      <w:overflowPunct w:val="0"/>
      <w:textAlignment w:val="baseline"/>
    </w:pPr>
    <w:rPr>
      <w:lang w:eastAsia="en-US"/>
    </w:rPr>
  </w:style>
  <w:style w:type="character" w:customStyle="1" w:styleId="EndnoteTextChar">
    <w:name w:val="Endnote Text Char"/>
    <w:link w:val="EndnoteText"/>
    <w:semiHidden/>
    <w:rsid w:val="008E5198"/>
    <w:rPr>
      <w:rFonts w:ascii="Times New Roman" w:hAnsi="Times New Roman"/>
      <w:sz w:val="18"/>
      <w:lang w:val="en-US" w:eastAsia="en-US"/>
    </w:rPr>
  </w:style>
  <w:style w:type="paragraph" w:styleId="EndnoteText">
    <w:name w:val="endnote text"/>
    <w:basedOn w:val="Normal"/>
    <w:link w:val="EndnoteTextChar"/>
    <w:semiHidden/>
    <w:rsid w:val="008E5198"/>
    <w:pPr>
      <w:widowControl/>
      <w:overflowPunct w:val="0"/>
      <w:spacing w:after="180"/>
      <w:textAlignment w:val="baseline"/>
    </w:pPr>
    <w:rPr>
      <w:sz w:val="18"/>
      <w:lang w:eastAsia="en-US"/>
    </w:rPr>
  </w:style>
  <w:style w:type="paragraph" w:customStyle="1" w:styleId="AlignWithoutBrackets">
    <w:name w:val="AlignWithoutBrackets"/>
    <w:basedOn w:val="Tabletext"/>
    <w:rsid w:val="008E5198"/>
  </w:style>
  <w:style w:type="paragraph" w:customStyle="1" w:styleId="AlignBrackets">
    <w:name w:val="AlignBrackets"/>
    <w:basedOn w:val="Normal"/>
    <w:rsid w:val="008E5198"/>
    <w:pPr>
      <w:widowControl/>
      <w:overflowPunct w:val="0"/>
      <w:ind w:left="153" w:right="-57" w:hanging="153"/>
      <w:jc w:val="right"/>
      <w:textAlignment w:val="baseline"/>
    </w:pPr>
    <w:rPr>
      <w:sz w:val="18"/>
      <w:lang w:eastAsia="en-US"/>
    </w:rPr>
  </w:style>
  <w:style w:type="paragraph" w:customStyle="1" w:styleId="ContentsHeading">
    <w:name w:val="Contents Heading"/>
    <w:rsid w:val="008E5198"/>
    <w:pPr>
      <w:spacing w:after="600"/>
    </w:pPr>
    <w:rPr>
      <w:rFonts w:ascii="Times New Roman" w:hAnsi="Times New Roman"/>
      <w:b/>
      <w:sz w:val="32"/>
      <w:lang w:eastAsia="en-US"/>
    </w:rPr>
  </w:style>
  <w:style w:type="paragraph" w:customStyle="1" w:styleId="CoverSubTitle">
    <w:name w:val="Cover SubTitle"/>
    <w:rsid w:val="008E5198"/>
    <w:pPr>
      <w:spacing w:line="440" w:lineRule="exact"/>
      <w:jc w:val="center"/>
    </w:pPr>
    <w:rPr>
      <w:rFonts w:ascii="Tms Rmn" w:hAnsi="Tms Rmn"/>
      <w:sz w:val="32"/>
      <w:lang w:eastAsia="en-US"/>
    </w:rPr>
  </w:style>
  <w:style w:type="paragraph" w:customStyle="1" w:styleId="CoverDate">
    <w:name w:val="Cover Date"/>
    <w:rsid w:val="008E5198"/>
    <w:pPr>
      <w:spacing w:before="40" w:after="40"/>
      <w:jc w:val="center"/>
    </w:pPr>
    <w:rPr>
      <w:rFonts w:ascii="Tms Rmn" w:hAnsi="Tms Rmn"/>
      <w:lang w:eastAsia="en-US"/>
    </w:rPr>
  </w:style>
  <w:style w:type="paragraph" w:customStyle="1" w:styleId="CoverBranding">
    <w:name w:val="Cover Branding"/>
    <w:rsid w:val="008E5198"/>
    <w:pPr>
      <w:spacing w:before="40" w:after="40"/>
      <w:jc w:val="center"/>
    </w:pPr>
    <w:rPr>
      <w:rFonts w:ascii="Tms Rmn" w:hAnsi="Tms Rmn"/>
      <w:lang w:eastAsia="en-US"/>
    </w:rPr>
  </w:style>
  <w:style w:type="paragraph" w:customStyle="1" w:styleId="CoverNumberOfPages">
    <w:name w:val="Cover NumberOfPages"/>
    <w:rsid w:val="008E5198"/>
    <w:pPr>
      <w:spacing w:before="40" w:after="40"/>
      <w:jc w:val="center"/>
    </w:pPr>
    <w:rPr>
      <w:rFonts w:ascii="Tms Rmn" w:hAnsi="Tms Rmn"/>
      <w:i/>
      <w:lang w:eastAsia="en-US"/>
    </w:rPr>
  </w:style>
  <w:style w:type="paragraph" w:customStyle="1" w:styleId="CoverReference">
    <w:name w:val="Cover Reference"/>
    <w:rsid w:val="008E5198"/>
    <w:pPr>
      <w:spacing w:before="40" w:after="40"/>
      <w:jc w:val="center"/>
    </w:pPr>
    <w:rPr>
      <w:rFonts w:ascii="Tms Rmn" w:hAnsi="Tms Rmn"/>
      <w:lang w:eastAsia="en-US"/>
    </w:rPr>
  </w:style>
  <w:style w:type="paragraph" w:customStyle="1" w:styleId="GlossaryHeader">
    <w:name w:val="Glossary Header"/>
    <w:next w:val="Normal"/>
    <w:rsid w:val="008E5198"/>
    <w:pPr>
      <w:overflowPunct w:val="0"/>
      <w:autoSpaceDE w:val="0"/>
      <w:autoSpaceDN w:val="0"/>
      <w:adjustRightInd w:val="0"/>
      <w:textAlignment w:val="baseline"/>
    </w:pPr>
    <w:rPr>
      <w:rFonts w:ascii="Times New Roman" w:hAnsi="Times New Roman"/>
      <w:noProof/>
      <w:sz w:val="36"/>
      <w:lang w:eastAsia="en-US"/>
    </w:rPr>
  </w:style>
  <w:style w:type="paragraph" w:customStyle="1" w:styleId="GlossaryText">
    <w:name w:val="Glossary Text"/>
    <w:basedOn w:val="Normal"/>
    <w:rsid w:val="008E5198"/>
    <w:pPr>
      <w:widowControl/>
      <w:tabs>
        <w:tab w:val="left" w:pos="2835"/>
      </w:tabs>
      <w:overflowPunct w:val="0"/>
      <w:spacing w:before="260"/>
      <w:jc w:val="both"/>
      <w:textAlignment w:val="baseline"/>
    </w:pPr>
    <w:rPr>
      <w:sz w:val="22"/>
      <w:lang w:eastAsia="en-US"/>
    </w:rPr>
  </w:style>
  <w:style w:type="paragraph" w:customStyle="1" w:styleId="AlignBracketsOne">
    <w:name w:val="AlignBracketsOne"/>
    <w:basedOn w:val="Normal"/>
    <w:rsid w:val="008E5198"/>
    <w:pPr>
      <w:widowControl/>
      <w:overflowPunct w:val="0"/>
      <w:ind w:left="153" w:hanging="153"/>
      <w:jc w:val="right"/>
      <w:textAlignment w:val="baseline"/>
    </w:pPr>
    <w:rPr>
      <w:sz w:val="18"/>
      <w:lang w:eastAsia="en-US"/>
    </w:rPr>
  </w:style>
  <w:style w:type="paragraph" w:customStyle="1" w:styleId="AlignBracketsTwo">
    <w:name w:val="AlignBracketsTwo"/>
    <w:basedOn w:val="Normal"/>
    <w:rsid w:val="008E5198"/>
    <w:pPr>
      <w:widowControl/>
      <w:overflowPunct w:val="0"/>
      <w:ind w:left="153" w:right="57" w:hanging="153"/>
      <w:jc w:val="right"/>
      <w:textAlignment w:val="baseline"/>
    </w:pPr>
    <w:rPr>
      <w:sz w:val="18"/>
      <w:lang w:eastAsia="en-US"/>
    </w:rPr>
  </w:style>
  <w:style w:type="paragraph" w:customStyle="1" w:styleId="AlignWithoutOne">
    <w:name w:val="AlignWithoutOne"/>
    <w:basedOn w:val="Normal"/>
    <w:rsid w:val="008E5198"/>
    <w:pPr>
      <w:widowControl/>
      <w:overflowPunct w:val="0"/>
      <w:ind w:left="153" w:right="57" w:hanging="153"/>
      <w:jc w:val="right"/>
      <w:textAlignment w:val="baseline"/>
    </w:pPr>
    <w:rPr>
      <w:sz w:val="18"/>
      <w:lang w:eastAsia="en-US"/>
    </w:rPr>
  </w:style>
  <w:style w:type="paragraph" w:customStyle="1" w:styleId="AlignWithoutTwo">
    <w:name w:val="AlignWithoutTwo"/>
    <w:basedOn w:val="Normal"/>
    <w:rsid w:val="008E5198"/>
    <w:pPr>
      <w:widowControl/>
      <w:overflowPunct w:val="0"/>
      <w:ind w:left="153" w:right="113" w:hanging="153"/>
      <w:jc w:val="right"/>
      <w:textAlignment w:val="baseline"/>
    </w:pPr>
    <w:rPr>
      <w:sz w:val="18"/>
      <w:lang w:eastAsia="en-US"/>
    </w:rPr>
  </w:style>
  <w:style w:type="paragraph" w:customStyle="1" w:styleId="Denomination1">
    <w:name w:val="Denomination1"/>
    <w:basedOn w:val="Normal"/>
    <w:rsid w:val="008E5198"/>
    <w:pPr>
      <w:widowControl/>
      <w:overflowPunct w:val="0"/>
      <w:ind w:right="113"/>
      <w:jc w:val="right"/>
      <w:textAlignment w:val="baseline"/>
    </w:pPr>
    <w:rPr>
      <w:sz w:val="18"/>
      <w:lang w:eastAsia="en-US"/>
    </w:rPr>
  </w:style>
  <w:style w:type="paragraph" w:customStyle="1" w:styleId="Denomination2">
    <w:name w:val="Denomination2"/>
    <w:basedOn w:val="Normal"/>
    <w:rsid w:val="008E5198"/>
    <w:pPr>
      <w:widowControl/>
      <w:overflowPunct w:val="0"/>
      <w:ind w:right="113"/>
      <w:jc w:val="right"/>
      <w:textAlignment w:val="baseline"/>
    </w:pPr>
    <w:rPr>
      <w:sz w:val="18"/>
      <w:lang w:eastAsia="en-US"/>
    </w:rPr>
  </w:style>
  <w:style w:type="paragraph" w:customStyle="1" w:styleId="Tablehead1">
    <w:name w:val="Tablehead1"/>
    <w:basedOn w:val="Normal"/>
    <w:rsid w:val="008E5198"/>
    <w:pPr>
      <w:widowControl/>
      <w:overflowPunct w:val="0"/>
      <w:spacing w:before="130"/>
      <w:ind w:right="113"/>
      <w:jc w:val="right"/>
      <w:textAlignment w:val="baseline"/>
    </w:pPr>
    <w:rPr>
      <w:sz w:val="18"/>
      <w:lang w:eastAsia="en-US"/>
    </w:rPr>
  </w:style>
  <w:style w:type="paragraph" w:customStyle="1" w:styleId="Tabletext1">
    <w:name w:val="Tabletext1"/>
    <w:basedOn w:val="Normal"/>
    <w:rsid w:val="008E5198"/>
    <w:pPr>
      <w:widowControl/>
      <w:overflowPunct w:val="0"/>
      <w:spacing w:before="130"/>
      <w:ind w:right="57"/>
      <w:jc w:val="right"/>
      <w:textAlignment w:val="baseline"/>
    </w:pPr>
    <w:rPr>
      <w:sz w:val="18"/>
      <w:lang w:eastAsia="en-US"/>
    </w:rPr>
  </w:style>
  <w:style w:type="paragraph" w:customStyle="1" w:styleId="Tabletext2">
    <w:name w:val="Tabletext2"/>
    <w:basedOn w:val="Normal"/>
    <w:rsid w:val="008E5198"/>
    <w:pPr>
      <w:widowControl/>
      <w:overflowPunct w:val="0"/>
      <w:spacing w:before="130"/>
      <w:ind w:right="113"/>
      <w:jc w:val="right"/>
      <w:textAlignment w:val="baseline"/>
    </w:pPr>
    <w:rPr>
      <w:sz w:val="18"/>
      <w:lang w:eastAsia="en-US"/>
    </w:rPr>
  </w:style>
  <w:style w:type="paragraph" w:customStyle="1" w:styleId="AppendixHeader">
    <w:name w:val="Appendix Header"/>
    <w:basedOn w:val="Normal"/>
    <w:rsid w:val="008E5198"/>
    <w:pPr>
      <w:keepNext/>
      <w:pageBreakBefore/>
      <w:widowControl/>
      <w:tabs>
        <w:tab w:val="num" w:pos="0"/>
      </w:tabs>
      <w:overflowPunct w:val="0"/>
      <w:spacing w:after="600"/>
      <w:textAlignment w:val="baseline"/>
    </w:pPr>
    <w:rPr>
      <w:b/>
      <w:sz w:val="32"/>
      <w:lang w:eastAsia="en-US"/>
    </w:rPr>
  </w:style>
  <w:style w:type="paragraph" w:customStyle="1" w:styleId="KPMGSmalllogo">
    <w:name w:val="KPMG Small logo"/>
    <w:basedOn w:val="Normal"/>
    <w:rsid w:val="008E5198"/>
    <w:pPr>
      <w:keepLines/>
      <w:widowControl/>
      <w:overflowPunct w:val="0"/>
      <w:textAlignment w:val="baseline"/>
    </w:pPr>
    <w:rPr>
      <w:rFonts w:ascii="KPMG Logo" w:hAnsi="KPMG Logo"/>
      <w:sz w:val="26"/>
      <w:lang w:eastAsia="en-US"/>
    </w:rPr>
  </w:style>
  <w:style w:type="paragraph" w:styleId="ListBullet">
    <w:name w:val="List Bullet"/>
    <w:basedOn w:val="Normal"/>
    <w:rsid w:val="008E5198"/>
    <w:pPr>
      <w:widowControl/>
      <w:tabs>
        <w:tab w:val="left" w:pos="397"/>
      </w:tabs>
      <w:overflowPunct w:val="0"/>
      <w:spacing w:after="220"/>
      <w:ind w:left="397" w:hanging="397"/>
      <w:jc w:val="both"/>
      <w:textAlignment w:val="baseline"/>
    </w:pPr>
    <w:rPr>
      <w:sz w:val="22"/>
      <w:lang w:eastAsia="en-US"/>
    </w:rPr>
  </w:style>
  <w:style w:type="paragraph" w:styleId="ListBullet2">
    <w:name w:val="List Bullet 2"/>
    <w:basedOn w:val="Normal"/>
    <w:rsid w:val="008E5198"/>
    <w:pPr>
      <w:widowControl/>
      <w:tabs>
        <w:tab w:val="left" w:pos="794"/>
      </w:tabs>
      <w:overflowPunct w:val="0"/>
      <w:spacing w:after="220"/>
      <w:ind w:left="794" w:hanging="397"/>
      <w:jc w:val="both"/>
      <w:textAlignment w:val="baseline"/>
    </w:pPr>
    <w:rPr>
      <w:sz w:val="22"/>
      <w:lang w:eastAsia="en-US"/>
    </w:rPr>
  </w:style>
  <w:style w:type="paragraph" w:styleId="ListNumber">
    <w:name w:val="List Number"/>
    <w:basedOn w:val="Normal"/>
    <w:rsid w:val="008E5198"/>
    <w:pPr>
      <w:widowControl/>
      <w:overflowPunct w:val="0"/>
      <w:spacing w:before="130"/>
      <w:ind w:left="284" w:hanging="284"/>
      <w:textAlignment w:val="baseline"/>
    </w:pPr>
    <w:rPr>
      <w:sz w:val="22"/>
      <w:lang w:eastAsia="en-US"/>
    </w:rPr>
  </w:style>
  <w:style w:type="paragraph" w:styleId="ListNumber2">
    <w:name w:val="List Number 2"/>
    <w:basedOn w:val="ListBullet2"/>
    <w:rsid w:val="008E5198"/>
    <w:pPr>
      <w:ind w:left="566" w:hanging="283"/>
    </w:pPr>
  </w:style>
  <w:style w:type="paragraph" w:styleId="BlockText">
    <w:name w:val="Block Text"/>
    <w:basedOn w:val="Normal"/>
    <w:rsid w:val="008E5198"/>
    <w:pPr>
      <w:widowControl/>
      <w:overflowPunct w:val="0"/>
      <w:spacing w:after="120"/>
      <w:ind w:left="1440" w:right="1440"/>
      <w:textAlignment w:val="baseline"/>
    </w:pPr>
    <w:rPr>
      <w:sz w:val="22"/>
      <w:lang w:eastAsia="en-US"/>
    </w:rPr>
  </w:style>
  <w:style w:type="paragraph" w:styleId="Closing">
    <w:name w:val="Closing"/>
    <w:basedOn w:val="Normal"/>
    <w:link w:val="ClosingChar"/>
    <w:rsid w:val="008E5198"/>
    <w:pPr>
      <w:widowControl/>
      <w:overflowPunct w:val="0"/>
      <w:ind w:left="4252"/>
      <w:textAlignment w:val="baseline"/>
    </w:pPr>
    <w:rPr>
      <w:sz w:val="22"/>
      <w:lang w:eastAsia="en-US"/>
    </w:rPr>
  </w:style>
  <w:style w:type="character" w:customStyle="1" w:styleId="ClosingChar">
    <w:name w:val="Closing Char"/>
    <w:link w:val="Closing"/>
    <w:rsid w:val="008E5198"/>
    <w:rPr>
      <w:rFonts w:ascii="Times New Roman" w:hAnsi="Times New Roman"/>
      <w:sz w:val="22"/>
      <w:lang w:val="en-US" w:eastAsia="en-US"/>
    </w:rPr>
  </w:style>
  <w:style w:type="character" w:customStyle="1" w:styleId="CommentTextChar">
    <w:name w:val="Comment Text Char"/>
    <w:link w:val="CommentText"/>
    <w:uiPriority w:val="99"/>
    <w:semiHidden/>
    <w:rsid w:val="008E5198"/>
    <w:rPr>
      <w:rFonts w:ascii="Times New Roman" w:hAnsi="Times New Roman"/>
      <w:lang w:val="en-US" w:eastAsia="en-US"/>
    </w:rPr>
  </w:style>
  <w:style w:type="paragraph" w:styleId="CommentText">
    <w:name w:val="annotation text"/>
    <w:basedOn w:val="Normal"/>
    <w:link w:val="CommentTextChar"/>
    <w:uiPriority w:val="99"/>
    <w:semiHidden/>
    <w:rsid w:val="008E5198"/>
    <w:pPr>
      <w:widowControl/>
      <w:overflowPunct w:val="0"/>
      <w:textAlignment w:val="baseline"/>
    </w:pPr>
    <w:rPr>
      <w:lang w:eastAsia="en-US"/>
    </w:rPr>
  </w:style>
  <w:style w:type="paragraph" w:styleId="Date">
    <w:name w:val="Date"/>
    <w:basedOn w:val="Normal"/>
    <w:next w:val="Normal"/>
    <w:link w:val="DateChar"/>
    <w:rsid w:val="008E5198"/>
    <w:pPr>
      <w:widowControl/>
      <w:overflowPunct w:val="0"/>
      <w:textAlignment w:val="baseline"/>
    </w:pPr>
    <w:rPr>
      <w:sz w:val="22"/>
      <w:lang w:eastAsia="en-US"/>
    </w:rPr>
  </w:style>
  <w:style w:type="character" w:customStyle="1" w:styleId="DateChar">
    <w:name w:val="Date Char"/>
    <w:link w:val="Date"/>
    <w:rsid w:val="008E5198"/>
    <w:rPr>
      <w:rFonts w:ascii="Times New Roman" w:hAnsi="Times New Roman"/>
      <w:sz w:val="22"/>
      <w:lang w:val="en-US" w:eastAsia="en-US"/>
    </w:rPr>
  </w:style>
  <w:style w:type="character" w:customStyle="1" w:styleId="DocumentMapChar">
    <w:name w:val="Document Map Char"/>
    <w:link w:val="DocumentMap"/>
    <w:semiHidden/>
    <w:rsid w:val="008E5198"/>
    <w:rPr>
      <w:rFonts w:ascii="Tahoma" w:hAnsi="Tahoma" w:cs="Tahoma"/>
      <w:sz w:val="22"/>
      <w:shd w:val="clear" w:color="auto" w:fill="000080"/>
      <w:lang w:val="en-US" w:eastAsia="en-US"/>
    </w:rPr>
  </w:style>
  <w:style w:type="paragraph" w:styleId="DocumentMap">
    <w:name w:val="Document Map"/>
    <w:basedOn w:val="Normal"/>
    <w:link w:val="DocumentMapChar"/>
    <w:semiHidden/>
    <w:rsid w:val="008E5198"/>
    <w:pPr>
      <w:widowControl/>
      <w:shd w:val="clear" w:color="auto" w:fill="000080"/>
      <w:overflowPunct w:val="0"/>
      <w:textAlignment w:val="baseline"/>
    </w:pPr>
    <w:rPr>
      <w:rFonts w:ascii="Tahoma" w:hAnsi="Tahoma"/>
      <w:sz w:val="22"/>
      <w:lang w:eastAsia="en-US"/>
    </w:rPr>
  </w:style>
  <w:style w:type="paragraph" w:styleId="E-mailSignature">
    <w:name w:val="E-mail Signature"/>
    <w:basedOn w:val="Normal"/>
    <w:link w:val="E-mailSignatureChar"/>
    <w:rsid w:val="008E5198"/>
    <w:pPr>
      <w:widowControl/>
      <w:overflowPunct w:val="0"/>
      <w:textAlignment w:val="baseline"/>
    </w:pPr>
    <w:rPr>
      <w:sz w:val="22"/>
      <w:lang w:eastAsia="en-US"/>
    </w:rPr>
  </w:style>
  <w:style w:type="character" w:customStyle="1" w:styleId="E-mailSignatureChar">
    <w:name w:val="E-mail Signature Char"/>
    <w:link w:val="E-mailSignature"/>
    <w:rsid w:val="008E5198"/>
    <w:rPr>
      <w:rFonts w:ascii="Times New Roman" w:hAnsi="Times New Roman"/>
      <w:sz w:val="22"/>
      <w:lang w:val="en-US" w:eastAsia="en-US"/>
    </w:rPr>
  </w:style>
  <w:style w:type="character" w:styleId="Emphasis">
    <w:name w:val="Emphasis"/>
    <w:uiPriority w:val="20"/>
    <w:qFormat/>
    <w:rsid w:val="008E5198"/>
    <w:rPr>
      <w:i/>
      <w:iCs/>
    </w:rPr>
  </w:style>
  <w:style w:type="paragraph" w:styleId="EnvelopeAddress">
    <w:name w:val="envelope address"/>
    <w:basedOn w:val="Normal"/>
    <w:rsid w:val="008E5198"/>
    <w:pPr>
      <w:framePr w:w="7920" w:h="1980" w:hRule="exact" w:hSpace="180" w:wrap="auto" w:hAnchor="page" w:xAlign="center" w:yAlign="bottom"/>
      <w:widowControl/>
      <w:overflowPunct w:val="0"/>
      <w:ind w:left="2880"/>
      <w:textAlignment w:val="baseline"/>
    </w:pPr>
    <w:rPr>
      <w:rFonts w:ascii="Arial" w:hAnsi="Arial" w:cs="Arial"/>
      <w:sz w:val="24"/>
      <w:szCs w:val="24"/>
      <w:lang w:eastAsia="en-US"/>
    </w:rPr>
  </w:style>
  <w:style w:type="paragraph" w:styleId="EnvelopeReturn">
    <w:name w:val="envelope return"/>
    <w:basedOn w:val="Normal"/>
    <w:rsid w:val="008E5198"/>
    <w:pPr>
      <w:widowControl/>
      <w:overflowPunct w:val="0"/>
      <w:textAlignment w:val="baseline"/>
    </w:pPr>
    <w:rPr>
      <w:rFonts w:ascii="Arial" w:hAnsi="Arial" w:cs="Arial"/>
      <w:lang w:eastAsia="en-US"/>
    </w:rPr>
  </w:style>
  <w:style w:type="character" w:styleId="FollowedHyperlink">
    <w:name w:val="FollowedHyperlink"/>
    <w:rsid w:val="008E5198"/>
    <w:rPr>
      <w:color w:val="800080"/>
      <w:u w:val="single"/>
    </w:rPr>
  </w:style>
  <w:style w:type="character" w:styleId="HTMLAcronym">
    <w:name w:val="HTML Acronym"/>
    <w:basedOn w:val="DefaultParagraphFont"/>
    <w:rsid w:val="008E5198"/>
  </w:style>
  <w:style w:type="paragraph" w:styleId="HTMLAddress">
    <w:name w:val="HTML Address"/>
    <w:basedOn w:val="Normal"/>
    <w:link w:val="HTMLAddressChar"/>
    <w:rsid w:val="008E5198"/>
    <w:pPr>
      <w:widowControl/>
      <w:overflowPunct w:val="0"/>
      <w:textAlignment w:val="baseline"/>
    </w:pPr>
    <w:rPr>
      <w:i/>
      <w:iCs/>
      <w:sz w:val="22"/>
      <w:lang w:eastAsia="en-US"/>
    </w:rPr>
  </w:style>
  <w:style w:type="character" w:customStyle="1" w:styleId="HTMLAddressChar">
    <w:name w:val="HTML Address Char"/>
    <w:link w:val="HTMLAddress"/>
    <w:rsid w:val="008E5198"/>
    <w:rPr>
      <w:rFonts w:ascii="Times New Roman" w:hAnsi="Times New Roman"/>
      <w:i/>
      <w:iCs/>
      <w:sz w:val="22"/>
      <w:lang w:val="en-US" w:eastAsia="en-US"/>
    </w:rPr>
  </w:style>
  <w:style w:type="character" w:styleId="HTMLCite">
    <w:name w:val="HTML Cite"/>
    <w:rsid w:val="008E5198"/>
    <w:rPr>
      <w:i/>
      <w:iCs/>
    </w:rPr>
  </w:style>
  <w:style w:type="character" w:styleId="HTMLCode">
    <w:name w:val="HTML Code"/>
    <w:rsid w:val="008E5198"/>
    <w:rPr>
      <w:rFonts w:ascii="Courier New" w:hAnsi="Courier New"/>
      <w:sz w:val="20"/>
      <w:szCs w:val="20"/>
    </w:rPr>
  </w:style>
  <w:style w:type="character" w:styleId="HTMLDefinition">
    <w:name w:val="HTML Definition"/>
    <w:rsid w:val="008E5198"/>
    <w:rPr>
      <w:i/>
      <w:iCs/>
    </w:rPr>
  </w:style>
  <w:style w:type="character" w:styleId="HTMLKeyboard">
    <w:name w:val="HTML Keyboard"/>
    <w:rsid w:val="008E5198"/>
    <w:rPr>
      <w:rFonts w:ascii="Courier New" w:hAnsi="Courier New"/>
      <w:sz w:val="20"/>
      <w:szCs w:val="20"/>
    </w:rPr>
  </w:style>
  <w:style w:type="paragraph" w:styleId="HTMLPreformatted">
    <w:name w:val="HTML Preformatted"/>
    <w:basedOn w:val="Normal"/>
    <w:link w:val="HTMLPreformattedChar"/>
    <w:uiPriority w:val="99"/>
    <w:rsid w:val="008E5198"/>
    <w:pPr>
      <w:widowControl/>
      <w:overflowPunct w:val="0"/>
      <w:textAlignment w:val="baseline"/>
    </w:pPr>
    <w:rPr>
      <w:rFonts w:ascii="Courier New" w:hAnsi="Courier New"/>
      <w:lang w:eastAsia="en-US"/>
    </w:rPr>
  </w:style>
  <w:style w:type="character" w:customStyle="1" w:styleId="HTMLPreformattedChar">
    <w:name w:val="HTML Preformatted Char"/>
    <w:link w:val="HTMLPreformatted"/>
    <w:uiPriority w:val="99"/>
    <w:rsid w:val="008E5198"/>
    <w:rPr>
      <w:rFonts w:ascii="Courier New" w:hAnsi="Courier New" w:cs="Courier New"/>
      <w:lang w:val="en-US" w:eastAsia="en-US"/>
    </w:rPr>
  </w:style>
  <w:style w:type="character" w:styleId="HTMLSample">
    <w:name w:val="HTML Sample"/>
    <w:rsid w:val="008E5198"/>
    <w:rPr>
      <w:rFonts w:ascii="Courier New" w:hAnsi="Courier New"/>
    </w:rPr>
  </w:style>
  <w:style w:type="character" w:styleId="HTMLTypewriter">
    <w:name w:val="HTML Typewriter"/>
    <w:rsid w:val="008E5198"/>
    <w:rPr>
      <w:rFonts w:ascii="Courier New" w:hAnsi="Courier New"/>
      <w:sz w:val="20"/>
      <w:szCs w:val="20"/>
    </w:rPr>
  </w:style>
  <w:style w:type="character" w:styleId="HTMLVariable">
    <w:name w:val="HTML Variable"/>
    <w:rsid w:val="008E5198"/>
    <w:rPr>
      <w:i/>
      <w:iCs/>
    </w:rPr>
  </w:style>
  <w:style w:type="character" w:styleId="LineNumber">
    <w:name w:val="line number"/>
    <w:basedOn w:val="DefaultParagraphFont"/>
    <w:rsid w:val="008E5198"/>
  </w:style>
  <w:style w:type="paragraph" w:styleId="List">
    <w:name w:val="List"/>
    <w:basedOn w:val="Normal"/>
    <w:rsid w:val="008E5198"/>
    <w:pPr>
      <w:widowControl/>
      <w:overflowPunct w:val="0"/>
      <w:ind w:left="283" w:hanging="283"/>
      <w:textAlignment w:val="baseline"/>
    </w:pPr>
    <w:rPr>
      <w:sz w:val="22"/>
      <w:lang w:eastAsia="en-US"/>
    </w:rPr>
  </w:style>
  <w:style w:type="paragraph" w:styleId="List2">
    <w:name w:val="List 2"/>
    <w:basedOn w:val="Normal"/>
    <w:rsid w:val="008E5198"/>
    <w:pPr>
      <w:widowControl/>
      <w:overflowPunct w:val="0"/>
      <w:ind w:left="566" w:hanging="283"/>
      <w:textAlignment w:val="baseline"/>
    </w:pPr>
    <w:rPr>
      <w:sz w:val="22"/>
      <w:lang w:eastAsia="en-US"/>
    </w:rPr>
  </w:style>
  <w:style w:type="paragraph" w:styleId="List3">
    <w:name w:val="List 3"/>
    <w:basedOn w:val="Normal"/>
    <w:rsid w:val="008E5198"/>
    <w:pPr>
      <w:widowControl/>
      <w:overflowPunct w:val="0"/>
      <w:ind w:left="849" w:hanging="283"/>
      <w:textAlignment w:val="baseline"/>
    </w:pPr>
    <w:rPr>
      <w:sz w:val="22"/>
      <w:lang w:eastAsia="en-US"/>
    </w:rPr>
  </w:style>
  <w:style w:type="paragraph" w:styleId="List4">
    <w:name w:val="List 4"/>
    <w:basedOn w:val="Normal"/>
    <w:rsid w:val="008E5198"/>
    <w:pPr>
      <w:widowControl/>
      <w:overflowPunct w:val="0"/>
      <w:ind w:left="1132" w:hanging="283"/>
      <w:textAlignment w:val="baseline"/>
    </w:pPr>
    <w:rPr>
      <w:sz w:val="22"/>
      <w:lang w:eastAsia="en-US"/>
    </w:rPr>
  </w:style>
  <w:style w:type="paragraph" w:styleId="List5">
    <w:name w:val="List 5"/>
    <w:basedOn w:val="Normal"/>
    <w:rsid w:val="008E5198"/>
    <w:pPr>
      <w:widowControl/>
      <w:overflowPunct w:val="0"/>
      <w:ind w:left="1415" w:hanging="283"/>
      <w:textAlignment w:val="baseline"/>
    </w:pPr>
    <w:rPr>
      <w:sz w:val="22"/>
      <w:lang w:eastAsia="en-US"/>
    </w:rPr>
  </w:style>
  <w:style w:type="paragraph" w:styleId="ListBullet3">
    <w:name w:val="List Bullet 3"/>
    <w:basedOn w:val="Normal"/>
    <w:autoRedefine/>
    <w:rsid w:val="008E5198"/>
    <w:pPr>
      <w:widowControl/>
      <w:tabs>
        <w:tab w:val="left" w:pos="1191"/>
      </w:tabs>
      <w:overflowPunct w:val="0"/>
      <w:spacing w:after="220"/>
      <w:ind w:left="1191" w:hanging="397"/>
      <w:textAlignment w:val="baseline"/>
    </w:pPr>
    <w:rPr>
      <w:sz w:val="22"/>
      <w:lang w:eastAsia="en-US"/>
    </w:rPr>
  </w:style>
  <w:style w:type="paragraph" w:styleId="ListBullet4">
    <w:name w:val="List Bullet 4"/>
    <w:basedOn w:val="Normal"/>
    <w:autoRedefine/>
    <w:rsid w:val="008E5198"/>
    <w:pPr>
      <w:widowControl/>
      <w:tabs>
        <w:tab w:val="left" w:pos="1588"/>
      </w:tabs>
      <w:overflowPunct w:val="0"/>
      <w:spacing w:after="220"/>
      <w:ind w:left="1588" w:hanging="397"/>
      <w:textAlignment w:val="baseline"/>
    </w:pPr>
    <w:rPr>
      <w:sz w:val="22"/>
      <w:lang w:eastAsia="en-US"/>
    </w:rPr>
  </w:style>
  <w:style w:type="paragraph" w:styleId="ListBullet5">
    <w:name w:val="List Bullet 5"/>
    <w:basedOn w:val="Normal"/>
    <w:autoRedefine/>
    <w:rsid w:val="008E5198"/>
    <w:pPr>
      <w:widowControl/>
      <w:tabs>
        <w:tab w:val="left" w:pos="1985"/>
      </w:tabs>
      <w:overflowPunct w:val="0"/>
      <w:spacing w:after="220"/>
      <w:ind w:left="1985" w:hanging="397"/>
      <w:textAlignment w:val="baseline"/>
    </w:pPr>
    <w:rPr>
      <w:sz w:val="22"/>
      <w:lang w:eastAsia="en-US"/>
    </w:rPr>
  </w:style>
  <w:style w:type="paragraph" w:styleId="ListContinue">
    <w:name w:val="List Continue"/>
    <w:basedOn w:val="Normal"/>
    <w:rsid w:val="008E5198"/>
    <w:pPr>
      <w:widowControl/>
      <w:overflowPunct w:val="0"/>
      <w:spacing w:after="120"/>
      <w:ind w:left="283"/>
      <w:textAlignment w:val="baseline"/>
    </w:pPr>
    <w:rPr>
      <w:sz w:val="22"/>
      <w:lang w:eastAsia="en-US"/>
    </w:rPr>
  </w:style>
  <w:style w:type="paragraph" w:styleId="ListContinue2">
    <w:name w:val="List Continue 2"/>
    <w:basedOn w:val="Normal"/>
    <w:rsid w:val="008E5198"/>
    <w:pPr>
      <w:widowControl/>
      <w:overflowPunct w:val="0"/>
      <w:spacing w:after="120"/>
      <w:ind w:left="566"/>
      <w:textAlignment w:val="baseline"/>
    </w:pPr>
    <w:rPr>
      <w:sz w:val="22"/>
      <w:lang w:eastAsia="en-US"/>
    </w:rPr>
  </w:style>
  <w:style w:type="paragraph" w:styleId="ListContinue3">
    <w:name w:val="List Continue 3"/>
    <w:basedOn w:val="Normal"/>
    <w:rsid w:val="008E5198"/>
    <w:pPr>
      <w:widowControl/>
      <w:overflowPunct w:val="0"/>
      <w:spacing w:after="120"/>
      <w:ind w:left="849"/>
      <w:textAlignment w:val="baseline"/>
    </w:pPr>
    <w:rPr>
      <w:sz w:val="22"/>
      <w:lang w:eastAsia="en-US"/>
    </w:rPr>
  </w:style>
  <w:style w:type="paragraph" w:styleId="ListContinue4">
    <w:name w:val="List Continue 4"/>
    <w:basedOn w:val="Normal"/>
    <w:rsid w:val="008E5198"/>
    <w:pPr>
      <w:widowControl/>
      <w:overflowPunct w:val="0"/>
      <w:spacing w:after="120"/>
      <w:ind w:left="1132"/>
      <w:textAlignment w:val="baseline"/>
    </w:pPr>
    <w:rPr>
      <w:sz w:val="22"/>
      <w:lang w:eastAsia="en-US"/>
    </w:rPr>
  </w:style>
  <w:style w:type="paragraph" w:styleId="ListContinue5">
    <w:name w:val="List Continue 5"/>
    <w:basedOn w:val="Normal"/>
    <w:rsid w:val="008E5198"/>
    <w:pPr>
      <w:widowControl/>
      <w:overflowPunct w:val="0"/>
      <w:spacing w:after="120"/>
      <w:ind w:left="1415"/>
      <w:textAlignment w:val="baseline"/>
    </w:pPr>
    <w:rPr>
      <w:sz w:val="22"/>
      <w:lang w:eastAsia="en-US"/>
    </w:rPr>
  </w:style>
  <w:style w:type="paragraph" w:styleId="ListNumber3">
    <w:name w:val="List Number 3"/>
    <w:basedOn w:val="Normal"/>
    <w:rsid w:val="008E5198"/>
    <w:pPr>
      <w:widowControl/>
      <w:tabs>
        <w:tab w:val="num" w:pos="926"/>
      </w:tabs>
      <w:overflowPunct w:val="0"/>
      <w:ind w:left="926" w:hanging="360"/>
      <w:textAlignment w:val="baseline"/>
    </w:pPr>
    <w:rPr>
      <w:sz w:val="22"/>
      <w:lang w:eastAsia="en-US"/>
    </w:rPr>
  </w:style>
  <w:style w:type="paragraph" w:styleId="ListNumber4">
    <w:name w:val="List Number 4"/>
    <w:basedOn w:val="Normal"/>
    <w:rsid w:val="008E5198"/>
    <w:pPr>
      <w:widowControl/>
      <w:tabs>
        <w:tab w:val="num" w:pos="1209"/>
      </w:tabs>
      <w:overflowPunct w:val="0"/>
      <w:ind w:left="1209" w:hanging="360"/>
      <w:textAlignment w:val="baseline"/>
    </w:pPr>
    <w:rPr>
      <w:sz w:val="22"/>
      <w:lang w:eastAsia="en-US"/>
    </w:rPr>
  </w:style>
  <w:style w:type="paragraph" w:styleId="ListNumber5">
    <w:name w:val="List Number 5"/>
    <w:basedOn w:val="Normal"/>
    <w:rsid w:val="008E5198"/>
    <w:pPr>
      <w:widowControl/>
      <w:tabs>
        <w:tab w:val="num" w:pos="1492"/>
      </w:tabs>
      <w:overflowPunct w:val="0"/>
      <w:ind w:left="1492" w:hanging="360"/>
      <w:textAlignment w:val="baseline"/>
    </w:pPr>
    <w:rPr>
      <w:sz w:val="22"/>
      <w:lang w:eastAsia="en-US"/>
    </w:rPr>
  </w:style>
  <w:style w:type="character" w:customStyle="1" w:styleId="MacroTextChar">
    <w:name w:val="Macro Text Char"/>
    <w:link w:val="MacroText"/>
    <w:semiHidden/>
    <w:rsid w:val="008E5198"/>
    <w:rPr>
      <w:rFonts w:ascii="Courier New" w:hAnsi="Courier New" w:cs="Courier New"/>
      <w:lang w:val="en-US" w:eastAsia="en-US" w:bidi="ar-SA"/>
    </w:rPr>
  </w:style>
  <w:style w:type="paragraph" w:styleId="MacroText">
    <w:name w:val="macro"/>
    <w:link w:val="MacroTextChar"/>
    <w:semiHidden/>
    <w:rsid w:val="008E519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eastAsia="en-US"/>
    </w:rPr>
  </w:style>
  <w:style w:type="paragraph" w:styleId="MessageHeader">
    <w:name w:val="Message Header"/>
    <w:basedOn w:val="Normal"/>
    <w:link w:val="MessageHeaderChar"/>
    <w:rsid w:val="008E5198"/>
    <w:pPr>
      <w:widowControl/>
      <w:pBdr>
        <w:top w:val="single" w:sz="6" w:space="1" w:color="auto"/>
        <w:left w:val="single" w:sz="6" w:space="1" w:color="auto"/>
        <w:bottom w:val="single" w:sz="6" w:space="1" w:color="auto"/>
        <w:right w:val="single" w:sz="6" w:space="1" w:color="auto"/>
      </w:pBdr>
      <w:shd w:val="pct20" w:color="auto" w:fill="auto"/>
      <w:overflowPunct w:val="0"/>
      <w:ind w:left="1134" w:hanging="1134"/>
      <w:textAlignment w:val="baseline"/>
    </w:pPr>
    <w:rPr>
      <w:rFonts w:ascii="Arial" w:hAnsi="Arial"/>
      <w:sz w:val="24"/>
      <w:szCs w:val="24"/>
      <w:lang w:eastAsia="en-US"/>
    </w:rPr>
  </w:style>
  <w:style w:type="character" w:customStyle="1" w:styleId="MessageHeaderChar">
    <w:name w:val="Message Header Char"/>
    <w:link w:val="MessageHeader"/>
    <w:rsid w:val="008E5198"/>
    <w:rPr>
      <w:rFonts w:ascii="Arial" w:hAnsi="Arial" w:cs="Arial"/>
      <w:sz w:val="24"/>
      <w:szCs w:val="24"/>
      <w:shd w:val="pct20" w:color="auto" w:fill="auto"/>
      <w:lang w:val="en-US" w:eastAsia="en-US"/>
    </w:rPr>
  </w:style>
  <w:style w:type="paragraph" w:styleId="NoteHeading">
    <w:name w:val="Note Heading"/>
    <w:basedOn w:val="Normal"/>
    <w:next w:val="Normal"/>
    <w:link w:val="NoteHeadingChar"/>
    <w:rsid w:val="008E5198"/>
    <w:pPr>
      <w:widowControl/>
      <w:overflowPunct w:val="0"/>
      <w:textAlignment w:val="baseline"/>
    </w:pPr>
    <w:rPr>
      <w:sz w:val="22"/>
      <w:lang w:eastAsia="en-US"/>
    </w:rPr>
  </w:style>
  <w:style w:type="character" w:customStyle="1" w:styleId="NoteHeadingChar">
    <w:name w:val="Note Heading Char"/>
    <w:link w:val="NoteHeading"/>
    <w:rsid w:val="008E5198"/>
    <w:rPr>
      <w:rFonts w:ascii="Times New Roman" w:hAnsi="Times New Roman"/>
      <w:sz w:val="22"/>
      <w:lang w:val="en-US" w:eastAsia="en-US"/>
    </w:rPr>
  </w:style>
  <w:style w:type="character" w:styleId="PageNumber">
    <w:name w:val="page number"/>
    <w:basedOn w:val="DefaultParagraphFont"/>
    <w:rsid w:val="008E5198"/>
  </w:style>
  <w:style w:type="paragraph" w:styleId="PlainText">
    <w:name w:val="Plain Text"/>
    <w:basedOn w:val="Normal"/>
    <w:link w:val="PlainTextChar"/>
    <w:uiPriority w:val="99"/>
    <w:rsid w:val="008E5198"/>
    <w:pPr>
      <w:widowControl/>
      <w:overflowPunct w:val="0"/>
      <w:textAlignment w:val="baseline"/>
    </w:pPr>
    <w:rPr>
      <w:rFonts w:ascii="Courier New" w:hAnsi="Courier New"/>
      <w:lang w:eastAsia="en-US"/>
    </w:rPr>
  </w:style>
  <w:style w:type="character" w:customStyle="1" w:styleId="PlainTextChar">
    <w:name w:val="Plain Text Char"/>
    <w:link w:val="PlainText"/>
    <w:uiPriority w:val="99"/>
    <w:rsid w:val="008E5198"/>
    <w:rPr>
      <w:rFonts w:ascii="Courier New" w:hAnsi="Courier New" w:cs="Courier New"/>
      <w:lang w:val="en-US" w:eastAsia="en-US"/>
    </w:rPr>
  </w:style>
  <w:style w:type="paragraph" w:styleId="Salutation">
    <w:name w:val="Salutation"/>
    <w:basedOn w:val="Normal"/>
    <w:next w:val="Normal"/>
    <w:link w:val="SalutationChar"/>
    <w:rsid w:val="008E5198"/>
    <w:pPr>
      <w:widowControl/>
      <w:overflowPunct w:val="0"/>
      <w:textAlignment w:val="baseline"/>
    </w:pPr>
    <w:rPr>
      <w:sz w:val="22"/>
      <w:lang w:eastAsia="en-US"/>
    </w:rPr>
  </w:style>
  <w:style w:type="character" w:customStyle="1" w:styleId="SalutationChar">
    <w:name w:val="Salutation Char"/>
    <w:link w:val="Salutation"/>
    <w:rsid w:val="008E5198"/>
    <w:rPr>
      <w:rFonts w:ascii="Times New Roman" w:hAnsi="Times New Roman"/>
      <w:sz w:val="22"/>
      <w:lang w:val="en-US" w:eastAsia="en-US"/>
    </w:rPr>
  </w:style>
  <w:style w:type="paragraph" w:styleId="Signature">
    <w:name w:val="Signature"/>
    <w:basedOn w:val="Normal"/>
    <w:link w:val="SignatureChar"/>
    <w:rsid w:val="008E5198"/>
    <w:pPr>
      <w:widowControl/>
      <w:overflowPunct w:val="0"/>
      <w:ind w:left="4252"/>
      <w:textAlignment w:val="baseline"/>
    </w:pPr>
    <w:rPr>
      <w:sz w:val="22"/>
      <w:lang w:eastAsia="en-US"/>
    </w:rPr>
  </w:style>
  <w:style w:type="character" w:customStyle="1" w:styleId="SignatureChar">
    <w:name w:val="Signature Char"/>
    <w:link w:val="Signature"/>
    <w:rsid w:val="008E5198"/>
    <w:rPr>
      <w:rFonts w:ascii="Times New Roman" w:hAnsi="Times New Roman"/>
      <w:sz w:val="22"/>
      <w:lang w:val="en-US" w:eastAsia="en-US"/>
    </w:rPr>
  </w:style>
  <w:style w:type="paragraph" w:styleId="Subtitle">
    <w:name w:val="Subtitle"/>
    <w:basedOn w:val="Normal"/>
    <w:link w:val="SubtitleChar"/>
    <w:qFormat/>
    <w:rsid w:val="008E5198"/>
    <w:pPr>
      <w:widowControl/>
      <w:overflowPunct w:val="0"/>
      <w:spacing w:after="60"/>
      <w:jc w:val="center"/>
      <w:textAlignment w:val="baseline"/>
      <w:outlineLvl w:val="1"/>
    </w:pPr>
    <w:rPr>
      <w:rFonts w:ascii="Arial" w:hAnsi="Arial"/>
      <w:sz w:val="24"/>
      <w:szCs w:val="24"/>
      <w:lang w:eastAsia="en-US"/>
    </w:rPr>
  </w:style>
  <w:style w:type="character" w:customStyle="1" w:styleId="SubtitleChar">
    <w:name w:val="Subtitle Char"/>
    <w:link w:val="Subtitle"/>
    <w:rsid w:val="008E5198"/>
    <w:rPr>
      <w:rFonts w:ascii="Arial" w:hAnsi="Arial" w:cs="Arial"/>
      <w:sz w:val="24"/>
      <w:szCs w:val="24"/>
      <w:lang w:val="en-US" w:eastAsia="en-US"/>
    </w:rPr>
  </w:style>
  <w:style w:type="paragraph" w:styleId="Title">
    <w:name w:val="Title"/>
    <w:basedOn w:val="Normal"/>
    <w:link w:val="TitleChar"/>
    <w:uiPriority w:val="10"/>
    <w:qFormat/>
    <w:rsid w:val="008E5198"/>
    <w:pPr>
      <w:widowControl/>
      <w:overflowPunct w:val="0"/>
      <w:spacing w:before="240" w:after="60"/>
      <w:jc w:val="center"/>
      <w:textAlignment w:val="baseline"/>
      <w:outlineLvl w:val="0"/>
    </w:pPr>
    <w:rPr>
      <w:rFonts w:ascii="Arial" w:hAnsi="Arial"/>
      <w:b/>
      <w:bCs/>
      <w:kern w:val="28"/>
      <w:sz w:val="32"/>
      <w:szCs w:val="32"/>
      <w:lang w:eastAsia="en-US"/>
    </w:rPr>
  </w:style>
  <w:style w:type="character" w:customStyle="1" w:styleId="TitleChar">
    <w:name w:val="Title Char"/>
    <w:link w:val="Title"/>
    <w:uiPriority w:val="10"/>
    <w:rsid w:val="008E5198"/>
    <w:rPr>
      <w:rFonts w:ascii="Arial" w:hAnsi="Arial" w:cs="Arial"/>
      <w:b/>
      <w:bCs/>
      <w:kern w:val="28"/>
      <w:sz w:val="32"/>
      <w:szCs w:val="32"/>
      <w:lang w:val="en-US" w:eastAsia="en-US"/>
    </w:rPr>
  </w:style>
  <w:style w:type="paragraph" w:styleId="TOC3">
    <w:name w:val="toc 3"/>
    <w:basedOn w:val="Normal"/>
    <w:next w:val="Normal"/>
    <w:autoRedefine/>
    <w:uiPriority w:val="39"/>
    <w:rsid w:val="008E5198"/>
    <w:pPr>
      <w:widowControl/>
      <w:overflowPunct w:val="0"/>
      <w:ind w:left="440"/>
      <w:textAlignment w:val="baseline"/>
    </w:pPr>
    <w:rPr>
      <w:sz w:val="22"/>
      <w:lang w:eastAsia="en-US"/>
    </w:rPr>
  </w:style>
  <w:style w:type="paragraph" w:customStyle="1" w:styleId="1point">
    <w:name w:val="1 point"/>
    <w:rsid w:val="008E5198"/>
    <w:pPr>
      <w:jc w:val="center"/>
    </w:pPr>
    <w:rPr>
      <w:rFonts w:ascii="Tms Rmn" w:hAnsi="Tms Rmn"/>
      <w:sz w:val="2"/>
      <w:lang w:eastAsia="en-US"/>
    </w:rPr>
  </w:style>
  <w:style w:type="paragraph" w:customStyle="1" w:styleId="AppendixHeaderSmall">
    <w:name w:val="Appendix Header Small"/>
    <w:next w:val="Text"/>
    <w:rsid w:val="008E5198"/>
    <w:pPr>
      <w:overflowPunct w:val="0"/>
      <w:autoSpaceDE w:val="0"/>
      <w:autoSpaceDN w:val="0"/>
      <w:adjustRightInd w:val="0"/>
      <w:textAlignment w:val="baseline"/>
    </w:pPr>
    <w:rPr>
      <w:rFonts w:ascii="Tms Rmn" w:hAnsi="Tms Rmn"/>
      <w:b/>
      <w:noProof/>
      <w:sz w:val="26"/>
      <w:lang w:eastAsia="en-US"/>
    </w:rPr>
  </w:style>
  <w:style w:type="paragraph" w:customStyle="1" w:styleId="H4Level3Paras">
    <w:name w:val="H4Level3Paras"/>
    <w:basedOn w:val="Text"/>
    <w:next w:val="Heading3"/>
    <w:rsid w:val="008E5198"/>
    <w:pPr>
      <w:keepNext/>
      <w:spacing w:before="260"/>
    </w:pPr>
    <w:rPr>
      <w:b/>
      <w:i/>
    </w:rPr>
  </w:style>
  <w:style w:type="paragraph" w:customStyle="1" w:styleId="H3Level2Paras">
    <w:name w:val="H3Level2Paras"/>
    <w:basedOn w:val="H4Level3Paras"/>
    <w:next w:val="Heading2"/>
    <w:rsid w:val="008E5198"/>
  </w:style>
  <w:style w:type="paragraph" w:customStyle="1" w:styleId="KPMGLargelogo">
    <w:name w:val="KPMG Large logo"/>
    <w:basedOn w:val="Normal"/>
    <w:rsid w:val="008E5198"/>
    <w:pPr>
      <w:widowControl/>
      <w:overflowPunct w:val="0"/>
      <w:jc w:val="both"/>
      <w:textAlignment w:val="baseline"/>
    </w:pPr>
    <w:rPr>
      <w:rFonts w:ascii="KPMG Logo" w:hAnsi="KPMG Logo"/>
      <w:sz w:val="44"/>
      <w:lang w:eastAsia="en-US"/>
    </w:rPr>
  </w:style>
  <w:style w:type="paragraph" w:customStyle="1" w:styleId="Objective">
    <w:name w:val="Objective"/>
    <w:basedOn w:val="Text"/>
    <w:next w:val="ObjectiveBullet"/>
    <w:rsid w:val="008E5198"/>
    <w:pPr>
      <w:ind w:left="992" w:hanging="992"/>
    </w:pPr>
    <w:rPr>
      <w:b/>
      <w:i/>
      <w:sz w:val="18"/>
    </w:rPr>
  </w:style>
  <w:style w:type="paragraph" w:customStyle="1" w:styleId="ObjectiveBullet">
    <w:name w:val="ObjectiveBullet"/>
    <w:basedOn w:val="Objective"/>
    <w:rsid w:val="008E5198"/>
    <w:pPr>
      <w:ind w:left="1275" w:hanging="283"/>
    </w:pPr>
    <w:rPr>
      <w:i w:val="0"/>
    </w:rPr>
  </w:style>
  <w:style w:type="paragraph" w:customStyle="1" w:styleId="PageNumber1">
    <w:name w:val="Page Number1"/>
    <w:basedOn w:val="Normal"/>
    <w:rsid w:val="008E5198"/>
    <w:pPr>
      <w:widowControl/>
      <w:tabs>
        <w:tab w:val="center" w:pos="4320"/>
        <w:tab w:val="right" w:pos="8640"/>
      </w:tabs>
      <w:overflowPunct w:val="0"/>
      <w:jc w:val="center"/>
      <w:textAlignment w:val="baseline"/>
    </w:pPr>
    <w:rPr>
      <w:sz w:val="22"/>
      <w:lang w:eastAsia="en-US"/>
    </w:rPr>
  </w:style>
  <w:style w:type="paragraph" w:customStyle="1" w:styleId="RunningTitle">
    <w:name w:val="Running Title"/>
    <w:basedOn w:val="Normal"/>
    <w:rsid w:val="008E5198"/>
    <w:pPr>
      <w:widowControl/>
      <w:overflowPunct w:val="0"/>
      <w:spacing w:line="220" w:lineRule="exact"/>
      <w:jc w:val="right"/>
      <w:textAlignment w:val="baseline"/>
    </w:pPr>
    <w:rPr>
      <w:i/>
      <w:sz w:val="18"/>
      <w:lang w:eastAsia="en-US"/>
    </w:rPr>
  </w:style>
  <w:style w:type="character" w:customStyle="1" w:styleId="CommentSubjectChar">
    <w:name w:val="Comment Subject Char"/>
    <w:link w:val="CommentSubject"/>
    <w:semiHidden/>
    <w:rsid w:val="008E5198"/>
    <w:rPr>
      <w:rFonts w:ascii="Times New Roman" w:hAnsi="Times New Roman"/>
      <w:b/>
      <w:bCs/>
      <w:lang w:val="en-US" w:eastAsia="en-US"/>
    </w:rPr>
  </w:style>
  <w:style w:type="paragraph" w:styleId="CommentSubject">
    <w:name w:val="annotation subject"/>
    <w:basedOn w:val="CommentText"/>
    <w:next w:val="CommentText"/>
    <w:link w:val="CommentSubjectChar"/>
    <w:semiHidden/>
    <w:rsid w:val="008E5198"/>
    <w:rPr>
      <w:b/>
      <w:bCs/>
    </w:rPr>
  </w:style>
  <w:style w:type="paragraph" w:customStyle="1" w:styleId="BodyText0">
    <w:name w:val="|Body_Text"/>
    <w:basedOn w:val="Normal"/>
    <w:rsid w:val="008E5198"/>
    <w:pPr>
      <w:autoSpaceDE/>
      <w:autoSpaceDN/>
      <w:adjustRightInd/>
      <w:spacing w:before="120" w:after="80"/>
    </w:pPr>
    <w:rPr>
      <w:noProof/>
      <w:color w:val="000000"/>
      <w:sz w:val="22"/>
    </w:rPr>
  </w:style>
  <w:style w:type="character" w:customStyle="1" w:styleId="a1">
    <w:name w:val="a1"/>
    <w:rsid w:val="008E5198"/>
    <w:rPr>
      <w:color w:val="008000"/>
    </w:rPr>
  </w:style>
  <w:style w:type="paragraph" w:styleId="NoSpacing">
    <w:name w:val="No Spacing"/>
    <w:link w:val="NoSpacingChar"/>
    <w:uiPriority w:val="1"/>
    <w:qFormat/>
    <w:rsid w:val="008E5198"/>
    <w:rPr>
      <w:sz w:val="22"/>
      <w:szCs w:val="22"/>
      <w:lang w:eastAsia="en-US"/>
    </w:rPr>
  </w:style>
  <w:style w:type="character" w:customStyle="1" w:styleId="NoSpacingChar">
    <w:name w:val="No Spacing Char"/>
    <w:link w:val="NoSpacing"/>
    <w:uiPriority w:val="1"/>
    <w:rsid w:val="008E5198"/>
    <w:rPr>
      <w:sz w:val="22"/>
      <w:szCs w:val="22"/>
      <w:lang w:val="en-US" w:eastAsia="en-US" w:bidi="ar-SA"/>
    </w:rPr>
  </w:style>
  <w:style w:type="paragraph" w:customStyle="1" w:styleId="CVTitle">
    <w:name w:val="CV Title"/>
    <w:basedOn w:val="Normal"/>
    <w:rsid w:val="008E5198"/>
    <w:pPr>
      <w:widowControl/>
      <w:suppressAutoHyphens/>
      <w:autoSpaceDE/>
      <w:autoSpaceDN/>
      <w:adjustRightInd/>
      <w:ind w:left="113" w:right="113"/>
      <w:jc w:val="right"/>
    </w:pPr>
    <w:rPr>
      <w:rFonts w:ascii="Arial Narrow" w:hAnsi="Arial Narrow"/>
      <w:b/>
      <w:bCs/>
      <w:spacing w:val="10"/>
      <w:sz w:val="28"/>
      <w:lang w:eastAsia="ar-SA"/>
    </w:rPr>
  </w:style>
  <w:style w:type="paragraph" w:customStyle="1" w:styleId="CVHeading1">
    <w:name w:val="CV Heading 1"/>
    <w:basedOn w:val="Normal"/>
    <w:next w:val="Normal"/>
    <w:rsid w:val="008E5198"/>
    <w:pPr>
      <w:widowControl/>
      <w:suppressAutoHyphens/>
      <w:autoSpaceDE/>
      <w:autoSpaceDN/>
      <w:adjustRightInd/>
      <w:spacing w:before="74"/>
      <w:ind w:left="113" w:right="113"/>
      <w:jc w:val="right"/>
    </w:pPr>
    <w:rPr>
      <w:rFonts w:ascii="Arial Narrow" w:hAnsi="Arial Narrow"/>
      <w:b/>
      <w:sz w:val="24"/>
      <w:lang w:eastAsia="ar-SA"/>
    </w:rPr>
  </w:style>
  <w:style w:type="paragraph" w:customStyle="1" w:styleId="CVHeading2">
    <w:name w:val="CV Heading 2"/>
    <w:basedOn w:val="CVHeading1"/>
    <w:next w:val="Normal"/>
    <w:rsid w:val="008E5198"/>
    <w:pPr>
      <w:spacing w:before="0"/>
    </w:pPr>
    <w:rPr>
      <w:b w:val="0"/>
      <w:sz w:val="22"/>
    </w:rPr>
  </w:style>
  <w:style w:type="paragraph" w:customStyle="1" w:styleId="CVHeading2-FirstLine">
    <w:name w:val="CV Heading 2 - First Line"/>
    <w:basedOn w:val="CVHeading2"/>
    <w:next w:val="CVHeading2"/>
    <w:rsid w:val="008E5198"/>
    <w:pPr>
      <w:spacing w:before="74"/>
    </w:pPr>
  </w:style>
  <w:style w:type="paragraph" w:customStyle="1" w:styleId="CVHeading3">
    <w:name w:val="CV Heading 3"/>
    <w:basedOn w:val="Normal"/>
    <w:next w:val="Normal"/>
    <w:rsid w:val="008E5198"/>
    <w:pPr>
      <w:widowControl/>
      <w:suppressAutoHyphens/>
      <w:autoSpaceDE/>
      <w:autoSpaceDN/>
      <w:adjustRightInd/>
      <w:ind w:left="113" w:right="113"/>
      <w:jc w:val="right"/>
      <w:textAlignment w:val="center"/>
    </w:pPr>
    <w:rPr>
      <w:rFonts w:ascii="Arial Narrow" w:hAnsi="Arial Narrow"/>
      <w:lang w:eastAsia="ar-SA"/>
    </w:rPr>
  </w:style>
  <w:style w:type="paragraph" w:customStyle="1" w:styleId="CVHeading3-FirstLine">
    <w:name w:val="CV Heading 3 - First Line"/>
    <w:basedOn w:val="CVHeading3"/>
    <w:next w:val="CVHeading3"/>
    <w:rsid w:val="008E5198"/>
    <w:pPr>
      <w:spacing w:before="74"/>
    </w:pPr>
  </w:style>
  <w:style w:type="paragraph" w:customStyle="1" w:styleId="CVHeadingLanguage">
    <w:name w:val="CV Heading Language"/>
    <w:basedOn w:val="CVHeading2"/>
    <w:next w:val="LevelAssessment-Code"/>
    <w:rsid w:val="008E5198"/>
    <w:rPr>
      <w:b/>
    </w:rPr>
  </w:style>
  <w:style w:type="paragraph" w:customStyle="1" w:styleId="LevelAssessment-Code">
    <w:name w:val="Level Assessment - Code"/>
    <w:basedOn w:val="Normal"/>
    <w:next w:val="LevelAssessment-Description"/>
    <w:rsid w:val="008E5198"/>
    <w:pPr>
      <w:widowControl/>
      <w:suppressAutoHyphens/>
      <w:autoSpaceDE/>
      <w:autoSpaceDN/>
      <w:adjustRightInd/>
      <w:ind w:left="28"/>
      <w:jc w:val="center"/>
    </w:pPr>
    <w:rPr>
      <w:rFonts w:ascii="Arial Narrow" w:hAnsi="Arial Narrow"/>
      <w:sz w:val="18"/>
      <w:lang w:eastAsia="ar-SA"/>
    </w:rPr>
  </w:style>
  <w:style w:type="paragraph" w:customStyle="1" w:styleId="LevelAssessment-Description">
    <w:name w:val="Level Assessment - Description"/>
    <w:basedOn w:val="LevelAssessment-Code"/>
    <w:next w:val="LevelAssessment-Code"/>
    <w:rsid w:val="008E5198"/>
    <w:pPr>
      <w:textAlignment w:val="bottom"/>
    </w:pPr>
  </w:style>
  <w:style w:type="paragraph" w:customStyle="1" w:styleId="CVHeadingLevel">
    <w:name w:val="CV Heading Level"/>
    <w:basedOn w:val="CVHeading3"/>
    <w:next w:val="Normal"/>
    <w:rsid w:val="008E5198"/>
    <w:rPr>
      <w:i/>
    </w:rPr>
  </w:style>
  <w:style w:type="paragraph" w:customStyle="1" w:styleId="LevelAssessment-Heading1">
    <w:name w:val="Level Assessment - Heading 1"/>
    <w:basedOn w:val="LevelAssessment-Code"/>
    <w:rsid w:val="008E5198"/>
    <w:pPr>
      <w:ind w:left="57" w:right="57"/>
    </w:pPr>
    <w:rPr>
      <w:b/>
      <w:sz w:val="22"/>
    </w:rPr>
  </w:style>
  <w:style w:type="paragraph" w:customStyle="1" w:styleId="LevelAssessment-Heading2">
    <w:name w:val="Level Assessment - Heading 2"/>
    <w:basedOn w:val="Normal"/>
    <w:rsid w:val="008E5198"/>
    <w:pPr>
      <w:widowControl/>
      <w:suppressAutoHyphens/>
      <w:autoSpaceDE/>
      <w:autoSpaceDN/>
      <w:adjustRightInd/>
      <w:ind w:left="57" w:right="57"/>
      <w:jc w:val="center"/>
    </w:pPr>
    <w:rPr>
      <w:rFonts w:ascii="Arial Narrow" w:hAnsi="Arial Narrow"/>
      <w:sz w:val="18"/>
      <w:lang w:eastAsia="ar-SA"/>
    </w:rPr>
  </w:style>
  <w:style w:type="paragraph" w:customStyle="1" w:styleId="LevelAssessment-Note">
    <w:name w:val="Level Assessment - Note"/>
    <w:basedOn w:val="LevelAssessment-Code"/>
    <w:rsid w:val="008E5198"/>
    <w:pPr>
      <w:ind w:left="113"/>
      <w:jc w:val="left"/>
    </w:pPr>
    <w:rPr>
      <w:i/>
    </w:rPr>
  </w:style>
  <w:style w:type="paragraph" w:customStyle="1" w:styleId="CVMajor-FirstLine">
    <w:name w:val="CV Major - First Line"/>
    <w:basedOn w:val="Normal"/>
    <w:next w:val="Normal"/>
    <w:rsid w:val="008E5198"/>
    <w:pPr>
      <w:widowControl/>
      <w:suppressAutoHyphens/>
      <w:autoSpaceDE/>
      <w:autoSpaceDN/>
      <w:adjustRightInd/>
      <w:spacing w:before="74"/>
      <w:ind w:left="113" w:right="113"/>
    </w:pPr>
    <w:rPr>
      <w:rFonts w:ascii="Arial Narrow" w:hAnsi="Arial Narrow"/>
      <w:b/>
      <w:sz w:val="24"/>
      <w:lang w:eastAsia="ar-SA"/>
    </w:rPr>
  </w:style>
  <w:style w:type="paragraph" w:customStyle="1" w:styleId="CVMedium-FirstLine">
    <w:name w:val="CV Medium - First Line"/>
    <w:basedOn w:val="Normal"/>
    <w:next w:val="Normal"/>
    <w:rsid w:val="008E5198"/>
    <w:pPr>
      <w:widowControl/>
      <w:suppressAutoHyphens/>
      <w:autoSpaceDE/>
      <w:autoSpaceDN/>
      <w:adjustRightInd/>
      <w:spacing w:before="74"/>
      <w:ind w:left="113" w:right="113"/>
    </w:pPr>
    <w:rPr>
      <w:rFonts w:ascii="Arial Narrow" w:hAnsi="Arial Narrow"/>
      <w:b/>
      <w:sz w:val="22"/>
      <w:lang w:eastAsia="ar-SA"/>
    </w:rPr>
  </w:style>
  <w:style w:type="paragraph" w:customStyle="1" w:styleId="CVNormal">
    <w:name w:val="CV Normal"/>
    <w:basedOn w:val="Normal"/>
    <w:rsid w:val="008E5198"/>
    <w:pPr>
      <w:widowControl/>
      <w:suppressAutoHyphens/>
      <w:autoSpaceDE/>
      <w:autoSpaceDN/>
      <w:adjustRightInd/>
      <w:ind w:left="113" w:right="113"/>
    </w:pPr>
    <w:rPr>
      <w:rFonts w:ascii="Arial Narrow" w:hAnsi="Arial Narrow"/>
      <w:lang w:eastAsia="ar-SA"/>
    </w:rPr>
  </w:style>
  <w:style w:type="paragraph" w:customStyle="1" w:styleId="CVSpacer">
    <w:name w:val="CV Spacer"/>
    <w:basedOn w:val="CVNormal"/>
    <w:rsid w:val="008E5198"/>
    <w:rPr>
      <w:sz w:val="4"/>
    </w:rPr>
  </w:style>
  <w:style w:type="paragraph" w:customStyle="1" w:styleId="CVNormal-FirstLine">
    <w:name w:val="CV Normal - First Line"/>
    <w:basedOn w:val="CVNormal"/>
    <w:next w:val="CVNormal"/>
    <w:rsid w:val="008E5198"/>
    <w:pPr>
      <w:spacing w:before="74"/>
    </w:pPr>
  </w:style>
  <w:style w:type="paragraph" w:customStyle="1" w:styleId="Tableheader">
    <w:name w:val="Table header"/>
    <w:basedOn w:val="Normal"/>
    <w:link w:val="TableheaderChar"/>
    <w:rsid w:val="008E5198"/>
    <w:pPr>
      <w:keepNext/>
      <w:widowControl/>
      <w:overflowPunct w:val="0"/>
      <w:spacing w:before="120" w:after="120"/>
      <w:textAlignment w:val="baseline"/>
    </w:pPr>
    <w:rPr>
      <w:rFonts w:ascii="Univers 45 Light" w:hAnsi="Univers 45 Light"/>
      <w:b/>
      <w:color w:val="FFFFFF"/>
      <w:sz w:val="16"/>
      <w:lang w:eastAsia="en-US"/>
    </w:rPr>
  </w:style>
  <w:style w:type="character" w:customStyle="1" w:styleId="TableheaderChar">
    <w:name w:val="Table header Char"/>
    <w:link w:val="Tableheader"/>
    <w:rsid w:val="008E5198"/>
    <w:rPr>
      <w:rFonts w:ascii="Univers 45 Light" w:hAnsi="Univers 45 Light"/>
      <w:b/>
      <w:color w:val="FFFFFF"/>
      <w:sz w:val="16"/>
      <w:lang w:val="en-US" w:eastAsia="en-US"/>
    </w:rPr>
  </w:style>
  <w:style w:type="character" w:customStyle="1" w:styleId="hps">
    <w:name w:val="hps"/>
    <w:basedOn w:val="DefaultParagraphFont"/>
    <w:rsid w:val="008E5198"/>
  </w:style>
  <w:style w:type="paragraph" w:customStyle="1" w:styleId="titlu">
    <w:name w:val="titlu"/>
    <w:basedOn w:val="Heading1"/>
    <w:link w:val="titluChar"/>
    <w:autoRedefine/>
    <w:qFormat/>
    <w:rsid w:val="0079275D"/>
    <w:pPr>
      <w:pageBreakBefore/>
      <w:widowControl/>
      <w:overflowPunct w:val="0"/>
      <w:spacing w:before="0" w:after="600"/>
      <w:textAlignment w:val="baseline"/>
    </w:pPr>
    <w:rPr>
      <w:rFonts w:ascii="Arial" w:hAnsi="Arial"/>
      <w:bCs w:val="0"/>
      <w:i/>
      <w:kern w:val="0"/>
      <w:sz w:val="22"/>
      <w:szCs w:val="22"/>
      <w:lang w:eastAsia="en-US"/>
    </w:rPr>
  </w:style>
  <w:style w:type="character" w:customStyle="1" w:styleId="titluChar">
    <w:name w:val="titlu Char"/>
    <w:link w:val="titlu"/>
    <w:rsid w:val="0079275D"/>
    <w:rPr>
      <w:rFonts w:ascii="Arial" w:hAnsi="Arial" w:cs="Arial"/>
      <w:b/>
      <w:i/>
      <w:sz w:val="22"/>
      <w:szCs w:val="22"/>
      <w:lang w:eastAsia="en-US"/>
    </w:rPr>
  </w:style>
  <w:style w:type="paragraph" w:customStyle="1" w:styleId="titlu1">
    <w:name w:val="titlu1"/>
    <w:basedOn w:val="Heading2"/>
    <w:link w:val="titlu1Char"/>
    <w:autoRedefine/>
    <w:qFormat/>
    <w:rsid w:val="008E5198"/>
    <w:pPr>
      <w:overflowPunct w:val="0"/>
      <w:autoSpaceDE w:val="0"/>
      <w:autoSpaceDN w:val="0"/>
      <w:adjustRightInd w:val="0"/>
      <w:spacing w:before="80" w:after="80"/>
      <w:textAlignment w:val="baseline"/>
    </w:pPr>
    <w:rPr>
      <w:rFonts w:ascii="Arial" w:hAnsi="Arial"/>
      <w:iCs/>
      <w:sz w:val="22"/>
      <w:szCs w:val="22"/>
      <w:lang w:eastAsia="en-US"/>
    </w:rPr>
  </w:style>
  <w:style w:type="character" w:customStyle="1" w:styleId="titlu1Char">
    <w:name w:val="titlu1 Char"/>
    <w:link w:val="titlu1"/>
    <w:rsid w:val="008E5198"/>
    <w:rPr>
      <w:rFonts w:ascii="Arial" w:hAnsi="Arial" w:cs="Arial"/>
      <w:b/>
      <w:iCs/>
      <w:sz w:val="22"/>
      <w:szCs w:val="22"/>
      <w:lang w:eastAsia="en-US"/>
    </w:rPr>
  </w:style>
  <w:style w:type="paragraph" w:styleId="BodyText3">
    <w:name w:val="Body Text 3"/>
    <w:basedOn w:val="Normal"/>
    <w:link w:val="BodyText3Char"/>
    <w:rsid w:val="002F27AC"/>
    <w:pPr>
      <w:widowControl/>
      <w:autoSpaceDE/>
      <w:autoSpaceDN/>
      <w:adjustRightInd/>
      <w:spacing w:after="120"/>
    </w:pPr>
    <w:rPr>
      <w:sz w:val="16"/>
      <w:szCs w:val="16"/>
    </w:rPr>
  </w:style>
  <w:style w:type="character" w:customStyle="1" w:styleId="BodyText3Char">
    <w:name w:val="Body Text 3 Char"/>
    <w:link w:val="BodyText3"/>
    <w:rsid w:val="002F27AC"/>
    <w:rPr>
      <w:rFonts w:ascii="Times New Roman" w:hAnsi="Times New Roman"/>
      <w:sz w:val="16"/>
      <w:szCs w:val="16"/>
      <w:lang w:val="en-US"/>
    </w:rPr>
  </w:style>
  <w:style w:type="character" w:styleId="PlaceholderText">
    <w:name w:val="Placeholder Text"/>
    <w:uiPriority w:val="99"/>
    <w:semiHidden/>
    <w:rsid w:val="002F27AC"/>
    <w:rPr>
      <w:color w:val="808080"/>
    </w:rPr>
  </w:style>
  <w:style w:type="paragraph" w:customStyle="1" w:styleId="ABLOCKPARA">
    <w:name w:val="A BLOCK PARA"/>
    <w:basedOn w:val="Normal"/>
    <w:link w:val="ABLOCKPARAChar"/>
    <w:rsid w:val="002F27AC"/>
    <w:pPr>
      <w:widowControl/>
      <w:autoSpaceDE/>
      <w:autoSpaceDN/>
      <w:adjustRightInd/>
    </w:pPr>
    <w:rPr>
      <w:rFonts w:ascii="Book Antiqua" w:hAnsi="Book Antiqua"/>
      <w:sz w:val="22"/>
    </w:rPr>
  </w:style>
  <w:style w:type="character" w:customStyle="1" w:styleId="ABLOCKPARAChar">
    <w:name w:val="A BLOCK PARA Char"/>
    <w:link w:val="ABLOCKPARA"/>
    <w:locked/>
    <w:rsid w:val="002F27AC"/>
    <w:rPr>
      <w:rFonts w:ascii="Book Antiqua" w:hAnsi="Book Antiqua"/>
      <w:sz w:val="22"/>
      <w:lang w:val="en-US"/>
    </w:rPr>
  </w:style>
  <w:style w:type="paragraph" w:customStyle="1" w:styleId="font5">
    <w:name w:val="font5"/>
    <w:basedOn w:val="Normal"/>
    <w:rsid w:val="002F27AC"/>
    <w:pPr>
      <w:widowControl/>
      <w:autoSpaceDE/>
      <w:autoSpaceDN/>
      <w:adjustRightInd/>
      <w:spacing w:before="100" w:beforeAutospacing="1" w:after="100" w:afterAutospacing="1"/>
      <w:jc w:val="both"/>
    </w:pPr>
    <w:rPr>
      <w:rFonts w:eastAsia="Arial Unicode MS"/>
    </w:rPr>
  </w:style>
  <w:style w:type="paragraph" w:customStyle="1" w:styleId="xl34">
    <w:name w:val="xl34"/>
    <w:basedOn w:val="Normal"/>
    <w:rsid w:val="002F27AC"/>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Arial Unicode MS"/>
      <w:sz w:val="24"/>
      <w:szCs w:val="24"/>
    </w:rPr>
  </w:style>
  <w:style w:type="character" w:styleId="FootnoteReference">
    <w:name w:val="footnote reference"/>
    <w:uiPriority w:val="99"/>
    <w:semiHidden/>
    <w:rsid w:val="002F27AC"/>
    <w:rPr>
      <w:vertAlign w:val="superscript"/>
    </w:rPr>
  </w:style>
  <w:style w:type="character" w:customStyle="1" w:styleId="tabletxteygChar">
    <w:name w:val="tabletxt eyg Char"/>
    <w:link w:val="tabletxteyg"/>
    <w:rsid w:val="002F27AC"/>
    <w:rPr>
      <w:rFonts w:ascii="EY Gothic Comp BookPS" w:hAnsi="EY Gothic Comp BookPS"/>
      <w:color w:val="000000"/>
      <w:lang w:val="en-US"/>
    </w:rPr>
  </w:style>
  <w:style w:type="paragraph" w:customStyle="1" w:styleId="tabletxteyg">
    <w:name w:val="tabletxt eyg"/>
    <w:basedOn w:val="Normal"/>
    <w:link w:val="tabletxteygChar"/>
    <w:rsid w:val="002F27AC"/>
    <w:pPr>
      <w:widowControl/>
      <w:tabs>
        <w:tab w:val="right" w:leader="dot" w:pos="9739"/>
      </w:tabs>
      <w:overflowPunct w:val="0"/>
      <w:spacing w:after="80" w:line="240" w:lineRule="exact"/>
      <w:jc w:val="both"/>
      <w:textAlignment w:val="baseline"/>
    </w:pPr>
    <w:rPr>
      <w:rFonts w:ascii="EY Gothic Comp BookPS" w:hAnsi="EY Gothic Comp BookPS"/>
      <w:color w:val="000000"/>
    </w:rPr>
  </w:style>
  <w:style w:type="paragraph" w:customStyle="1" w:styleId="tabletxtns">
    <w:name w:val="tabletxtns"/>
    <w:basedOn w:val="Normal"/>
    <w:link w:val="tabletxtnsChar"/>
    <w:rsid w:val="002F27AC"/>
    <w:pPr>
      <w:widowControl/>
      <w:overflowPunct w:val="0"/>
      <w:spacing w:before="20" w:line="200" w:lineRule="exact"/>
      <w:jc w:val="both"/>
      <w:textAlignment w:val="baseline"/>
    </w:pPr>
    <w:rPr>
      <w:rFonts w:ascii="EY Gothic Comp BookPS" w:hAnsi="EY Gothic Comp BookPS"/>
      <w:color w:val="000000"/>
    </w:rPr>
  </w:style>
  <w:style w:type="paragraph" w:customStyle="1" w:styleId="tabletxtbluetotal">
    <w:name w:val="tabletxt blue total"/>
    <w:basedOn w:val="Normal"/>
    <w:link w:val="tabletxtbluetotalChar"/>
    <w:rsid w:val="002F27AC"/>
    <w:pPr>
      <w:widowControl/>
      <w:pBdr>
        <w:bottom w:val="double" w:sz="4" w:space="1" w:color="000080"/>
      </w:pBdr>
      <w:tabs>
        <w:tab w:val="decimal" w:pos="782"/>
      </w:tabs>
      <w:overflowPunct w:val="0"/>
      <w:spacing w:before="40" w:after="40" w:line="200" w:lineRule="exact"/>
      <w:jc w:val="both"/>
      <w:textAlignment w:val="baseline"/>
    </w:pPr>
    <w:rPr>
      <w:rFonts w:ascii="EY Gothic Comp BookPS" w:hAnsi="EY Gothic Comp BookPS"/>
      <w:b/>
      <w:color w:val="000080"/>
    </w:rPr>
  </w:style>
  <w:style w:type="character" w:customStyle="1" w:styleId="tabletxtbluetotalChar">
    <w:name w:val="tabletxt blue total Char"/>
    <w:link w:val="tabletxtbluetotal"/>
    <w:rsid w:val="002F27AC"/>
    <w:rPr>
      <w:rFonts w:ascii="EY Gothic Comp BookPS" w:hAnsi="EY Gothic Comp BookPS"/>
      <w:b/>
      <w:color w:val="000080"/>
      <w:lang w:val="en-US" w:eastAsia="ro-RO"/>
    </w:rPr>
  </w:style>
  <w:style w:type="paragraph" w:customStyle="1" w:styleId="tabletxthdital">
    <w:name w:val="tabletxt hdital"/>
    <w:basedOn w:val="Normal"/>
    <w:rsid w:val="002F27AC"/>
    <w:pPr>
      <w:widowControl/>
      <w:tabs>
        <w:tab w:val="decimal" w:pos="782"/>
      </w:tabs>
      <w:overflowPunct w:val="0"/>
      <w:spacing w:before="20" w:line="200" w:lineRule="exact"/>
      <w:jc w:val="both"/>
      <w:textAlignment w:val="baseline"/>
    </w:pPr>
    <w:rPr>
      <w:rFonts w:ascii="EY Gothic Comp BookPS" w:hAnsi="EY Gothic Comp BookPS"/>
      <w:i/>
    </w:rPr>
  </w:style>
  <w:style w:type="paragraph" w:customStyle="1" w:styleId="tabletxtsubtotal">
    <w:name w:val="tabletxt subtotal"/>
    <w:basedOn w:val="Normal"/>
    <w:rsid w:val="002F27AC"/>
    <w:pPr>
      <w:widowControl/>
      <w:pBdr>
        <w:bottom w:val="single" w:sz="4" w:space="1" w:color="auto"/>
      </w:pBdr>
      <w:tabs>
        <w:tab w:val="decimal" w:pos="782"/>
      </w:tabs>
      <w:overflowPunct w:val="0"/>
      <w:spacing w:line="200" w:lineRule="exact"/>
      <w:jc w:val="both"/>
      <w:textAlignment w:val="baseline"/>
    </w:pPr>
    <w:rPr>
      <w:rFonts w:ascii="EY Gothic Comp BookPS" w:hAnsi="EY Gothic Comp BookPS"/>
    </w:rPr>
  </w:style>
  <w:style w:type="paragraph" w:customStyle="1" w:styleId="tabletxts">
    <w:name w:val="tabletxt #s"/>
    <w:basedOn w:val="Normal"/>
    <w:link w:val="tabletxtsChar"/>
    <w:rsid w:val="002F27AC"/>
    <w:pPr>
      <w:widowControl/>
      <w:tabs>
        <w:tab w:val="decimal" w:pos="778"/>
      </w:tabs>
      <w:overflowPunct w:val="0"/>
      <w:spacing w:before="20" w:line="200" w:lineRule="exact"/>
      <w:jc w:val="both"/>
      <w:textAlignment w:val="baseline"/>
    </w:pPr>
    <w:rPr>
      <w:rFonts w:ascii="EY Gothic Comp BookPS" w:hAnsi="EY Gothic Comp BookPS"/>
      <w:color w:val="000000"/>
    </w:rPr>
  </w:style>
  <w:style w:type="character" w:customStyle="1" w:styleId="tabletxtnsChar">
    <w:name w:val="tabletxtns Char"/>
    <w:link w:val="tabletxtns"/>
    <w:rsid w:val="002F27AC"/>
    <w:rPr>
      <w:rFonts w:ascii="EY Gothic Comp BookPS" w:hAnsi="EY Gothic Comp BookPS"/>
      <w:color w:val="000000"/>
      <w:lang w:val="en-US" w:eastAsia="ro-RO"/>
    </w:rPr>
  </w:style>
  <w:style w:type="character" w:customStyle="1" w:styleId="tabletxtsChar">
    <w:name w:val="tabletxt #s Char"/>
    <w:link w:val="tabletxts"/>
    <w:rsid w:val="002F27AC"/>
    <w:rPr>
      <w:rFonts w:ascii="EY Gothic Comp BookPS" w:hAnsi="EY Gothic Comp BookPS"/>
      <w:color w:val="000000"/>
      <w:lang w:val="en-US" w:eastAsia="ro-RO"/>
    </w:rPr>
  </w:style>
  <w:style w:type="character" w:styleId="CommentReference">
    <w:name w:val="annotation reference"/>
    <w:uiPriority w:val="99"/>
    <w:semiHidden/>
    <w:rsid w:val="002F27AC"/>
    <w:rPr>
      <w:sz w:val="16"/>
      <w:szCs w:val="16"/>
    </w:rPr>
  </w:style>
  <w:style w:type="table" w:styleId="TableProfessional">
    <w:name w:val="Table Professional"/>
    <w:basedOn w:val="TableNormal"/>
    <w:rsid w:val="002F27AC"/>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paragraf1">
    <w:name w:val="paragraf1"/>
    <w:rsid w:val="002F27AC"/>
    <w:rPr>
      <w:shd w:val="clear" w:color="auto" w:fill="auto"/>
    </w:rPr>
  </w:style>
  <w:style w:type="paragraph" w:styleId="Revision">
    <w:name w:val="Revision"/>
    <w:hidden/>
    <w:uiPriority w:val="99"/>
    <w:semiHidden/>
    <w:rsid w:val="002F27AC"/>
    <w:pPr>
      <w:spacing w:after="160" w:line="252" w:lineRule="auto"/>
      <w:jc w:val="both"/>
    </w:pPr>
    <w:rPr>
      <w:rFonts w:ascii="Times New Roman" w:hAnsi="Times New Roman"/>
      <w:sz w:val="24"/>
      <w:szCs w:val="24"/>
      <w:lang w:eastAsia="en-US"/>
    </w:rPr>
  </w:style>
  <w:style w:type="paragraph" w:customStyle="1" w:styleId="AcctBody16Col">
    <w:name w:val="AcctBody 16 Col"/>
    <w:basedOn w:val="Normal"/>
    <w:rsid w:val="002F27AC"/>
    <w:pPr>
      <w:tabs>
        <w:tab w:val="left" w:pos="1531"/>
        <w:tab w:val="decimal" w:pos="4762"/>
        <w:tab w:val="decimal" w:pos="5613"/>
        <w:tab w:val="decimal" w:pos="6463"/>
        <w:tab w:val="decimal" w:pos="7313"/>
        <w:tab w:val="decimal" w:pos="8164"/>
        <w:tab w:val="decimal" w:pos="9014"/>
        <w:tab w:val="decimal" w:pos="9865"/>
        <w:tab w:val="decimal" w:pos="10715"/>
        <w:tab w:val="decimal" w:pos="11509"/>
        <w:tab w:val="decimal" w:pos="12416"/>
        <w:tab w:val="decimal" w:pos="13266"/>
        <w:tab w:val="decimal" w:pos="14117"/>
      </w:tabs>
      <w:spacing w:line="260" w:lineRule="atLeast"/>
      <w:jc w:val="both"/>
      <w:textAlignment w:val="center"/>
    </w:pPr>
    <w:rPr>
      <w:rFonts w:ascii="Univers 45 Light" w:hAnsi="Univers 45 Light" w:cs="Univers 45 Light"/>
      <w:color w:val="000000"/>
    </w:rPr>
  </w:style>
  <w:style w:type="paragraph" w:customStyle="1" w:styleId="AccountingPolicy">
    <w:name w:val="Accounting Policy"/>
    <w:basedOn w:val="Normal"/>
    <w:rsid w:val="002F27AC"/>
    <w:pPr>
      <w:tabs>
        <w:tab w:val="left" w:pos="1531"/>
        <w:tab w:val="left" w:pos="1871"/>
      </w:tabs>
      <w:suppressAutoHyphens/>
      <w:spacing w:line="260" w:lineRule="atLeast"/>
      <w:ind w:left="1531" w:hanging="1531"/>
      <w:jc w:val="both"/>
      <w:textAlignment w:val="center"/>
    </w:pPr>
    <w:rPr>
      <w:rFonts w:ascii="Univers 45 Light" w:hAnsi="Univers 45 Light" w:cs="Univers 45 Light"/>
      <w:color w:val="000000"/>
    </w:rPr>
  </w:style>
  <w:style w:type="paragraph" w:customStyle="1" w:styleId="AcctBody6Col">
    <w:name w:val="Acct Body 6 Col"/>
    <w:basedOn w:val="AcctBody16Col"/>
    <w:next w:val="AcctBody16Col"/>
    <w:rsid w:val="002F27AC"/>
  </w:style>
  <w:style w:type="paragraph" w:customStyle="1" w:styleId="Subhead3">
    <w:name w:val="Subhead 3"/>
    <w:basedOn w:val="Normal"/>
    <w:rsid w:val="002F27AC"/>
    <w:pPr>
      <w:tabs>
        <w:tab w:val="left" w:pos="1134"/>
        <w:tab w:val="left" w:pos="1531"/>
        <w:tab w:val="left" w:pos="1871"/>
      </w:tabs>
      <w:suppressAutoHyphens/>
      <w:spacing w:line="260" w:lineRule="atLeast"/>
      <w:ind w:left="1531" w:right="935" w:hanging="1531"/>
      <w:jc w:val="both"/>
      <w:textAlignment w:val="center"/>
    </w:pPr>
    <w:rPr>
      <w:rFonts w:ascii="Univers 45 Light" w:hAnsi="Univers 45 Light" w:cs="Univers 45 Light"/>
      <w:b/>
      <w:bCs/>
      <w:color w:val="0C2D83"/>
    </w:rPr>
  </w:style>
  <w:style w:type="character" w:customStyle="1" w:styleId="Reference">
    <w:name w:val="Reference"/>
    <w:rsid w:val="002F27AC"/>
    <w:rPr>
      <w:rFonts w:ascii="Univers 45 Light" w:hAnsi="Univers 45 Light"/>
      <w:i/>
      <w:color w:val="0C2D83"/>
      <w:sz w:val="16"/>
    </w:rPr>
  </w:style>
  <w:style w:type="paragraph" w:customStyle="1" w:styleId="Subhead4">
    <w:name w:val="Subhead 4"/>
    <w:basedOn w:val="Normal"/>
    <w:rsid w:val="002F27AC"/>
    <w:pPr>
      <w:tabs>
        <w:tab w:val="left" w:pos="1134"/>
        <w:tab w:val="left" w:pos="1531"/>
        <w:tab w:val="left" w:pos="1871"/>
      </w:tabs>
      <w:suppressAutoHyphens/>
      <w:spacing w:line="260" w:lineRule="atLeast"/>
      <w:ind w:left="1531" w:right="935" w:hanging="1531"/>
      <w:jc w:val="both"/>
      <w:textAlignment w:val="center"/>
    </w:pPr>
    <w:rPr>
      <w:rFonts w:ascii="Univers 45 Light" w:hAnsi="Univers 45 Light" w:cs="Univers 45 Light"/>
      <w:b/>
      <w:bCs/>
      <w:color w:val="808EC8"/>
    </w:rPr>
  </w:style>
  <w:style w:type="character" w:customStyle="1" w:styleId="Footnote">
    <w:name w:val="Footnote"/>
    <w:rsid w:val="002F27AC"/>
    <w:rPr>
      <w:rFonts w:ascii="Univers 45 Light" w:hAnsi="Univers 45 Light"/>
      <w:color w:val="0C2D83"/>
      <w:position w:val="2"/>
      <w:sz w:val="20"/>
      <w:vertAlign w:val="superscript"/>
    </w:rPr>
  </w:style>
  <w:style w:type="paragraph" w:customStyle="1" w:styleId="zcompanyname">
    <w:name w:val="zcompany name"/>
    <w:basedOn w:val="Normal"/>
    <w:semiHidden/>
    <w:rsid w:val="002F27AC"/>
    <w:pPr>
      <w:widowControl/>
      <w:autoSpaceDE/>
      <w:autoSpaceDN/>
      <w:adjustRightInd/>
      <w:spacing w:after="400" w:line="440" w:lineRule="exact"/>
      <w:jc w:val="center"/>
    </w:pPr>
    <w:rPr>
      <w:b/>
      <w:sz w:val="26"/>
    </w:rPr>
  </w:style>
  <w:style w:type="numbering" w:customStyle="1" w:styleId="Style1">
    <w:name w:val="Style1"/>
    <w:uiPriority w:val="99"/>
    <w:rsid w:val="002F27AC"/>
    <w:pPr>
      <w:numPr>
        <w:numId w:val="2"/>
      </w:numPr>
    </w:pPr>
  </w:style>
  <w:style w:type="character" w:customStyle="1" w:styleId="ln2talineat">
    <w:name w:val="ln2talineat"/>
    <w:rsid w:val="002F27AC"/>
  </w:style>
  <w:style w:type="character" w:customStyle="1" w:styleId="ln2alineat1">
    <w:name w:val="ln2alineat1"/>
    <w:rsid w:val="002F27AC"/>
    <w:rPr>
      <w:b/>
      <w:bCs/>
      <w:color w:val="74929F"/>
    </w:rPr>
  </w:style>
  <w:style w:type="character" w:customStyle="1" w:styleId="ln2paragraf1">
    <w:name w:val="ln2paragraf1"/>
    <w:rsid w:val="002F27AC"/>
    <w:rPr>
      <w:b/>
      <w:bCs/>
    </w:rPr>
  </w:style>
  <w:style w:type="character" w:customStyle="1" w:styleId="ln2tparagraf">
    <w:name w:val="ln2tparagraf"/>
    <w:rsid w:val="002F27AC"/>
  </w:style>
  <w:style w:type="character" w:customStyle="1" w:styleId="ln2punct1">
    <w:name w:val="ln2punct1"/>
    <w:rsid w:val="002F27AC"/>
    <w:rPr>
      <w:b/>
      <w:bCs/>
      <w:color w:val="008F00"/>
    </w:rPr>
  </w:style>
  <w:style w:type="character" w:customStyle="1" w:styleId="ln2tpunct">
    <w:name w:val="ln2tpunct"/>
    <w:rsid w:val="002F27AC"/>
  </w:style>
  <w:style w:type="character" w:customStyle="1" w:styleId="ln2tnota1">
    <w:name w:val="ln2tnota1"/>
    <w:rsid w:val="002F27AC"/>
    <w:rPr>
      <w:rFonts w:ascii="Verdana" w:hAnsi="Verdana" w:hint="default"/>
    </w:rPr>
  </w:style>
  <w:style w:type="character" w:customStyle="1" w:styleId="ln2litera1">
    <w:name w:val="ln2litera1"/>
    <w:rsid w:val="002F27AC"/>
    <w:rPr>
      <w:b/>
      <w:bCs/>
      <w:color w:val="00008F"/>
    </w:rPr>
  </w:style>
  <w:style w:type="character" w:customStyle="1" w:styleId="ln2tlitera">
    <w:name w:val="ln2tlitera"/>
    <w:rsid w:val="002F27AC"/>
  </w:style>
  <w:style w:type="character" w:customStyle="1" w:styleId="ln2linie">
    <w:name w:val="ln2linie"/>
    <w:rsid w:val="002F27AC"/>
  </w:style>
  <w:style w:type="character" w:customStyle="1" w:styleId="ln2tlinie">
    <w:name w:val="ln2tlinie"/>
    <w:rsid w:val="002F27AC"/>
  </w:style>
  <w:style w:type="paragraph" w:styleId="Quote">
    <w:name w:val="Quote"/>
    <w:basedOn w:val="Normal"/>
    <w:next w:val="Normal"/>
    <w:link w:val="QuoteChar"/>
    <w:uiPriority w:val="29"/>
    <w:qFormat/>
    <w:rsid w:val="002F27AC"/>
    <w:pPr>
      <w:widowControl/>
      <w:autoSpaceDE/>
      <w:autoSpaceDN/>
      <w:adjustRightInd/>
      <w:spacing w:before="200" w:after="160" w:line="264" w:lineRule="auto"/>
      <w:ind w:left="864" w:right="864"/>
      <w:jc w:val="center"/>
    </w:pPr>
    <w:rPr>
      <w:rFonts w:ascii="Calibri Light" w:eastAsia="SimSun" w:hAnsi="Calibri Light"/>
      <w:i/>
      <w:iCs/>
      <w:sz w:val="24"/>
      <w:szCs w:val="24"/>
    </w:rPr>
  </w:style>
  <w:style w:type="character" w:customStyle="1" w:styleId="QuoteChar">
    <w:name w:val="Quote Char"/>
    <w:link w:val="Quote"/>
    <w:uiPriority w:val="29"/>
    <w:rsid w:val="002F27AC"/>
    <w:rPr>
      <w:rFonts w:ascii="Calibri Light" w:eastAsia="SimSun" w:hAnsi="Calibri Light"/>
      <w:i/>
      <w:iCs/>
      <w:sz w:val="24"/>
      <w:szCs w:val="24"/>
      <w:lang w:val="en-US" w:eastAsia="ro-RO"/>
    </w:rPr>
  </w:style>
  <w:style w:type="paragraph" w:styleId="IntenseQuote">
    <w:name w:val="Intense Quote"/>
    <w:basedOn w:val="Normal"/>
    <w:next w:val="Normal"/>
    <w:link w:val="IntenseQuoteChar"/>
    <w:uiPriority w:val="30"/>
    <w:qFormat/>
    <w:rsid w:val="002F27AC"/>
    <w:pPr>
      <w:widowControl/>
      <w:autoSpaceDE/>
      <w:autoSpaceDN/>
      <w:adjustRightInd/>
      <w:spacing w:before="100" w:beforeAutospacing="1" w:after="240" w:line="252" w:lineRule="auto"/>
      <w:ind w:left="936" w:right="936"/>
      <w:jc w:val="center"/>
    </w:pPr>
    <w:rPr>
      <w:rFonts w:ascii="Calibri Light" w:eastAsia="SimSun" w:hAnsi="Calibri Light"/>
      <w:sz w:val="26"/>
      <w:szCs w:val="26"/>
    </w:rPr>
  </w:style>
  <w:style w:type="character" w:customStyle="1" w:styleId="IntenseQuoteChar">
    <w:name w:val="Intense Quote Char"/>
    <w:link w:val="IntenseQuote"/>
    <w:uiPriority w:val="30"/>
    <w:rsid w:val="002F27AC"/>
    <w:rPr>
      <w:rFonts w:ascii="Calibri Light" w:eastAsia="SimSun" w:hAnsi="Calibri Light"/>
      <w:sz w:val="26"/>
      <w:szCs w:val="26"/>
      <w:lang w:val="en-US" w:eastAsia="ro-RO"/>
    </w:rPr>
  </w:style>
  <w:style w:type="character" w:styleId="SubtleEmphasis">
    <w:name w:val="Subtle Emphasis"/>
    <w:uiPriority w:val="19"/>
    <w:qFormat/>
    <w:rsid w:val="002F27AC"/>
    <w:rPr>
      <w:i/>
      <w:iCs/>
      <w:color w:val="auto"/>
    </w:rPr>
  </w:style>
  <w:style w:type="character" w:styleId="IntenseEmphasis">
    <w:name w:val="Intense Emphasis"/>
    <w:uiPriority w:val="21"/>
    <w:qFormat/>
    <w:rsid w:val="002F27AC"/>
    <w:rPr>
      <w:b/>
      <w:bCs/>
      <w:i/>
      <w:iCs/>
      <w:color w:val="auto"/>
    </w:rPr>
  </w:style>
  <w:style w:type="character" w:styleId="SubtleReference">
    <w:name w:val="Subtle Reference"/>
    <w:uiPriority w:val="31"/>
    <w:qFormat/>
    <w:rsid w:val="002F27AC"/>
    <w:rPr>
      <w:smallCaps/>
      <w:color w:val="auto"/>
      <w:u w:val="single" w:color="7F7F7F"/>
    </w:rPr>
  </w:style>
  <w:style w:type="character" w:styleId="IntenseReference">
    <w:name w:val="Intense Reference"/>
    <w:uiPriority w:val="32"/>
    <w:qFormat/>
    <w:rsid w:val="002F27AC"/>
    <w:rPr>
      <w:b/>
      <w:bCs/>
      <w:smallCaps/>
      <w:color w:val="auto"/>
      <w:u w:val="single"/>
    </w:rPr>
  </w:style>
  <w:style w:type="character" w:styleId="BookTitle">
    <w:name w:val="Book Title"/>
    <w:uiPriority w:val="33"/>
    <w:qFormat/>
    <w:rsid w:val="002F27AC"/>
    <w:rPr>
      <w:b/>
      <w:bCs/>
      <w:smallCaps/>
      <w:color w:val="auto"/>
    </w:rPr>
  </w:style>
  <w:style w:type="paragraph" w:styleId="TOCHeading">
    <w:name w:val="TOC Heading"/>
    <w:basedOn w:val="Heading1"/>
    <w:next w:val="Normal"/>
    <w:uiPriority w:val="39"/>
    <w:semiHidden/>
    <w:unhideWhenUsed/>
    <w:qFormat/>
    <w:rsid w:val="002F27AC"/>
    <w:pPr>
      <w:keepLines/>
      <w:widowControl/>
      <w:autoSpaceDE/>
      <w:autoSpaceDN/>
      <w:adjustRightInd/>
      <w:spacing w:before="320" w:after="40" w:line="252" w:lineRule="auto"/>
      <w:jc w:val="both"/>
      <w:outlineLvl w:val="9"/>
    </w:pPr>
    <w:rPr>
      <w:rFonts w:ascii="Calibri Light" w:eastAsia="SimSun" w:hAnsi="Calibri Light"/>
      <w:caps/>
      <w:spacing w:val="4"/>
      <w:kern w:val="0"/>
      <w:sz w:val="28"/>
      <w:szCs w:val="28"/>
    </w:rPr>
  </w:style>
  <w:style w:type="paragraph" w:customStyle="1" w:styleId="BodytextChar0">
    <w:name w:val="Body text Char"/>
    <w:link w:val="BodytextCharChar"/>
    <w:rsid w:val="002F27AC"/>
    <w:pPr>
      <w:tabs>
        <w:tab w:val="left" w:pos="397"/>
      </w:tabs>
      <w:autoSpaceDE w:val="0"/>
      <w:autoSpaceDN w:val="0"/>
      <w:adjustRightInd w:val="0"/>
      <w:spacing w:line="260" w:lineRule="atLeast"/>
    </w:pPr>
    <w:rPr>
      <w:rFonts w:ascii="Univers 45 Light" w:hAnsi="Univers 45 Light" w:cs="Univers 45 Light"/>
      <w:color w:val="000000"/>
      <w:lang w:eastAsia="en-NZ"/>
    </w:rPr>
  </w:style>
  <w:style w:type="character" w:customStyle="1" w:styleId="BodytextCharChar">
    <w:name w:val="Body text Char Char"/>
    <w:link w:val="BodytextChar0"/>
    <w:rsid w:val="002F27AC"/>
    <w:rPr>
      <w:rFonts w:ascii="Univers 45 Light" w:hAnsi="Univers 45 Light" w:cs="Univers 45 Light"/>
      <w:color w:val="000000"/>
      <w:lang w:val="en-US" w:eastAsia="en-NZ" w:bidi="ar-SA"/>
    </w:rPr>
  </w:style>
  <w:style w:type="paragraph" w:customStyle="1" w:styleId="BodytextChar3">
    <w:name w:val="Body text Char3"/>
    <w:link w:val="BodytextCharChar2"/>
    <w:rsid w:val="002F27AC"/>
    <w:pPr>
      <w:tabs>
        <w:tab w:val="left" w:pos="397"/>
      </w:tabs>
      <w:autoSpaceDE w:val="0"/>
      <w:autoSpaceDN w:val="0"/>
      <w:adjustRightInd w:val="0"/>
      <w:spacing w:line="260" w:lineRule="atLeast"/>
    </w:pPr>
    <w:rPr>
      <w:rFonts w:ascii="Univers 45 Light" w:hAnsi="Univers 45 Light" w:cs="Univers 45 Light"/>
      <w:color w:val="000000"/>
      <w:lang w:eastAsia="en-NZ"/>
    </w:rPr>
  </w:style>
  <w:style w:type="character" w:customStyle="1" w:styleId="BodytextCharChar2">
    <w:name w:val="Body text Char Char2"/>
    <w:link w:val="BodytextChar3"/>
    <w:rsid w:val="002F27AC"/>
    <w:rPr>
      <w:rFonts w:ascii="Univers 45 Light" w:hAnsi="Univers 45 Light" w:cs="Univers 45 Light"/>
      <w:color w:val="000000"/>
      <w:lang w:val="en-US" w:eastAsia="en-NZ" w:bidi="ar-SA"/>
    </w:rPr>
  </w:style>
  <w:style w:type="paragraph" w:customStyle="1" w:styleId="ColumnHeading">
    <w:name w:val="Column Heading"/>
    <w:basedOn w:val="AcctBody6Col"/>
    <w:link w:val="ColumnHeadingChar"/>
    <w:rsid w:val="002F27AC"/>
    <w:pPr>
      <w:widowControl/>
      <w:tabs>
        <w:tab w:val="clear" w:pos="1531"/>
        <w:tab w:val="clear" w:pos="4762"/>
        <w:tab w:val="clear" w:pos="5613"/>
        <w:tab w:val="clear" w:pos="6463"/>
        <w:tab w:val="clear" w:pos="7313"/>
        <w:tab w:val="clear" w:pos="8164"/>
        <w:tab w:val="clear" w:pos="9014"/>
        <w:tab w:val="clear" w:pos="9865"/>
        <w:tab w:val="clear" w:pos="10715"/>
        <w:tab w:val="clear" w:pos="11509"/>
        <w:tab w:val="clear" w:pos="12416"/>
        <w:tab w:val="clear" w:pos="13266"/>
        <w:tab w:val="clear" w:pos="14117"/>
        <w:tab w:val="decimal" w:pos="737"/>
      </w:tabs>
      <w:spacing w:line="240" w:lineRule="exact"/>
      <w:jc w:val="left"/>
      <w:textAlignment w:val="auto"/>
    </w:pPr>
    <w:rPr>
      <w:rFonts w:cs="Times New Roman"/>
      <w:b/>
      <w:bCs/>
      <w:spacing w:val="-6"/>
      <w:sz w:val="16"/>
      <w:szCs w:val="16"/>
      <w:lang w:eastAsia="en-NZ"/>
    </w:rPr>
  </w:style>
  <w:style w:type="character" w:customStyle="1" w:styleId="ColumnHeadingChar">
    <w:name w:val="Column Heading Char"/>
    <w:link w:val="ColumnHeading"/>
    <w:rsid w:val="002F27AC"/>
    <w:rPr>
      <w:rFonts w:ascii="Univers 45 Light" w:hAnsi="Univers 45 Light" w:cs="Univers 45 Light"/>
      <w:b/>
      <w:bCs/>
      <w:color w:val="000000"/>
      <w:spacing w:val="-6"/>
      <w:sz w:val="16"/>
      <w:szCs w:val="16"/>
      <w:lang w:val="en-US" w:eastAsia="en-NZ"/>
    </w:rPr>
  </w:style>
  <w:style w:type="paragraph" w:customStyle="1" w:styleId="AccountHD1">
    <w:name w:val="AccountHD1"/>
    <w:basedOn w:val="Normal"/>
    <w:next w:val="Normal"/>
    <w:link w:val="AccountHD1Char"/>
    <w:rsid w:val="002F27AC"/>
    <w:pPr>
      <w:widowControl/>
      <w:tabs>
        <w:tab w:val="decimal" w:pos="1134"/>
      </w:tabs>
      <w:spacing w:line="260" w:lineRule="atLeast"/>
    </w:pPr>
    <w:rPr>
      <w:rFonts w:ascii="Univers 45 Light" w:hAnsi="Univers 45 Light"/>
      <w:b/>
      <w:bCs/>
      <w:sz w:val="16"/>
      <w:szCs w:val="17"/>
      <w:lang w:eastAsia="en-NZ"/>
    </w:rPr>
  </w:style>
  <w:style w:type="character" w:customStyle="1" w:styleId="AccountHD1Char">
    <w:name w:val="AccountHD1 Char"/>
    <w:link w:val="AccountHD1"/>
    <w:rsid w:val="002F27AC"/>
    <w:rPr>
      <w:rFonts w:ascii="Univers 45 Light" w:hAnsi="Univers 45 Light" w:cs="Univers 45 Light"/>
      <w:b/>
      <w:bCs/>
      <w:sz w:val="16"/>
      <w:szCs w:val="17"/>
      <w:lang w:val="en-US" w:eastAsia="en-NZ"/>
    </w:rPr>
  </w:style>
  <w:style w:type="paragraph" w:customStyle="1" w:styleId="AcctBody2Col">
    <w:name w:val="Acct Body 2 Col"/>
    <w:basedOn w:val="Normal"/>
    <w:rsid w:val="002F27AC"/>
    <w:pPr>
      <w:widowControl/>
      <w:tabs>
        <w:tab w:val="decimal" w:pos="1134"/>
      </w:tabs>
      <w:spacing w:line="260" w:lineRule="atLeast"/>
    </w:pPr>
    <w:rPr>
      <w:rFonts w:ascii="Univers 45 Light" w:hAnsi="Univers 45 Light" w:cs="Univers 45 Light"/>
      <w:lang w:eastAsia="en-NZ"/>
    </w:rPr>
  </w:style>
  <w:style w:type="paragraph" w:customStyle="1" w:styleId="AccountingPolicySpreads">
    <w:name w:val="Accounting Policy (Spreads)"/>
    <w:basedOn w:val="Normal"/>
    <w:uiPriority w:val="99"/>
    <w:rsid w:val="002F27AC"/>
    <w:pPr>
      <w:tabs>
        <w:tab w:val="left" w:pos="1701"/>
        <w:tab w:val="left" w:pos="2041"/>
      </w:tabs>
      <w:suppressAutoHyphens/>
      <w:spacing w:after="120" w:line="240" w:lineRule="atLeast"/>
      <w:ind w:left="1701" w:hanging="1701"/>
      <w:textAlignment w:val="center"/>
    </w:pPr>
    <w:rPr>
      <w:rFonts w:ascii="Univers 45 Light" w:eastAsia="PMingLiU" w:hAnsi="Univers 45 Light" w:cs="Univers 45 Light"/>
      <w:color w:val="000000"/>
      <w:sz w:val="19"/>
      <w:szCs w:val="19"/>
      <w:lang w:eastAsia="en-NZ"/>
    </w:rPr>
  </w:style>
  <w:style w:type="character" w:customStyle="1" w:styleId="st">
    <w:name w:val="st"/>
    <w:basedOn w:val="DefaultParagraphFont"/>
    <w:rsid w:val="009B4755"/>
  </w:style>
  <w:style w:type="paragraph" w:customStyle="1" w:styleId="xmsonormal">
    <w:name w:val="x_msonormal"/>
    <w:basedOn w:val="Normal"/>
    <w:uiPriority w:val="99"/>
    <w:rsid w:val="0025400A"/>
    <w:pPr>
      <w:widowControl/>
      <w:autoSpaceDE/>
      <w:autoSpaceDN/>
      <w:adjustRightInd/>
      <w:spacing w:before="100" w:beforeAutospacing="1" w:after="100" w:afterAutospacing="1"/>
    </w:pPr>
    <w:rPr>
      <w:sz w:val="24"/>
      <w:szCs w:val="24"/>
    </w:rPr>
  </w:style>
  <w:style w:type="character" w:customStyle="1" w:styleId="Bodytext30">
    <w:name w:val="Body text (3)_"/>
    <w:link w:val="Bodytext31"/>
    <w:rsid w:val="0003089C"/>
    <w:rPr>
      <w:rFonts w:cs="Calibri"/>
      <w:b/>
      <w:bCs/>
      <w:shd w:val="clear" w:color="auto" w:fill="FFFFFF"/>
    </w:rPr>
  </w:style>
  <w:style w:type="paragraph" w:customStyle="1" w:styleId="Bodytext31">
    <w:name w:val="Body text (3)"/>
    <w:basedOn w:val="Normal"/>
    <w:link w:val="Bodytext30"/>
    <w:rsid w:val="0003089C"/>
    <w:pPr>
      <w:shd w:val="clear" w:color="auto" w:fill="FFFFFF"/>
      <w:autoSpaceDE/>
      <w:autoSpaceDN/>
      <w:adjustRightInd/>
      <w:spacing w:line="0" w:lineRule="atLeast"/>
    </w:pPr>
    <w:rPr>
      <w:rFonts w:ascii="Calibri" w:hAnsi="Calibri"/>
      <w:b/>
      <w:bCs/>
    </w:rPr>
  </w:style>
  <w:style w:type="character" w:customStyle="1" w:styleId="apple-converted-space">
    <w:name w:val="apple-converted-space"/>
    <w:basedOn w:val="DefaultParagraphFont"/>
    <w:rsid w:val="00C36ED4"/>
  </w:style>
  <w:style w:type="character" w:customStyle="1" w:styleId="ListParagraphChar">
    <w:name w:val="List Paragraph Char"/>
    <w:link w:val="ListParagraph"/>
    <w:uiPriority w:val="34"/>
    <w:rsid w:val="005200DF"/>
    <w:rPr>
      <w:rFonts w:eastAsia="Calibri"/>
      <w:sz w:val="22"/>
      <w:szCs w:val="22"/>
      <w:lang w:val="en-US"/>
    </w:rPr>
  </w:style>
  <w:style w:type="character" w:customStyle="1" w:styleId="FootnoteTextChar1">
    <w:name w:val="Footnote Text Char1"/>
    <w:basedOn w:val="DefaultParagraphFont"/>
    <w:uiPriority w:val="99"/>
    <w:semiHidden/>
    <w:rsid w:val="00754358"/>
    <w:rPr>
      <w:sz w:val="20"/>
      <w:szCs w:val="20"/>
    </w:rPr>
  </w:style>
  <w:style w:type="character" w:customStyle="1" w:styleId="EndnoteTextChar1">
    <w:name w:val="Endnote Text Char1"/>
    <w:basedOn w:val="DefaultParagraphFont"/>
    <w:uiPriority w:val="99"/>
    <w:semiHidden/>
    <w:rsid w:val="00754358"/>
    <w:rPr>
      <w:sz w:val="20"/>
      <w:szCs w:val="20"/>
    </w:rPr>
  </w:style>
  <w:style w:type="character" w:customStyle="1" w:styleId="CommentTextChar1">
    <w:name w:val="Comment Text Char1"/>
    <w:basedOn w:val="DefaultParagraphFont"/>
    <w:uiPriority w:val="99"/>
    <w:semiHidden/>
    <w:rsid w:val="00754358"/>
    <w:rPr>
      <w:sz w:val="20"/>
      <w:szCs w:val="20"/>
    </w:rPr>
  </w:style>
  <w:style w:type="character" w:customStyle="1" w:styleId="DocumentMapChar1">
    <w:name w:val="Document Map Char1"/>
    <w:basedOn w:val="DefaultParagraphFont"/>
    <w:uiPriority w:val="99"/>
    <w:semiHidden/>
    <w:rsid w:val="00754358"/>
    <w:rPr>
      <w:rFonts w:ascii="Segoe UI" w:hAnsi="Segoe UI" w:cs="Segoe UI"/>
      <w:sz w:val="16"/>
      <w:szCs w:val="16"/>
    </w:rPr>
  </w:style>
  <w:style w:type="character" w:customStyle="1" w:styleId="MacroTextChar1">
    <w:name w:val="Macro Text Char1"/>
    <w:basedOn w:val="DefaultParagraphFont"/>
    <w:uiPriority w:val="99"/>
    <w:semiHidden/>
    <w:rsid w:val="00754358"/>
    <w:rPr>
      <w:rFonts w:ascii="Consolas" w:hAnsi="Consolas"/>
      <w:sz w:val="20"/>
      <w:szCs w:val="20"/>
    </w:rPr>
  </w:style>
  <w:style w:type="character" w:customStyle="1" w:styleId="CommentSubjectChar1">
    <w:name w:val="Comment Subject Char1"/>
    <w:basedOn w:val="CommentTextChar1"/>
    <w:uiPriority w:val="99"/>
    <w:semiHidden/>
    <w:rsid w:val="00754358"/>
    <w:rPr>
      <w:b/>
      <w:bCs/>
      <w:sz w:val="20"/>
      <w:szCs w:val="20"/>
    </w:rPr>
  </w:style>
  <w:style w:type="paragraph" w:customStyle="1" w:styleId="CharChar0">
    <w:name w:val="Char Char"/>
    <w:basedOn w:val="Normal"/>
    <w:rsid w:val="00205157"/>
    <w:pPr>
      <w:widowControl/>
      <w:autoSpaceDE/>
      <w:autoSpaceDN/>
      <w:adjustRightInd/>
      <w:spacing w:after="160" w:line="240" w:lineRule="exact"/>
    </w:pPr>
    <w:rPr>
      <w:rFonts w:ascii="Verdana" w:hAnsi="Verdana" w:cs="Verdana"/>
      <w:lang w:eastAsia="en-US"/>
    </w:rPr>
  </w:style>
  <w:style w:type="paragraph" w:customStyle="1" w:styleId="CharChar1CharCharCharCharCharCharCharCharCharCharChar1">
    <w:name w:val="Char Char1 Char Char Char Char Char Char Char Char Char Char Char"/>
    <w:basedOn w:val="Normal"/>
    <w:rsid w:val="00170C8B"/>
    <w:pPr>
      <w:widowControl/>
      <w:autoSpaceDE/>
      <w:autoSpaceDN/>
      <w:adjustRightInd/>
      <w:spacing w:after="160" w:line="240" w:lineRule="exact"/>
    </w:pPr>
    <w:rPr>
      <w:rFonts w:ascii="Verdana" w:hAnsi="Verdana"/>
    </w:rPr>
  </w:style>
  <w:style w:type="paragraph" w:customStyle="1" w:styleId="CaracterCaracterCharCharCaracterCaracterCharCharCaracterCaracterCharCharCaracterCaracterCharChar0">
    <w:name w:val="Caracter Caracter Char Char Caracter Caracter Char Char Caracter Caracter Char Char Caracter Caracter Char Char"/>
    <w:basedOn w:val="Normal"/>
    <w:rsid w:val="00170C8B"/>
    <w:pPr>
      <w:widowControl/>
      <w:autoSpaceDE/>
      <w:autoSpaceDN/>
      <w:adjustRightInd/>
    </w:pPr>
    <w:rPr>
      <w:sz w:val="24"/>
      <w:szCs w:val="24"/>
      <w:lang w:eastAsia="pl-PL"/>
    </w:rPr>
  </w:style>
  <w:style w:type="paragraph" w:customStyle="1" w:styleId="CharCharCaracterCaracter0">
    <w:name w:val="Char Char Caracter Caracter"/>
    <w:basedOn w:val="Normal"/>
    <w:rsid w:val="00170C8B"/>
    <w:pPr>
      <w:widowControl/>
      <w:autoSpaceDE/>
      <w:autoSpaceDN/>
      <w:adjustRightInd/>
      <w:spacing w:after="160" w:line="240" w:lineRule="exact"/>
    </w:pPr>
    <w:rPr>
      <w:rFonts w:ascii="Verdana" w:hAnsi="Verdana" w:cs="Verdana"/>
      <w:lang w:eastAsia="en-US"/>
    </w:rPr>
  </w:style>
  <w:style w:type="paragraph" w:customStyle="1" w:styleId="CharChar1">
    <w:name w:val="Char Char"/>
    <w:basedOn w:val="Normal"/>
    <w:rsid w:val="00170C8B"/>
    <w:pPr>
      <w:widowControl/>
      <w:autoSpaceDE/>
      <w:autoSpaceDN/>
      <w:adjustRightInd/>
      <w:spacing w:after="160" w:line="240" w:lineRule="exact"/>
    </w:pPr>
    <w:rPr>
      <w:rFonts w:ascii="Verdana" w:hAnsi="Verdana" w:cs="Verdana"/>
      <w:lang w:eastAsia="en-US"/>
    </w:rPr>
  </w:style>
  <w:style w:type="paragraph" w:customStyle="1" w:styleId="xmsolistparagraph">
    <w:name w:val="x_msolistparagraph"/>
    <w:basedOn w:val="Normal"/>
    <w:rsid w:val="00170C8B"/>
    <w:pPr>
      <w:widowControl/>
      <w:autoSpaceDE/>
      <w:autoSpaceDN/>
      <w:adjustRightInd/>
      <w:spacing w:before="100" w:beforeAutospacing="1" w:after="100" w:afterAutospacing="1"/>
    </w:pPr>
    <w:rPr>
      <w:sz w:val="24"/>
      <w:szCs w:val="24"/>
    </w:rPr>
  </w:style>
  <w:style w:type="paragraph" w:customStyle="1" w:styleId="CharChar2">
    <w:name w:val="Char Char"/>
    <w:basedOn w:val="Normal"/>
    <w:rsid w:val="00E04104"/>
    <w:pPr>
      <w:widowControl/>
      <w:autoSpaceDE/>
      <w:autoSpaceDN/>
      <w:adjustRightInd/>
      <w:spacing w:after="160" w:line="240" w:lineRule="exact"/>
    </w:pPr>
    <w:rPr>
      <w:rFonts w:ascii="Verdana" w:hAnsi="Verdana" w:cs="Verdana"/>
      <w:lang w:eastAsia="en-US"/>
    </w:rPr>
  </w:style>
  <w:style w:type="numbering" w:customStyle="1" w:styleId="NoList1">
    <w:name w:val="No List1"/>
    <w:next w:val="NoList"/>
    <w:semiHidden/>
    <w:unhideWhenUsed/>
    <w:rsid w:val="00973E1B"/>
  </w:style>
  <w:style w:type="table" w:customStyle="1" w:styleId="TableGrid1">
    <w:name w:val="Table Grid1"/>
    <w:basedOn w:val="TableNormal"/>
    <w:next w:val="TableGrid"/>
    <w:uiPriority w:val="39"/>
    <w:rsid w:val="00973E1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73E1B"/>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western">
    <w:name w:val="western"/>
    <w:basedOn w:val="Normal"/>
    <w:rsid w:val="00C349EC"/>
    <w:pPr>
      <w:widowControl/>
      <w:autoSpaceDE/>
      <w:autoSpaceDN/>
      <w:adjustRightInd/>
      <w:spacing w:before="100" w:beforeAutospacing="1" w:after="100" w:afterAutospacing="1"/>
    </w:pPr>
    <w:rPr>
      <w:sz w:val="24"/>
      <w:szCs w:val="24"/>
    </w:rPr>
  </w:style>
  <w:style w:type="table" w:customStyle="1" w:styleId="TableGrid2">
    <w:name w:val="Table Grid2"/>
    <w:basedOn w:val="TableNormal"/>
    <w:next w:val="TableGrid"/>
    <w:uiPriority w:val="39"/>
    <w:rsid w:val="00E20E3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E20E33"/>
    <w:pPr>
      <w:numPr>
        <w:numId w:val="11"/>
      </w:numPr>
    </w:pPr>
  </w:style>
  <w:style w:type="numbering" w:customStyle="1" w:styleId="Style111">
    <w:name w:val="Style111"/>
    <w:uiPriority w:val="99"/>
    <w:rsid w:val="003D6980"/>
    <w:pPr>
      <w:numPr>
        <w:numId w:val="1"/>
      </w:numPr>
    </w:pPr>
  </w:style>
  <w:style w:type="table" w:customStyle="1" w:styleId="TableGrid3">
    <w:name w:val="Table Grid3"/>
    <w:basedOn w:val="TableNormal"/>
    <w:next w:val="TableGrid"/>
    <w:uiPriority w:val="39"/>
    <w:rsid w:val="00A20EB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52F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6306">
      <w:bodyDiv w:val="1"/>
      <w:marLeft w:val="0"/>
      <w:marRight w:val="0"/>
      <w:marTop w:val="0"/>
      <w:marBottom w:val="0"/>
      <w:divBdr>
        <w:top w:val="none" w:sz="0" w:space="0" w:color="auto"/>
        <w:left w:val="none" w:sz="0" w:space="0" w:color="auto"/>
        <w:bottom w:val="none" w:sz="0" w:space="0" w:color="auto"/>
        <w:right w:val="none" w:sz="0" w:space="0" w:color="auto"/>
      </w:divBdr>
    </w:div>
    <w:div w:id="20864413">
      <w:bodyDiv w:val="1"/>
      <w:marLeft w:val="0"/>
      <w:marRight w:val="0"/>
      <w:marTop w:val="0"/>
      <w:marBottom w:val="0"/>
      <w:divBdr>
        <w:top w:val="none" w:sz="0" w:space="0" w:color="auto"/>
        <w:left w:val="none" w:sz="0" w:space="0" w:color="auto"/>
        <w:bottom w:val="none" w:sz="0" w:space="0" w:color="auto"/>
        <w:right w:val="none" w:sz="0" w:space="0" w:color="auto"/>
      </w:divBdr>
    </w:div>
    <w:div w:id="29690852">
      <w:bodyDiv w:val="1"/>
      <w:marLeft w:val="0"/>
      <w:marRight w:val="0"/>
      <w:marTop w:val="0"/>
      <w:marBottom w:val="0"/>
      <w:divBdr>
        <w:top w:val="none" w:sz="0" w:space="0" w:color="auto"/>
        <w:left w:val="none" w:sz="0" w:space="0" w:color="auto"/>
        <w:bottom w:val="none" w:sz="0" w:space="0" w:color="auto"/>
        <w:right w:val="none" w:sz="0" w:space="0" w:color="auto"/>
      </w:divBdr>
    </w:div>
    <w:div w:id="40331538">
      <w:bodyDiv w:val="1"/>
      <w:marLeft w:val="0"/>
      <w:marRight w:val="0"/>
      <w:marTop w:val="0"/>
      <w:marBottom w:val="0"/>
      <w:divBdr>
        <w:top w:val="none" w:sz="0" w:space="0" w:color="auto"/>
        <w:left w:val="none" w:sz="0" w:space="0" w:color="auto"/>
        <w:bottom w:val="none" w:sz="0" w:space="0" w:color="auto"/>
        <w:right w:val="none" w:sz="0" w:space="0" w:color="auto"/>
      </w:divBdr>
    </w:div>
    <w:div w:id="59136419">
      <w:bodyDiv w:val="1"/>
      <w:marLeft w:val="0"/>
      <w:marRight w:val="0"/>
      <w:marTop w:val="0"/>
      <w:marBottom w:val="0"/>
      <w:divBdr>
        <w:top w:val="none" w:sz="0" w:space="0" w:color="auto"/>
        <w:left w:val="none" w:sz="0" w:space="0" w:color="auto"/>
        <w:bottom w:val="none" w:sz="0" w:space="0" w:color="auto"/>
        <w:right w:val="none" w:sz="0" w:space="0" w:color="auto"/>
      </w:divBdr>
    </w:div>
    <w:div w:id="59638502">
      <w:bodyDiv w:val="1"/>
      <w:marLeft w:val="0"/>
      <w:marRight w:val="0"/>
      <w:marTop w:val="0"/>
      <w:marBottom w:val="0"/>
      <w:divBdr>
        <w:top w:val="none" w:sz="0" w:space="0" w:color="auto"/>
        <w:left w:val="none" w:sz="0" w:space="0" w:color="auto"/>
        <w:bottom w:val="none" w:sz="0" w:space="0" w:color="auto"/>
        <w:right w:val="none" w:sz="0" w:space="0" w:color="auto"/>
      </w:divBdr>
    </w:div>
    <w:div w:id="62921227">
      <w:bodyDiv w:val="1"/>
      <w:marLeft w:val="0"/>
      <w:marRight w:val="0"/>
      <w:marTop w:val="0"/>
      <w:marBottom w:val="0"/>
      <w:divBdr>
        <w:top w:val="none" w:sz="0" w:space="0" w:color="auto"/>
        <w:left w:val="none" w:sz="0" w:space="0" w:color="auto"/>
        <w:bottom w:val="none" w:sz="0" w:space="0" w:color="auto"/>
        <w:right w:val="none" w:sz="0" w:space="0" w:color="auto"/>
      </w:divBdr>
    </w:div>
    <w:div w:id="74476474">
      <w:bodyDiv w:val="1"/>
      <w:marLeft w:val="0"/>
      <w:marRight w:val="0"/>
      <w:marTop w:val="0"/>
      <w:marBottom w:val="0"/>
      <w:divBdr>
        <w:top w:val="none" w:sz="0" w:space="0" w:color="auto"/>
        <w:left w:val="none" w:sz="0" w:space="0" w:color="auto"/>
        <w:bottom w:val="none" w:sz="0" w:space="0" w:color="auto"/>
        <w:right w:val="none" w:sz="0" w:space="0" w:color="auto"/>
      </w:divBdr>
    </w:div>
    <w:div w:id="89786281">
      <w:bodyDiv w:val="1"/>
      <w:marLeft w:val="0"/>
      <w:marRight w:val="0"/>
      <w:marTop w:val="0"/>
      <w:marBottom w:val="0"/>
      <w:divBdr>
        <w:top w:val="none" w:sz="0" w:space="0" w:color="auto"/>
        <w:left w:val="none" w:sz="0" w:space="0" w:color="auto"/>
        <w:bottom w:val="none" w:sz="0" w:space="0" w:color="auto"/>
        <w:right w:val="none" w:sz="0" w:space="0" w:color="auto"/>
      </w:divBdr>
    </w:div>
    <w:div w:id="99764605">
      <w:bodyDiv w:val="1"/>
      <w:marLeft w:val="0"/>
      <w:marRight w:val="0"/>
      <w:marTop w:val="0"/>
      <w:marBottom w:val="0"/>
      <w:divBdr>
        <w:top w:val="none" w:sz="0" w:space="0" w:color="auto"/>
        <w:left w:val="none" w:sz="0" w:space="0" w:color="auto"/>
        <w:bottom w:val="none" w:sz="0" w:space="0" w:color="auto"/>
        <w:right w:val="none" w:sz="0" w:space="0" w:color="auto"/>
      </w:divBdr>
    </w:div>
    <w:div w:id="170685735">
      <w:bodyDiv w:val="1"/>
      <w:marLeft w:val="0"/>
      <w:marRight w:val="0"/>
      <w:marTop w:val="0"/>
      <w:marBottom w:val="0"/>
      <w:divBdr>
        <w:top w:val="none" w:sz="0" w:space="0" w:color="auto"/>
        <w:left w:val="none" w:sz="0" w:space="0" w:color="auto"/>
        <w:bottom w:val="none" w:sz="0" w:space="0" w:color="auto"/>
        <w:right w:val="none" w:sz="0" w:space="0" w:color="auto"/>
      </w:divBdr>
    </w:div>
    <w:div w:id="203366941">
      <w:bodyDiv w:val="1"/>
      <w:marLeft w:val="0"/>
      <w:marRight w:val="0"/>
      <w:marTop w:val="0"/>
      <w:marBottom w:val="0"/>
      <w:divBdr>
        <w:top w:val="none" w:sz="0" w:space="0" w:color="auto"/>
        <w:left w:val="none" w:sz="0" w:space="0" w:color="auto"/>
        <w:bottom w:val="none" w:sz="0" w:space="0" w:color="auto"/>
        <w:right w:val="none" w:sz="0" w:space="0" w:color="auto"/>
      </w:divBdr>
    </w:div>
    <w:div w:id="218176907">
      <w:bodyDiv w:val="1"/>
      <w:marLeft w:val="0"/>
      <w:marRight w:val="0"/>
      <w:marTop w:val="0"/>
      <w:marBottom w:val="0"/>
      <w:divBdr>
        <w:top w:val="none" w:sz="0" w:space="0" w:color="auto"/>
        <w:left w:val="none" w:sz="0" w:space="0" w:color="auto"/>
        <w:bottom w:val="none" w:sz="0" w:space="0" w:color="auto"/>
        <w:right w:val="none" w:sz="0" w:space="0" w:color="auto"/>
      </w:divBdr>
    </w:div>
    <w:div w:id="244800791">
      <w:bodyDiv w:val="1"/>
      <w:marLeft w:val="0"/>
      <w:marRight w:val="0"/>
      <w:marTop w:val="0"/>
      <w:marBottom w:val="0"/>
      <w:divBdr>
        <w:top w:val="none" w:sz="0" w:space="0" w:color="auto"/>
        <w:left w:val="none" w:sz="0" w:space="0" w:color="auto"/>
        <w:bottom w:val="none" w:sz="0" w:space="0" w:color="auto"/>
        <w:right w:val="none" w:sz="0" w:space="0" w:color="auto"/>
      </w:divBdr>
    </w:div>
    <w:div w:id="267007042">
      <w:bodyDiv w:val="1"/>
      <w:marLeft w:val="0"/>
      <w:marRight w:val="0"/>
      <w:marTop w:val="0"/>
      <w:marBottom w:val="0"/>
      <w:divBdr>
        <w:top w:val="none" w:sz="0" w:space="0" w:color="auto"/>
        <w:left w:val="none" w:sz="0" w:space="0" w:color="auto"/>
        <w:bottom w:val="none" w:sz="0" w:space="0" w:color="auto"/>
        <w:right w:val="none" w:sz="0" w:space="0" w:color="auto"/>
      </w:divBdr>
    </w:div>
    <w:div w:id="312299777">
      <w:bodyDiv w:val="1"/>
      <w:marLeft w:val="0"/>
      <w:marRight w:val="0"/>
      <w:marTop w:val="0"/>
      <w:marBottom w:val="0"/>
      <w:divBdr>
        <w:top w:val="none" w:sz="0" w:space="0" w:color="auto"/>
        <w:left w:val="none" w:sz="0" w:space="0" w:color="auto"/>
        <w:bottom w:val="none" w:sz="0" w:space="0" w:color="auto"/>
        <w:right w:val="none" w:sz="0" w:space="0" w:color="auto"/>
      </w:divBdr>
    </w:div>
    <w:div w:id="333463110">
      <w:bodyDiv w:val="1"/>
      <w:marLeft w:val="0"/>
      <w:marRight w:val="0"/>
      <w:marTop w:val="0"/>
      <w:marBottom w:val="0"/>
      <w:divBdr>
        <w:top w:val="none" w:sz="0" w:space="0" w:color="auto"/>
        <w:left w:val="none" w:sz="0" w:space="0" w:color="auto"/>
        <w:bottom w:val="none" w:sz="0" w:space="0" w:color="auto"/>
        <w:right w:val="none" w:sz="0" w:space="0" w:color="auto"/>
      </w:divBdr>
    </w:div>
    <w:div w:id="345596980">
      <w:bodyDiv w:val="1"/>
      <w:marLeft w:val="0"/>
      <w:marRight w:val="0"/>
      <w:marTop w:val="0"/>
      <w:marBottom w:val="0"/>
      <w:divBdr>
        <w:top w:val="none" w:sz="0" w:space="0" w:color="auto"/>
        <w:left w:val="none" w:sz="0" w:space="0" w:color="auto"/>
        <w:bottom w:val="none" w:sz="0" w:space="0" w:color="auto"/>
        <w:right w:val="none" w:sz="0" w:space="0" w:color="auto"/>
      </w:divBdr>
    </w:div>
    <w:div w:id="350226736">
      <w:bodyDiv w:val="1"/>
      <w:marLeft w:val="0"/>
      <w:marRight w:val="0"/>
      <w:marTop w:val="0"/>
      <w:marBottom w:val="0"/>
      <w:divBdr>
        <w:top w:val="none" w:sz="0" w:space="0" w:color="auto"/>
        <w:left w:val="none" w:sz="0" w:space="0" w:color="auto"/>
        <w:bottom w:val="none" w:sz="0" w:space="0" w:color="auto"/>
        <w:right w:val="none" w:sz="0" w:space="0" w:color="auto"/>
      </w:divBdr>
    </w:div>
    <w:div w:id="365718202">
      <w:bodyDiv w:val="1"/>
      <w:marLeft w:val="0"/>
      <w:marRight w:val="0"/>
      <w:marTop w:val="0"/>
      <w:marBottom w:val="0"/>
      <w:divBdr>
        <w:top w:val="none" w:sz="0" w:space="0" w:color="auto"/>
        <w:left w:val="none" w:sz="0" w:space="0" w:color="auto"/>
        <w:bottom w:val="none" w:sz="0" w:space="0" w:color="auto"/>
        <w:right w:val="none" w:sz="0" w:space="0" w:color="auto"/>
      </w:divBdr>
    </w:div>
    <w:div w:id="388260700">
      <w:bodyDiv w:val="1"/>
      <w:marLeft w:val="0"/>
      <w:marRight w:val="0"/>
      <w:marTop w:val="0"/>
      <w:marBottom w:val="0"/>
      <w:divBdr>
        <w:top w:val="none" w:sz="0" w:space="0" w:color="auto"/>
        <w:left w:val="none" w:sz="0" w:space="0" w:color="auto"/>
        <w:bottom w:val="none" w:sz="0" w:space="0" w:color="auto"/>
        <w:right w:val="none" w:sz="0" w:space="0" w:color="auto"/>
      </w:divBdr>
    </w:div>
    <w:div w:id="404493164">
      <w:bodyDiv w:val="1"/>
      <w:marLeft w:val="0"/>
      <w:marRight w:val="0"/>
      <w:marTop w:val="0"/>
      <w:marBottom w:val="0"/>
      <w:divBdr>
        <w:top w:val="none" w:sz="0" w:space="0" w:color="auto"/>
        <w:left w:val="none" w:sz="0" w:space="0" w:color="auto"/>
        <w:bottom w:val="none" w:sz="0" w:space="0" w:color="auto"/>
        <w:right w:val="none" w:sz="0" w:space="0" w:color="auto"/>
      </w:divBdr>
    </w:div>
    <w:div w:id="411053836">
      <w:bodyDiv w:val="1"/>
      <w:marLeft w:val="0"/>
      <w:marRight w:val="0"/>
      <w:marTop w:val="0"/>
      <w:marBottom w:val="0"/>
      <w:divBdr>
        <w:top w:val="none" w:sz="0" w:space="0" w:color="auto"/>
        <w:left w:val="none" w:sz="0" w:space="0" w:color="auto"/>
        <w:bottom w:val="none" w:sz="0" w:space="0" w:color="auto"/>
        <w:right w:val="none" w:sz="0" w:space="0" w:color="auto"/>
      </w:divBdr>
    </w:div>
    <w:div w:id="411465366">
      <w:bodyDiv w:val="1"/>
      <w:marLeft w:val="0"/>
      <w:marRight w:val="0"/>
      <w:marTop w:val="0"/>
      <w:marBottom w:val="0"/>
      <w:divBdr>
        <w:top w:val="none" w:sz="0" w:space="0" w:color="auto"/>
        <w:left w:val="none" w:sz="0" w:space="0" w:color="auto"/>
        <w:bottom w:val="none" w:sz="0" w:space="0" w:color="auto"/>
        <w:right w:val="none" w:sz="0" w:space="0" w:color="auto"/>
      </w:divBdr>
    </w:div>
    <w:div w:id="445928613">
      <w:bodyDiv w:val="1"/>
      <w:marLeft w:val="0"/>
      <w:marRight w:val="0"/>
      <w:marTop w:val="0"/>
      <w:marBottom w:val="0"/>
      <w:divBdr>
        <w:top w:val="none" w:sz="0" w:space="0" w:color="auto"/>
        <w:left w:val="none" w:sz="0" w:space="0" w:color="auto"/>
        <w:bottom w:val="none" w:sz="0" w:space="0" w:color="auto"/>
        <w:right w:val="none" w:sz="0" w:space="0" w:color="auto"/>
      </w:divBdr>
    </w:div>
    <w:div w:id="451285221">
      <w:bodyDiv w:val="1"/>
      <w:marLeft w:val="0"/>
      <w:marRight w:val="0"/>
      <w:marTop w:val="0"/>
      <w:marBottom w:val="0"/>
      <w:divBdr>
        <w:top w:val="none" w:sz="0" w:space="0" w:color="auto"/>
        <w:left w:val="none" w:sz="0" w:space="0" w:color="auto"/>
        <w:bottom w:val="none" w:sz="0" w:space="0" w:color="auto"/>
        <w:right w:val="none" w:sz="0" w:space="0" w:color="auto"/>
      </w:divBdr>
    </w:div>
    <w:div w:id="475683920">
      <w:bodyDiv w:val="1"/>
      <w:marLeft w:val="0"/>
      <w:marRight w:val="0"/>
      <w:marTop w:val="0"/>
      <w:marBottom w:val="0"/>
      <w:divBdr>
        <w:top w:val="none" w:sz="0" w:space="0" w:color="auto"/>
        <w:left w:val="none" w:sz="0" w:space="0" w:color="auto"/>
        <w:bottom w:val="none" w:sz="0" w:space="0" w:color="auto"/>
        <w:right w:val="none" w:sz="0" w:space="0" w:color="auto"/>
      </w:divBdr>
    </w:div>
    <w:div w:id="476648487">
      <w:bodyDiv w:val="1"/>
      <w:marLeft w:val="0"/>
      <w:marRight w:val="0"/>
      <w:marTop w:val="0"/>
      <w:marBottom w:val="0"/>
      <w:divBdr>
        <w:top w:val="none" w:sz="0" w:space="0" w:color="auto"/>
        <w:left w:val="none" w:sz="0" w:space="0" w:color="auto"/>
        <w:bottom w:val="none" w:sz="0" w:space="0" w:color="auto"/>
        <w:right w:val="none" w:sz="0" w:space="0" w:color="auto"/>
      </w:divBdr>
    </w:div>
    <w:div w:id="494104132">
      <w:bodyDiv w:val="1"/>
      <w:marLeft w:val="0"/>
      <w:marRight w:val="0"/>
      <w:marTop w:val="0"/>
      <w:marBottom w:val="0"/>
      <w:divBdr>
        <w:top w:val="none" w:sz="0" w:space="0" w:color="auto"/>
        <w:left w:val="none" w:sz="0" w:space="0" w:color="auto"/>
        <w:bottom w:val="none" w:sz="0" w:space="0" w:color="auto"/>
        <w:right w:val="none" w:sz="0" w:space="0" w:color="auto"/>
      </w:divBdr>
    </w:div>
    <w:div w:id="515854205">
      <w:bodyDiv w:val="1"/>
      <w:marLeft w:val="0"/>
      <w:marRight w:val="0"/>
      <w:marTop w:val="0"/>
      <w:marBottom w:val="0"/>
      <w:divBdr>
        <w:top w:val="none" w:sz="0" w:space="0" w:color="auto"/>
        <w:left w:val="none" w:sz="0" w:space="0" w:color="auto"/>
        <w:bottom w:val="none" w:sz="0" w:space="0" w:color="auto"/>
        <w:right w:val="none" w:sz="0" w:space="0" w:color="auto"/>
      </w:divBdr>
    </w:div>
    <w:div w:id="528685866">
      <w:bodyDiv w:val="1"/>
      <w:marLeft w:val="0"/>
      <w:marRight w:val="0"/>
      <w:marTop w:val="0"/>
      <w:marBottom w:val="0"/>
      <w:divBdr>
        <w:top w:val="none" w:sz="0" w:space="0" w:color="auto"/>
        <w:left w:val="none" w:sz="0" w:space="0" w:color="auto"/>
        <w:bottom w:val="none" w:sz="0" w:space="0" w:color="auto"/>
        <w:right w:val="none" w:sz="0" w:space="0" w:color="auto"/>
      </w:divBdr>
    </w:div>
    <w:div w:id="529925492">
      <w:bodyDiv w:val="1"/>
      <w:marLeft w:val="0"/>
      <w:marRight w:val="0"/>
      <w:marTop w:val="0"/>
      <w:marBottom w:val="0"/>
      <w:divBdr>
        <w:top w:val="none" w:sz="0" w:space="0" w:color="auto"/>
        <w:left w:val="none" w:sz="0" w:space="0" w:color="auto"/>
        <w:bottom w:val="none" w:sz="0" w:space="0" w:color="auto"/>
        <w:right w:val="none" w:sz="0" w:space="0" w:color="auto"/>
      </w:divBdr>
    </w:div>
    <w:div w:id="578059172">
      <w:bodyDiv w:val="1"/>
      <w:marLeft w:val="0"/>
      <w:marRight w:val="0"/>
      <w:marTop w:val="0"/>
      <w:marBottom w:val="0"/>
      <w:divBdr>
        <w:top w:val="none" w:sz="0" w:space="0" w:color="auto"/>
        <w:left w:val="none" w:sz="0" w:space="0" w:color="auto"/>
        <w:bottom w:val="none" w:sz="0" w:space="0" w:color="auto"/>
        <w:right w:val="none" w:sz="0" w:space="0" w:color="auto"/>
      </w:divBdr>
    </w:div>
    <w:div w:id="583879984">
      <w:bodyDiv w:val="1"/>
      <w:marLeft w:val="0"/>
      <w:marRight w:val="0"/>
      <w:marTop w:val="0"/>
      <w:marBottom w:val="0"/>
      <w:divBdr>
        <w:top w:val="none" w:sz="0" w:space="0" w:color="auto"/>
        <w:left w:val="none" w:sz="0" w:space="0" w:color="auto"/>
        <w:bottom w:val="none" w:sz="0" w:space="0" w:color="auto"/>
        <w:right w:val="none" w:sz="0" w:space="0" w:color="auto"/>
      </w:divBdr>
    </w:div>
    <w:div w:id="584266553">
      <w:bodyDiv w:val="1"/>
      <w:marLeft w:val="0"/>
      <w:marRight w:val="0"/>
      <w:marTop w:val="0"/>
      <w:marBottom w:val="0"/>
      <w:divBdr>
        <w:top w:val="none" w:sz="0" w:space="0" w:color="auto"/>
        <w:left w:val="none" w:sz="0" w:space="0" w:color="auto"/>
        <w:bottom w:val="none" w:sz="0" w:space="0" w:color="auto"/>
        <w:right w:val="none" w:sz="0" w:space="0" w:color="auto"/>
      </w:divBdr>
    </w:div>
    <w:div w:id="621884217">
      <w:bodyDiv w:val="1"/>
      <w:marLeft w:val="0"/>
      <w:marRight w:val="0"/>
      <w:marTop w:val="0"/>
      <w:marBottom w:val="0"/>
      <w:divBdr>
        <w:top w:val="none" w:sz="0" w:space="0" w:color="auto"/>
        <w:left w:val="none" w:sz="0" w:space="0" w:color="auto"/>
        <w:bottom w:val="none" w:sz="0" w:space="0" w:color="auto"/>
        <w:right w:val="none" w:sz="0" w:space="0" w:color="auto"/>
      </w:divBdr>
    </w:div>
    <w:div w:id="645086702">
      <w:bodyDiv w:val="1"/>
      <w:marLeft w:val="0"/>
      <w:marRight w:val="0"/>
      <w:marTop w:val="0"/>
      <w:marBottom w:val="0"/>
      <w:divBdr>
        <w:top w:val="none" w:sz="0" w:space="0" w:color="auto"/>
        <w:left w:val="none" w:sz="0" w:space="0" w:color="auto"/>
        <w:bottom w:val="none" w:sz="0" w:space="0" w:color="auto"/>
        <w:right w:val="none" w:sz="0" w:space="0" w:color="auto"/>
      </w:divBdr>
    </w:div>
    <w:div w:id="649093206">
      <w:bodyDiv w:val="1"/>
      <w:marLeft w:val="0"/>
      <w:marRight w:val="0"/>
      <w:marTop w:val="0"/>
      <w:marBottom w:val="0"/>
      <w:divBdr>
        <w:top w:val="none" w:sz="0" w:space="0" w:color="auto"/>
        <w:left w:val="none" w:sz="0" w:space="0" w:color="auto"/>
        <w:bottom w:val="none" w:sz="0" w:space="0" w:color="auto"/>
        <w:right w:val="none" w:sz="0" w:space="0" w:color="auto"/>
      </w:divBdr>
    </w:div>
    <w:div w:id="651718486">
      <w:bodyDiv w:val="1"/>
      <w:marLeft w:val="0"/>
      <w:marRight w:val="0"/>
      <w:marTop w:val="0"/>
      <w:marBottom w:val="0"/>
      <w:divBdr>
        <w:top w:val="none" w:sz="0" w:space="0" w:color="auto"/>
        <w:left w:val="none" w:sz="0" w:space="0" w:color="auto"/>
        <w:bottom w:val="none" w:sz="0" w:space="0" w:color="auto"/>
        <w:right w:val="none" w:sz="0" w:space="0" w:color="auto"/>
      </w:divBdr>
    </w:div>
    <w:div w:id="665785070">
      <w:bodyDiv w:val="1"/>
      <w:marLeft w:val="0"/>
      <w:marRight w:val="0"/>
      <w:marTop w:val="0"/>
      <w:marBottom w:val="0"/>
      <w:divBdr>
        <w:top w:val="none" w:sz="0" w:space="0" w:color="auto"/>
        <w:left w:val="none" w:sz="0" w:space="0" w:color="auto"/>
        <w:bottom w:val="none" w:sz="0" w:space="0" w:color="auto"/>
        <w:right w:val="none" w:sz="0" w:space="0" w:color="auto"/>
      </w:divBdr>
    </w:div>
    <w:div w:id="674767583">
      <w:bodyDiv w:val="1"/>
      <w:marLeft w:val="0"/>
      <w:marRight w:val="0"/>
      <w:marTop w:val="0"/>
      <w:marBottom w:val="0"/>
      <w:divBdr>
        <w:top w:val="none" w:sz="0" w:space="0" w:color="auto"/>
        <w:left w:val="none" w:sz="0" w:space="0" w:color="auto"/>
        <w:bottom w:val="none" w:sz="0" w:space="0" w:color="auto"/>
        <w:right w:val="none" w:sz="0" w:space="0" w:color="auto"/>
      </w:divBdr>
    </w:div>
    <w:div w:id="695469879">
      <w:bodyDiv w:val="1"/>
      <w:marLeft w:val="0"/>
      <w:marRight w:val="0"/>
      <w:marTop w:val="0"/>
      <w:marBottom w:val="0"/>
      <w:divBdr>
        <w:top w:val="none" w:sz="0" w:space="0" w:color="auto"/>
        <w:left w:val="none" w:sz="0" w:space="0" w:color="auto"/>
        <w:bottom w:val="none" w:sz="0" w:space="0" w:color="auto"/>
        <w:right w:val="none" w:sz="0" w:space="0" w:color="auto"/>
      </w:divBdr>
    </w:div>
    <w:div w:id="700327575">
      <w:bodyDiv w:val="1"/>
      <w:marLeft w:val="0"/>
      <w:marRight w:val="0"/>
      <w:marTop w:val="0"/>
      <w:marBottom w:val="0"/>
      <w:divBdr>
        <w:top w:val="none" w:sz="0" w:space="0" w:color="auto"/>
        <w:left w:val="none" w:sz="0" w:space="0" w:color="auto"/>
        <w:bottom w:val="none" w:sz="0" w:space="0" w:color="auto"/>
        <w:right w:val="none" w:sz="0" w:space="0" w:color="auto"/>
      </w:divBdr>
    </w:div>
    <w:div w:id="709035921">
      <w:bodyDiv w:val="1"/>
      <w:marLeft w:val="0"/>
      <w:marRight w:val="0"/>
      <w:marTop w:val="0"/>
      <w:marBottom w:val="0"/>
      <w:divBdr>
        <w:top w:val="none" w:sz="0" w:space="0" w:color="auto"/>
        <w:left w:val="none" w:sz="0" w:space="0" w:color="auto"/>
        <w:bottom w:val="none" w:sz="0" w:space="0" w:color="auto"/>
        <w:right w:val="none" w:sz="0" w:space="0" w:color="auto"/>
      </w:divBdr>
    </w:div>
    <w:div w:id="713966379">
      <w:bodyDiv w:val="1"/>
      <w:marLeft w:val="0"/>
      <w:marRight w:val="0"/>
      <w:marTop w:val="0"/>
      <w:marBottom w:val="0"/>
      <w:divBdr>
        <w:top w:val="none" w:sz="0" w:space="0" w:color="auto"/>
        <w:left w:val="none" w:sz="0" w:space="0" w:color="auto"/>
        <w:bottom w:val="none" w:sz="0" w:space="0" w:color="auto"/>
        <w:right w:val="none" w:sz="0" w:space="0" w:color="auto"/>
      </w:divBdr>
    </w:div>
    <w:div w:id="747271581">
      <w:bodyDiv w:val="1"/>
      <w:marLeft w:val="0"/>
      <w:marRight w:val="0"/>
      <w:marTop w:val="0"/>
      <w:marBottom w:val="0"/>
      <w:divBdr>
        <w:top w:val="none" w:sz="0" w:space="0" w:color="auto"/>
        <w:left w:val="none" w:sz="0" w:space="0" w:color="auto"/>
        <w:bottom w:val="none" w:sz="0" w:space="0" w:color="auto"/>
        <w:right w:val="none" w:sz="0" w:space="0" w:color="auto"/>
      </w:divBdr>
    </w:div>
    <w:div w:id="755784486">
      <w:bodyDiv w:val="1"/>
      <w:marLeft w:val="0"/>
      <w:marRight w:val="0"/>
      <w:marTop w:val="0"/>
      <w:marBottom w:val="0"/>
      <w:divBdr>
        <w:top w:val="none" w:sz="0" w:space="0" w:color="auto"/>
        <w:left w:val="none" w:sz="0" w:space="0" w:color="auto"/>
        <w:bottom w:val="none" w:sz="0" w:space="0" w:color="auto"/>
        <w:right w:val="none" w:sz="0" w:space="0" w:color="auto"/>
      </w:divBdr>
    </w:div>
    <w:div w:id="758798575">
      <w:bodyDiv w:val="1"/>
      <w:marLeft w:val="0"/>
      <w:marRight w:val="0"/>
      <w:marTop w:val="0"/>
      <w:marBottom w:val="0"/>
      <w:divBdr>
        <w:top w:val="none" w:sz="0" w:space="0" w:color="auto"/>
        <w:left w:val="none" w:sz="0" w:space="0" w:color="auto"/>
        <w:bottom w:val="none" w:sz="0" w:space="0" w:color="auto"/>
        <w:right w:val="none" w:sz="0" w:space="0" w:color="auto"/>
      </w:divBdr>
    </w:div>
    <w:div w:id="768618454">
      <w:bodyDiv w:val="1"/>
      <w:marLeft w:val="0"/>
      <w:marRight w:val="0"/>
      <w:marTop w:val="0"/>
      <w:marBottom w:val="0"/>
      <w:divBdr>
        <w:top w:val="none" w:sz="0" w:space="0" w:color="auto"/>
        <w:left w:val="none" w:sz="0" w:space="0" w:color="auto"/>
        <w:bottom w:val="none" w:sz="0" w:space="0" w:color="auto"/>
        <w:right w:val="none" w:sz="0" w:space="0" w:color="auto"/>
      </w:divBdr>
    </w:div>
    <w:div w:id="837379073">
      <w:bodyDiv w:val="1"/>
      <w:marLeft w:val="0"/>
      <w:marRight w:val="0"/>
      <w:marTop w:val="0"/>
      <w:marBottom w:val="0"/>
      <w:divBdr>
        <w:top w:val="none" w:sz="0" w:space="0" w:color="auto"/>
        <w:left w:val="none" w:sz="0" w:space="0" w:color="auto"/>
        <w:bottom w:val="none" w:sz="0" w:space="0" w:color="auto"/>
        <w:right w:val="none" w:sz="0" w:space="0" w:color="auto"/>
      </w:divBdr>
    </w:div>
    <w:div w:id="845560241">
      <w:bodyDiv w:val="1"/>
      <w:marLeft w:val="0"/>
      <w:marRight w:val="0"/>
      <w:marTop w:val="0"/>
      <w:marBottom w:val="0"/>
      <w:divBdr>
        <w:top w:val="none" w:sz="0" w:space="0" w:color="auto"/>
        <w:left w:val="none" w:sz="0" w:space="0" w:color="auto"/>
        <w:bottom w:val="none" w:sz="0" w:space="0" w:color="auto"/>
        <w:right w:val="none" w:sz="0" w:space="0" w:color="auto"/>
      </w:divBdr>
    </w:div>
    <w:div w:id="877165972">
      <w:bodyDiv w:val="1"/>
      <w:marLeft w:val="0"/>
      <w:marRight w:val="0"/>
      <w:marTop w:val="0"/>
      <w:marBottom w:val="0"/>
      <w:divBdr>
        <w:top w:val="none" w:sz="0" w:space="0" w:color="auto"/>
        <w:left w:val="none" w:sz="0" w:space="0" w:color="auto"/>
        <w:bottom w:val="none" w:sz="0" w:space="0" w:color="auto"/>
        <w:right w:val="none" w:sz="0" w:space="0" w:color="auto"/>
      </w:divBdr>
    </w:div>
    <w:div w:id="877662845">
      <w:bodyDiv w:val="1"/>
      <w:marLeft w:val="0"/>
      <w:marRight w:val="0"/>
      <w:marTop w:val="0"/>
      <w:marBottom w:val="0"/>
      <w:divBdr>
        <w:top w:val="none" w:sz="0" w:space="0" w:color="auto"/>
        <w:left w:val="none" w:sz="0" w:space="0" w:color="auto"/>
        <w:bottom w:val="none" w:sz="0" w:space="0" w:color="auto"/>
        <w:right w:val="none" w:sz="0" w:space="0" w:color="auto"/>
      </w:divBdr>
    </w:div>
    <w:div w:id="882643267">
      <w:bodyDiv w:val="1"/>
      <w:marLeft w:val="0"/>
      <w:marRight w:val="0"/>
      <w:marTop w:val="0"/>
      <w:marBottom w:val="0"/>
      <w:divBdr>
        <w:top w:val="none" w:sz="0" w:space="0" w:color="auto"/>
        <w:left w:val="none" w:sz="0" w:space="0" w:color="auto"/>
        <w:bottom w:val="none" w:sz="0" w:space="0" w:color="auto"/>
        <w:right w:val="none" w:sz="0" w:space="0" w:color="auto"/>
      </w:divBdr>
    </w:div>
    <w:div w:id="925266637">
      <w:bodyDiv w:val="1"/>
      <w:marLeft w:val="0"/>
      <w:marRight w:val="0"/>
      <w:marTop w:val="0"/>
      <w:marBottom w:val="0"/>
      <w:divBdr>
        <w:top w:val="none" w:sz="0" w:space="0" w:color="auto"/>
        <w:left w:val="none" w:sz="0" w:space="0" w:color="auto"/>
        <w:bottom w:val="none" w:sz="0" w:space="0" w:color="auto"/>
        <w:right w:val="none" w:sz="0" w:space="0" w:color="auto"/>
      </w:divBdr>
    </w:div>
    <w:div w:id="940457912">
      <w:bodyDiv w:val="1"/>
      <w:marLeft w:val="0"/>
      <w:marRight w:val="0"/>
      <w:marTop w:val="0"/>
      <w:marBottom w:val="0"/>
      <w:divBdr>
        <w:top w:val="none" w:sz="0" w:space="0" w:color="auto"/>
        <w:left w:val="none" w:sz="0" w:space="0" w:color="auto"/>
        <w:bottom w:val="none" w:sz="0" w:space="0" w:color="auto"/>
        <w:right w:val="none" w:sz="0" w:space="0" w:color="auto"/>
      </w:divBdr>
    </w:div>
    <w:div w:id="963728366">
      <w:bodyDiv w:val="1"/>
      <w:marLeft w:val="0"/>
      <w:marRight w:val="0"/>
      <w:marTop w:val="0"/>
      <w:marBottom w:val="0"/>
      <w:divBdr>
        <w:top w:val="none" w:sz="0" w:space="0" w:color="auto"/>
        <w:left w:val="none" w:sz="0" w:space="0" w:color="auto"/>
        <w:bottom w:val="none" w:sz="0" w:space="0" w:color="auto"/>
        <w:right w:val="none" w:sz="0" w:space="0" w:color="auto"/>
      </w:divBdr>
    </w:div>
    <w:div w:id="969090827">
      <w:bodyDiv w:val="1"/>
      <w:marLeft w:val="0"/>
      <w:marRight w:val="0"/>
      <w:marTop w:val="0"/>
      <w:marBottom w:val="0"/>
      <w:divBdr>
        <w:top w:val="none" w:sz="0" w:space="0" w:color="auto"/>
        <w:left w:val="none" w:sz="0" w:space="0" w:color="auto"/>
        <w:bottom w:val="none" w:sz="0" w:space="0" w:color="auto"/>
        <w:right w:val="none" w:sz="0" w:space="0" w:color="auto"/>
      </w:divBdr>
    </w:div>
    <w:div w:id="975141741">
      <w:bodyDiv w:val="1"/>
      <w:marLeft w:val="0"/>
      <w:marRight w:val="0"/>
      <w:marTop w:val="0"/>
      <w:marBottom w:val="0"/>
      <w:divBdr>
        <w:top w:val="none" w:sz="0" w:space="0" w:color="auto"/>
        <w:left w:val="none" w:sz="0" w:space="0" w:color="auto"/>
        <w:bottom w:val="none" w:sz="0" w:space="0" w:color="auto"/>
        <w:right w:val="none" w:sz="0" w:space="0" w:color="auto"/>
      </w:divBdr>
    </w:div>
    <w:div w:id="979965354">
      <w:bodyDiv w:val="1"/>
      <w:marLeft w:val="0"/>
      <w:marRight w:val="0"/>
      <w:marTop w:val="0"/>
      <w:marBottom w:val="0"/>
      <w:divBdr>
        <w:top w:val="none" w:sz="0" w:space="0" w:color="auto"/>
        <w:left w:val="none" w:sz="0" w:space="0" w:color="auto"/>
        <w:bottom w:val="none" w:sz="0" w:space="0" w:color="auto"/>
        <w:right w:val="none" w:sz="0" w:space="0" w:color="auto"/>
      </w:divBdr>
    </w:div>
    <w:div w:id="988099129">
      <w:bodyDiv w:val="1"/>
      <w:marLeft w:val="0"/>
      <w:marRight w:val="0"/>
      <w:marTop w:val="0"/>
      <w:marBottom w:val="0"/>
      <w:divBdr>
        <w:top w:val="none" w:sz="0" w:space="0" w:color="auto"/>
        <w:left w:val="none" w:sz="0" w:space="0" w:color="auto"/>
        <w:bottom w:val="none" w:sz="0" w:space="0" w:color="auto"/>
        <w:right w:val="none" w:sz="0" w:space="0" w:color="auto"/>
      </w:divBdr>
    </w:div>
    <w:div w:id="995690695">
      <w:bodyDiv w:val="1"/>
      <w:marLeft w:val="0"/>
      <w:marRight w:val="0"/>
      <w:marTop w:val="0"/>
      <w:marBottom w:val="0"/>
      <w:divBdr>
        <w:top w:val="none" w:sz="0" w:space="0" w:color="auto"/>
        <w:left w:val="none" w:sz="0" w:space="0" w:color="auto"/>
        <w:bottom w:val="none" w:sz="0" w:space="0" w:color="auto"/>
        <w:right w:val="none" w:sz="0" w:space="0" w:color="auto"/>
      </w:divBdr>
    </w:div>
    <w:div w:id="1002322232">
      <w:bodyDiv w:val="1"/>
      <w:marLeft w:val="0"/>
      <w:marRight w:val="0"/>
      <w:marTop w:val="0"/>
      <w:marBottom w:val="0"/>
      <w:divBdr>
        <w:top w:val="none" w:sz="0" w:space="0" w:color="auto"/>
        <w:left w:val="none" w:sz="0" w:space="0" w:color="auto"/>
        <w:bottom w:val="none" w:sz="0" w:space="0" w:color="auto"/>
        <w:right w:val="none" w:sz="0" w:space="0" w:color="auto"/>
      </w:divBdr>
    </w:div>
    <w:div w:id="1009987699">
      <w:bodyDiv w:val="1"/>
      <w:marLeft w:val="0"/>
      <w:marRight w:val="0"/>
      <w:marTop w:val="100"/>
      <w:marBottom w:val="100"/>
      <w:divBdr>
        <w:top w:val="none" w:sz="0" w:space="0" w:color="auto"/>
        <w:left w:val="none" w:sz="0" w:space="0" w:color="auto"/>
        <w:bottom w:val="none" w:sz="0" w:space="0" w:color="auto"/>
        <w:right w:val="none" w:sz="0" w:space="0" w:color="auto"/>
      </w:divBdr>
      <w:divsChild>
        <w:div w:id="551380854">
          <w:marLeft w:val="0"/>
          <w:marRight w:val="0"/>
          <w:marTop w:val="0"/>
          <w:marBottom w:val="0"/>
          <w:divBdr>
            <w:top w:val="none" w:sz="0" w:space="0" w:color="auto"/>
            <w:left w:val="none" w:sz="0" w:space="0" w:color="auto"/>
            <w:bottom w:val="none" w:sz="0" w:space="0" w:color="auto"/>
            <w:right w:val="none" w:sz="0" w:space="0" w:color="auto"/>
          </w:divBdr>
          <w:divsChild>
            <w:div w:id="786393523">
              <w:marLeft w:val="0"/>
              <w:marRight w:val="0"/>
              <w:marTop w:val="0"/>
              <w:marBottom w:val="0"/>
              <w:divBdr>
                <w:top w:val="none" w:sz="0" w:space="0" w:color="auto"/>
                <w:left w:val="none" w:sz="0" w:space="0" w:color="auto"/>
                <w:bottom w:val="none" w:sz="0" w:space="0" w:color="auto"/>
                <w:right w:val="none" w:sz="0" w:space="0" w:color="auto"/>
              </w:divBdr>
              <w:divsChild>
                <w:div w:id="168951809">
                  <w:marLeft w:val="0"/>
                  <w:marRight w:val="0"/>
                  <w:marTop w:val="0"/>
                  <w:marBottom w:val="0"/>
                  <w:divBdr>
                    <w:top w:val="none" w:sz="0" w:space="0" w:color="auto"/>
                    <w:left w:val="none" w:sz="0" w:space="0" w:color="auto"/>
                    <w:bottom w:val="none" w:sz="0" w:space="0" w:color="auto"/>
                    <w:right w:val="none" w:sz="0" w:space="0" w:color="auto"/>
                  </w:divBdr>
                  <w:divsChild>
                    <w:div w:id="11199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08182">
      <w:bodyDiv w:val="1"/>
      <w:marLeft w:val="0"/>
      <w:marRight w:val="0"/>
      <w:marTop w:val="0"/>
      <w:marBottom w:val="0"/>
      <w:divBdr>
        <w:top w:val="none" w:sz="0" w:space="0" w:color="auto"/>
        <w:left w:val="none" w:sz="0" w:space="0" w:color="auto"/>
        <w:bottom w:val="none" w:sz="0" w:space="0" w:color="auto"/>
        <w:right w:val="none" w:sz="0" w:space="0" w:color="auto"/>
      </w:divBdr>
    </w:div>
    <w:div w:id="1018000357">
      <w:bodyDiv w:val="1"/>
      <w:marLeft w:val="0"/>
      <w:marRight w:val="0"/>
      <w:marTop w:val="0"/>
      <w:marBottom w:val="0"/>
      <w:divBdr>
        <w:top w:val="none" w:sz="0" w:space="0" w:color="auto"/>
        <w:left w:val="none" w:sz="0" w:space="0" w:color="auto"/>
        <w:bottom w:val="none" w:sz="0" w:space="0" w:color="auto"/>
        <w:right w:val="none" w:sz="0" w:space="0" w:color="auto"/>
      </w:divBdr>
    </w:div>
    <w:div w:id="1045523493">
      <w:bodyDiv w:val="1"/>
      <w:marLeft w:val="0"/>
      <w:marRight w:val="0"/>
      <w:marTop w:val="0"/>
      <w:marBottom w:val="0"/>
      <w:divBdr>
        <w:top w:val="none" w:sz="0" w:space="0" w:color="auto"/>
        <w:left w:val="none" w:sz="0" w:space="0" w:color="auto"/>
        <w:bottom w:val="none" w:sz="0" w:space="0" w:color="auto"/>
        <w:right w:val="none" w:sz="0" w:space="0" w:color="auto"/>
      </w:divBdr>
    </w:div>
    <w:div w:id="1046564296">
      <w:bodyDiv w:val="1"/>
      <w:marLeft w:val="0"/>
      <w:marRight w:val="0"/>
      <w:marTop w:val="0"/>
      <w:marBottom w:val="0"/>
      <w:divBdr>
        <w:top w:val="none" w:sz="0" w:space="0" w:color="auto"/>
        <w:left w:val="none" w:sz="0" w:space="0" w:color="auto"/>
        <w:bottom w:val="none" w:sz="0" w:space="0" w:color="auto"/>
        <w:right w:val="none" w:sz="0" w:space="0" w:color="auto"/>
      </w:divBdr>
    </w:div>
    <w:div w:id="1047952770">
      <w:bodyDiv w:val="1"/>
      <w:marLeft w:val="0"/>
      <w:marRight w:val="0"/>
      <w:marTop w:val="0"/>
      <w:marBottom w:val="0"/>
      <w:divBdr>
        <w:top w:val="none" w:sz="0" w:space="0" w:color="auto"/>
        <w:left w:val="none" w:sz="0" w:space="0" w:color="auto"/>
        <w:bottom w:val="none" w:sz="0" w:space="0" w:color="auto"/>
        <w:right w:val="none" w:sz="0" w:space="0" w:color="auto"/>
      </w:divBdr>
    </w:div>
    <w:div w:id="1054812185">
      <w:bodyDiv w:val="1"/>
      <w:marLeft w:val="0"/>
      <w:marRight w:val="0"/>
      <w:marTop w:val="0"/>
      <w:marBottom w:val="0"/>
      <w:divBdr>
        <w:top w:val="none" w:sz="0" w:space="0" w:color="auto"/>
        <w:left w:val="none" w:sz="0" w:space="0" w:color="auto"/>
        <w:bottom w:val="none" w:sz="0" w:space="0" w:color="auto"/>
        <w:right w:val="none" w:sz="0" w:space="0" w:color="auto"/>
      </w:divBdr>
    </w:div>
    <w:div w:id="1071344819">
      <w:bodyDiv w:val="1"/>
      <w:marLeft w:val="0"/>
      <w:marRight w:val="0"/>
      <w:marTop w:val="0"/>
      <w:marBottom w:val="0"/>
      <w:divBdr>
        <w:top w:val="none" w:sz="0" w:space="0" w:color="auto"/>
        <w:left w:val="none" w:sz="0" w:space="0" w:color="auto"/>
        <w:bottom w:val="none" w:sz="0" w:space="0" w:color="auto"/>
        <w:right w:val="none" w:sz="0" w:space="0" w:color="auto"/>
      </w:divBdr>
    </w:div>
    <w:div w:id="1081484254">
      <w:bodyDiv w:val="1"/>
      <w:marLeft w:val="0"/>
      <w:marRight w:val="0"/>
      <w:marTop w:val="0"/>
      <w:marBottom w:val="0"/>
      <w:divBdr>
        <w:top w:val="none" w:sz="0" w:space="0" w:color="auto"/>
        <w:left w:val="none" w:sz="0" w:space="0" w:color="auto"/>
        <w:bottom w:val="none" w:sz="0" w:space="0" w:color="auto"/>
        <w:right w:val="none" w:sz="0" w:space="0" w:color="auto"/>
      </w:divBdr>
    </w:div>
    <w:div w:id="1099957574">
      <w:bodyDiv w:val="1"/>
      <w:marLeft w:val="0"/>
      <w:marRight w:val="0"/>
      <w:marTop w:val="0"/>
      <w:marBottom w:val="0"/>
      <w:divBdr>
        <w:top w:val="none" w:sz="0" w:space="0" w:color="auto"/>
        <w:left w:val="none" w:sz="0" w:space="0" w:color="auto"/>
        <w:bottom w:val="none" w:sz="0" w:space="0" w:color="auto"/>
        <w:right w:val="none" w:sz="0" w:space="0" w:color="auto"/>
      </w:divBdr>
    </w:div>
    <w:div w:id="1138761498">
      <w:bodyDiv w:val="1"/>
      <w:marLeft w:val="0"/>
      <w:marRight w:val="0"/>
      <w:marTop w:val="0"/>
      <w:marBottom w:val="0"/>
      <w:divBdr>
        <w:top w:val="none" w:sz="0" w:space="0" w:color="auto"/>
        <w:left w:val="none" w:sz="0" w:space="0" w:color="auto"/>
        <w:bottom w:val="none" w:sz="0" w:space="0" w:color="auto"/>
        <w:right w:val="none" w:sz="0" w:space="0" w:color="auto"/>
      </w:divBdr>
    </w:div>
    <w:div w:id="1163089290">
      <w:bodyDiv w:val="1"/>
      <w:marLeft w:val="0"/>
      <w:marRight w:val="0"/>
      <w:marTop w:val="0"/>
      <w:marBottom w:val="0"/>
      <w:divBdr>
        <w:top w:val="none" w:sz="0" w:space="0" w:color="auto"/>
        <w:left w:val="none" w:sz="0" w:space="0" w:color="auto"/>
        <w:bottom w:val="none" w:sz="0" w:space="0" w:color="auto"/>
        <w:right w:val="none" w:sz="0" w:space="0" w:color="auto"/>
      </w:divBdr>
    </w:div>
    <w:div w:id="1182940393">
      <w:bodyDiv w:val="1"/>
      <w:marLeft w:val="0"/>
      <w:marRight w:val="0"/>
      <w:marTop w:val="0"/>
      <w:marBottom w:val="0"/>
      <w:divBdr>
        <w:top w:val="none" w:sz="0" w:space="0" w:color="auto"/>
        <w:left w:val="none" w:sz="0" w:space="0" w:color="auto"/>
        <w:bottom w:val="none" w:sz="0" w:space="0" w:color="auto"/>
        <w:right w:val="none" w:sz="0" w:space="0" w:color="auto"/>
      </w:divBdr>
    </w:div>
    <w:div w:id="1185368507">
      <w:bodyDiv w:val="1"/>
      <w:marLeft w:val="0"/>
      <w:marRight w:val="0"/>
      <w:marTop w:val="0"/>
      <w:marBottom w:val="0"/>
      <w:divBdr>
        <w:top w:val="none" w:sz="0" w:space="0" w:color="auto"/>
        <w:left w:val="none" w:sz="0" w:space="0" w:color="auto"/>
        <w:bottom w:val="none" w:sz="0" w:space="0" w:color="auto"/>
        <w:right w:val="none" w:sz="0" w:space="0" w:color="auto"/>
      </w:divBdr>
    </w:div>
    <w:div w:id="1195076862">
      <w:bodyDiv w:val="1"/>
      <w:marLeft w:val="0"/>
      <w:marRight w:val="0"/>
      <w:marTop w:val="0"/>
      <w:marBottom w:val="0"/>
      <w:divBdr>
        <w:top w:val="none" w:sz="0" w:space="0" w:color="auto"/>
        <w:left w:val="none" w:sz="0" w:space="0" w:color="auto"/>
        <w:bottom w:val="none" w:sz="0" w:space="0" w:color="auto"/>
        <w:right w:val="none" w:sz="0" w:space="0" w:color="auto"/>
      </w:divBdr>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
    <w:div w:id="1280145981">
      <w:bodyDiv w:val="1"/>
      <w:marLeft w:val="0"/>
      <w:marRight w:val="0"/>
      <w:marTop w:val="0"/>
      <w:marBottom w:val="0"/>
      <w:divBdr>
        <w:top w:val="none" w:sz="0" w:space="0" w:color="auto"/>
        <w:left w:val="none" w:sz="0" w:space="0" w:color="auto"/>
        <w:bottom w:val="none" w:sz="0" w:space="0" w:color="auto"/>
        <w:right w:val="none" w:sz="0" w:space="0" w:color="auto"/>
      </w:divBdr>
    </w:div>
    <w:div w:id="1296252193">
      <w:bodyDiv w:val="1"/>
      <w:marLeft w:val="0"/>
      <w:marRight w:val="0"/>
      <w:marTop w:val="0"/>
      <w:marBottom w:val="0"/>
      <w:divBdr>
        <w:top w:val="none" w:sz="0" w:space="0" w:color="auto"/>
        <w:left w:val="none" w:sz="0" w:space="0" w:color="auto"/>
        <w:bottom w:val="none" w:sz="0" w:space="0" w:color="auto"/>
        <w:right w:val="none" w:sz="0" w:space="0" w:color="auto"/>
      </w:divBdr>
    </w:div>
    <w:div w:id="1302080537">
      <w:bodyDiv w:val="1"/>
      <w:marLeft w:val="0"/>
      <w:marRight w:val="0"/>
      <w:marTop w:val="0"/>
      <w:marBottom w:val="0"/>
      <w:divBdr>
        <w:top w:val="none" w:sz="0" w:space="0" w:color="auto"/>
        <w:left w:val="none" w:sz="0" w:space="0" w:color="auto"/>
        <w:bottom w:val="none" w:sz="0" w:space="0" w:color="auto"/>
        <w:right w:val="none" w:sz="0" w:space="0" w:color="auto"/>
      </w:divBdr>
    </w:div>
    <w:div w:id="1317151998">
      <w:bodyDiv w:val="1"/>
      <w:marLeft w:val="0"/>
      <w:marRight w:val="0"/>
      <w:marTop w:val="0"/>
      <w:marBottom w:val="0"/>
      <w:divBdr>
        <w:top w:val="none" w:sz="0" w:space="0" w:color="auto"/>
        <w:left w:val="none" w:sz="0" w:space="0" w:color="auto"/>
        <w:bottom w:val="none" w:sz="0" w:space="0" w:color="auto"/>
        <w:right w:val="none" w:sz="0" w:space="0" w:color="auto"/>
      </w:divBdr>
    </w:div>
    <w:div w:id="1323662619">
      <w:bodyDiv w:val="1"/>
      <w:marLeft w:val="0"/>
      <w:marRight w:val="0"/>
      <w:marTop w:val="0"/>
      <w:marBottom w:val="0"/>
      <w:divBdr>
        <w:top w:val="none" w:sz="0" w:space="0" w:color="auto"/>
        <w:left w:val="none" w:sz="0" w:space="0" w:color="auto"/>
        <w:bottom w:val="none" w:sz="0" w:space="0" w:color="auto"/>
        <w:right w:val="none" w:sz="0" w:space="0" w:color="auto"/>
      </w:divBdr>
    </w:div>
    <w:div w:id="1343052548">
      <w:bodyDiv w:val="1"/>
      <w:marLeft w:val="0"/>
      <w:marRight w:val="0"/>
      <w:marTop w:val="0"/>
      <w:marBottom w:val="0"/>
      <w:divBdr>
        <w:top w:val="none" w:sz="0" w:space="0" w:color="auto"/>
        <w:left w:val="none" w:sz="0" w:space="0" w:color="auto"/>
        <w:bottom w:val="none" w:sz="0" w:space="0" w:color="auto"/>
        <w:right w:val="none" w:sz="0" w:space="0" w:color="auto"/>
      </w:divBdr>
    </w:div>
    <w:div w:id="1352607086">
      <w:bodyDiv w:val="1"/>
      <w:marLeft w:val="0"/>
      <w:marRight w:val="0"/>
      <w:marTop w:val="0"/>
      <w:marBottom w:val="0"/>
      <w:divBdr>
        <w:top w:val="none" w:sz="0" w:space="0" w:color="auto"/>
        <w:left w:val="none" w:sz="0" w:space="0" w:color="auto"/>
        <w:bottom w:val="none" w:sz="0" w:space="0" w:color="auto"/>
        <w:right w:val="none" w:sz="0" w:space="0" w:color="auto"/>
      </w:divBdr>
    </w:div>
    <w:div w:id="1359235777">
      <w:bodyDiv w:val="1"/>
      <w:marLeft w:val="0"/>
      <w:marRight w:val="0"/>
      <w:marTop w:val="0"/>
      <w:marBottom w:val="0"/>
      <w:divBdr>
        <w:top w:val="none" w:sz="0" w:space="0" w:color="auto"/>
        <w:left w:val="none" w:sz="0" w:space="0" w:color="auto"/>
        <w:bottom w:val="none" w:sz="0" w:space="0" w:color="auto"/>
        <w:right w:val="none" w:sz="0" w:space="0" w:color="auto"/>
      </w:divBdr>
    </w:div>
    <w:div w:id="1364132106">
      <w:bodyDiv w:val="1"/>
      <w:marLeft w:val="0"/>
      <w:marRight w:val="0"/>
      <w:marTop w:val="0"/>
      <w:marBottom w:val="0"/>
      <w:divBdr>
        <w:top w:val="none" w:sz="0" w:space="0" w:color="auto"/>
        <w:left w:val="none" w:sz="0" w:space="0" w:color="auto"/>
        <w:bottom w:val="none" w:sz="0" w:space="0" w:color="auto"/>
        <w:right w:val="none" w:sz="0" w:space="0" w:color="auto"/>
      </w:divBdr>
    </w:div>
    <w:div w:id="1370912318">
      <w:bodyDiv w:val="1"/>
      <w:marLeft w:val="0"/>
      <w:marRight w:val="0"/>
      <w:marTop w:val="0"/>
      <w:marBottom w:val="0"/>
      <w:divBdr>
        <w:top w:val="none" w:sz="0" w:space="0" w:color="auto"/>
        <w:left w:val="none" w:sz="0" w:space="0" w:color="auto"/>
        <w:bottom w:val="none" w:sz="0" w:space="0" w:color="auto"/>
        <w:right w:val="none" w:sz="0" w:space="0" w:color="auto"/>
      </w:divBdr>
    </w:div>
    <w:div w:id="1386683753">
      <w:bodyDiv w:val="1"/>
      <w:marLeft w:val="0"/>
      <w:marRight w:val="0"/>
      <w:marTop w:val="0"/>
      <w:marBottom w:val="0"/>
      <w:divBdr>
        <w:top w:val="none" w:sz="0" w:space="0" w:color="auto"/>
        <w:left w:val="none" w:sz="0" w:space="0" w:color="auto"/>
        <w:bottom w:val="none" w:sz="0" w:space="0" w:color="auto"/>
        <w:right w:val="none" w:sz="0" w:space="0" w:color="auto"/>
      </w:divBdr>
    </w:div>
    <w:div w:id="1406104140">
      <w:bodyDiv w:val="1"/>
      <w:marLeft w:val="0"/>
      <w:marRight w:val="0"/>
      <w:marTop w:val="0"/>
      <w:marBottom w:val="0"/>
      <w:divBdr>
        <w:top w:val="none" w:sz="0" w:space="0" w:color="auto"/>
        <w:left w:val="none" w:sz="0" w:space="0" w:color="auto"/>
        <w:bottom w:val="none" w:sz="0" w:space="0" w:color="auto"/>
        <w:right w:val="none" w:sz="0" w:space="0" w:color="auto"/>
      </w:divBdr>
    </w:div>
    <w:div w:id="1469859141">
      <w:bodyDiv w:val="1"/>
      <w:marLeft w:val="0"/>
      <w:marRight w:val="0"/>
      <w:marTop w:val="0"/>
      <w:marBottom w:val="0"/>
      <w:divBdr>
        <w:top w:val="none" w:sz="0" w:space="0" w:color="auto"/>
        <w:left w:val="none" w:sz="0" w:space="0" w:color="auto"/>
        <w:bottom w:val="none" w:sz="0" w:space="0" w:color="auto"/>
        <w:right w:val="none" w:sz="0" w:space="0" w:color="auto"/>
      </w:divBdr>
    </w:div>
    <w:div w:id="1480998850">
      <w:bodyDiv w:val="1"/>
      <w:marLeft w:val="0"/>
      <w:marRight w:val="0"/>
      <w:marTop w:val="0"/>
      <w:marBottom w:val="0"/>
      <w:divBdr>
        <w:top w:val="none" w:sz="0" w:space="0" w:color="auto"/>
        <w:left w:val="none" w:sz="0" w:space="0" w:color="auto"/>
        <w:bottom w:val="none" w:sz="0" w:space="0" w:color="auto"/>
        <w:right w:val="none" w:sz="0" w:space="0" w:color="auto"/>
      </w:divBdr>
    </w:div>
    <w:div w:id="1492600984">
      <w:bodyDiv w:val="1"/>
      <w:marLeft w:val="0"/>
      <w:marRight w:val="0"/>
      <w:marTop w:val="0"/>
      <w:marBottom w:val="0"/>
      <w:divBdr>
        <w:top w:val="none" w:sz="0" w:space="0" w:color="auto"/>
        <w:left w:val="none" w:sz="0" w:space="0" w:color="auto"/>
        <w:bottom w:val="none" w:sz="0" w:space="0" w:color="auto"/>
        <w:right w:val="none" w:sz="0" w:space="0" w:color="auto"/>
      </w:divBdr>
    </w:div>
    <w:div w:id="1503203735">
      <w:bodyDiv w:val="1"/>
      <w:marLeft w:val="0"/>
      <w:marRight w:val="0"/>
      <w:marTop w:val="0"/>
      <w:marBottom w:val="0"/>
      <w:divBdr>
        <w:top w:val="none" w:sz="0" w:space="0" w:color="auto"/>
        <w:left w:val="none" w:sz="0" w:space="0" w:color="auto"/>
        <w:bottom w:val="none" w:sz="0" w:space="0" w:color="auto"/>
        <w:right w:val="none" w:sz="0" w:space="0" w:color="auto"/>
      </w:divBdr>
    </w:div>
    <w:div w:id="1530298111">
      <w:bodyDiv w:val="1"/>
      <w:marLeft w:val="0"/>
      <w:marRight w:val="0"/>
      <w:marTop w:val="0"/>
      <w:marBottom w:val="0"/>
      <w:divBdr>
        <w:top w:val="none" w:sz="0" w:space="0" w:color="auto"/>
        <w:left w:val="none" w:sz="0" w:space="0" w:color="auto"/>
        <w:bottom w:val="none" w:sz="0" w:space="0" w:color="auto"/>
        <w:right w:val="none" w:sz="0" w:space="0" w:color="auto"/>
      </w:divBdr>
    </w:div>
    <w:div w:id="1558203751">
      <w:bodyDiv w:val="1"/>
      <w:marLeft w:val="0"/>
      <w:marRight w:val="0"/>
      <w:marTop w:val="0"/>
      <w:marBottom w:val="0"/>
      <w:divBdr>
        <w:top w:val="none" w:sz="0" w:space="0" w:color="auto"/>
        <w:left w:val="none" w:sz="0" w:space="0" w:color="auto"/>
        <w:bottom w:val="none" w:sz="0" w:space="0" w:color="auto"/>
        <w:right w:val="none" w:sz="0" w:space="0" w:color="auto"/>
      </w:divBdr>
    </w:div>
    <w:div w:id="1568762510">
      <w:bodyDiv w:val="1"/>
      <w:marLeft w:val="0"/>
      <w:marRight w:val="0"/>
      <w:marTop w:val="0"/>
      <w:marBottom w:val="0"/>
      <w:divBdr>
        <w:top w:val="none" w:sz="0" w:space="0" w:color="auto"/>
        <w:left w:val="none" w:sz="0" w:space="0" w:color="auto"/>
        <w:bottom w:val="none" w:sz="0" w:space="0" w:color="auto"/>
        <w:right w:val="none" w:sz="0" w:space="0" w:color="auto"/>
      </w:divBdr>
    </w:div>
    <w:div w:id="1576428306">
      <w:bodyDiv w:val="1"/>
      <w:marLeft w:val="0"/>
      <w:marRight w:val="0"/>
      <w:marTop w:val="0"/>
      <w:marBottom w:val="0"/>
      <w:divBdr>
        <w:top w:val="none" w:sz="0" w:space="0" w:color="auto"/>
        <w:left w:val="none" w:sz="0" w:space="0" w:color="auto"/>
        <w:bottom w:val="none" w:sz="0" w:space="0" w:color="auto"/>
        <w:right w:val="none" w:sz="0" w:space="0" w:color="auto"/>
      </w:divBdr>
    </w:div>
    <w:div w:id="1577352366">
      <w:bodyDiv w:val="1"/>
      <w:marLeft w:val="0"/>
      <w:marRight w:val="0"/>
      <w:marTop w:val="0"/>
      <w:marBottom w:val="0"/>
      <w:divBdr>
        <w:top w:val="none" w:sz="0" w:space="0" w:color="auto"/>
        <w:left w:val="none" w:sz="0" w:space="0" w:color="auto"/>
        <w:bottom w:val="none" w:sz="0" w:space="0" w:color="auto"/>
        <w:right w:val="none" w:sz="0" w:space="0" w:color="auto"/>
      </w:divBdr>
    </w:div>
    <w:div w:id="1578056429">
      <w:bodyDiv w:val="1"/>
      <w:marLeft w:val="0"/>
      <w:marRight w:val="0"/>
      <w:marTop w:val="0"/>
      <w:marBottom w:val="0"/>
      <w:divBdr>
        <w:top w:val="none" w:sz="0" w:space="0" w:color="auto"/>
        <w:left w:val="none" w:sz="0" w:space="0" w:color="auto"/>
        <w:bottom w:val="none" w:sz="0" w:space="0" w:color="auto"/>
        <w:right w:val="none" w:sz="0" w:space="0" w:color="auto"/>
      </w:divBdr>
    </w:div>
    <w:div w:id="1580289287">
      <w:bodyDiv w:val="1"/>
      <w:marLeft w:val="0"/>
      <w:marRight w:val="0"/>
      <w:marTop w:val="0"/>
      <w:marBottom w:val="0"/>
      <w:divBdr>
        <w:top w:val="none" w:sz="0" w:space="0" w:color="auto"/>
        <w:left w:val="none" w:sz="0" w:space="0" w:color="auto"/>
        <w:bottom w:val="none" w:sz="0" w:space="0" w:color="auto"/>
        <w:right w:val="none" w:sz="0" w:space="0" w:color="auto"/>
      </w:divBdr>
      <w:divsChild>
        <w:div w:id="660278142">
          <w:marLeft w:val="0"/>
          <w:marRight w:val="0"/>
          <w:marTop w:val="0"/>
          <w:marBottom w:val="0"/>
          <w:divBdr>
            <w:top w:val="none" w:sz="0" w:space="0" w:color="auto"/>
            <w:left w:val="none" w:sz="0" w:space="0" w:color="auto"/>
            <w:bottom w:val="none" w:sz="0" w:space="0" w:color="auto"/>
            <w:right w:val="none" w:sz="0" w:space="0" w:color="auto"/>
          </w:divBdr>
          <w:divsChild>
            <w:div w:id="776102900">
              <w:marLeft w:val="0"/>
              <w:marRight w:val="0"/>
              <w:marTop w:val="0"/>
              <w:marBottom w:val="0"/>
              <w:divBdr>
                <w:top w:val="none" w:sz="0" w:space="0" w:color="auto"/>
                <w:left w:val="none" w:sz="0" w:space="0" w:color="auto"/>
                <w:bottom w:val="none" w:sz="0" w:space="0" w:color="auto"/>
                <w:right w:val="none" w:sz="0" w:space="0" w:color="auto"/>
              </w:divBdr>
              <w:divsChild>
                <w:div w:id="1789740895">
                  <w:marLeft w:val="0"/>
                  <w:marRight w:val="0"/>
                  <w:marTop w:val="0"/>
                  <w:marBottom w:val="0"/>
                  <w:divBdr>
                    <w:top w:val="none" w:sz="0" w:space="0" w:color="auto"/>
                    <w:left w:val="none" w:sz="0" w:space="0" w:color="auto"/>
                    <w:bottom w:val="none" w:sz="0" w:space="0" w:color="auto"/>
                    <w:right w:val="none" w:sz="0" w:space="0" w:color="auto"/>
                  </w:divBdr>
                  <w:divsChild>
                    <w:div w:id="17739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753554">
      <w:bodyDiv w:val="1"/>
      <w:marLeft w:val="0"/>
      <w:marRight w:val="0"/>
      <w:marTop w:val="0"/>
      <w:marBottom w:val="0"/>
      <w:divBdr>
        <w:top w:val="none" w:sz="0" w:space="0" w:color="auto"/>
        <w:left w:val="none" w:sz="0" w:space="0" w:color="auto"/>
        <w:bottom w:val="none" w:sz="0" w:space="0" w:color="auto"/>
        <w:right w:val="none" w:sz="0" w:space="0" w:color="auto"/>
      </w:divBdr>
    </w:div>
    <w:div w:id="1595741080">
      <w:bodyDiv w:val="1"/>
      <w:marLeft w:val="0"/>
      <w:marRight w:val="0"/>
      <w:marTop w:val="0"/>
      <w:marBottom w:val="0"/>
      <w:divBdr>
        <w:top w:val="none" w:sz="0" w:space="0" w:color="auto"/>
        <w:left w:val="none" w:sz="0" w:space="0" w:color="auto"/>
        <w:bottom w:val="none" w:sz="0" w:space="0" w:color="auto"/>
        <w:right w:val="none" w:sz="0" w:space="0" w:color="auto"/>
      </w:divBdr>
    </w:div>
    <w:div w:id="1605533148">
      <w:bodyDiv w:val="1"/>
      <w:marLeft w:val="0"/>
      <w:marRight w:val="0"/>
      <w:marTop w:val="0"/>
      <w:marBottom w:val="0"/>
      <w:divBdr>
        <w:top w:val="none" w:sz="0" w:space="0" w:color="auto"/>
        <w:left w:val="none" w:sz="0" w:space="0" w:color="auto"/>
        <w:bottom w:val="none" w:sz="0" w:space="0" w:color="auto"/>
        <w:right w:val="none" w:sz="0" w:space="0" w:color="auto"/>
      </w:divBdr>
    </w:div>
    <w:div w:id="1619796399">
      <w:bodyDiv w:val="1"/>
      <w:marLeft w:val="0"/>
      <w:marRight w:val="0"/>
      <w:marTop w:val="0"/>
      <w:marBottom w:val="0"/>
      <w:divBdr>
        <w:top w:val="none" w:sz="0" w:space="0" w:color="auto"/>
        <w:left w:val="none" w:sz="0" w:space="0" w:color="auto"/>
        <w:bottom w:val="none" w:sz="0" w:space="0" w:color="auto"/>
        <w:right w:val="none" w:sz="0" w:space="0" w:color="auto"/>
      </w:divBdr>
    </w:div>
    <w:div w:id="1627857619">
      <w:bodyDiv w:val="1"/>
      <w:marLeft w:val="0"/>
      <w:marRight w:val="0"/>
      <w:marTop w:val="0"/>
      <w:marBottom w:val="0"/>
      <w:divBdr>
        <w:top w:val="none" w:sz="0" w:space="0" w:color="auto"/>
        <w:left w:val="none" w:sz="0" w:space="0" w:color="auto"/>
        <w:bottom w:val="none" w:sz="0" w:space="0" w:color="auto"/>
        <w:right w:val="none" w:sz="0" w:space="0" w:color="auto"/>
      </w:divBdr>
    </w:div>
    <w:div w:id="1670718748">
      <w:bodyDiv w:val="1"/>
      <w:marLeft w:val="0"/>
      <w:marRight w:val="0"/>
      <w:marTop w:val="0"/>
      <w:marBottom w:val="0"/>
      <w:divBdr>
        <w:top w:val="none" w:sz="0" w:space="0" w:color="auto"/>
        <w:left w:val="none" w:sz="0" w:space="0" w:color="auto"/>
        <w:bottom w:val="none" w:sz="0" w:space="0" w:color="auto"/>
        <w:right w:val="none" w:sz="0" w:space="0" w:color="auto"/>
      </w:divBdr>
    </w:div>
    <w:div w:id="1675066595">
      <w:bodyDiv w:val="1"/>
      <w:marLeft w:val="0"/>
      <w:marRight w:val="0"/>
      <w:marTop w:val="0"/>
      <w:marBottom w:val="0"/>
      <w:divBdr>
        <w:top w:val="none" w:sz="0" w:space="0" w:color="auto"/>
        <w:left w:val="none" w:sz="0" w:space="0" w:color="auto"/>
        <w:bottom w:val="none" w:sz="0" w:space="0" w:color="auto"/>
        <w:right w:val="none" w:sz="0" w:space="0" w:color="auto"/>
      </w:divBdr>
    </w:div>
    <w:div w:id="1687635089">
      <w:bodyDiv w:val="1"/>
      <w:marLeft w:val="0"/>
      <w:marRight w:val="0"/>
      <w:marTop w:val="0"/>
      <w:marBottom w:val="0"/>
      <w:divBdr>
        <w:top w:val="none" w:sz="0" w:space="0" w:color="auto"/>
        <w:left w:val="none" w:sz="0" w:space="0" w:color="auto"/>
        <w:bottom w:val="none" w:sz="0" w:space="0" w:color="auto"/>
        <w:right w:val="none" w:sz="0" w:space="0" w:color="auto"/>
      </w:divBdr>
      <w:divsChild>
        <w:div w:id="918900774">
          <w:marLeft w:val="0"/>
          <w:marRight w:val="0"/>
          <w:marTop w:val="0"/>
          <w:marBottom w:val="0"/>
          <w:divBdr>
            <w:top w:val="none" w:sz="0" w:space="0" w:color="auto"/>
            <w:left w:val="none" w:sz="0" w:space="0" w:color="auto"/>
            <w:bottom w:val="none" w:sz="0" w:space="0" w:color="auto"/>
            <w:right w:val="none" w:sz="0" w:space="0" w:color="auto"/>
          </w:divBdr>
          <w:divsChild>
            <w:div w:id="1275015636">
              <w:marLeft w:val="0"/>
              <w:marRight w:val="0"/>
              <w:marTop w:val="0"/>
              <w:marBottom w:val="0"/>
              <w:divBdr>
                <w:top w:val="none" w:sz="0" w:space="0" w:color="auto"/>
                <w:left w:val="none" w:sz="0" w:space="0" w:color="auto"/>
                <w:bottom w:val="none" w:sz="0" w:space="0" w:color="auto"/>
                <w:right w:val="none" w:sz="0" w:space="0" w:color="auto"/>
              </w:divBdr>
              <w:divsChild>
                <w:div w:id="386029089">
                  <w:marLeft w:val="0"/>
                  <w:marRight w:val="0"/>
                  <w:marTop w:val="0"/>
                  <w:marBottom w:val="0"/>
                  <w:divBdr>
                    <w:top w:val="none" w:sz="0" w:space="0" w:color="auto"/>
                    <w:left w:val="none" w:sz="0" w:space="0" w:color="auto"/>
                    <w:bottom w:val="none" w:sz="0" w:space="0" w:color="auto"/>
                    <w:right w:val="none" w:sz="0" w:space="0" w:color="auto"/>
                  </w:divBdr>
                  <w:divsChild>
                    <w:div w:id="1132020234">
                      <w:marLeft w:val="0"/>
                      <w:marRight w:val="0"/>
                      <w:marTop w:val="0"/>
                      <w:marBottom w:val="0"/>
                      <w:divBdr>
                        <w:top w:val="none" w:sz="0" w:space="0" w:color="auto"/>
                        <w:left w:val="none" w:sz="0" w:space="0" w:color="auto"/>
                        <w:bottom w:val="none" w:sz="0" w:space="0" w:color="auto"/>
                        <w:right w:val="none" w:sz="0" w:space="0" w:color="auto"/>
                      </w:divBdr>
                      <w:divsChild>
                        <w:div w:id="577519866">
                          <w:marLeft w:val="0"/>
                          <w:marRight w:val="0"/>
                          <w:marTop w:val="0"/>
                          <w:marBottom w:val="0"/>
                          <w:divBdr>
                            <w:top w:val="none" w:sz="0" w:space="0" w:color="auto"/>
                            <w:left w:val="none" w:sz="0" w:space="0" w:color="auto"/>
                            <w:bottom w:val="none" w:sz="0" w:space="0" w:color="auto"/>
                            <w:right w:val="none" w:sz="0" w:space="0" w:color="auto"/>
                          </w:divBdr>
                          <w:divsChild>
                            <w:div w:id="8543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506617">
      <w:bodyDiv w:val="1"/>
      <w:marLeft w:val="0"/>
      <w:marRight w:val="0"/>
      <w:marTop w:val="0"/>
      <w:marBottom w:val="0"/>
      <w:divBdr>
        <w:top w:val="none" w:sz="0" w:space="0" w:color="auto"/>
        <w:left w:val="none" w:sz="0" w:space="0" w:color="auto"/>
        <w:bottom w:val="none" w:sz="0" w:space="0" w:color="auto"/>
        <w:right w:val="none" w:sz="0" w:space="0" w:color="auto"/>
      </w:divBdr>
    </w:div>
    <w:div w:id="1721051804">
      <w:bodyDiv w:val="1"/>
      <w:marLeft w:val="0"/>
      <w:marRight w:val="0"/>
      <w:marTop w:val="0"/>
      <w:marBottom w:val="0"/>
      <w:divBdr>
        <w:top w:val="none" w:sz="0" w:space="0" w:color="auto"/>
        <w:left w:val="none" w:sz="0" w:space="0" w:color="auto"/>
        <w:bottom w:val="none" w:sz="0" w:space="0" w:color="auto"/>
        <w:right w:val="none" w:sz="0" w:space="0" w:color="auto"/>
      </w:divBdr>
    </w:div>
    <w:div w:id="1721317025">
      <w:bodyDiv w:val="1"/>
      <w:marLeft w:val="0"/>
      <w:marRight w:val="0"/>
      <w:marTop w:val="0"/>
      <w:marBottom w:val="0"/>
      <w:divBdr>
        <w:top w:val="none" w:sz="0" w:space="0" w:color="auto"/>
        <w:left w:val="none" w:sz="0" w:space="0" w:color="auto"/>
        <w:bottom w:val="none" w:sz="0" w:space="0" w:color="auto"/>
        <w:right w:val="none" w:sz="0" w:space="0" w:color="auto"/>
      </w:divBdr>
    </w:div>
    <w:div w:id="1742171549">
      <w:bodyDiv w:val="1"/>
      <w:marLeft w:val="0"/>
      <w:marRight w:val="0"/>
      <w:marTop w:val="0"/>
      <w:marBottom w:val="0"/>
      <w:divBdr>
        <w:top w:val="none" w:sz="0" w:space="0" w:color="auto"/>
        <w:left w:val="none" w:sz="0" w:space="0" w:color="auto"/>
        <w:bottom w:val="none" w:sz="0" w:space="0" w:color="auto"/>
        <w:right w:val="none" w:sz="0" w:space="0" w:color="auto"/>
      </w:divBdr>
    </w:div>
    <w:div w:id="1743914150">
      <w:bodyDiv w:val="1"/>
      <w:marLeft w:val="0"/>
      <w:marRight w:val="0"/>
      <w:marTop w:val="0"/>
      <w:marBottom w:val="0"/>
      <w:divBdr>
        <w:top w:val="none" w:sz="0" w:space="0" w:color="auto"/>
        <w:left w:val="none" w:sz="0" w:space="0" w:color="auto"/>
        <w:bottom w:val="none" w:sz="0" w:space="0" w:color="auto"/>
        <w:right w:val="none" w:sz="0" w:space="0" w:color="auto"/>
      </w:divBdr>
    </w:div>
    <w:div w:id="1752508145">
      <w:bodyDiv w:val="1"/>
      <w:marLeft w:val="0"/>
      <w:marRight w:val="0"/>
      <w:marTop w:val="0"/>
      <w:marBottom w:val="0"/>
      <w:divBdr>
        <w:top w:val="none" w:sz="0" w:space="0" w:color="auto"/>
        <w:left w:val="none" w:sz="0" w:space="0" w:color="auto"/>
        <w:bottom w:val="none" w:sz="0" w:space="0" w:color="auto"/>
        <w:right w:val="none" w:sz="0" w:space="0" w:color="auto"/>
      </w:divBdr>
    </w:div>
    <w:div w:id="1786734649">
      <w:bodyDiv w:val="1"/>
      <w:marLeft w:val="0"/>
      <w:marRight w:val="0"/>
      <w:marTop w:val="0"/>
      <w:marBottom w:val="0"/>
      <w:divBdr>
        <w:top w:val="none" w:sz="0" w:space="0" w:color="auto"/>
        <w:left w:val="none" w:sz="0" w:space="0" w:color="auto"/>
        <w:bottom w:val="none" w:sz="0" w:space="0" w:color="auto"/>
        <w:right w:val="none" w:sz="0" w:space="0" w:color="auto"/>
      </w:divBdr>
    </w:div>
    <w:div w:id="1789201846">
      <w:bodyDiv w:val="1"/>
      <w:marLeft w:val="0"/>
      <w:marRight w:val="0"/>
      <w:marTop w:val="0"/>
      <w:marBottom w:val="0"/>
      <w:divBdr>
        <w:top w:val="none" w:sz="0" w:space="0" w:color="auto"/>
        <w:left w:val="none" w:sz="0" w:space="0" w:color="auto"/>
        <w:bottom w:val="none" w:sz="0" w:space="0" w:color="auto"/>
        <w:right w:val="none" w:sz="0" w:space="0" w:color="auto"/>
      </w:divBdr>
    </w:div>
    <w:div w:id="1815025895">
      <w:bodyDiv w:val="1"/>
      <w:marLeft w:val="0"/>
      <w:marRight w:val="0"/>
      <w:marTop w:val="0"/>
      <w:marBottom w:val="0"/>
      <w:divBdr>
        <w:top w:val="none" w:sz="0" w:space="0" w:color="auto"/>
        <w:left w:val="none" w:sz="0" w:space="0" w:color="auto"/>
        <w:bottom w:val="none" w:sz="0" w:space="0" w:color="auto"/>
        <w:right w:val="none" w:sz="0" w:space="0" w:color="auto"/>
      </w:divBdr>
    </w:div>
    <w:div w:id="1820001105">
      <w:bodyDiv w:val="1"/>
      <w:marLeft w:val="0"/>
      <w:marRight w:val="0"/>
      <w:marTop w:val="0"/>
      <w:marBottom w:val="0"/>
      <w:divBdr>
        <w:top w:val="none" w:sz="0" w:space="0" w:color="auto"/>
        <w:left w:val="none" w:sz="0" w:space="0" w:color="auto"/>
        <w:bottom w:val="none" w:sz="0" w:space="0" w:color="auto"/>
        <w:right w:val="none" w:sz="0" w:space="0" w:color="auto"/>
      </w:divBdr>
    </w:div>
    <w:div w:id="1823229638">
      <w:bodyDiv w:val="1"/>
      <w:marLeft w:val="0"/>
      <w:marRight w:val="0"/>
      <w:marTop w:val="0"/>
      <w:marBottom w:val="0"/>
      <w:divBdr>
        <w:top w:val="none" w:sz="0" w:space="0" w:color="auto"/>
        <w:left w:val="none" w:sz="0" w:space="0" w:color="auto"/>
        <w:bottom w:val="none" w:sz="0" w:space="0" w:color="auto"/>
        <w:right w:val="none" w:sz="0" w:space="0" w:color="auto"/>
      </w:divBdr>
    </w:div>
    <w:div w:id="1826622404">
      <w:bodyDiv w:val="1"/>
      <w:marLeft w:val="0"/>
      <w:marRight w:val="0"/>
      <w:marTop w:val="0"/>
      <w:marBottom w:val="0"/>
      <w:divBdr>
        <w:top w:val="none" w:sz="0" w:space="0" w:color="auto"/>
        <w:left w:val="none" w:sz="0" w:space="0" w:color="auto"/>
        <w:bottom w:val="none" w:sz="0" w:space="0" w:color="auto"/>
        <w:right w:val="none" w:sz="0" w:space="0" w:color="auto"/>
      </w:divBdr>
    </w:div>
    <w:div w:id="1844196449">
      <w:bodyDiv w:val="1"/>
      <w:marLeft w:val="0"/>
      <w:marRight w:val="0"/>
      <w:marTop w:val="0"/>
      <w:marBottom w:val="0"/>
      <w:divBdr>
        <w:top w:val="none" w:sz="0" w:space="0" w:color="auto"/>
        <w:left w:val="none" w:sz="0" w:space="0" w:color="auto"/>
        <w:bottom w:val="none" w:sz="0" w:space="0" w:color="auto"/>
        <w:right w:val="none" w:sz="0" w:space="0" w:color="auto"/>
      </w:divBdr>
    </w:div>
    <w:div w:id="1857227669">
      <w:bodyDiv w:val="1"/>
      <w:marLeft w:val="0"/>
      <w:marRight w:val="0"/>
      <w:marTop w:val="0"/>
      <w:marBottom w:val="0"/>
      <w:divBdr>
        <w:top w:val="none" w:sz="0" w:space="0" w:color="auto"/>
        <w:left w:val="none" w:sz="0" w:space="0" w:color="auto"/>
        <w:bottom w:val="none" w:sz="0" w:space="0" w:color="auto"/>
        <w:right w:val="none" w:sz="0" w:space="0" w:color="auto"/>
      </w:divBdr>
    </w:div>
    <w:div w:id="1880777831">
      <w:bodyDiv w:val="1"/>
      <w:marLeft w:val="0"/>
      <w:marRight w:val="0"/>
      <w:marTop w:val="100"/>
      <w:marBottom w:val="100"/>
      <w:divBdr>
        <w:top w:val="none" w:sz="0" w:space="0" w:color="auto"/>
        <w:left w:val="none" w:sz="0" w:space="0" w:color="auto"/>
        <w:bottom w:val="none" w:sz="0" w:space="0" w:color="auto"/>
        <w:right w:val="none" w:sz="0" w:space="0" w:color="auto"/>
      </w:divBdr>
      <w:divsChild>
        <w:div w:id="345063948">
          <w:marLeft w:val="0"/>
          <w:marRight w:val="0"/>
          <w:marTop w:val="0"/>
          <w:marBottom w:val="0"/>
          <w:divBdr>
            <w:top w:val="none" w:sz="0" w:space="0" w:color="auto"/>
            <w:left w:val="none" w:sz="0" w:space="0" w:color="auto"/>
            <w:bottom w:val="none" w:sz="0" w:space="0" w:color="auto"/>
            <w:right w:val="none" w:sz="0" w:space="0" w:color="auto"/>
          </w:divBdr>
          <w:divsChild>
            <w:div w:id="2114520618">
              <w:marLeft w:val="0"/>
              <w:marRight w:val="0"/>
              <w:marTop w:val="0"/>
              <w:marBottom w:val="0"/>
              <w:divBdr>
                <w:top w:val="none" w:sz="0" w:space="0" w:color="auto"/>
                <w:left w:val="none" w:sz="0" w:space="0" w:color="auto"/>
                <w:bottom w:val="none" w:sz="0" w:space="0" w:color="auto"/>
                <w:right w:val="none" w:sz="0" w:space="0" w:color="auto"/>
              </w:divBdr>
              <w:divsChild>
                <w:div w:id="2099206327">
                  <w:marLeft w:val="0"/>
                  <w:marRight w:val="0"/>
                  <w:marTop w:val="0"/>
                  <w:marBottom w:val="0"/>
                  <w:divBdr>
                    <w:top w:val="none" w:sz="0" w:space="0" w:color="auto"/>
                    <w:left w:val="none" w:sz="0" w:space="0" w:color="auto"/>
                    <w:bottom w:val="none" w:sz="0" w:space="0" w:color="auto"/>
                    <w:right w:val="none" w:sz="0" w:space="0" w:color="auto"/>
                  </w:divBdr>
                  <w:divsChild>
                    <w:div w:id="103693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672786">
      <w:bodyDiv w:val="1"/>
      <w:marLeft w:val="0"/>
      <w:marRight w:val="0"/>
      <w:marTop w:val="0"/>
      <w:marBottom w:val="0"/>
      <w:divBdr>
        <w:top w:val="none" w:sz="0" w:space="0" w:color="auto"/>
        <w:left w:val="none" w:sz="0" w:space="0" w:color="auto"/>
        <w:bottom w:val="none" w:sz="0" w:space="0" w:color="auto"/>
        <w:right w:val="none" w:sz="0" w:space="0" w:color="auto"/>
      </w:divBdr>
    </w:div>
    <w:div w:id="1905067357">
      <w:bodyDiv w:val="1"/>
      <w:marLeft w:val="0"/>
      <w:marRight w:val="0"/>
      <w:marTop w:val="0"/>
      <w:marBottom w:val="0"/>
      <w:divBdr>
        <w:top w:val="none" w:sz="0" w:space="0" w:color="auto"/>
        <w:left w:val="none" w:sz="0" w:space="0" w:color="auto"/>
        <w:bottom w:val="none" w:sz="0" w:space="0" w:color="auto"/>
        <w:right w:val="none" w:sz="0" w:space="0" w:color="auto"/>
      </w:divBdr>
    </w:div>
    <w:div w:id="1917087419">
      <w:bodyDiv w:val="1"/>
      <w:marLeft w:val="0"/>
      <w:marRight w:val="0"/>
      <w:marTop w:val="0"/>
      <w:marBottom w:val="0"/>
      <w:divBdr>
        <w:top w:val="none" w:sz="0" w:space="0" w:color="auto"/>
        <w:left w:val="none" w:sz="0" w:space="0" w:color="auto"/>
        <w:bottom w:val="none" w:sz="0" w:space="0" w:color="auto"/>
        <w:right w:val="none" w:sz="0" w:space="0" w:color="auto"/>
      </w:divBdr>
    </w:div>
    <w:div w:id="1919749666">
      <w:bodyDiv w:val="1"/>
      <w:marLeft w:val="0"/>
      <w:marRight w:val="0"/>
      <w:marTop w:val="0"/>
      <w:marBottom w:val="0"/>
      <w:divBdr>
        <w:top w:val="none" w:sz="0" w:space="0" w:color="auto"/>
        <w:left w:val="none" w:sz="0" w:space="0" w:color="auto"/>
        <w:bottom w:val="none" w:sz="0" w:space="0" w:color="auto"/>
        <w:right w:val="none" w:sz="0" w:space="0" w:color="auto"/>
      </w:divBdr>
    </w:div>
    <w:div w:id="1939949185">
      <w:bodyDiv w:val="1"/>
      <w:marLeft w:val="0"/>
      <w:marRight w:val="0"/>
      <w:marTop w:val="0"/>
      <w:marBottom w:val="0"/>
      <w:divBdr>
        <w:top w:val="none" w:sz="0" w:space="0" w:color="auto"/>
        <w:left w:val="none" w:sz="0" w:space="0" w:color="auto"/>
        <w:bottom w:val="none" w:sz="0" w:space="0" w:color="auto"/>
        <w:right w:val="none" w:sz="0" w:space="0" w:color="auto"/>
      </w:divBdr>
    </w:div>
    <w:div w:id="1940916695">
      <w:bodyDiv w:val="1"/>
      <w:marLeft w:val="0"/>
      <w:marRight w:val="0"/>
      <w:marTop w:val="0"/>
      <w:marBottom w:val="0"/>
      <w:divBdr>
        <w:top w:val="none" w:sz="0" w:space="0" w:color="auto"/>
        <w:left w:val="none" w:sz="0" w:space="0" w:color="auto"/>
        <w:bottom w:val="none" w:sz="0" w:space="0" w:color="auto"/>
        <w:right w:val="none" w:sz="0" w:space="0" w:color="auto"/>
      </w:divBdr>
    </w:div>
    <w:div w:id="1948193856">
      <w:bodyDiv w:val="1"/>
      <w:marLeft w:val="0"/>
      <w:marRight w:val="0"/>
      <w:marTop w:val="0"/>
      <w:marBottom w:val="0"/>
      <w:divBdr>
        <w:top w:val="none" w:sz="0" w:space="0" w:color="auto"/>
        <w:left w:val="none" w:sz="0" w:space="0" w:color="auto"/>
        <w:bottom w:val="none" w:sz="0" w:space="0" w:color="auto"/>
        <w:right w:val="none" w:sz="0" w:space="0" w:color="auto"/>
      </w:divBdr>
    </w:div>
    <w:div w:id="1952085418">
      <w:bodyDiv w:val="1"/>
      <w:marLeft w:val="0"/>
      <w:marRight w:val="0"/>
      <w:marTop w:val="0"/>
      <w:marBottom w:val="0"/>
      <w:divBdr>
        <w:top w:val="none" w:sz="0" w:space="0" w:color="auto"/>
        <w:left w:val="none" w:sz="0" w:space="0" w:color="auto"/>
        <w:bottom w:val="none" w:sz="0" w:space="0" w:color="auto"/>
        <w:right w:val="none" w:sz="0" w:space="0" w:color="auto"/>
      </w:divBdr>
    </w:div>
    <w:div w:id="1995991297">
      <w:bodyDiv w:val="1"/>
      <w:marLeft w:val="0"/>
      <w:marRight w:val="0"/>
      <w:marTop w:val="0"/>
      <w:marBottom w:val="0"/>
      <w:divBdr>
        <w:top w:val="none" w:sz="0" w:space="0" w:color="auto"/>
        <w:left w:val="none" w:sz="0" w:space="0" w:color="auto"/>
        <w:bottom w:val="none" w:sz="0" w:space="0" w:color="auto"/>
        <w:right w:val="none" w:sz="0" w:space="0" w:color="auto"/>
      </w:divBdr>
    </w:div>
    <w:div w:id="2006542245">
      <w:bodyDiv w:val="1"/>
      <w:marLeft w:val="0"/>
      <w:marRight w:val="0"/>
      <w:marTop w:val="0"/>
      <w:marBottom w:val="0"/>
      <w:divBdr>
        <w:top w:val="none" w:sz="0" w:space="0" w:color="auto"/>
        <w:left w:val="none" w:sz="0" w:space="0" w:color="auto"/>
        <w:bottom w:val="none" w:sz="0" w:space="0" w:color="auto"/>
        <w:right w:val="none" w:sz="0" w:space="0" w:color="auto"/>
      </w:divBdr>
    </w:div>
    <w:div w:id="2031639278">
      <w:bodyDiv w:val="1"/>
      <w:marLeft w:val="0"/>
      <w:marRight w:val="0"/>
      <w:marTop w:val="0"/>
      <w:marBottom w:val="0"/>
      <w:divBdr>
        <w:top w:val="none" w:sz="0" w:space="0" w:color="auto"/>
        <w:left w:val="none" w:sz="0" w:space="0" w:color="auto"/>
        <w:bottom w:val="none" w:sz="0" w:space="0" w:color="auto"/>
        <w:right w:val="none" w:sz="0" w:space="0" w:color="auto"/>
      </w:divBdr>
    </w:div>
    <w:div w:id="2033336413">
      <w:bodyDiv w:val="1"/>
      <w:marLeft w:val="0"/>
      <w:marRight w:val="0"/>
      <w:marTop w:val="0"/>
      <w:marBottom w:val="0"/>
      <w:divBdr>
        <w:top w:val="none" w:sz="0" w:space="0" w:color="auto"/>
        <w:left w:val="none" w:sz="0" w:space="0" w:color="auto"/>
        <w:bottom w:val="none" w:sz="0" w:space="0" w:color="auto"/>
        <w:right w:val="none" w:sz="0" w:space="0" w:color="auto"/>
      </w:divBdr>
    </w:div>
    <w:div w:id="2073773593">
      <w:bodyDiv w:val="1"/>
      <w:marLeft w:val="0"/>
      <w:marRight w:val="0"/>
      <w:marTop w:val="0"/>
      <w:marBottom w:val="0"/>
      <w:divBdr>
        <w:top w:val="none" w:sz="0" w:space="0" w:color="auto"/>
        <w:left w:val="none" w:sz="0" w:space="0" w:color="auto"/>
        <w:bottom w:val="none" w:sz="0" w:space="0" w:color="auto"/>
        <w:right w:val="none" w:sz="0" w:space="0" w:color="auto"/>
      </w:divBdr>
    </w:div>
    <w:div w:id="2087608102">
      <w:bodyDiv w:val="1"/>
      <w:marLeft w:val="0"/>
      <w:marRight w:val="0"/>
      <w:marTop w:val="0"/>
      <w:marBottom w:val="0"/>
      <w:divBdr>
        <w:top w:val="none" w:sz="0" w:space="0" w:color="auto"/>
        <w:left w:val="none" w:sz="0" w:space="0" w:color="auto"/>
        <w:bottom w:val="none" w:sz="0" w:space="0" w:color="auto"/>
        <w:right w:val="none" w:sz="0" w:space="0" w:color="auto"/>
      </w:divBdr>
      <w:divsChild>
        <w:div w:id="1456021593">
          <w:marLeft w:val="0"/>
          <w:marRight w:val="0"/>
          <w:marTop w:val="0"/>
          <w:marBottom w:val="0"/>
          <w:divBdr>
            <w:top w:val="none" w:sz="0" w:space="0" w:color="auto"/>
            <w:left w:val="none" w:sz="0" w:space="0" w:color="auto"/>
            <w:bottom w:val="none" w:sz="0" w:space="0" w:color="auto"/>
            <w:right w:val="none" w:sz="0" w:space="0" w:color="auto"/>
          </w:divBdr>
          <w:divsChild>
            <w:div w:id="151677294">
              <w:marLeft w:val="0"/>
              <w:marRight w:val="0"/>
              <w:marTop w:val="0"/>
              <w:marBottom w:val="0"/>
              <w:divBdr>
                <w:top w:val="none" w:sz="0" w:space="0" w:color="auto"/>
                <w:left w:val="none" w:sz="0" w:space="0" w:color="auto"/>
                <w:bottom w:val="none" w:sz="0" w:space="0" w:color="auto"/>
                <w:right w:val="none" w:sz="0" w:space="0" w:color="auto"/>
              </w:divBdr>
              <w:divsChild>
                <w:div w:id="1038042837">
                  <w:marLeft w:val="0"/>
                  <w:marRight w:val="0"/>
                  <w:marTop w:val="0"/>
                  <w:marBottom w:val="0"/>
                  <w:divBdr>
                    <w:top w:val="none" w:sz="0" w:space="0" w:color="auto"/>
                    <w:left w:val="none" w:sz="0" w:space="0" w:color="auto"/>
                    <w:bottom w:val="none" w:sz="0" w:space="0" w:color="auto"/>
                    <w:right w:val="none" w:sz="0" w:space="0" w:color="auto"/>
                  </w:divBdr>
                  <w:divsChild>
                    <w:div w:id="1616592922">
                      <w:marLeft w:val="0"/>
                      <w:marRight w:val="0"/>
                      <w:marTop w:val="0"/>
                      <w:marBottom w:val="0"/>
                      <w:divBdr>
                        <w:top w:val="none" w:sz="0" w:space="0" w:color="auto"/>
                        <w:left w:val="none" w:sz="0" w:space="0" w:color="auto"/>
                        <w:bottom w:val="none" w:sz="0" w:space="0" w:color="auto"/>
                        <w:right w:val="none" w:sz="0" w:space="0" w:color="auto"/>
                      </w:divBdr>
                      <w:divsChild>
                        <w:div w:id="515002092">
                          <w:marLeft w:val="0"/>
                          <w:marRight w:val="0"/>
                          <w:marTop w:val="0"/>
                          <w:marBottom w:val="0"/>
                          <w:divBdr>
                            <w:top w:val="none" w:sz="0" w:space="0" w:color="auto"/>
                            <w:left w:val="none" w:sz="0" w:space="0" w:color="auto"/>
                            <w:bottom w:val="none" w:sz="0" w:space="0" w:color="auto"/>
                            <w:right w:val="none" w:sz="0" w:space="0" w:color="auto"/>
                          </w:divBdr>
                          <w:divsChild>
                            <w:div w:id="16942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02612">
      <w:bodyDiv w:val="1"/>
      <w:marLeft w:val="0"/>
      <w:marRight w:val="0"/>
      <w:marTop w:val="0"/>
      <w:marBottom w:val="0"/>
      <w:divBdr>
        <w:top w:val="none" w:sz="0" w:space="0" w:color="auto"/>
        <w:left w:val="none" w:sz="0" w:space="0" w:color="auto"/>
        <w:bottom w:val="none" w:sz="0" w:space="0" w:color="auto"/>
        <w:right w:val="none" w:sz="0" w:space="0" w:color="auto"/>
      </w:divBdr>
    </w:div>
    <w:div w:id="2113239321">
      <w:bodyDiv w:val="1"/>
      <w:marLeft w:val="0"/>
      <w:marRight w:val="0"/>
      <w:marTop w:val="0"/>
      <w:marBottom w:val="0"/>
      <w:divBdr>
        <w:top w:val="none" w:sz="0" w:space="0" w:color="auto"/>
        <w:left w:val="none" w:sz="0" w:space="0" w:color="auto"/>
        <w:bottom w:val="none" w:sz="0" w:space="0" w:color="auto"/>
        <w:right w:val="none" w:sz="0" w:space="0" w:color="auto"/>
      </w:divBdr>
    </w:div>
    <w:div w:id="211651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header" Target="header2.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conpet.ro/relatia-cu-investitorii/info-actionari/"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infoinvestitori@conpet.ro" TargetMode="External"/><Relationship Id="rId36" Type="http://schemas.openxmlformats.org/officeDocument/2006/relationships/footer" Target="footer4.xml"/><Relationship Id="rId10" Type="http://schemas.openxmlformats.org/officeDocument/2006/relationships/hyperlink" Target="http://www.conpet.ro" TargetMode="External"/><Relationship Id="rId19" Type="http://schemas.openxmlformats.org/officeDocument/2006/relationships/image" Target="media/image10.png"/><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pet@conpet.r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header" Target="header3.xml"/><Relationship Id="rId43"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raport%20anual%202017\Pret%20mediu%202017%20vs%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902927210434575E-2"/>
          <c:y val="3.0488394059683184E-2"/>
          <c:w val="0.91969892179729151"/>
          <c:h val="0.83484489337849699"/>
        </c:manualLayout>
      </c:layout>
      <c:barChart>
        <c:barDir val="col"/>
        <c:grouping val="clustered"/>
        <c:varyColors val="0"/>
        <c:ser>
          <c:idx val="2"/>
          <c:order val="0"/>
          <c:tx>
            <c:strRef>
              <c:f>'4Ian- Decembrie 2016 (2)'!$H$1</c:f>
              <c:strCache>
                <c:ptCount val="1"/>
                <c:pt idx="0">
                  <c:v>CONPET volum tranzacționare</c:v>
                </c:pt>
              </c:strCache>
            </c:strRef>
          </c:tx>
          <c:spPr>
            <a:solidFill>
              <a:srgbClr val="002060"/>
            </a:solidFill>
            <a:ln w="9525">
              <a:noFill/>
            </a:ln>
            <a:effectLst>
              <a:glow>
                <a:schemeClr val="accent1">
                  <a:alpha val="69000"/>
                </a:schemeClr>
              </a:glow>
            </a:effectLst>
          </c:spPr>
          <c:invertIfNegative val="0"/>
          <c:cat>
            <c:strRef>
              <c:f>'COTE 1 an pentru trimestria (2'!$A$1085:$A$1205</c:f>
              <c:strCache>
                <c:ptCount val="105"/>
                <c:pt idx="1">
                  <c:v>Jan. 2018</c:v>
                </c:pt>
                <c:pt idx="22">
                  <c:v>Feb. 2018</c:v>
                </c:pt>
                <c:pt idx="41">
                  <c:v>Mar. 2018</c:v>
                </c:pt>
                <c:pt idx="64">
                  <c:v>Apr. 2018</c:v>
                </c:pt>
                <c:pt idx="84">
                  <c:v>May 2018</c:v>
                </c:pt>
                <c:pt idx="104">
                  <c:v>Jun. 2018</c:v>
                </c:pt>
              </c:strCache>
            </c:strRef>
          </c:cat>
          <c:val>
            <c:numRef>
              <c:f>'COTE 1 an pentru trimestria (2'!$G$1085:$G$1205</c:f>
              <c:numCache>
                <c:formatCode>General</c:formatCode>
                <c:ptCount val="121"/>
                <c:pt idx="0">
                  <c:v>372</c:v>
                </c:pt>
                <c:pt idx="1">
                  <c:v>705</c:v>
                </c:pt>
                <c:pt idx="2">
                  <c:v>3269</c:v>
                </c:pt>
                <c:pt idx="3">
                  <c:v>832</c:v>
                </c:pt>
                <c:pt idx="4">
                  <c:v>558</c:v>
                </c:pt>
                <c:pt idx="5">
                  <c:v>566</c:v>
                </c:pt>
                <c:pt idx="6">
                  <c:v>4694</c:v>
                </c:pt>
                <c:pt idx="7">
                  <c:v>1298</c:v>
                </c:pt>
                <c:pt idx="8">
                  <c:v>2965</c:v>
                </c:pt>
                <c:pt idx="9">
                  <c:v>650</c:v>
                </c:pt>
                <c:pt idx="10">
                  <c:v>625</c:v>
                </c:pt>
                <c:pt idx="11">
                  <c:v>1448</c:v>
                </c:pt>
                <c:pt idx="12">
                  <c:v>3751</c:v>
                </c:pt>
                <c:pt idx="13">
                  <c:v>801</c:v>
                </c:pt>
                <c:pt idx="14">
                  <c:v>3676</c:v>
                </c:pt>
                <c:pt idx="15">
                  <c:v>6799</c:v>
                </c:pt>
                <c:pt idx="16">
                  <c:v>5005</c:v>
                </c:pt>
                <c:pt idx="17">
                  <c:v>3059</c:v>
                </c:pt>
                <c:pt idx="18">
                  <c:v>3436</c:v>
                </c:pt>
                <c:pt idx="19">
                  <c:v>3214</c:v>
                </c:pt>
                <c:pt idx="20">
                  <c:v>2265</c:v>
                </c:pt>
                <c:pt idx="21">
                  <c:v>1634</c:v>
                </c:pt>
                <c:pt idx="22">
                  <c:v>4255</c:v>
                </c:pt>
                <c:pt idx="23">
                  <c:v>22993</c:v>
                </c:pt>
                <c:pt idx="24">
                  <c:v>6424</c:v>
                </c:pt>
                <c:pt idx="25">
                  <c:v>3273</c:v>
                </c:pt>
                <c:pt idx="26">
                  <c:v>3339</c:v>
                </c:pt>
                <c:pt idx="27">
                  <c:v>1358</c:v>
                </c:pt>
                <c:pt idx="28">
                  <c:v>1127</c:v>
                </c:pt>
                <c:pt idx="29">
                  <c:v>1549</c:v>
                </c:pt>
                <c:pt idx="30">
                  <c:v>1457</c:v>
                </c:pt>
                <c:pt idx="31">
                  <c:v>3446</c:v>
                </c:pt>
                <c:pt idx="32">
                  <c:v>1793</c:v>
                </c:pt>
                <c:pt idx="33">
                  <c:v>3403</c:v>
                </c:pt>
                <c:pt idx="34">
                  <c:v>1667</c:v>
                </c:pt>
                <c:pt idx="35">
                  <c:v>10192</c:v>
                </c:pt>
                <c:pt idx="36">
                  <c:v>723</c:v>
                </c:pt>
                <c:pt idx="37">
                  <c:v>2793</c:v>
                </c:pt>
                <c:pt idx="38">
                  <c:v>1345</c:v>
                </c:pt>
                <c:pt idx="39">
                  <c:v>20771</c:v>
                </c:pt>
                <c:pt idx="40">
                  <c:v>628</c:v>
                </c:pt>
                <c:pt idx="41">
                  <c:v>790</c:v>
                </c:pt>
                <c:pt idx="42">
                  <c:v>185</c:v>
                </c:pt>
                <c:pt idx="43">
                  <c:v>2620</c:v>
                </c:pt>
                <c:pt idx="44">
                  <c:v>501</c:v>
                </c:pt>
                <c:pt idx="45" formatCode="#,##0">
                  <c:v>190</c:v>
                </c:pt>
                <c:pt idx="46" formatCode="#,##0">
                  <c:v>82</c:v>
                </c:pt>
                <c:pt idx="47" formatCode="#,##0">
                  <c:v>470</c:v>
                </c:pt>
                <c:pt idx="48">
                  <c:v>2819</c:v>
                </c:pt>
                <c:pt idx="49">
                  <c:v>1146</c:v>
                </c:pt>
                <c:pt idx="50">
                  <c:v>343</c:v>
                </c:pt>
                <c:pt idx="51">
                  <c:v>3452</c:v>
                </c:pt>
                <c:pt idx="52">
                  <c:v>3715</c:v>
                </c:pt>
                <c:pt idx="53">
                  <c:v>4105</c:v>
                </c:pt>
                <c:pt idx="54">
                  <c:v>2857</c:v>
                </c:pt>
                <c:pt idx="55">
                  <c:v>3638</c:v>
                </c:pt>
                <c:pt idx="56">
                  <c:v>5249</c:v>
                </c:pt>
                <c:pt idx="57">
                  <c:v>1707</c:v>
                </c:pt>
                <c:pt idx="58">
                  <c:v>1096</c:v>
                </c:pt>
                <c:pt idx="59">
                  <c:v>3088</c:v>
                </c:pt>
                <c:pt idx="60">
                  <c:v>134</c:v>
                </c:pt>
                <c:pt idx="61">
                  <c:v>343</c:v>
                </c:pt>
                <c:pt idx="62">
                  <c:v>153</c:v>
                </c:pt>
                <c:pt idx="63">
                  <c:v>910</c:v>
                </c:pt>
                <c:pt idx="64">
                  <c:v>789</c:v>
                </c:pt>
                <c:pt idx="65">
                  <c:v>231</c:v>
                </c:pt>
                <c:pt idx="66">
                  <c:v>194</c:v>
                </c:pt>
                <c:pt idx="67">
                  <c:v>777</c:v>
                </c:pt>
                <c:pt idx="68">
                  <c:v>189</c:v>
                </c:pt>
                <c:pt idx="69">
                  <c:v>325</c:v>
                </c:pt>
                <c:pt idx="70">
                  <c:v>5041</c:v>
                </c:pt>
                <c:pt idx="71">
                  <c:v>525366</c:v>
                </c:pt>
                <c:pt idx="72">
                  <c:v>1483</c:v>
                </c:pt>
                <c:pt idx="73">
                  <c:v>468</c:v>
                </c:pt>
                <c:pt idx="74">
                  <c:v>295</c:v>
                </c:pt>
                <c:pt idx="75">
                  <c:v>1168</c:v>
                </c:pt>
                <c:pt idx="76">
                  <c:v>287</c:v>
                </c:pt>
                <c:pt idx="77">
                  <c:v>806</c:v>
                </c:pt>
                <c:pt idx="78">
                  <c:v>569</c:v>
                </c:pt>
                <c:pt idx="79">
                  <c:v>2082</c:v>
                </c:pt>
                <c:pt idx="80">
                  <c:v>271</c:v>
                </c:pt>
                <c:pt idx="81">
                  <c:v>236</c:v>
                </c:pt>
                <c:pt idx="82">
                  <c:v>799</c:v>
                </c:pt>
                <c:pt idx="83">
                  <c:v>1308</c:v>
                </c:pt>
                <c:pt idx="84">
                  <c:v>1033</c:v>
                </c:pt>
                <c:pt idx="85">
                  <c:v>83</c:v>
                </c:pt>
                <c:pt idx="86">
                  <c:v>207</c:v>
                </c:pt>
                <c:pt idx="87">
                  <c:v>119</c:v>
                </c:pt>
                <c:pt idx="88">
                  <c:v>188</c:v>
                </c:pt>
                <c:pt idx="89">
                  <c:v>959</c:v>
                </c:pt>
                <c:pt idx="90">
                  <c:v>683</c:v>
                </c:pt>
                <c:pt idx="91">
                  <c:v>7616</c:v>
                </c:pt>
                <c:pt idx="92">
                  <c:v>307</c:v>
                </c:pt>
                <c:pt idx="93">
                  <c:v>3479</c:v>
                </c:pt>
                <c:pt idx="94">
                  <c:v>14062</c:v>
                </c:pt>
                <c:pt idx="95">
                  <c:v>2158</c:v>
                </c:pt>
                <c:pt idx="96">
                  <c:v>1285</c:v>
                </c:pt>
                <c:pt idx="97">
                  <c:v>417</c:v>
                </c:pt>
                <c:pt idx="98">
                  <c:v>897</c:v>
                </c:pt>
                <c:pt idx="99">
                  <c:v>1032</c:v>
                </c:pt>
                <c:pt idx="100">
                  <c:v>2372</c:v>
                </c:pt>
                <c:pt idx="101">
                  <c:v>4355</c:v>
                </c:pt>
                <c:pt idx="102">
                  <c:v>3253</c:v>
                </c:pt>
                <c:pt idx="103">
                  <c:v>11469</c:v>
                </c:pt>
                <c:pt idx="104">
                  <c:v>3806</c:v>
                </c:pt>
                <c:pt idx="105">
                  <c:v>2742</c:v>
                </c:pt>
                <c:pt idx="106">
                  <c:v>852</c:v>
                </c:pt>
                <c:pt idx="107">
                  <c:v>762</c:v>
                </c:pt>
                <c:pt idx="108">
                  <c:v>218</c:v>
                </c:pt>
                <c:pt idx="109">
                  <c:v>1364</c:v>
                </c:pt>
                <c:pt idx="110">
                  <c:v>921</c:v>
                </c:pt>
                <c:pt idx="111">
                  <c:v>1492</c:v>
                </c:pt>
                <c:pt idx="112">
                  <c:v>420</c:v>
                </c:pt>
                <c:pt idx="113">
                  <c:v>1392</c:v>
                </c:pt>
                <c:pt idx="114">
                  <c:v>569</c:v>
                </c:pt>
                <c:pt idx="115">
                  <c:v>699</c:v>
                </c:pt>
                <c:pt idx="116">
                  <c:v>863</c:v>
                </c:pt>
                <c:pt idx="117">
                  <c:v>115</c:v>
                </c:pt>
                <c:pt idx="118">
                  <c:v>108</c:v>
                </c:pt>
                <c:pt idx="119">
                  <c:v>2401</c:v>
                </c:pt>
                <c:pt idx="120">
                  <c:v>2849</c:v>
                </c:pt>
              </c:numCache>
            </c:numRef>
          </c:val>
          <c:extLst>
            <c:ext xmlns:c16="http://schemas.microsoft.com/office/drawing/2014/chart" uri="{C3380CC4-5D6E-409C-BE32-E72D297353CC}">
              <c16:uniqueId val="{00000000-73FC-4860-9B0E-9FA04375222E}"/>
            </c:ext>
          </c:extLst>
        </c:ser>
        <c:dLbls>
          <c:showLegendKey val="0"/>
          <c:showVal val="0"/>
          <c:showCatName val="0"/>
          <c:showSerName val="0"/>
          <c:showPercent val="0"/>
          <c:showBubbleSize val="0"/>
        </c:dLbls>
        <c:gapWidth val="150"/>
        <c:axId val="248584264"/>
        <c:axId val="248590144"/>
      </c:barChart>
      <c:lineChart>
        <c:grouping val="standard"/>
        <c:varyColors val="0"/>
        <c:ser>
          <c:idx val="1"/>
          <c:order val="1"/>
          <c:tx>
            <c:strRef>
              <c:f>'COTE 1 an pentru trimestria (2'!$F$1</c:f>
              <c:strCache>
                <c:ptCount val="1"/>
                <c:pt idx="0">
                  <c:v>CONPET </c:v>
                </c:pt>
              </c:strCache>
            </c:strRef>
          </c:tx>
          <c:spPr>
            <a:ln w="53975" cap="flat" cmpd="sng">
              <a:solidFill>
                <a:srgbClr val="46D220"/>
              </a:solidFill>
              <a:bevel/>
              <a:headEnd type="none" w="med" len="lg"/>
            </a:ln>
            <a:effectLst/>
          </c:spPr>
          <c:marker>
            <c:symbol val="none"/>
          </c:marker>
          <c:cat>
            <c:strRef>
              <c:f>'COTE 1 an pentru trimestria (2'!$A$1085:$A$1205</c:f>
              <c:strCache>
                <c:ptCount val="105"/>
                <c:pt idx="1">
                  <c:v>Jan. 2018</c:v>
                </c:pt>
                <c:pt idx="22">
                  <c:v>Feb. 2018</c:v>
                </c:pt>
                <c:pt idx="41">
                  <c:v>Mar. 2018</c:v>
                </c:pt>
                <c:pt idx="64">
                  <c:v>Apr. 2018</c:v>
                </c:pt>
                <c:pt idx="84">
                  <c:v>May 2018</c:v>
                </c:pt>
                <c:pt idx="104">
                  <c:v>Jun. 2018</c:v>
                </c:pt>
              </c:strCache>
            </c:strRef>
          </c:cat>
          <c:val>
            <c:numRef>
              <c:f>'COTE 1 an pentru trimestria (2'!$F$1085:$F$1205</c:f>
              <c:numCache>
                <c:formatCode>#,##0.00</c:formatCode>
                <c:ptCount val="121"/>
                <c:pt idx="0">
                  <c:v>99.5</c:v>
                </c:pt>
                <c:pt idx="1">
                  <c:v>100</c:v>
                </c:pt>
                <c:pt idx="2">
                  <c:v>102.4</c:v>
                </c:pt>
                <c:pt idx="3">
                  <c:v>102</c:v>
                </c:pt>
                <c:pt idx="4">
                  <c:v>102.6</c:v>
                </c:pt>
                <c:pt idx="5">
                  <c:v>103.2</c:v>
                </c:pt>
                <c:pt idx="6">
                  <c:v>105.8</c:v>
                </c:pt>
                <c:pt idx="7">
                  <c:v>106.6</c:v>
                </c:pt>
                <c:pt idx="8">
                  <c:v>106.6</c:v>
                </c:pt>
                <c:pt idx="9">
                  <c:v>106.4</c:v>
                </c:pt>
                <c:pt idx="10">
                  <c:v>106.2</c:v>
                </c:pt>
                <c:pt idx="11">
                  <c:v>107.4</c:v>
                </c:pt>
                <c:pt idx="12">
                  <c:v>109.8</c:v>
                </c:pt>
                <c:pt idx="13">
                  <c:v>114.8</c:v>
                </c:pt>
                <c:pt idx="14">
                  <c:v>117.4</c:v>
                </c:pt>
                <c:pt idx="15">
                  <c:v>119.2</c:v>
                </c:pt>
                <c:pt idx="16">
                  <c:v>119.8</c:v>
                </c:pt>
                <c:pt idx="17">
                  <c:v>119</c:v>
                </c:pt>
                <c:pt idx="18">
                  <c:v>117.8</c:v>
                </c:pt>
                <c:pt idx="19">
                  <c:v>117</c:v>
                </c:pt>
                <c:pt idx="20">
                  <c:v>117.4</c:v>
                </c:pt>
                <c:pt idx="21">
                  <c:v>117.4</c:v>
                </c:pt>
                <c:pt idx="22">
                  <c:v>116.8</c:v>
                </c:pt>
                <c:pt idx="23">
                  <c:v>113</c:v>
                </c:pt>
                <c:pt idx="24">
                  <c:v>115.8</c:v>
                </c:pt>
                <c:pt idx="25">
                  <c:v>115.4</c:v>
                </c:pt>
                <c:pt idx="26">
                  <c:v>114.4</c:v>
                </c:pt>
                <c:pt idx="27">
                  <c:v>115</c:v>
                </c:pt>
                <c:pt idx="28">
                  <c:v>116</c:v>
                </c:pt>
                <c:pt idx="29">
                  <c:v>116.4</c:v>
                </c:pt>
                <c:pt idx="30">
                  <c:v>114.8</c:v>
                </c:pt>
                <c:pt idx="31">
                  <c:v>112.8</c:v>
                </c:pt>
                <c:pt idx="32">
                  <c:v>112.6</c:v>
                </c:pt>
                <c:pt idx="33">
                  <c:v>110.2</c:v>
                </c:pt>
                <c:pt idx="34">
                  <c:v>109</c:v>
                </c:pt>
                <c:pt idx="35">
                  <c:v>111.6</c:v>
                </c:pt>
                <c:pt idx="36">
                  <c:v>111.6</c:v>
                </c:pt>
                <c:pt idx="37">
                  <c:v>113</c:v>
                </c:pt>
                <c:pt idx="38">
                  <c:v>113.4</c:v>
                </c:pt>
                <c:pt idx="39">
                  <c:v>112</c:v>
                </c:pt>
                <c:pt idx="40">
                  <c:v>111.4</c:v>
                </c:pt>
                <c:pt idx="41">
                  <c:v>111</c:v>
                </c:pt>
                <c:pt idx="42">
                  <c:v>112.4</c:v>
                </c:pt>
                <c:pt idx="43">
                  <c:v>112</c:v>
                </c:pt>
                <c:pt idx="44">
                  <c:v>112.8</c:v>
                </c:pt>
                <c:pt idx="45">
                  <c:v>112.4</c:v>
                </c:pt>
                <c:pt idx="46">
                  <c:v>112</c:v>
                </c:pt>
                <c:pt idx="47">
                  <c:v>112.6</c:v>
                </c:pt>
                <c:pt idx="48">
                  <c:v>113.8</c:v>
                </c:pt>
                <c:pt idx="49">
                  <c:v>114.6</c:v>
                </c:pt>
                <c:pt idx="50">
                  <c:v>114.8</c:v>
                </c:pt>
                <c:pt idx="51">
                  <c:v>116.2</c:v>
                </c:pt>
                <c:pt idx="52">
                  <c:v>116</c:v>
                </c:pt>
                <c:pt idx="53">
                  <c:v>115.8</c:v>
                </c:pt>
                <c:pt idx="54">
                  <c:v>114</c:v>
                </c:pt>
                <c:pt idx="55">
                  <c:v>111.8</c:v>
                </c:pt>
                <c:pt idx="56">
                  <c:v>112</c:v>
                </c:pt>
                <c:pt idx="57">
                  <c:v>112.6</c:v>
                </c:pt>
                <c:pt idx="58">
                  <c:v>114.6</c:v>
                </c:pt>
                <c:pt idx="59">
                  <c:v>112</c:v>
                </c:pt>
                <c:pt idx="60">
                  <c:v>112</c:v>
                </c:pt>
                <c:pt idx="61">
                  <c:v>111.6</c:v>
                </c:pt>
                <c:pt idx="62">
                  <c:v>111.8</c:v>
                </c:pt>
                <c:pt idx="63">
                  <c:v>111</c:v>
                </c:pt>
                <c:pt idx="64">
                  <c:v>111</c:v>
                </c:pt>
                <c:pt idx="65">
                  <c:v>112.6</c:v>
                </c:pt>
                <c:pt idx="66">
                  <c:v>111</c:v>
                </c:pt>
                <c:pt idx="67">
                  <c:v>112</c:v>
                </c:pt>
                <c:pt idx="68">
                  <c:v>112</c:v>
                </c:pt>
                <c:pt idx="69">
                  <c:v>112.8</c:v>
                </c:pt>
                <c:pt idx="70">
                  <c:v>113</c:v>
                </c:pt>
                <c:pt idx="71">
                  <c:v>101</c:v>
                </c:pt>
                <c:pt idx="72">
                  <c:v>110.4</c:v>
                </c:pt>
                <c:pt idx="73">
                  <c:v>112.4</c:v>
                </c:pt>
                <c:pt idx="74">
                  <c:v>110.8</c:v>
                </c:pt>
                <c:pt idx="75">
                  <c:v>111.2</c:v>
                </c:pt>
                <c:pt idx="76">
                  <c:v>111.8</c:v>
                </c:pt>
                <c:pt idx="77">
                  <c:v>111</c:v>
                </c:pt>
                <c:pt idx="78">
                  <c:v>110.8</c:v>
                </c:pt>
                <c:pt idx="79">
                  <c:v>109.6</c:v>
                </c:pt>
                <c:pt idx="80">
                  <c:v>109.2</c:v>
                </c:pt>
                <c:pt idx="81">
                  <c:v>109.2</c:v>
                </c:pt>
                <c:pt idx="82">
                  <c:v>106</c:v>
                </c:pt>
                <c:pt idx="83">
                  <c:v>106</c:v>
                </c:pt>
                <c:pt idx="84">
                  <c:v>106</c:v>
                </c:pt>
                <c:pt idx="85">
                  <c:v>107.2</c:v>
                </c:pt>
                <c:pt idx="86">
                  <c:v>106</c:v>
                </c:pt>
                <c:pt idx="87">
                  <c:v>106.4</c:v>
                </c:pt>
                <c:pt idx="88">
                  <c:v>107.4</c:v>
                </c:pt>
                <c:pt idx="89">
                  <c:v>107</c:v>
                </c:pt>
                <c:pt idx="90">
                  <c:v>100.4</c:v>
                </c:pt>
                <c:pt idx="91">
                  <c:v>99.4</c:v>
                </c:pt>
                <c:pt idx="92">
                  <c:v>100.6</c:v>
                </c:pt>
                <c:pt idx="93">
                  <c:v>97</c:v>
                </c:pt>
                <c:pt idx="94">
                  <c:v>93.6</c:v>
                </c:pt>
                <c:pt idx="95">
                  <c:v>96</c:v>
                </c:pt>
                <c:pt idx="96">
                  <c:v>95</c:v>
                </c:pt>
                <c:pt idx="97">
                  <c:v>97.4</c:v>
                </c:pt>
                <c:pt idx="98">
                  <c:v>98.2</c:v>
                </c:pt>
                <c:pt idx="99">
                  <c:v>99.9</c:v>
                </c:pt>
                <c:pt idx="100">
                  <c:v>98.1</c:v>
                </c:pt>
                <c:pt idx="101">
                  <c:v>100</c:v>
                </c:pt>
                <c:pt idx="102">
                  <c:v>99</c:v>
                </c:pt>
                <c:pt idx="103">
                  <c:v>98</c:v>
                </c:pt>
                <c:pt idx="104">
                  <c:v>98</c:v>
                </c:pt>
                <c:pt idx="105">
                  <c:v>98.6</c:v>
                </c:pt>
                <c:pt idx="106">
                  <c:v>98.1</c:v>
                </c:pt>
                <c:pt idx="107">
                  <c:v>92.4</c:v>
                </c:pt>
                <c:pt idx="108">
                  <c:v>92.3</c:v>
                </c:pt>
                <c:pt idx="109">
                  <c:v>92</c:v>
                </c:pt>
                <c:pt idx="110">
                  <c:v>91.5</c:v>
                </c:pt>
                <c:pt idx="111">
                  <c:v>90.1</c:v>
                </c:pt>
                <c:pt idx="112">
                  <c:v>89.6</c:v>
                </c:pt>
                <c:pt idx="113">
                  <c:v>89</c:v>
                </c:pt>
                <c:pt idx="114">
                  <c:v>89</c:v>
                </c:pt>
                <c:pt idx="115">
                  <c:v>90</c:v>
                </c:pt>
                <c:pt idx="116">
                  <c:v>90.4</c:v>
                </c:pt>
                <c:pt idx="117">
                  <c:v>90</c:v>
                </c:pt>
                <c:pt idx="118">
                  <c:v>90</c:v>
                </c:pt>
                <c:pt idx="119">
                  <c:v>90</c:v>
                </c:pt>
                <c:pt idx="120">
                  <c:v>90</c:v>
                </c:pt>
              </c:numCache>
            </c:numRef>
          </c:val>
          <c:smooth val="1"/>
          <c:extLst>
            <c:ext xmlns:c16="http://schemas.microsoft.com/office/drawing/2014/chart" uri="{C3380CC4-5D6E-409C-BE32-E72D297353CC}">
              <c16:uniqueId val="{00000001-73FC-4860-9B0E-9FA04375222E}"/>
            </c:ext>
          </c:extLst>
        </c:ser>
        <c:ser>
          <c:idx val="0"/>
          <c:order val="2"/>
          <c:tx>
            <c:strRef>
              <c:f>'COTE 1 an pentru trimestria (2'!$E$1</c:f>
              <c:strCache>
                <c:ptCount val="1"/>
                <c:pt idx="0">
                  <c:v>Bet (rebazat)</c:v>
                </c:pt>
              </c:strCache>
              <c:extLst xmlns:c15="http://schemas.microsoft.com/office/drawing/2012/chart"/>
            </c:strRef>
          </c:tx>
          <c:spPr>
            <a:ln w="15875" cap="rnd">
              <a:solidFill>
                <a:schemeClr val="tx1">
                  <a:lumMod val="50000"/>
                  <a:lumOff val="50000"/>
                </a:schemeClr>
              </a:solidFill>
              <a:round/>
            </a:ln>
            <a:effectLst/>
          </c:spPr>
          <c:marker>
            <c:symbol val="none"/>
          </c:marker>
          <c:cat>
            <c:strRef>
              <c:f>'COTE 1 an pentru trimestria (2'!$A$1085:$A$1205</c:f>
              <c:strCache>
                <c:ptCount val="105"/>
                <c:pt idx="1">
                  <c:v>Jan. 2018</c:v>
                </c:pt>
                <c:pt idx="22">
                  <c:v>Feb. 2018</c:v>
                </c:pt>
                <c:pt idx="41">
                  <c:v>Mar. 2018</c:v>
                </c:pt>
                <c:pt idx="64">
                  <c:v>Apr. 2018</c:v>
                </c:pt>
                <c:pt idx="84">
                  <c:v>May 2018</c:v>
                </c:pt>
                <c:pt idx="104">
                  <c:v>Jun. 2018</c:v>
                </c:pt>
              </c:strCache>
            </c:strRef>
          </c:cat>
          <c:val>
            <c:numRef>
              <c:f>'COTE 1 an pentru trimestria (2'!$E$1085:$E$1205</c:f>
              <c:numCache>
                <c:formatCode>0.00</c:formatCode>
                <c:ptCount val="121"/>
                <c:pt idx="0">
                  <c:v>99.5</c:v>
                </c:pt>
                <c:pt idx="1">
                  <c:v>100.19039137585152</c:v>
                </c:pt>
                <c:pt idx="2">
                  <c:v>100.44345522139957</c:v>
                </c:pt>
                <c:pt idx="3">
                  <c:v>100.40484160281943</c:v>
                </c:pt>
                <c:pt idx="4">
                  <c:v>101.05900912801597</c:v>
                </c:pt>
                <c:pt idx="5">
                  <c:v>101.06014112334894</c:v>
                </c:pt>
                <c:pt idx="6">
                  <c:v>102.73373333451315</c:v>
                </c:pt>
                <c:pt idx="7">
                  <c:v>104.00584453425122</c:v>
                </c:pt>
                <c:pt idx="8">
                  <c:v>103.82724082616066</c:v>
                </c:pt>
                <c:pt idx="9">
                  <c:v>103.55405261913759</c:v>
                </c:pt>
                <c:pt idx="10">
                  <c:v>104.603789624577</c:v>
                </c:pt>
                <c:pt idx="11">
                  <c:v>105.33430394611929</c:v>
                </c:pt>
                <c:pt idx="12">
                  <c:v>105.1743152723931</c:v>
                </c:pt>
                <c:pt idx="13">
                  <c:v>106.7914334941681</c:v>
                </c:pt>
                <c:pt idx="14">
                  <c:v>106.11085274453563</c:v>
                </c:pt>
                <c:pt idx="15">
                  <c:v>105.82219393462867</c:v>
                </c:pt>
                <c:pt idx="16">
                  <c:v>106.08607462446956</c:v>
                </c:pt>
                <c:pt idx="17">
                  <c:v>105.95363117051224</c:v>
                </c:pt>
                <c:pt idx="18">
                  <c:v>105.19217564320216</c:v>
                </c:pt>
                <c:pt idx="19">
                  <c:v>105.28135171998821</c:v>
                </c:pt>
                <c:pt idx="20">
                  <c:v>104.62919663093919</c:v>
                </c:pt>
                <c:pt idx="21">
                  <c:v>103.68133920546694</c:v>
                </c:pt>
                <c:pt idx="22">
                  <c:v>102.90692862045732</c:v>
                </c:pt>
                <c:pt idx="23">
                  <c:v>100.71500832405277</c:v>
                </c:pt>
                <c:pt idx="24">
                  <c:v>100.80154307839526</c:v>
                </c:pt>
                <c:pt idx="25">
                  <c:v>101.47155853825336</c:v>
                </c:pt>
                <c:pt idx="26">
                  <c:v>100.6538805760725</c:v>
                </c:pt>
                <c:pt idx="27">
                  <c:v>101.99894258615741</c:v>
                </c:pt>
                <c:pt idx="28">
                  <c:v>102.3584139930045</c:v>
                </c:pt>
                <c:pt idx="29">
                  <c:v>102.72430004007174</c:v>
                </c:pt>
                <c:pt idx="30">
                  <c:v>103.87906105695876</c:v>
                </c:pt>
                <c:pt idx="31">
                  <c:v>104.75359034030649</c:v>
                </c:pt>
                <c:pt idx="32">
                  <c:v>104.58416837213889</c:v>
                </c:pt>
                <c:pt idx="33">
                  <c:v>104.48367234202314</c:v>
                </c:pt>
                <c:pt idx="34">
                  <c:v>104.15967012227573</c:v>
                </c:pt>
                <c:pt idx="35">
                  <c:v>104.27852963223739</c:v>
                </c:pt>
                <c:pt idx="36">
                  <c:v>105.10111290752779</c:v>
                </c:pt>
                <c:pt idx="37">
                  <c:v>105.38889127662021</c:v>
                </c:pt>
                <c:pt idx="38">
                  <c:v>105.84445650951039</c:v>
                </c:pt>
                <c:pt idx="39">
                  <c:v>106.31209635928558</c:v>
                </c:pt>
                <c:pt idx="40">
                  <c:v>105.79980558248776</c:v>
                </c:pt>
                <c:pt idx="41">
                  <c:v>105.05193399917327</c:v>
                </c:pt>
                <c:pt idx="42">
                  <c:v>105.45177990622958</c:v>
                </c:pt>
                <c:pt idx="43">
                  <c:v>106.06595026299456</c:v>
                </c:pt>
                <c:pt idx="44">
                  <c:v>106.19575239450828</c:v>
                </c:pt>
                <c:pt idx="45">
                  <c:v>106.55409180602238</c:v>
                </c:pt>
                <c:pt idx="46">
                  <c:v>106.62364663037035</c:v>
                </c:pt>
                <c:pt idx="47">
                  <c:v>107.65464282418614</c:v>
                </c:pt>
                <c:pt idx="48">
                  <c:v>108.27283805324612</c:v>
                </c:pt>
                <c:pt idx="49">
                  <c:v>108.18743529423662</c:v>
                </c:pt>
                <c:pt idx="50">
                  <c:v>109.27314459581257</c:v>
                </c:pt>
                <c:pt idx="51">
                  <c:v>110.89730634410381</c:v>
                </c:pt>
                <c:pt idx="52">
                  <c:v>110.37432450027239</c:v>
                </c:pt>
                <c:pt idx="53">
                  <c:v>109.8285769725224</c:v>
                </c:pt>
                <c:pt idx="54">
                  <c:v>110.56563171154407</c:v>
                </c:pt>
                <c:pt idx="55">
                  <c:v>108.71997620976866</c:v>
                </c:pt>
                <c:pt idx="56">
                  <c:v>108.93555843206953</c:v>
                </c:pt>
                <c:pt idx="57">
                  <c:v>109.71349078033728</c:v>
                </c:pt>
                <c:pt idx="58">
                  <c:v>109.93724852448737</c:v>
                </c:pt>
                <c:pt idx="59">
                  <c:v>109.76430479306164</c:v>
                </c:pt>
                <c:pt idx="60">
                  <c:v>109.17818276510245</c:v>
                </c:pt>
                <c:pt idx="61">
                  <c:v>109.60444189659466</c:v>
                </c:pt>
                <c:pt idx="62">
                  <c:v>110.29734881763056</c:v>
                </c:pt>
                <c:pt idx="63">
                  <c:v>110.2398686101676</c:v>
                </c:pt>
                <c:pt idx="64">
                  <c:v>110.13283216257248</c:v>
                </c:pt>
                <c:pt idx="65">
                  <c:v>111.45261294355446</c:v>
                </c:pt>
                <c:pt idx="66">
                  <c:v>111.20898239244779</c:v>
                </c:pt>
                <c:pt idx="67">
                  <c:v>111.04044086509472</c:v>
                </c:pt>
                <c:pt idx="68">
                  <c:v>112.2943143622461</c:v>
                </c:pt>
                <c:pt idx="69">
                  <c:v>111.57750976195865</c:v>
                </c:pt>
                <c:pt idx="70">
                  <c:v>111.98704051797478</c:v>
                </c:pt>
                <c:pt idx="71">
                  <c:v>112.27695710047391</c:v>
                </c:pt>
                <c:pt idx="72">
                  <c:v>112.36261141400183</c:v>
                </c:pt>
                <c:pt idx="73">
                  <c:v>112.60171398377662</c:v>
                </c:pt>
                <c:pt idx="74">
                  <c:v>112.19947830879518</c:v>
                </c:pt>
                <c:pt idx="75">
                  <c:v>112.65906841398036</c:v>
                </c:pt>
                <c:pt idx="76">
                  <c:v>113.26506324889611</c:v>
                </c:pt>
                <c:pt idx="77">
                  <c:v>113.2762574249666</c:v>
                </c:pt>
                <c:pt idx="78">
                  <c:v>112.02250970507444</c:v>
                </c:pt>
                <c:pt idx="79">
                  <c:v>110.43520069373426</c:v>
                </c:pt>
                <c:pt idx="80">
                  <c:v>109.59148683889512</c:v>
                </c:pt>
                <c:pt idx="81">
                  <c:v>109.8163765783782</c:v>
                </c:pt>
                <c:pt idx="82">
                  <c:v>109.49036192248329</c:v>
                </c:pt>
                <c:pt idx="83">
                  <c:v>110.53708027370142</c:v>
                </c:pt>
                <c:pt idx="84">
                  <c:v>111.30469888671324</c:v>
                </c:pt>
                <c:pt idx="85">
                  <c:v>110.2176060352859</c:v>
                </c:pt>
                <c:pt idx="86">
                  <c:v>110.05849780237422</c:v>
                </c:pt>
                <c:pt idx="87">
                  <c:v>110.82511019731227</c:v>
                </c:pt>
                <c:pt idx="88">
                  <c:v>110.38099069501099</c:v>
                </c:pt>
                <c:pt idx="89">
                  <c:v>110.12528552701936</c:v>
                </c:pt>
                <c:pt idx="90">
                  <c:v>109.17906320591698</c:v>
                </c:pt>
                <c:pt idx="91">
                  <c:v>107.87286636893062</c:v>
                </c:pt>
                <c:pt idx="92">
                  <c:v>107.05518840674975</c:v>
                </c:pt>
                <c:pt idx="93">
                  <c:v>105.77490168516246</c:v>
                </c:pt>
                <c:pt idx="94">
                  <c:v>103.90283295895111</c:v>
                </c:pt>
                <c:pt idx="95">
                  <c:v>106.01865801352832</c:v>
                </c:pt>
                <c:pt idx="96">
                  <c:v>104.96929833986658</c:v>
                </c:pt>
                <c:pt idx="97">
                  <c:v>103.94786121775141</c:v>
                </c:pt>
                <c:pt idx="98">
                  <c:v>103.9310070650161</c:v>
                </c:pt>
                <c:pt idx="99">
                  <c:v>103.16200490215286</c:v>
                </c:pt>
                <c:pt idx="100">
                  <c:v>100.85650774067383</c:v>
                </c:pt>
                <c:pt idx="101">
                  <c:v>101.62928322131363</c:v>
                </c:pt>
                <c:pt idx="102">
                  <c:v>101.79468031718623</c:v>
                </c:pt>
                <c:pt idx="103">
                  <c:v>103.76837706884631</c:v>
                </c:pt>
                <c:pt idx="104">
                  <c:v>104.26066926142835</c:v>
                </c:pt>
                <c:pt idx="105">
                  <c:v>104.20117661781789</c:v>
                </c:pt>
                <c:pt idx="106">
                  <c:v>103.80548136031582</c:v>
                </c:pt>
                <c:pt idx="107">
                  <c:v>103.86069757711283</c:v>
                </c:pt>
                <c:pt idx="108">
                  <c:v>104.2946291214174</c:v>
                </c:pt>
                <c:pt idx="109">
                  <c:v>104.301295316156</c:v>
                </c:pt>
                <c:pt idx="110">
                  <c:v>102.6971321520805</c:v>
                </c:pt>
                <c:pt idx="111">
                  <c:v>103.15345204852601</c:v>
                </c:pt>
                <c:pt idx="112">
                  <c:v>102.6816615491966</c:v>
                </c:pt>
                <c:pt idx="113">
                  <c:v>101.72499971557906</c:v>
                </c:pt>
                <c:pt idx="114">
                  <c:v>102.32571190560765</c:v>
                </c:pt>
                <c:pt idx="115">
                  <c:v>102.18144538928378</c:v>
                </c:pt>
                <c:pt idx="116">
                  <c:v>101.9907670643082</c:v>
                </c:pt>
                <c:pt idx="117">
                  <c:v>100.18976248955542</c:v>
                </c:pt>
                <c:pt idx="118">
                  <c:v>100.18636650355653</c:v>
                </c:pt>
                <c:pt idx="119">
                  <c:v>99.879595768322076</c:v>
                </c:pt>
                <c:pt idx="120">
                  <c:v>100.50445719212065</c:v>
                </c:pt>
              </c:numCache>
            </c:numRef>
          </c:val>
          <c:smooth val="0"/>
          <c:extLst xmlns:c15="http://schemas.microsoft.com/office/drawing/2012/chart">
            <c:ext xmlns:c16="http://schemas.microsoft.com/office/drawing/2014/chart" uri="{C3380CC4-5D6E-409C-BE32-E72D297353CC}">
              <c16:uniqueId val="{00000002-73FC-4860-9B0E-9FA04375222E}"/>
            </c:ext>
          </c:extLst>
        </c:ser>
        <c:dLbls>
          <c:showLegendKey val="0"/>
          <c:showVal val="0"/>
          <c:showCatName val="0"/>
          <c:showSerName val="0"/>
          <c:showPercent val="0"/>
          <c:showBubbleSize val="0"/>
        </c:dLbls>
        <c:marker val="1"/>
        <c:smooth val="0"/>
        <c:axId val="248585048"/>
        <c:axId val="248590536"/>
        <c:extLst>
          <c:ext xmlns:c15="http://schemas.microsoft.com/office/drawing/2012/chart" uri="{02D57815-91ED-43cb-92C2-25804820EDAC}">
            <c15:filteredLineSeries>
              <c15:ser>
                <c:idx val="3"/>
                <c:order val="3"/>
                <c:tx>
                  <c:strRef>
                    <c:extLst>
                      <c:ext uri="{02D57815-91ED-43cb-92C2-25804820EDAC}">
                        <c15:formulaRef>
                          <c15:sqref>#REF!</c15:sqref>
                        </c15:formulaRef>
                      </c:ext>
                    </c:extLst>
                    <c:strCache>
                      <c:ptCount val="1"/>
                      <c:pt idx="0">
                        <c:v>#REF!</c:v>
                      </c:pt>
                    </c:strCache>
                  </c:strRef>
                </c:tx>
                <c:spPr>
                  <a:ln w="15875" cap="rnd">
                    <a:solidFill>
                      <a:schemeClr val="accent4"/>
                    </a:solidFill>
                    <a:round/>
                  </a:ln>
                  <a:effectLst/>
                </c:spPr>
                <c:marker>
                  <c:symbol val="none"/>
                </c:marker>
                <c:cat>
                  <c:strRef>
                    <c:extLst>
                      <c:ext uri="{02D57815-91ED-43cb-92C2-25804820EDAC}">
                        <c15:formulaRef>
                          <c15:sqref>'COTE 1 an pentru trimestria (2'!$A$1085:$A$1205</c15:sqref>
                        </c15:formulaRef>
                      </c:ext>
                    </c:extLst>
                    <c:strCache>
                      <c:ptCount val="105"/>
                      <c:pt idx="1">
                        <c:v>Jan. 2018</c:v>
                      </c:pt>
                      <c:pt idx="22">
                        <c:v>Feb. 2018</c:v>
                      </c:pt>
                      <c:pt idx="41">
                        <c:v>Mar. 2018</c:v>
                      </c:pt>
                      <c:pt idx="64">
                        <c:v>Apr. 2018</c:v>
                      </c:pt>
                      <c:pt idx="84">
                        <c:v>May 2018</c:v>
                      </c:pt>
                      <c:pt idx="104">
                        <c:v>Jun. 2018</c:v>
                      </c:pt>
                    </c:strCache>
                  </c:strRef>
                </c:cat>
                <c:val>
                  <c:numRef>
                    <c:extLst>
                      <c:ext uri="{02D57815-91ED-43cb-92C2-25804820EDAC}">
                        <c15:formulaRef>
                          <c15:sqref>#REF!</c15:sqref>
                        </c15:formulaRef>
                      </c:ext>
                    </c:extLst>
                    <c:numCache>
                      <c:formatCode>General</c:formatCode>
                      <c:ptCount val="1"/>
                      <c:pt idx="0">
                        <c:v>1</c:v>
                      </c:pt>
                    </c:numCache>
                  </c:numRef>
                </c:val>
                <c:smooth val="0"/>
                <c:extLst>
                  <c:ext xmlns:c16="http://schemas.microsoft.com/office/drawing/2014/chart" uri="{C3380CC4-5D6E-409C-BE32-E72D297353CC}">
                    <c16:uniqueId val="{00000003-73FC-4860-9B0E-9FA04375222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#REF!</c15:sqref>
                        </c15:formulaRef>
                      </c:ext>
                    </c:extLst>
                    <c:strCache>
                      <c:ptCount val="1"/>
                      <c:pt idx="0">
                        <c:v>#REF!</c:v>
                      </c:pt>
                    </c:strCache>
                  </c:strRef>
                </c:tx>
                <c:spPr>
                  <a:ln w="158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'COTE 1 an pentru trimestria (2'!$A$1085:$A$1205</c15:sqref>
                        </c15:formulaRef>
                      </c:ext>
                    </c:extLst>
                    <c:strCache>
                      <c:ptCount val="105"/>
                      <c:pt idx="1">
                        <c:v>Jan. 2018</c:v>
                      </c:pt>
                      <c:pt idx="22">
                        <c:v>Feb. 2018</c:v>
                      </c:pt>
                      <c:pt idx="41">
                        <c:v>Mar. 2018</c:v>
                      </c:pt>
                      <c:pt idx="64">
                        <c:v>Apr. 2018</c:v>
                      </c:pt>
                      <c:pt idx="84">
                        <c:v>May 2018</c:v>
                      </c:pt>
                      <c:pt idx="104">
                        <c:v>Jun. 2018</c:v>
                      </c:pt>
                    </c:strCache>
                  </c:strRef>
                </c:cat>
                <c:val>
                  <c:numRef>
                    <c:extLst xmlns:c15="http://schemas.microsoft.com/office/drawing/2012/chart">
                      <c:ext xmlns:c15="http://schemas.microsoft.com/office/drawing/2012/chart" uri="{02D57815-91ED-43cb-92C2-25804820EDAC}">
                        <c15:formulaRef>
                          <c15:sqref>#REF!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4-73FC-4860-9B0E-9FA04375222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#REF!</c15:sqref>
                        </c15:formulaRef>
                      </c:ext>
                    </c:extLst>
                    <c:strCache>
                      <c:ptCount val="1"/>
                      <c:pt idx="0">
                        <c:v>#REF!</c:v>
                      </c:pt>
                    </c:strCache>
                  </c:strRef>
                </c:tx>
                <c:spPr>
                  <a:ln w="158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'COTE 1 an pentru trimestria (2'!$A$1085:$A$1205</c15:sqref>
                        </c15:formulaRef>
                      </c:ext>
                    </c:extLst>
                    <c:strCache>
                      <c:ptCount val="105"/>
                      <c:pt idx="1">
                        <c:v>Jan. 2018</c:v>
                      </c:pt>
                      <c:pt idx="22">
                        <c:v>Feb. 2018</c:v>
                      </c:pt>
                      <c:pt idx="41">
                        <c:v>Mar. 2018</c:v>
                      </c:pt>
                      <c:pt idx="64">
                        <c:v>Apr. 2018</c:v>
                      </c:pt>
                      <c:pt idx="84">
                        <c:v>May 2018</c:v>
                      </c:pt>
                      <c:pt idx="104">
                        <c:v>Jun. 2018</c:v>
                      </c:pt>
                    </c:strCache>
                  </c:strRef>
                </c:cat>
                <c:val>
                  <c:numRef>
                    <c:extLst xmlns:c15="http://schemas.microsoft.com/office/drawing/2012/chart">
                      <c:ext xmlns:c15="http://schemas.microsoft.com/office/drawing/2012/chart" uri="{02D57815-91ED-43cb-92C2-25804820EDAC}">
                        <c15:formulaRef>
                          <c15:sqref>#REF!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5-73FC-4860-9B0E-9FA04375222E}"/>
                  </c:ext>
                </c:extLst>
              </c15:ser>
            </c15:filteredLineSeries>
          </c:ext>
        </c:extLst>
      </c:lineChart>
      <c:catAx>
        <c:axId val="2485850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1080000" spcFirstLastPara="1" vertOverflow="ellipsis" wrap="square" anchor="ctr" anchorCtr="1"/>
          <a:lstStyle/>
          <a:p>
            <a:pPr>
              <a:defRPr sz="900" b="0" i="0" u="none" strike="noStrike" kern="5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8590536"/>
        <c:crosses val="autoZero"/>
        <c:auto val="1"/>
        <c:lblAlgn val="ctr"/>
        <c:lblOffset val="100"/>
        <c:noMultiLvlLbl val="0"/>
      </c:catAx>
      <c:valAx>
        <c:axId val="248590536"/>
        <c:scaling>
          <c:orientation val="minMax"/>
          <c:max val="145"/>
          <c:min val="7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8585048"/>
        <c:crosses val="autoZero"/>
        <c:crossBetween val="between"/>
      </c:valAx>
      <c:valAx>
        <c:axId val="248590144"/>
        <c:scaling>
          <c:orientation val="minMax"/>
          <c:max val="8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8584264"/>
        <c:crosses val="max"/>
        <c:crossBetween val="between"/>
      </c:valAx>
      <c:catAx>
        <c:axId val="248584264"/>
        <c:scaling>
          <c:orientation val="minMax"/>
        </c:scaling>
        <c:delete val="1"/>
        <c:axPos val="b"/>
        <c:numFmt formatCode="General" sourceLinked="1"/>
        <c:majorTickMark val="out"/>
        <c:minorTickMark val="none"/>
        <c:tickLblPos val="nextTo"/>
        <c:crossAx val="2485901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198207265905626E-2"/>
          <c:y val="2.4330098272599646E-2"/>
          <c:w val="0.85898487569436599"/>
          <c:h val="0.84093023255813959"/>
        </c:manualLayout>
      </c:layout>
      <c:lineChart>
        <c:grouping val="standard"/>
        <c:varyColors val="0"/>
        <c:ser>
          <c:idx val="2"/>
          <c:order val="0"/>
          <c:tx>
            <c:strRef>
              <c:f>'12 luni indici pana in sept (2'!$I$1</c:f>
              <c:strCache>
                <c:ptCount val="1"/>
                <c:pt idx="0">
                  <c:v>COTE</c:v>
                </c:pt>
              </c:strCache>
            </c:strRef>
          </c:tx>
          <c:spPr>
            <a:ln w="50800" cap="rnd">
              <a:solidFill>
                <a:srgbClr val="3AEF31"/>
              </a:solidFill>
              <a:round/>
            </a:ln>
            <a:effectLst>
              <a:outerShdw blurRad="50800" dir="2760000" algn="ctr" rotWithShape="0">
                <a:schemeClr val="tx1"/>
              </a:outerShdw>
            </a:effectLst>
          </c:spPr>
          <c:marker>
            <c:symbol val="none"/>
          </c:marker>
          <c:cat>
            <c:strRef>
              <c:f>'12 luni indici pana in sept (2'!$A$552:$A$672</c:f>
              <c:strCache>
                <c:ptCount val="108"/>
                <c:pt idx="2">
                  <c:v>Jan. 2018</c:v>
                </c:pt>
                <c:pt idx="22">
                  <c:v>Feb. 2018</c:v>
                </c:pt>
                <c:pt idx="42">
                  <c:v>Mar. 2018</c:v>
                </c:pt>
                <c:pt idx="63">
                  <c:v>Apr. 2018</c:v>
                </c:pt>
                <c:pt idx="87">
                  <c:v>May 2018</c:v>
                </c:pt>
                <c:pt idx="107">
                  <c:v>Jun. 2018</c:v>
                </c:pt>
              </c:strCache>
            </c:strRef>
          </c:cat>
          <c:val>
            <c:numRef>
              <c:f>'12 luni indici pana in sept (2'!$I$552:$I$672</c:f>
              <c:numCache>
                <c:formatCode>General</c:formatCode>
                <c:ptCount val="121"/>
                <c:pt idx="0">
                  <c:v>99.5</c:v>
                </c:pt>
                <c:pt idx="1">
                  <c:v>100</c:v>
                </c:pt>
                <c:pt idx="2">
                  <c:v>102.4</c:v>
                </c:pt>
                <c:pt idx="3">
                  <c:v>102</c:v>
                </c:pt>
                <c:pt idx="4" formatCode="#,##0.00">
                  <c:v>102.6</c:v>
                </c:pt>
                <c:pt idx="5" formatCode="#,##0.00">
                  <c:v>103.2</c:v>
                </c:pt>
                <c:pt idx="6" formatCode="#,##0.00">
                  <c:v>105.8</c:v>
                </c:pt>
                <c:pt idx="7" formatCode="#,##0.00">
                  <c:v>106.6</c:v>
                </c:pt>
                <c:pt idx="8" formatCode="#,##0.00">
                  <c:v>106.6</c:v>
                </c:pt>
                <c:pt idx="9" formatCode="#,##0.00">
                  <c:v>106.4</c:v>
                </c:pt>
                <c:pt idx="10" formatCode="#,##0.00">
                  <c:v>106.2</c:v>
                </c:pt>
                <c:pt idx="11" formatCode="#,##0.00">
                  <c:v>107.4</c:v>
                </c:pt>
                <c:pt idx="12" formatCode="#,##0.00">
                  <c:v>109.8</c:v>
                </c:pt>
                <c:pt idx="13" formatCode="#,##0.00">
                  <c:v>114.8</c:v>
                </c:pt>
                <c:pt idx="14" formatCode="#,##0.00">
                  <c:v>117.4</c:v>
                </c:pt>
                <c:pt idx="15" formatCode="#,##0.00">
                  <c:v>119.2</c:v>
                </c:pt>
                <c:pt idx="16" formatCode="#,##0.00">
                  <c:v>119.8</c:v>
                </c:pt>
                <c:pt idx="17" formatCode="#,##0.00">
                  <c:v>119</c:v>
                </c:pt>
                <c:pt idx="18" formatCode="#,##0.00">
                  <c:v>117.8</c:v>
                </c:pt>
                <c:pt idx="19" formatCode="#,##0.00">
                  <c:v>117</c:v>
                </c:pt>
                <c:pt idx="20" formatCode="#,##0.00">
                  <c:v>117.4</c:v>
                </c:pt>
                <c:pt idx="21" formatCode="#,##0.00">
                  <c:v>117.4</c:v>
                </c:pt>
                <c:pt idx="22" formatCode="#,##0.00">
                  <c:v>116.8</c:v>
                </c:pt>
                <c:pt idx="23" formatCode="#,##0.00">
                  <c:v>113</c:v>
                </c:pt>
                <c:pt idx="24" formatCode="#,##0.00">
                  <c:v>115.8</c:v>
                </c:pt>
                <c:pt idx="25" formatCode="#,##0.00">
                  <c:v>115.4</c:v>
                </c:pt>
                <c:pt idx="26" formatCode="#,##0.00">
                  <c:v>114.4</c:v>
                </c:pt>
                <c:pt idx="27" formatCode="#,##0.00">
                  <c:v>115</c:v>
                </c:pt>
                <c:pt idx="28" formatCode="#,##0.00">
                  <c:v>116</c:v>
                </c:pt>
                <c:pt idx="29" formatCode="#,##0.00">
                  <c:v>116.4</c:v>
                </c:pt>
                <c:pt idx="30" formatCode="#,##0.00">
                  <c:v>114.8</c:v>
                </c:pt>
                <c:pt idx="31" formatCode="#,##0.00">
                  <c:v>112.8</c:v>
                </c:pt>
                <c:pt idx="32" formatCode="#,##0.00">
                  <c:v>112.6</c:v>
                </c:pt>
                <c:pt idx="33" formatCode="#,##0.00">
                  <c:v>110.2</c:v>
                </c:pt>
                <c:pt idx="34" formatCode="#,##0.00">
                  <c:v>109</c:v>
                </c:pt>
                <c:pt idx="35" formatCode="#,##0.00">
                  <c:v>111.6</c:v>
                </c:pt>
                <c:pt idx="36" formatCode="#,##0.00">
                  <c:v>111.6</c:v>
                </c:pt>
                <c:pt idx="37" formatCode="#,##0.00">
                  <c:v>113</c:v>
                </c:pt>
                <c:pt idx="38" formatCode="#,##0.00">
                  <c:v>113.4</c:v>
                </c:pt>
                <c:pt idx="39" formatCode="#,##0.00">
                  <c:v>112</c:v>
                </c:pt>
                <c:pt idx="40" formatCode="#,##0.00">
                  <c:v>111.4</c:v>
                </c:pt>
                <c:pt idx="41" formatCode="#,##0.00">
                  <c:v>111</c:v>
                </c:pt>
                <c:pt idx="42" formatCode="#,##0.00">
                  <c:v>112.4</c:v>
                </c:pt>
                <c:pt idx="43" formatCode="#,##0.00">
                  <c:v>112</c:v>
                </c:pt>
                <c:pt idx="44" formatCode="#,##0.00">
                  <c:v>112.8</c:v>
                </c:pt>
                <c:pt idx="45" formatCode="#,##0.00">
                  <c:v>112.4</c:v>
                </c:pt>
                <c:pt idx="46" formatCode="#,##0.00">
                  <c:v>112</c:v>
                </c:pt>
                <c:pt idx="47" formatCode="#,##0.00">
                  <c:v>112.6</c:v>
                </c:pt>
                <c:pt idx="48" formatCode="#,##0.00">
                  <c:v>113.8</c:v>
                </c:pt>
                <c:pt idx="49">
                  <c:v>114.6</c:v>
                </c:pt>
                <c:pt idx="50">
                  <c:v>114.8</c:v>
                </c:pt>
                <c:pt idx="51">
                  <c:v>116.2</c:v>
                </c:pt>
                <c:pt idx="52">
                  <c:v>116</c:v>
                </c:pt>
                <c:pt idx="53">
                  <c:v>115.8</c:v>
                </c:pt>
                <c:pt idx="54">
                  <c:v>114</c:v>
                </c:pt>
                <c:pt idx="55">
                  <c:v>111.8</c:v>
                </c:pt>
                <c:pt idx="56">
                  <c:v>112</c:v>
                </c:pt>
                <c:pt idx="57">
                  <c:v>112.6</c:v>
                </c:pt>
                <c:pt idx="58">
                  <c:v>114.6</c:v>
                </c:pt>
                <c:pt idx="59">
                  <c:v>112</c:v>
                </c:pt>
                <c:pt idx="60">
                  <c:v>112</c:v>
                </c:pt>
                <c:pt idx="61">
                  <c:v>111.6</c:v>
                </c:pt>
                <c:pt idx="62">
                  <c:v>111.8</c:v>
                </c:pt>
                <c:pt idx="63">
                  <c:v>111</c:v>
                </c:pt>
                <c:pt idx="64">
                  <c:v>111</c:v>
                </c:pt>
                <c:pt idx="65">
                  <c:v>112.6</c:v>
                </c:pt>
                <c:pt idx="66">
                  <c:v>111</c:v>
                </c:pt>
                <c:pt idx="67">
                  <c:v>112</c:v>
                </c:pt>
                <c:pt idx="68">
                  <c:v>112</c:v>
                </c:pt>
                <c:pt idx="69">
                  <c:v>112.8</c:v>
                </c:pt>
                <c:pt idx="70">
                  <c:v>113</c:v>
                </c:pt>
                <c:pt idx="71">
                  <c:v>112.8</c:v>
                </c:pt>
                <c:pt idx="72">
                  <c:v>110.4</c:v>
                </c:pt>
                <c:pt idx="73">
                  <c:v>112.4</c:v>
                </c:pt>
                <c:pt idx="74">
                  <c:v>110.8</c:v>
                </c:pt>
                <c:pt idx="75">
                  <c:v>111.2</c:v>
                </c:pt>
                <c:pt idx="76" formatCode="#,##0.00">
                  <c:v>111.8</c:v>
                </c:pt>
                <c:pt idx="77" formatCode="#,##0.00">
                  <c:v>111</c:v>
                </c:pt>
                <c:pt idx="78" formatCode="#,##0.00">
                  <c:v>110.8</c:v>
                </c:pt>
                <c:pt idx="79" formatCode="#,##0.00">
                  <c:v>109.6</c:v>
                </c:pt>
                <c:pt idx="80" formatCode="#,##0.00">
                  <c:v>109.2</c:v>
                </c:pt>
                <c:pt idx="81" formatCode="#,##0.00">
                  <c:v>109.2</c:v>
                </c:pt>
                <c:pt idx="82" formatCode="#,##0.00">
                  <c:v>106</c:v>
                </c:pt>
                <c:pt idx="83" formatCode="#,##0.00">
                  <c:v>106</c:v>
                </c:pt>
                <c:pt idx="84" formatCode="#,##0.00">
                  <c:v>106</c:v>
                </c:pt>
                <c:pt idx="85" formatCode="#,##0.00">
                  <c:v>107.2</c:v>
                </c:pt>
                <c:pt idx="86" formatCode="#,##0.00">
                  <c:v>106</c:v>
                </c:pt>
                <c:pt idx="87" formatCode="#,##0.00">
                  <c:v>106.4</c:v>
                </c:pt>
                <c:pt idx="88" formatCode="#,##0.00">
                  <c:v>107.4</c:v>
                </c:pt>
                <c:pt idx="89" formatCode="#,##0.00">
                  <c:v>107</c:v>
                </c:pt>
                <c:pt idx="90" formatCode="#,##0.00">
                  <c:v>100.4</c:v>
                </c:pt>
                <c:pt idx="91" formatCode="#,##0.00">
                  <c:v>99.4</c:v>
                </c:pt>
                <c:pt idx="92" formatCode="#,##0.00">
                  <c:v>100.6</c:v>
                </c:pt>
                <c:pt idx="93" formatCode="#,##0.00">
                  <c:v>97</c:v>
                </c:pt>
                <c:pt idx="94" formatCode="#,##0.00">
                  <c:v>93.6</c:v>
                </c:pt>
                <c:pt idx="95" formatCode="#,##0.00">
                  <c:v>96</c:v>
                </c:pt>
                <c:pt idx="96" formatCode="#,##0.00">
                  <c:v>95</c:v>
                </c:pt>
                <c:pt idx="97" formatCode="#,##0.00">
                  <c:v>97.4</c:v>
                </c:pt>
                <c:pt idx="98" formatCode="#,##0.00">
                  <c:v>98.2</c:v>
                </c:pt>
                <c:pt idx="99" formatCode="#,##0.00">
                  <c:v>99.9</c:v>
                </c:pt>
                <c:pt idx="100" formatCode="#,##0.00">
                  <c:v>98.1</c:v>
                </c:pt>
                <c:pt idx="101" formatCode="#,##0.00">
                  <c:v>100</c:v>
                </c:pt>
                <c:pt idx="102" formatCode="#,##0.00">
                  <c:v>99</c:v>
                </c:pt>
                <c:pt idx="103" formatCode="#,##0.00">
                  <c:v>98</c:v>
                </c:pt>
                <c:pt idx="104" formatCode="#,##0.00">
                  <c:v>98</c:v>
                </c:pt>
                <c:pt idx="105" formatCode="#,##0.00">
                  <c:v>98.6</c:v>
                </c:pt>
                <c:pt idx="106" formatCode="#,##0.00">
                  <c:v>98.1</c:v>
                </c:pt>
                <c:pt idx="107" formatCode="#,##0.00">
                  <c:v>92.4</c:v>
                </c:pt>
                <c:pt idx="108" formatCode="#,##0.00">
                  <c:v>92.3</c:v>
                </c:pt>
                <c:pt idx="109" formatCode="#,##0.00">
                  <c:v>92</c:v>
                </c:pt>
                <c:pt idx="110" formatCode="#,##0.00">
                  <c:v>91.5</c:v>
                </c:pt>
                <c:pt idx="111" formatCode="#,##0.00">
                  <c:v>90.1</c:v>
                </c:pt>
                <c:pt idx="112" formatCode="#,##0.00">
                  <c:v>89.6</c:v>
                </c:pt>
                <c:pt idx="113" formatCode="#,##0.00">
                  <c:v>89</c:v>
                </c:pt>
                <c:pt idx="114" formatCode="#,##0.00">
                  <c:v>89</c:v>
                </c:pt>
                <c:pt idx="115" formatCode="#,##0.00">
                  <c:v>90</c:v>
                </c:pt>
                <c:pt idx="116" formatCode="#,##0.00">
                  <c:v>90.4</c:v>
                </c:pt>
                <c:pt idx="117" formatCode="#,##0.00">
                  <c:v>90</c:v>
                </c:pt>
                <c:pt idx="118" formatCode="#,##0.00">
                  <c:v>90</c:v>
                </c:pt>
                <c:pt idx="119" formatCode="#,##0.00">
                  <c:v>90</c:v>
                </c:pt>
                <c:pt idx="120" formatCode="#,##0.00">
                  <c:v>90</c:v>
                </c:pt>
              </c:numCache>
            </c:numRef>
          </c:val>
          <c:smooth val="0"/>
          <c:extLst>
            <c:ext xmlns:c16="http://schemas.microsoft.com/office/drawing/2014/chart" uri="{C3380CC4-5D6E-409C-BE32-E72D297353CC}">
              <c16:uniqueId val="{00000000-D1C5-4EE6-A4E6-43199C045214}"/>
            </c:ext>
          </c:extLst>
        </c:ser>
        <c:ser>
          <c:idx val="0"/>
          <c:order val="1"/>
          <c:tx>
            <c:strRef>
              <c:f>'12 luni indici pana in sept (2'!$L$1</c:f>
              <c:strCache>
                <c:ptCount val="1"/>
                <c:pt idx="0">
                  <c:v>BET-BK (rebased)</c:v>
                </c:pt>
              </c:strCache>
            </c:strRef>
          </c:tx>
          <c:spPr>
            <a:ln w="28575" cap="rnd" cmpd="dbl">
              <a:solidFill>
                <a:srgbClr val="C00000">
                  <a:alpha val="68000"/>
                </a:srgbClr>
              </a:solidFill>
              <a:round/>
            </a:ln>
            <a:effectLst/>
          </c:spPr>
          <c:marker>
            <c:symbol val="none"/>
          </c:marker>
          <c:cat>
            <c:strRef>
              <c:f>'12 luni indici pana in sept (2'!$A$552:$A$672</c:f>
              <c:strCache>
                <c:ptCount val="108"/>
                <c:pt idx="2">
                  <c:v>Jan. 2018</c:v>
                </c:pt>
                <c:pt idx="22">
                  <c:v>Feb. 2018</c:v>
                </c:pt>
                <c:pt idx="42">
                  <c:v>Mar. 2018</c:v>
                </c:pt>
                <c:pt idx="63">
                  <c:v>Apr. 2018</c:v>
                </c:pt>
                <c:pt idx="87">
                  <c:v>May 2018</c:v>
                </c:pt>
                <c:pt idx="107">
                  <c:v>Jun. 2018</c:v>
                </c:pt>
              </c:strCache>
            </c:strRef>
          </c:cat>
          <c:val>
            <c:numRef>
              <c:f>'12 luni indici pana in sept (2'!$L$552:$L$672</c:f>
              <c:numCache>
                <c:formatCode>0.00</c:formatCode>
                <c:ptCount val="121"/>
                <c:pt idx="0">
                  <c:v>99.5</c:v>
                </c:pt>
                <c:pt idx="1">
                  <c:v>100.21481421763589</c:v>
                </c:pt>
                <c:pt idx="2">
                  <c:v>100.53033071768965</c:v>
                </c:pt>
                <c:pt idx="3">
                  <c:v>100.92606327707908</c:v>
                </c:pt>
                <c:pt idx="4">
                  <c:v>101.56719755873254</c:v>
                </c:pt>
                <c:pt idx="5">
                  <c:v>101.88568502394688</c:v>
                </c:pt>
                <c:pt idx="6">
                  <c:v>102.92136347892556</c:v>
                </c:pt>
                <c:pt idx="7">
                  <c:v>103.61240997527679</c:v>
                </c:pt>
                <c:pt idx="8">
                  <c:v>103.50010749220681</c:v>
                </c:pt>
                <c:pt idx="9">
                  <c:v>103.59398999128119</c:v>
                </c:pt>
                <c:pt idx="10">
                  <c:v>104.12044501773622</c:v>
                </c:pt>
                <c:pt idx="11">
                  <c:v>104.66056648392993</c:v>
                </c:pt>
                <c:pt idx="12">
                  <c:v>105.24049888327542</c:v>
                </c:pt>
                <c:pt idx="13">
                  <c:v>106.73608274511209</c:v>
                </c:pt>
                <c:pt idx="14">
                  <c:v>106.78540076677776</c:v>
                </c:pt>
                <c:pt idx="15">
                  <c:v>106.77054594097484</c:v>
                </c:pt>
                <c:pt idx="16">
                  <c:v>107.01654185627098</c:v>
                </c:pt>
                <c:pt idx="17">
                  <c:v>107.07714954554683</c:v>
                </c:pt>
                <c:pt idx="18">
                  <c:v>106.22745350962056</c:v>
                </c:pt>
                <c:pt idx="19">
                  <c:v>106.04206528360028</c:v>
                </c:pt>
                <c:pt idx="20">
                  <c:v>105.70159267619765</c:v>
                </c:pt>
                <c:pt idx="21">
                  <c:v>104.61006007620003</c:v>
                </c:pt>
                <c:pt idx="22">
                  <c:v>103.82691365987077</c:v>
                </c:pt>
                <c:pt idx="23">
                  <c:v>101.16908822721464</c:v>
                </c:pt>
                <c:pt idx="24">
                  <c:v>101.7038619561193</c:v>
                </c:pt>
                <c:pt idx="25">
                  <c:v>101.90291662187825</c:v>
                </c:pt>
                <c:pt idx="26">
                  <c:v>101.06094509536948</c:v>
                </c:pt>
                <c:pt idx="27">
                  <c:v>102.32004013042388</c:v>
                </c:pt>
                <c:pt idx="28">
                  <c:v>102.66764305421191</c:v>
                </c:pt>
                <c:pt idx="29">
                  <c:v>103.17033035938228</c:v>
                </c:pt>
                <c:pt idx="30">
                  <c:v>103.56368614664326</c:v>
                </c:pt>
                <c:pt idx="31">
                  <c:v>103.80552271071458</c:v>
                </c:pt>
                <c:pt idx="32">
                  <c:v>103.62964157320816</c:v>
                </c:pt>
                <c:pt idx="33">
                  <c:v>103.57438162122135</c:v>
                </c:pt>
                <c:pt idx="34">
                  <c:v>103.07644786030791</c:v>
                </c:pt>
                <c:pt idx="35">
                  <c:v>103.21192387163042</c:v>
                </c:pt>
                <c:pt idx="36">
                  <c:v>103.18875034337788</c:v>
                </c:pt>
                <c:pt idx="37">
                  <c:v>103.56903388393231</c:v>
                </c:pt>
                <c:pt idx="38">
                  <c:v>104.32900677200902</c:v>
                </c:pt>
                <c:pt idx="39">
                  <c:v>104.97964814217636</c:v>
                </c:pt>
                <c:pt idx="40">
                  <c:v>104.6777980818613</c:v>
                </c:pt>
                <c:pt idx="41">
                  <c:v>103.75204533782411</c:v>
                </c:pt>
                <c:pt idx="42">
                  <c:v>104.4555698878498</c:v>
                </c:pt>
                <c:pt idx="43">
                  <c:v>105.00698102165371</c:v>
                </c:pt>
                <c:pt idx="44">
                  <c:v>104.82099860260131</c:v>
                </c:pt>
                <c:pt idx="45">
                  <c:v>105.00163328436467</c:v>
                </c:pt>
                <c:pt idx="46">
                  <c:v>104.78415863461011</c:v>
                </c:pt>
                <c:pt idx="47">
                  <c:v>105.1121531883383</c:v>
                </c:pt>
                <c:pt idx="48">
                  <c:v>105.51917541533794</c:v>
                </c:pt>
                <c:pt idx="49">
                  <c:v>105.10977641620983</c:v>
                </c:pt>
                <c:pt idx="50">
                  <c:v>105.63147789840792</c:v>
                </c:pt>
                <c:pt idx="51">
                  <c:v>106.54712936089912</c:v>
                </c:pt>
                <c:pt idx="52">
                  <c:v>105.91371958866316</c:v>
                </c:pt>
                <c:pt idx="53">
                  <c:v>105.84835835513037</c:v>
                </c:pt>
                <c:pt idx="54">
                  <c:v>106.16030969699142</c:v>
                </c:pt>
                <c:pt idx="55">
                  <c:v>104.29632615524264</c:v>
                </c:pt>
                <c:pt idx="56">
                  <c:v>104.2909784179536</c:v>
                </c:pt>
                <c:pt idx="57">
                  <c:v>105.0355022871953</c:v>
                </c:pt>
                <c:pt idx="58">
                  <c:v>105.46035030515843</c:v>
                </c:pt>
                <c:pt idx="59">
                  <c:v>104.9481559114742</c:v>
                </c:pt>
                <c:pt idx="60">
                  <c:v>104.38604930309219</c:v>
                </c:pt>
                <c:pt idx="61">
                  <c:v>104.44012086901478</c:v>
                </c:pt>
                <c:pt idx="62">
                  <c:v>105.05927000847994</c:v>
                </c:pt>
                <c:pt idx="63">
                  <c:v>104.47101890668483</c:v>
                </c:pt>
                <c:pt idx="64">
                  <c:v>104.29989131343532</c:v>
                </c:pt>
                <c:pt idx="65">
                  <c:v>105.37062715730887</c:v>
                </c:pt>
                <c:pt idx="66">
                  <c:v>104.9701410536625</c:v>
                </c:pt>
                <c:pt idx="67">
                  <c:v>104.66532002818685</c:v>
                </c:pt>
                <c:pt idx="68">
                  <c:v>105.21732535502288</c:v>
                </c:pt>
                <c:pt idx="69">
                  <c:v>104.78712959977068</c:v>
                </c:pt>
                <c:pt idx="70">
                  <c:v>105.02064746139239</c:v>
                </c:pt>
                <c:pt idx="71">
                  <c:v>105.3498304011848</c:v>
                </c:pt>
                <c:pt idx="72">
                  <c:v>105.61662307260502</c:v>
                </c:pt>
                <c:pt idx="73">
                  <c:v>105.58394245583862</c:v>
                </c:pt>
                <c:pt idx="74">
                  <c:v>105.37062715730887</c:v>
                </c:pt>
                <c:pt idx="75">
                  <c:v>105.44608967238764</c:v>
                </c:pt>
                <c:pt idx="76">
                  <c:v>105.72120104625749</c:v>
                </c:pt>
                <c:pt idx="77">
                  <c:v>105.17810861490319</c:v>
                </c:pt>
                <c:pt idx="78">
                  <c:v>104.63561037658104</c:v>
                </c:pt>
                <c:pt idx="79">
                  <c:v>103.2879805797413</c:v>
                </c:pt>
                <c:pt idx="80">
                  <c:v>103.04911498083055</c:v>
                </c:pt>
                <c:pt idx="81">
                  <c:v>102.79182939792422</c:v>
                </c:pt>
                <c:pt idx="82">
                  <c:v>101.78764317364769</c:v>
                </c:pt>
                <c:pt idx="83">
                  <c:v>102.00868298159494</c:v>
                </c:pt>
                <c:pt idx="84">
                  <c:v>102.63317985834917</c:v>
                </c:pt>
                <c:pt idx="85">
                  <c:v>102.13227513227513</c:v>
                </c:pt>
                <c:pt idx="86">
                  <c:v>102.1453473789817</c:v>
                </c:pt>
                <c:pt idx="87">
                  <c:v>102.5832676436514</c:v>
                </c:pt>
                <c:pt idx="88">
                  <c:v>102.54405090353171</c:v>
                </c:pt>
                <c:pt idx="89">
                  <c:v>101.88806179607535</c:v>
                </c:pt>
                <c:pt idx="90">
                  <c:v>100.83752851529376</c:v>
                </c:pt>
                <c:pt idx="91">
                  <c:v>100.15480072139215</c:v>
                </c:pt>
                <c:pt idx="92">
                  <c:v>99.705590789112236</c:v>
                </c:pt>
                <c:pt idx="93">
                  <c:v>98.274773967776227</c:v>
                </c:pt>
                <c:pt idx="94">
                  <c:v>96.533788383675514</c:v>
                </c:pt>
                <c:pt idx="95">
                  <c:v>97.867157547744455</c:v>
                </c:pt>
                <c:pt idx="96">
                  <c:v>97.292572885688017</c:v>
                </c:pt>
                <c:pt idx="97">
                  <c:v>96.563498035281327</c:v>
                </c:pt>
                <c:pt idx="98">
                  <c:v>96.192721583240782</c:v>
                </c:pt>
                <c:pt idx="99">
                  <c:v>95.486820261086635</c:v>
                </c:pt>
                <c:pt idx="100">
                  <c:v>93.539649694841572</c:v>
                </c:pt>
                <c:pt idx="101">
                  <c:v>93.654923143072139</c:v>
                </c:pt>
                <c:pt idx="102">
                  <c:v>94.094031793806067</c:v>
                </c:pt>
                <c:pt idx="103">
                  <c:v>95.217056624505844</c:v>
                </c:pt>
                <c:pt idx="104">
                  <c:v>95.540891827009219</c:v>
                </c:pt>
                <c:pt idx="105">
                  <c:v>95.517718298756677</c:v>
                </c:pt>
                <c:pt idx="106">
                  <c:v>96.201634478722511</c:v>
                </c:pt>
                <c:pt idx="107">
                  <c:v>96.110722944808728</c:v>
                </c:pt>
                <c:pt idx="108">
                  <c:v>96.42564525183036</c:v>
                </c:pt>
                <c:pt idx="109">
                  <c:v>97.875476250194083</c:v>
                </c:pt>
                <c:pt idx="110">
                  <c:v>96.77443656168262</c:v>
                </c:pt>
                <c:pt idx="111">
                  <c:v>96.928332557000729</c:v>
                </c:pt>
                <c:pt idx="112">
                  <c:v>96.742350137948335</c:v>
                </c:pt>
                <c:pt idx="113">
                  <c:v>95.533761510623819</c:v>
                </c:pt>
                <c:pt idx="114">
                  <c:v>95.748859388249912</c:v>
                </c:pt>
                <c:pt idx="115">
                  <c:v>95.704294910841199</c:v>
                </c:pt>
                <c:pt idx="116">
                  <c:v>95.596745972028131</c:v>
                </c:pt>
                <c:pt idx="117">
                  <c:v>94.716746091463932</c:v>
                </c:pt>
                <c:pt idx="118">
                  <c:v>95.051276768545392</c:v>
                </c:pt>
                <c:pt idx="119">
                  <c:v>95.104754141435862</c:v>
                </c:pt>
                <c:pt idx="120">
                  <c:v>95.516529912692448</c:v>
                </c:pt>
              </c:numCache>
            </c:numRef>
          </c:val>
          <c:smooth val="0"/>
          <c:extLst>
            <c:ext xmlns:c16="http://schemas.microsoft.com/office/drawing/2014/chart" uri="{C3380CC4-5D6E-409C-BE32-E72D297353CC}">
              <c16:uniqueId val="{00000001-D1C5-4EE6-A4E6-43199C045214}"/>
            </c:ext>
          </c:extLst>
        </c:ser>
        <c:ser>
          <c:idx val="1"/>
          <c:order val="2"/>
          <c:tx>
            <c:strRef>
              <c:f>'12 luni indici pana in sept (2'!$N$1</c:f>
              <c:strCache>
                <c:ptCount val="1"/>
                <c:pt idx="0">
                  <c:v>BET-NG (rebased)</c:v>
                </c:pt>
              </c:strCache>
            </c:strRef>
          </c:tx>
          <c:spPr>
            <a:ln w="12700" cap="rnd" cmpd="dbl">
              <a:solidFill>
                <a:schemeClr val="accent2">
                  <a:lumMod val="60000"/>
                  <a:lumOff val="40000"/>
                </a:schemeClr>
              </a:solidFill>
              <a:round/>
            </a:ln>
            <a:effectLst>
              <a:outerShdw blurRad="50800" dist="25400" dir="2520000" algn="ctr" rotWithShape="0">
                <a:srgbClr val="169A42"/>
              </a:outerShdw>
            </a:effectLst>
          </c:spPr>
          <c:marker>
            <c:symbol val="none"/>
          </c:marker>
          <c:cat>
            <c:strRef>
              <c:f>'12 luni indici pana in sept (2'!$A$552:$A$672</c:f>
              <c:strCache>
                <c:ptCount val="108"/>
                <c:pt idx="2">
                  <c:v>Jan. 2018</c:v>
                </c:pt>
                <c:pt idx="22">
                  <c:v>Feb. 2018</c:v>
                </c:pt>
                <c:pt idx="42">
                  <c:v>Mar. 2018</c:v>
                </c:pt>
                <c:pt idx="63">
                  <c:v>Apr. 2018</c:v>
                </c:pt>
                <c:pt idx="87">
                  <c:v>May 2018</c:v>
                </c:pt>
                <c:pt idx="107">
                  <c:v>Jun. 2018</c:v>
                </c:pt>
              </c:strCache>
            </c:strRef>
          </c:cat>
          <c:val>
            <c:numRef>
              <c:f>'12 luni indici pana in sept (2'!$N$552:$N$672</c:f>
              <c:numCache>
                <c:formatCode>0.00</c:formatCode>
                <c:ptCount val="121"/>
                <c:pt idx="0">
                  <c:v>99.499999999999986</c:v>
                </c:pt>
                <c:pt idx="1">
                  <c:v>101.13146564656464</c:v>
                </c:pt>
                <c:pt idx="2">
                  <c:v>101.55388538853884</c:v>
                </c:pt>
                <c:pt idx="3">
                  <c:v>100.9374212421242</c:v>
                </c:pt>
                <c:pt idx="4">
                  <c:v>101.70315031503149</c:v>
                </c:pt>
                <c:pt idx="5">
                  <c:v>101.92256975697569</c:v>
                </c:pt>
                <c:pt idx="6">
                  <c:v>103.46746174617459</c:v>
                </c:pt>
                <c:pt idx="7">
                  <c:v>104.56306630663065</c:v>
                </c:pt>
                <c:pt idx="8">
                  <c:v>104.08243324332432</c:v>
                </c:pt>
                <c:pt idx="9">
                  <c:v>104.10183768376835</c:v>
                </c:pt>
                <c:pt idx="10">
                  <c:v>105.67956795679567</c:v>
                </c:pt>
                <c:pt idx="11">
                  <c:v>106.71695919591959</c:v>
                </c:pt>
                <c:pt idx="12">
                  <c:v>106.5318706870687</c:v>
                </c:pt>
                <c:pt idx="13">
                  <c:v>107.78271077107711</c:v>
                </c:pt>
                <c:pt idx="14">
                  <c:v>107.22595259525951</c:v>
                </c:pt>
                <c:pt idx="15">
                  <c:v>107.31103360336031</c:v>
                </c:pt>
                <c:pt idx="16">
                  <c:v>107.42148964896488</c:v>
                </c:pt>
                <c:pt idx="17">
                  <c:v>107.34834983498348</c:v>
                </c:pt>
                <c:pt idx="18">
                  <c:v>106.27065706570656</c:v>
                </c:pt>
                <c:pt idx="19">
                  <c:v>105.67210471047105</c:v>
                </c:pt>
                <c:pt idx="20">
                  <c:v>105.8900315031503</c:v>
                </c:pt>
                <c:pt idx="21">
                  <c:v>104.40484548454845</c:v>
                </c:pt>
                <c:pt idx="22">
                  <c:v>103.62269726972697</c:v>
                </c:pt>
                <c:pt idx="23">
                  <c:v>101.47626762676266</c:v>
                </c:pt>
                <c:pt idx="24">
                  <c:v>101.45835583558355</c:v>
                </c:pt>
                <c:pt idx="25">
                  <c:v>101.84196669666964</c:v>
                </c:pt>
                <c:pt idx="26">
                  <c:v>101.00309780978095</c:v>
                </c:pt>
                <c:pt idx="27">
                  <c:v>102.23453345334532</c:v>
                </c:pt>
                <c:pt idx="28">
                  <c:v>102.46738673867385</c:v>
                </c:pt>
                <c:pt idx="29">
                  <c:v>103.38835133513349</c:v>
                </c:pt>
                <c:pt idx="30">
                  <c:v>104.50783828382836</c:v>
                </c:pt>
                <c:pt idx="31">
                  <c:v>105.74972247224721</c:v>
                </c:pt>
                <c:pt idx="32">
                  <c:v>105.47955295529552</c:v>
                </c:pt>
                <c:pt idx="33">
                  <c:v>105.15714071407139</c:v>
                </c:pt>
                <c:pt idx="34">
                  <c:v>104.86159615961594</c:v>
                </c:pt>
                <c:pt idx="35">
                  <c:v>104.86010351035102</c:v>
                </c:pt>
                <c:pt idx="36">
                  <c:v>105.27207470747074</c:v>
                </c:pt>
                <c:pt idx="37">
                  <c:v>105.46611911191118</c:v>
                </c:pt>
                <c:pt idx="38">
                  <c:v>105.7825607560756</c:v>
                </c:pt>
                <c:pt idx="39">
                  <c:v>106.44380438043804</c:v>
                </c:pt>
                <c:pt idx="40">
                  <c:v>105.67359735973596</c:v>
                </c:pt>
                <c:pt idx="41">
                  <c:v>104.83771377137712</c:v>
                </c:pt>
                <c:pt idx="42">
                  <c:v>104.79442694269426</c:v>
                </c:pt>
                <c:pt idx="43">
                  <c:v>105.61986198619861</c:v>
                </c:pt>
                <c:pt idx="44">
                  <c:v>105.97511251125111</c:v>
                </c:pt>
                <c:pt idx="45">
                  <c:v>106.41544404440442</c:v>
                </c:pt>
                <c:pt idx="46">
                  <c:v>106.54231923192317</c:v>
                </c:pt>
                <c:pt idx="47">
                  <c:v>107.236401140114</c:v>
                </c:pt>
                <c:pt idx="48">
                  <c:v>107.62001200120011</c:v>
                </c:pt>
                <c:pt idx="49">
                  <c:v>107.34984248424843</c:v>
                </c:pt>
                <c:pt idx="50">
                  <c:v>107.72599009900989</c:v>
                </c:pt>
                <c:pt idx="51">
                  <c:v>108.42454995499548</c:v>
                </c:pt>
                <c:pt idx="52">
                  <c:v>107.95138013801379</c:v>
                </c:pt>
                <c:pt idx="53">
                  <c:v>107.61851935193518</c:v>
                </c:pt>
                <c:pt idx="54">
                  <c:v>108.73800630063005</c:v>
                </c:pt>
                <c:pt idx="55">
                  <c:v>106.830400540054</c:v>
                </c:pt>
                <c:pt idx="56">
                  <c:v>107.2140114011401</c:v>
                </c:pt>
                <c:pt idx="57">
                  <c:v>107.93048304830482</c:v>
                </c:pt>
                <c:pt idx="58">
                  <c:v>108.91413891389136</c:v>
                </c:pt>
                <c:pt idx="59">
                  <c:v>108.41410141014101</c:v>
                </c:pt>
                <c:pt idx="60">
                  <c:v>107.25282028202818</c:v>
                </c:pt>
                <c:pt idx="61">
                  <c:v>108.08422592259225</c:v>
                </c:pt>
                <c:pt idx="62">
                  <c:v>108.78726372637263</c:v>
                </c:pt>
                <c:pt idx="63">
                  <c:v>108.23050555055505</c:v>
                </c:pt>
                <c:pt idx="64">
                  <c:v>108.55291779177917</c:v>
                </c:pt>
                <c:pt idx="65">
                  <c:v>109.44850735073506</c:v>
                </c:pt>
                <c:pt idx="66">
                  <c:v>109.38581608160816</c:v>
                </c:pt>
                <c:pt idx="67">
                  <c:v>109.60523552355234</c:v>
                </c:pt>
                <c:pt idx="68">
                  <c:v>110.71128862886287</c:v>
                </c:pt>
                <c:pt idx="69">
                  <c:v>109.37686018601859</c:v>
                </c:pt>
                <c:pt idx="70">
                  <c:v>110.03511851185117</c:v>
                </c:pt>
                <c:pt idx="71">
                  <c:v>110.20826582658265</c:v>
                </c:pt>
                <c:pt idx="72">
                  <c:v>110.94712721272126</c:v>
                </c:pt>
                <c:pt idx="73">
                  <c:v>111.33521602160215</c:v>
                </c:pt>
                <c:pt idx="74">
                  <c:v>110.95608310831082</c:v>
                </c:pt>
                <c:pt idx="75">
                  <c:v>111.22177467746774</c:v>
                </c:pt>
                <c:pt idx="76">
                  <c:v>111.80987848784878</c:v>
                </c:pt>
                <c:pt idx="77">
                  <c:v>111.32327482748272</c:v>
                </c:pt>
                <c:pt idx="78">
                  <c:v>109.92167716771675</c:v>
                </c:pt>
                <c:pt idx="79">
                  <c:v>108.50515301530152</c:v>
                </c:pt>
                <c:pt idx="80">
                  <c:v>108.17975547554754</c:v>
                </c:pt>
                <c:pt idx="81">
                  <c:v>108.77233723372336</c:v>
                </c:pt>
                <c:pt idx="82">
                  <c:v>108.25438793879387</c:v>
                </c:pt>
                <c:pt idx="83">
                  <c:v>108.33797629762974</c:v>
                </c:pt>
                <c:pt idx="84">
                  <c:v>109.25446294629462</c:v>
                </c:pt>
                <c:pt idx="85">
                  <c:v>109.01713171317131</c:v>
                </c:pt>
                <c:pt idx="86">
                  <c:v>109.26491149114909</c:v>
                </c:pt>
                <c:pt idx="87">
                  <c:v>109.99332433243323</c:v>
                </c:pt>
                <c:pt idx="88">
                  <c:v>109.69180918091807</c:v>
                </c:pt>
                <c:pt idx="89">
                  <c:v>109.87839033903388</c:v>
                </c:pt>
                <c:pt idx="90">
                  <c:v>108.85294029402939</c:v>
                </c:pt>
                <c:pt idx="91">
                  <c:v>106.99160666066605</c:v>
                </c:pt>
                <c:pt idx="92">
                  <c:v>106.7244224422442</c:v>
                </c:pt>
                <c:pt idx="93">
                  <c:v>105.28401590159015</c:v>
                </c:pt>
                <c:pt idx="94">
                  <c:v>103.24207170717069</c:v>
                </c:pt>
                <c:pt idx="95">
                  <c:v>105.76315631563155</c:v>
                </c:pt>
                <c:pt idx="96">
                  <c:v>104.75114011401138</c:v>
                </c:pt>
                <c:pt idx="97">
                  <c:v>102.77188718871885</c:v>
                </c:pt>
                <c:pt idx="98">
                  <c:v>102.29722472247224</c:v>
                </c:pt>
                <c:pt idx="99">
                  <c:v>101.05832583258324</c:v>
                </c:pt>
                <c:pt idx="100">
                  <c:v>99.19699219921992</c:v>
                </c:pt>
                <c:pt idx="101">
                  <c:v>99.862713771377116</c:v>
                </c:pt>
                <c:pt idx="102">
                  <c:v>101.01802430243023</c:v>
                </c:pt>
                <c:pt idx="103">
                  <c:v>104.1600510051005</c:v>
                </c:pt>
                <c:pt idx="104">
                  <c:v>105.05414791479146</c:v>
                </c:pt>
                <c:pt idx="105">
                  <c:v>104.17647014701468</c:v>
                </c:pt>
                <c:pt idx="106">
                  <c:v>104.77054455445543</c:v>
                </c:pt>
                <c:pt idx="107">
                  <c:v>104.32274977497748</c:v>
                </c:pt>
                <c:pt idx="108">
                  <c:v>104.31528652865285</c:v>
                </c:pt>
                <c:pt idx="109">
                  <c:v>104.40633813381338</c:v>
                </c:pt>
                <c:pt idx="110">
                  <c:v>102.58978397839782</c:v>
                </c:pt>
                <c:pt idx="111">
                  <c:v>102.74949744974496</c:v>
                </c:pt>
                <c:pt idx="112">
                  <c:v>102.60471047104708</c:v>
                </c:pt>
                <c:pt idx="113">
                  <c:v>101.90615061506149</c:v>
                </c:pt>
                <c:pt idx="114">
                  <c:v>102.7793504350435</c:v>
                </c:pt>
                <c:pt idx="115">
                  <c:v>102.54649714971495</c:v>
                </c:pt>
                <c:pt idx="116">
                  <c:v>102.15990099009899</c:v>
                </c:pt>
                <c:pt idx="117">
                  <c:v>98.92682268226821</c:v>
                </c:pt>
                <c:pt idx="118">
                  <c:v>99.208933393339322</c:v>
                </c:pt>
                <c:pt idx="119">
                  <c:v>99.114896489648956</c:v>
                </c:pt>
                <c:pt idx="120">
                  <c:v>99.473132313231304</c:v>
                </c:pt>
              </c:numCache>
            </c:numRef>
          </c:val>
          <c:smooth val="0"/>
          <c:extLst>
            <c:ext xmlns:c16="http://schemas.microsoft.com/office/drawing/2014/chart" uri="{C3380CC4-5D6E-409C-BE32-E72D297353CC}">
              <c16:uniqueId val="{00000002-D1C5-4EE6-A4E6-43199C045214}"/>
            </c:ext>
          </c:extLst>
        </c:ser>
        <c:ser>
          <c:idx val="3"/>
          <c:order val="3"/>
          <c:tx>
            <c:strRef>
              <c:f>'12 luni indici pana in sept (2'!$P$1</c:f>
              <c:strCache>
                <c:ptCount val="1"/>
                <c:pt idx="0">
                  <c:v>BETPlus (rebased)</c:v>
                </c:pt>
              </c:strCache>
            </c:strRef>
          </c:tx>
          <c:spPr>
            <a:ln w="28575" cap="rnd" cmpd="dbl">
              <a:solidFill>
                <a:schemeClr val="accent4"/>
              </a:solidFill>
              <a:round/>
            </a:ln>
            <a:effectLst/>
          </c:spPr>
          <c:marker>
            <c:symbol val="none"/>
          </c:marker>
          <c:cat>
            <c:strRef>
              <c:f>'12 luni indici pana in sept (2'!$A$552:$A$672</c:f>
              <c:strCache>
                <c:ptCount val="108"/>
                <c:pt idx="2">
                  <c:v>Jan. 2018</c:v>
                </c:pt>
                <c:pt idx="22">
                  <c:v>Feb. 2018</c:v>
                </c:pt>
                <c:pt idx="42">
                  <c:v>Mar. 2018</c:v>
                </c:pt>
                <c:pt idx="63">
                  <c:v>Apr. 2018</c:v>
                </c:pt>
                <c:pt idx="87">
                  <c:v>May 2018</c:v>
                </c:pt>
                <c:pt idx="107">
                  <c:v>Jun. 2018</c:v>
                </c:pt>
              </c:strCache>
            </c:strRef>
          </c:cat>
          <c:val>
            <c:numRef>
              <c:f>'12 luni indici pana in sept (2'!$P$552:$P$672</c:f>
              <c:numCache>
                <c:formatCode>0.00</c:formatCode>
                <c:ptCount val="121"/>
                <c:pt idx="0">
                  <c:v>99.5</c:v>
                </c:pt>
                <c:pt idx="1">
                  <c:v>100.07007824331147</c:v>
                </c:pt>
                <c:pt idx="2">
                  <c:v>100.28019518761569</c:v>
                </c:pt>
                <c:pt idx="3">
                  <c:v>100.30279740871615</c:v>
                </c:pt>
                <c:pt idx="4">
                  <c:v>100.89296651522801</c:v>
                </c:pt>
                <c:pt idx="5">
                  <c:v>100.9323111223288</c:v>
                </c:pt>
                <c:pt idx="6">
                  <c:v>102.54627713276123</c:v>
                </c:pt>
                <c:pt idx="7">
                  <c:v>103.76763419148578</c:v>
                </c:pt>
                <c:pt idx="8">
                  <c:v>103.62197543328286</c:v>
                </c:pt>
                <c:pt idx="9">
                  <c:v>103.3507487800774</c:v>
                </c:pt>
                <c:pt idx="10">
                  <c:v>104.28162544169612</c:v>
                </c:pt>
                <c:pt idx="11">
                  <c:v>104.99066548881038</c:v>
                </c:pt>
                <c:pt idx="12">
                  <c:v>104.87849150260811</c:v>
                </c:pt>
                <c:pt idx="13">
                  <c:v>106.5301278815413</c:v>
                </c:pt>
                <c:pt idx="14">
                  <c:v>105.87466346962815</c:v>
                </c:pt>
                <c:pt idx="15">
                  <c:v>105.5892057883224</c:v>
                </c:pt>
                <c:pt idx="16">
                  <c:v>105.81522799932695</c:v>
                </c:pt>
                <c:pt idx="17">
                  <c:v>105.6938457008245</c:v>
                </c:pt>
                <c:pt idx="18">
                  <c:v>104.98815413091033</c:v>
                </c:pt>
                <c:pt idx="19">
                  <c:v>105.11707050311291</c:v>
                </c:pt>
                <c:pt idx="20">
                  <c:v>104.45658337539963</c:v>
                </c:pt>
                <c:pt idx="21">
                  <c:v>103.53240366818106</c:v>
                </c:pt>
                <c:pt idx="22">
                  <c:v>102.73714033316507</c:v>
                </c:pt>
                <c:pt idx="23">
                  <c:v>100.53216809692076</c:v>
                </c:pt>
                <c:pt idx="24">
                  <c:v>100.62090274272254</c:v>
                </c:pt>
                <c:pt idx="25">
                  <c:v>101.23367407033486</c:v>
                </c:pt>
                <c:pt idx="26">
                  <c:v>100.46519855291942</c:v>
                </c:pt>
                <c:pt idx="27">
                  <c:v>101.8179833417466</c:v>
                </c:pt>
                <c:pt idx="28">
                  <c:v>102.1963612653542</c:v>
                </c:pt>
                <c:pt idx="29">
                  <c:v>102.4993984519603</c:v>
                </c:pt>
                <c:pt idx="30">
                  <c:v>103.6387178192832</c:v>
                </c:pt>
                <c:pt idx="31">
                  <c:v>104.49257950530036</c:v>
                </c:pt>
                <c:pt idx="32">
                  <c:v>104.28413679959617</c:v>
                </c:pt>
                <c:pt idx="33">
                  <c:v>104.26655729429581</c:v>
                </c:pt>
                <c:pt idx="34">
                  <c:v>103.91915278478885</c:v>
                </c:pt>
                <c:pt idx="35">
                  <c:v>104.00788743059063</c:v>
                </c:pt>
                <c:pt idx="36">
                  <c:v>104.79729093050649</c:v>
                </c:pt>
                <c:pt idx="37">
                  <c:v>105.10367659431265</c:v>
                </c:pt>
                <c:pt idx="38">
                  <c:v>105.5933913848225</c:v>
                </c:pt>
                <c:pt idx="39">
                  <c:v>106.0412502103315</c:v>
                </c:pt>
                <c:pt idx="40">
                  <c:v>105.56660356722195</c:v>
                </c:pt>
                <c:pt idx="41">
                  <c:v>104.83663553760726</c:v>
                </c:pt>
                <c:pt idx="42">
                  <c:v>105.2258960121151</c:v>
                </c:pt>
                <c:pt idx="43">
                  <c:v>105.81857647652701</c:v>
                </c:pt>
                <c:pt idx="44">
                  <c:v>105.93158758202929</c:v>
                </c:pt>
                <c:pt idx="45">
                  <c:v>106.24299596163556</c:v>
                </c:pt>
                <c:pt idx="46">
                  <c:v>106.32587077233723</c:v>
                </c:pt>
                <c:pt idx="47">
                  <c:v>107.28520949015649</c:v>
                </c:pt>
                <c:pt idx="48">
                  <c:v>107.9021664142689</c:v>
                </c:pt>
                <c:pt idx="49">
                  <c:v>107.7925037859667</c:v>
                </c:pt>
                <c:pt idx="50">
                  <c:v>108.86150513208818</c:v>
                </c:pt>
                <c:pt idx="51">
                  <c:v>110.39510768971901</c:v>
                </c:pt>
                <c:pt idx="52">
                  <c:v>109.86521117280836</c:v>
                </c:pt>
                <c:pt idx="53">
                  <c:v>109.36293959279827</c:v>
                </c:pt>
                <c:pt idx="54">
                  <c:v>110.01589264681138</c:v>
                </c:pt>
                <c:pt idx="55">
                  <c:v>108.23868837287566</c:v>
                </c:pt>
                <c:pt idx="56">
                  <c:v>108.44880531717989</c:v>
                </c:pt>
                <c:pt idx="57">
                  <c:v>109.36879942789838</c:v>
                </c:pt>
                <c:pt idx="58">
                  <c:v>109.59482163890293</c:v>
                </c:pt>
                <c:pt idx="59">
                  <c:v>109.39056452969881</c:v>
                </c:pt>
                <c:pt idx="60">
                  <c:v>108.83806579168771</c:v>
                </c:pt>
                <c:pt idx="61">
                  <c:v>109.23988305569578</c:v>
                </c:pt>
                <c:pt idx="62">
                  <c:v>109.88111643950866</c:v>
                </c:pt>
                <c:pt idx="63">
                  <c:v>109.83340063940771</c:v>
                </c:pt>
                <c:pt idx="64">
                  <c:v>109.69443883560493</c:v>
                </c:pt>
                <c:pt idx="65">
                  <c:v>110.96518593303045</c:v>
                </c:pt>
                <c:pt idx="66">
                  <c:v>110.76009170452633</c:v>
                </c:pt>
                <c:pt idx="67">
                  <c:v>110.61108446912334</c:v>
                </c:pt>
                <c:pt idx="68">
                  <c:v>111.78723708564699</c:v>
                </c:pt>
                <c:pt idx="69">
                  <c:v>111.20376493353527</c:v>
                </c:pt>
                <c:pt idx="70">
                  <c:v>111.53610129564196</c:v>
                </c:pt>
                <c:pt idx="71">
                  <c:v>111.78974844354704</c:v>
                </c:pt>
                <c:pt idx="72">
                  <c:v>111.9521495877503</c:v>
                </c:pt>
                <c:pt idx="73">
                  <c:v>112.13213023725392</c:v>
                </c:pt>
                <c:pt idx="74">
                  <c:v>111.86341494194852</c:v>
                </c:pt>
                <c:pt idx="75">
                  <c:v>112.28699730775702</c:v>
                </c:pt>
                <c:pt idx="76">
                  <c:v>112.78424617196703</c:v>
                </c:pt>
                <c:pt idx="77">
                  <c:v>112.77085226316677</c:v>
                </c:pt>
                <c:pt idx="78">
                  <c:v>111.66669190644457</c:v>
                </c:pt>
                <c:pt idx="79">
                  <c:v>110.10211593471311</c:v>
                </c:pt>
                <c:pt idx="80">
                  <c:v>109.36126535419824</c:v>
                </c:pt>
                <c:pt idx="81">
                  <c:v>109.46339390880027</c:v>
                </c:pt>
                <c:pt idx="82">
                  <c:v>109.19300437489485</c:v>
                </c:pt>
                <c:pt idx="83">
                  <c:v>110.16406276291436</c:v>
                </c:pt>
                <c:pt idx="84">
                  <c:v>110.85970890122834</c:v>
                </c:pt>
                <c:pt idx="85">
                  <c:v>109.93050647820967</c:v>
                </c:pt>
                <c:pt idx="86">
                  <c:v>109.8024272253071</c:v>
                </c:pt>
                <c:pt idx="87">
                  <c:v>110.5491376409221</c:v>
                </c:pt>
                <c:pt idx="88">
                  <c:v>110.15485445061418</c:v>
                </c:pt>
                <c:pt idx="89">
                  <c:v>109.78568483930675</c:v>
                </c:pt>
                <c:pt idx="90">
                  <c:v>108.84559986538785</c:v>
                </c:pt>
                <c:pt idx="91">
                  <c:v>107.62759128386338</c:v>
                </c:pt>
                <c:pt idx="92">
                  <c:v>106.79549469964665</c:v>
                </c:pt>
                <c:pt idx="93">
                  <c:v>105.51051657412083</c:v>
                </c:pt>
                <c:pt idx="94">
                  <c:v>103.58849066128219</c:v>
                </c:pt>
                <c:pt idx="95">
                  <c:v>105.55237253912168</c:v>
                </c:pt>
                <c:pt idx="96">
                  <c:v>104.52857563520109</c:v>
                </c:pt>
                <c:pt idx="97">
                  <c:v>103.64122917718325</c:v>
                </c:pt>
                <c:pt idx="98">
                  <c:v>103.63955493858322</c:v>
                </c:pt>
                <c:pt idx="99">
                  <c:v>102.97990493016997</c:v>
                </c:pt>
                <c:pt idx="100">
                  <c:v>100.75400471142521</c:v>
                </c:pt>
                <c:pt idx="101">
                  <c:v>101.49987800774021</c:v>
                </c:pt>
                <c:pt idx="102">
                  <c:v>101.62460878344271</c:v>
                </c:pt>
                <c:pt idx="103">
                  <c:v>103.49557041898032</c:v>
                </c:pt>
                <c:pt idx="104">
                  <c:v>103.90408463738854</c:v>
                </c:pt>
                <c:pt idx="105">
                  <c:v>103.90324751808852</c:v>
                </c:pt>
                <c:pt idx="106">
                  <c:v>103.47966515228001</c:v>
                </c:pt>
                <c:pt idx="107">
                  <c:v>103.58430506478211</c:v>
                </c:pt>
                <c:pt idx="108">
                  <c:v>103.97189130068989</c:v>
                </c:pt>
                <c:pt idx="109">
                  <c:v>103.94845196028942</c:v>
                </c:pt>
                <c:pt idx="110">
                  <c:v>102.44665993605923</c:v>
                </c:pt>
                <c:pt idx="111">
                  <c:v>102.8677309439677</c:v>
                </c:pt>
                <c:pt idx="112">
                  <c:v>102.44749705535925</c:v>
                </c:pt>
                <c:pt idx="113">
                  <c:v>101.51076055864041</c:v>
                </c:pt>
                <c:pt idx="114">
                  <c:v>102.00549806495037</c:v>
                </c:pt>
                <c:pt idx="115">
                  <c:v>101.93015732794886</c:v>
                </c:pt>
                <c:pt idx="116">
                  <c:v>101.67567306074373</c:v>
                </c:pt>
                <c:pt idx="117">
                  <c:v>100.07258960121152</c:v>
                </c:pt>
                <c:pt idx="118">
                  <c:v>100.05752145381122</c:v>
                </c:pt>
                <c:pt idx="119">
                  <c:v>99.99390038700993</c:v>
                </c:pt>
                <c:pt idx="120">
                  <c:v>100.64099360592294</c:v>
                </c:pt>
              </c:numCache>
            </c:numRef>
          </c:val>
          <c:smooth val="0"/>
          <c:extLst>
            <c:ext xmlns:c16="http://schemas.microsoft.com/office/drawing/2014/chart" uri="{C3380CC4-5D6E-409C-BE32-E72D297353CC}">
              <c16:uniqueId val="{00000003-D1C5-4EE6-A4E6-43199C045214}"/>
            </c:ext>
          </c:extLst>
        </c:ser>
        <c:ser>
          <c:idx val="4"/>
          <c:order val="4"/>
          <c:tx>
            <c:strRef>
              <c:f>'12 luni indici pana in sept (2'!$R$1</c:f>
              <c:strCache>
                <c:ptCount val="1"/>
                <c:pt idx="0">
                  <c:v>BET-TR (rebased)</c:v>
                </c:pt>
              </c:strCache>
            </c:strRef>
          </c:tx>
          <c:spPr>
            <a:ln w="28575" cap="rnd" cmpd="dbl">
              <a:solidFill>
                <a:schemeClr val="tx1">
                  <a:lumMod val="50000"/>
                  <a:lumOff val="50000"/>
                </a:schemeClr>
              </a:solidFill>
              <a:round/>
            </a:ln>
            <a:effectLst/>
          </c:spPr>
          <c:marker>
            <c:symbol val="none"/>
          </c:marker>
          <c:cat>
            <c:strRef>
              <c:f>'12 luni indici pana in sept (2'!$A$552:$A$672</c:f>
              <c:strCache>
                <c:ptCount val="108"/>
                <c:pt idx="2">
                  <c:v>Jan. 2018</c:v>
                </c:pt>
                <c:pt idx="22">
                  <c:v>Feb. 2018</c:v>
                </c:pt>
                <c:pt idx="42">
                  <c:v>Mar. 2018</c:v>
                </c:pt>
                <c:pt idx="63">
                  <c:v>Apr. 2018</c:v>
                </c:pt>
                <c:pt idx="87">
                  <c:v>May 2018</c:v>
                </c:pt>
                <c:pt idx="107">
                  <c:v>Jun. 2018</c:v>
                </c:pt>
              </c:strCache>
            </c:strRef>
          </c:cat>
          <c:val>
            <c:numRef>
              <c:f>'12 luni indici pana in sept (2'!$R$552:$R$672</c:f>
              <c:numCache>
                <c:formatCode>0.00</c:formatCode>
                <c:ptCount val="121"/>
                <c:pt idx="0">
                  <c:v>99.5</c:v>
                </c:pt>
                <c:pt idx="1">
                  <c:v>100.19792813743956</c:v>
                </c:pt>
                <c:pt idx="2">
                  <c:v>100.44738200718268</c:v>
                </c:pt>
                <c:pt idx="3">
                  <c:v>100.39994273037857</c:v>
                </c:pt>
                <c:pt idx="4">
                  <c:v>101.05641998098535</c:v>
                </c:pt>
                <c:pt idx="5">
                  <c:v>101.05978845034423</c:v>
                </c:pt>
                <c:pt idx="6">
                  <c:v>102.73812830840207</c:v>
                </c:pt>
                <c:pt idx="7">
                  <c:v>104.01421678385466</c:v>
                </c:pt>
                <c:pt idx="8">
                  <c:v>103.837091436734</c:v>
                </c:pt>
                <c:pt idx="9">
                  <c:v>103.56826886817737</c:v>
                </c:pt>
                <c:pt idx="10">
                  <c:v>104.62306762047074</c:v>
                </c:pt>
                <c:pt idx="11">
                  <c:v>105.35075057058035</c:v>
                </c:pt>
                <c:pt idx="12">
                  <c:v>105.20992983766084</c:v>
                </c:pt>
                <c:pt idx="13">
                  <c:v>106.83774265533562</c:v>
                </c:pt>
                <c:pt idx="14">
                  <c:v>106.16395521496797</c:v>
                </c:pt>
                <c:pt idx="15">
                  <c:v>105.86930771466</c:v>
                </c:pt>
                <c:pt idx="16">
                  <c:v>106.13803671462331</c:v>
                </c:pt>
                <c:pt idx="17">
                  <c:v>106.00554358650768</c:v>
                </c:pt>
                <c:pt idx="18">
                  <c:v>105.23874896439784</c:v>
                </c:pt>
                <c:pt idx="19">
                  <c:v>105.32492563882899</c:v>
                </c:pt>
                <c:pt idx="20">
                  <c:v>104.68407434330364</c:v>
                </c:pt>
                <c:pt idx="21">
                  <c:v>103.72630622226443</c:v>
                </c:pt>
                <c:pt idx="22">
                  <c:v>102.94500846819278</c:v>
                </c:pt>
                <c:pt idx="23">
                  <c:v>100.7534448758735</c:v>
                </c:pt>
                <c:pt idx="24">
                  <c:v>100.84860413526164</c:v>
                </c:pt>
                <c:pt idx="25">
                  <c:v>101.50788844366747</c:v>
                </c:pt>
                <c:pt idx="26">
                  <c:v>100.69365454475351</c:v>
                </c:pt>
                <c:pt idx="27">
                  <c:v>102.04151013126874</c:v>
                </c:pt>
                <c:pt idx="28">
                  <c:v>102.39257949333781</c:v>
                </c:pt>
                <c:pt idx="29">
                  <c:v>102.76357896578023</c:v>
                </c:pt>
                <c:pt idx="30">
                  <c:v>103.93880049765325</c:v>
                </c:pt>
                <c:pt idx="31">
                  <c:v>104.79701163541914</c:v>
                </c:pt>
                <c:pt idx="32">
                  <c:v>104.62989812778177</c:v>
                </c:pt>
                <c:pt idx="33">
                  <c:v>104.52641126358978</c:v>
                </c:pt>
                <c:pt idx="34">
                  <c:v>104.21426643633433</c:v>
                </c:pt>
                <c:pt idx="35">
                  <c:v>104.32954294328238</c:v>
                </c:pt>
                <c:pt idx="36">
                  <c:v>105.14480609672265</c:v>
                </c:pt>
                <c:pt idx="37">
                  <c:v>105.43458803017892</c:v>
                </c:pt>
                <c:pt idx="38">
                  <c:v>105.89691044968407</c:v>
                </c:pt>
                <c:pt idx="39">
                  <c:v>106.36756047399311</c:v>
                </c:pt>
                <c:pt idx="40">
                  <c:v>105.84993901584646</c:v>
                </c:pt>
                <c:pt idx="41">
                  <c:v>105.095027605086</c:v>
                </c:pt>
                <c:pt idx="42">
                  <c:v>105.49250698943285</c:v>
                </c:pt>
                <c:pt idx="43">
                  <c:v>106.11239892005857</c:v>
                </c:pt>
                <c:pt idx="44">
                  <c:v>106.24695055722682</c:v>
                </c:pt>
                <c:pt idx="45">
                  <c:v>106.6020433688079</c:v>
                </c:pt>
                <c:pt idx="46">
                  <c:v>106.67184553941118</c:v>
                </c:pt>
                <c:pt idx="47">
                  <c:v>107.69801230215414</c:v>
                </c:pt>
                <c:pt idx="48">
                  <c:v>108.32220838807174</c:v>
                </c:pt>
                <c:pt idx="49">
                  <c:v>108.24099084908561</c:v>
                </c:pt>
                <c:pt idx="50">
                  <c:v>109.32301806202986</c:v>
                </c:pt>
                <c:pt idx="51">
                  <c:v>110.94081904022131</c:v>
                </c:pt>
                <c:pt idx="52">
                  <c:v>110.4144957028976</c:v>
                </c:pt>
                <c:pt idx="53">
                  <c:v>109.86609017755464</c:v>
                </c:pt>
                <c:pt idx="54">
                  <c:v>110.59152748142498</c:v>
                </c:pt>
                <c:pt idx="55">
                  <c:v>108.75178179992119</c:v>
                </c:pt>
                <c:pt idx="56">
                  <c:v>108.97821779571201</c:v>
                </c:pt>
                <c:pt idx="57">
                  <c:v>109.7571763349511</c:v>
                </c:pt>
                <c:pt idx="58">
                  <c:v>109.98052456716296</c:v>
                </c:pt>
                <c:pt idx="59">
                  <c:v>109.80555129768823</c:v>
                </c:pt>
                <c:pt idx="60">
                  <c:v>109.21026790710096</c:v>
                </c:pt>
                <c:pt idx="61">
                  <c:v>109.64077700488343</c:v>
                </c:pt>
                <c:pt idx="62">
                  <c:v>110.32663479378704</c:v>
                </c:pt>
                <c:pt idx="63">
                  <c:v>110.26740587422688</c:v>
                </c:pt>
                <c:pt idx="64">
                  <c:v>110.15802418865684</c:v>
                </c:pt>
                <c:pt idx="65">
                  <c:v>111.46704880895174</c:v>
                </c:pt>
                <c:pt idx="66">
                  <c:v>111.21796921358182</c:v>
                </c:pt>
                <c:pt idx="67">
                  <c:v>111.03719469132238</c:v>
                </c:pt>
                <c:pt idx="68">
                  <c:v>112.28867462673654</c:v>
                </c:pt>
                <c:pt idx="69">
                  <c:v>111.5782082977945</c:v>
                </c:pt>
                <c:pt idx="70">
                  <c:v>111.98102109195958</c:v>
                </c:pt>
                <c:pt idx="71">
                  <c:v>112.27127086838236</c:v>
                </c:pt>
                <c:pt idx="72">
                  <c:v>112.352956250335</c:v>
                </c:pt>
                <c:pt idx="73">
                  <c:v>112.59174330044169</c:v>
                </c:pt>
                <c:pt idx="74">
                  <c:v>112.18500062535793</c:v>
                </c:pt>
                <c:pt idx="75">
                  <c:v>112.64526453581044</c:v>
                </c:pt>
                <c:pt idx="76">
                  <c:v>113.24812698245518</c:v>
                </c:pt>
                <c:pt idx="77">
                  <c:v>113.26431434909642</c:v>
                </c:pt>
                <c:pt idx="78">
                  <c:v>112.01320868805547</c:v>
                </c:pt>
                <c:pt idx="79">
                  <c:v>110.4275953059599</c:v>
                </c:pt>
                <c:pt idx="80">
                  <c:v>109.59464768838555</c:v>
                </c:pt>
                <c:pt idx="81">
                  <c:v>109.80302494566909</c:v>
                </c:pt>
                <c:pt idx="82">
                  <c:v>109.47038859648049</c:v>
                </c:pt>
                <c:pt idx="83">
                  <c:v>110.5124620200848</c:v>
                </c:pt>
                <c:pt idx="84">
                  <c:v>111.26381782429981</c:v>
                </c:pt>
                <c:pt idx="85">
                  <c:v>111.56791575253128</c:v>
                </c:pt>
                <c:pt idx="86">
                  <c:v>111.40594851752553</c:v>
                </c:pt>
                <c:pt idx="87">
                  <c:v>112.15926926219989</c:v>
                </c:pt>
                <c:pt idx="88">
                  <c:v>111.7005024492402</c:v>
                </c:pt>
                <c:pt idx="89">
                  <c:v>111.43205415505678</c:v>
                </c:pt>
                <c:pt idx="90">
                  <c:v>110.45847294174955</c:v>
                </c:pt>
                <c:pt idx="91">
                  <c:v>109.15347177096665</c:v>
                </c:pt>
                <c:pt idx="92">
                  <c:v>108.33016171850241</c:v>
                </c:pt>
                <c:pt idx="93">
                  <c:v>107.0299325459779</c:v>
                </c:pt>
                <c:pt idx="94">
                  <c:v>105.21666677637859</c:v>
                </c:pt>
                <c:pt idx="95">
                  <c:v>107.36537595296555</c:v>
                </c:pt>
                <c:pt idx="96">
                  <c:v>106.2881207382797</c:v>
                </c:pt>
                <c:pt idx="97">
                  <c:v>106.28063525081555</c:v>
                </c:pt>
                <c:pt idx="98">
                  <c:v>106.26547713870062</c:v>
                </c:pt>
                <c:pt idx="99">
                  <c:v>105.46396856847574</c:v>
                </c:pt>
                <c:pt idx="100">
                  <c:v>103.10604001726551</c:v>
                </c:pt>
                <c:pt idx="101">
                  <c:v>103.89575894473434</c:v>
                </c:pt>
                <c:pt idx="102">
                  <c:v>105.36431801660912</c:v>
                </c:pt>
                <c:pt idx="103">
                  <c:v>107.41178597524333</c:v>
                </c:pt>
                <c:pt idx="104">
                  <c:v>107.9164949675143</c:v>
                </c:pt>
                <c:pt idx="105">
                  <c:v>108.33250093333497</c:v>
                </c:pt>
                <c:pt idx="106">
                  <c:v>109.5407521786436</c:v>
                </c:pt>
                <c:pt idx="107">
                  <c:v>109.71825180013747</c:v>
                </c:pt>
                <c:pt idx="108">
                  <c:v>110.17823500481008</c:v>
                </c:pt>
                <c:pt idx="109">
                  <c:v>110.18085492542254</c:v>
                </c:pt>
                <c:pt idx="110">
                  <c:v>108.48670197509665</c:v>
                </c:pt>
                <c:pt idx="111">
                  <c:v>108.97382007182682</c:v>
                </c:pt>
                <c:pt idx="112">
                  <c:v>108.46536833582378</c:v>
                </c:pt>
                <c:pt idx="113">
                  <c:v>107.45202047036321</c:v>
                </c:pt>
                <c:pt idx="114">
                  <c:v>108.0812692603191</c:v>
                </c:pt>
                <c:pt idx="115">
                  <c:v>107.93389872586847</c:v>
                </c:pt>
                <c:pt idx="116">
                  <c:v>107.74273808975249</c:v>
                </c:pt>
                <c:pt idx="117">
                  <c:v>106.6917756497845</c:v>
                </c:pt>
                <c:pt idx="118">
                  <c:v>106.68765863167921</c:v>
                </c:pt>
                <c:pt idx="119">
                  <c:v>106.35492871389734</c:v>
                </c:pt>
                <c:pt idx="120">
                  <c:v>107.01496157104958</c:v>
                </c:pt>
              </c:numCache>
            </c:numRef>
          </c:val>
          <c:smooth val="0"/>
          <c:extLst>
            <c:ext xmlns:c16="http://schemas.microsoft.com/office/drawing/2014/chart" uri="{C3380CC4-5D6E-409C-BE32-E72D297353CC}">
              <c16:uniqueId val="{00000004-D1C5-4EE6-A4E6-43199C045214}"/>
            </c:ext>
          </c:extLst>
        </c:ser>
        <c:ser>
          <c:idx val="5"/>
          <c:order val="5"/>
          <c:tx>
            <c:strRef>
              <c:f>'12 luni indici pana in sept (2'!$T$1</c:f>
              <c:strCache>
                <c:ptCount val="1"/>
                <c:pt idx="0">
                  <c:v>BET-XT (rebased)</c:v>
                </c:pt>
              </c:strCache>
            </c:strRef>
          </c:tx>
          <c:spPr>
            <a:ln w="28575" cap="rnd" cmpd="dbl">
              <a:solidFill>
                <a:schemeClr val="accent6"/>
              </a:solidFill>
              <a:round/>
            </a:ln>
            <a:effectLst/>
          </c:spPr>
          <c:marker>
            <c:symbol val="none"/>
          </c:marker>
          <c:cat>
            <c:strRef>
              <c:f>'12 luni indici pana in sept (2'!$A$552:$A$672</c:f>
              <c:strCache>
                <c:ptCount val="108"/>
                <c:pt idx="2">
                  <c:v>Jan. 2018</c:v>
                </c:pt>
                <c:pt idx="22">
                  <c:v>Feb. 2018</c:v>
                </c:pt>
                <c:pt idx="42">
                  <c:v>Mar. 2018</c:v>
                </c:pt>
                <c:pt idx="63">
                  <c:v>Apr. 2018</c:v>
                </c:pt>
                <c:pt idx="87">
                  <c:v>May 2018</c:v>
                </c:pt>
                <c:pt idx="107">
                  <c:v>Jun. 2018</c:v>
                </c:pt>
              </c:strCache>
            </c:strRef>
          </c:cat>
          <c:val>
            <c:numRef>
              <c:f>'12 luni indici pana in sept (2'!$T$552:$T$672</c:f>
              <c:numCache>
                <c:formatCode>0.00</c:formatCode>
                <c:ptCount val="121"/>
                <c:pt idx="0">
                  <c:v>99.5</c:v>
                </c:pt>
                <c:pt idx="1">
                  <c:v>100.10618159519018</c:v>
                </c:pt>
                <c:pt idx="2">
                  <c:v>100.42452641542133</c:v>
                </c:pt>
                <c:pt idx="3">
                  <c:v>100.56247583752149</c:v>
                </c:pt>
                <c:pt idx="4">
                  <c:v>101.29599536080413</c:v>
                </c:pt>
                <c:pt idx="5">
                  <c:v>101.48169650593897</c:v>
                </c:pt>
                <c:pt idx="6">
                  <c:v>102.89435164571475</c:v>
                </c:pt>
                <c:pt idx="7">
                  <c:v>103.89183208243904</c:v>
                </c:pt>
                <c:pt idx="8">
                  <c:v>103.76714702784849</c:v>
                </c:pt>
                <c:pt idx="9">
                  <c:v>103.65970565102049</c:v>
                </c:pt>
                <c:pt idx="10">
                  <c:v>104.54709183741484</c:v>
                </c:pt>
                <c:pt idx="11">
                  <c:v>105.23816538466666</c:v>
                </c:pt>
                <c:pt idx="12">
                  <c:v>105.24479756842148</c:v>
                </c:pt>
                <c:pt idx="13">
                  <c:v>106.69459293722421</c:v>
                </c:pt>
                <c:pt idx="14">
                  <c:v>106.31257915294682</c:v>
                </c:pt>
                <c:pt idx="15">
                  <c:v>106.09239065228694</c:v>
                </c:pt>
                <c:pt idx="16">
                  <c:v>106.28737685467851</c:v>
                </c:pt>
                <c:pt idx="17">
                  <c:v>106.48368949382106</c:v>
                </c:pt>
                <c:pt idx="18">
                  <c:v>105.55651020489782</c:v>
                </c:pt>
                <c:pt idx="19">
                  <c:v>105.57375388266033</c:v>
                </c:pt>
                <c:pt idx="20">
                  <c:v>104.80309413035074</c:v>
                </c:pt>
                <c:pt idx="21">
                  <c:v>103.86265047391785</c:v>
                </c:pt>
                <c:pt idx="22">
                  <c:v>103.11984589337848</c:v>
                </c:pt>
                <c:pt idx="23">
                  <c:v>100.72032181088612</c:v>
                </c:pt>
                <c:pt idx="24">
                  <c:v>100.72032181088612</c:v>
                </c:pt>
                <c:pt idx="25">
                  <c:v>101.29466892405316</c:v>
                </c:pt>
                <c:pt idx="26">
                  <c:v>100.5943103195446</c:v>
                </c:pt>
                <c:pt idx="27">
                  <c:v>101.91676776025488</c:v>
                </c:pt>
                <c:pt idx="28">
                  <c:v>102.30541372828709</c:v>
                </c:pt>
                <c:pt idx="29">
                  <c:v>102.75109647661071</c:v>
                </c:pt>
                <c:pt idx="30">
                  <c:v>103.58277231946462</c:v>
                </c:pt>
                <c:pt idx="31">
                  <c:v>104.44760908109261</c:v>
                </c:pt>
                <c:pt idx="32">
                  <c:v>104.31761827949822</c:v>
                </c:pt>
                <c:pt idx="33">
                  <c:v>104.28711023422608</c:v>
                </c:pt>
                <c:pt idx="34">
                  <c:v>103.79500219961874</c:v>
                </c:pt>
                <c:pt idx="35">
                  <c:v>103.8679562209217</c:v>
                </c:pt>
                <c:pt idx="36">
                  <c:v>104.42108034607335</c:v>
                </c:pt>
                <c:pt idx="37">
                  <c:v>104.76064815431991</c:v>
                </c:pt>
                <c:pt idx="38">
                  <c:v>105.32571021023023</c:v>
                </c:pt>
                <c:pt idx="39">
                  <c:v>105.75016997053844</c:v>
                </c:pt>
                <c:pt idx="40">
                  <c:v>105.35356538200045</c:v>
                </c:pt>
                <c:pt idx="41">
                  <c:v>104.47015850585899</c:v>
                </c:pt>
                <c:pt idx="42">
                  <c:v>105.01399757375388</c:v>
                </c:pt>
                <c:pt idx="43">
                  <c:v>105.55385733139589</c:v>
                </c:pt>
                <c:pt idx="44">
                  <c:v>105.57640675616227</c:v>
                </c:pt>
                <c:pt idx="45">
                  <c:v>105.81383893458468</c:v>
                </c:pt>
                <c:pt idx="46">
                  <c:v>105.83240904909816</c:v>
                </c:pt>
                <c:pt idx="47">
                  <c:v>106.61102742191353</c:v>
                </c:pt>
                <c:pt idx="48">
                  <c:v>107.07660672150161</c:v>
                </c:pt>
                <c:pt idx="49">
                  <c:v>106.97049178142456</c:v>
                </c:pt>
                <c:pt idx="50">
                  <c:v>107.88440670283818</c:v>
                </c:pt>
                <c:pt idx="51">
                  <c:v>109.19757908629171</c:v>
                </c:pt>
                <c:pt idx="52">
                  <c:v>108.66833082265741</c:v>
                </c:pt>
                <c:pt idx="53">
                  <c:v>108.28896991188194</c:v>
                </c:pt>
                <c:pt idx="54">
                  <c:v>108.92300667884233</c:v>
                </c:pt>
                <c:pt idx="55">
                  <c:v>107.14027568554783</c:v>
                </c:pt>
                <c:pt idx="56">
                  <c:v>107.32332395718076</c:v>
                </c:pt>
                <c:pt idx="57">
                  <c:v>108.07541359497687</c:v>
                </c:pt>
                <c:pt idx="58">
                  <c:v>108.31284577339929</c:v>
                </c:pt>
                <c:pt idx="59">
                  <c:v>108.01041819417966</c:v>
                </c:pt>
                <c:pt idx="60">
                  <c:v>107.40688947249143</c:v>
                </c:pt>
                <c:pt idx="61">
                  <c:v>107.80747337128231</c:v>
                </c:pt>
                <c:pt idx="62">
                  <c:v>108.35263887592818</c:v>
                </c:pt>
                <c:pt idx="63">
                  <c:v>108.23591244184341</c:v>
                </c:pt>
                <c:pt idx="64">
                  <c:v>108.07674003172782</c:v>
                </c:pt>
                <c:pt idx="65">
                  <c:v>109.27583885459855</c:v>
                </c:pt>
                <c:pt idx="66">
                  <c:v>109.06360897444443</c:v>
                </c:pt>
                <c:pt idx="67">
                  <c:v>108.89647794382307</c:v>
                </c:pt>
                <c:pt idx="68">
                  <c:v>109.79447562422513</c:v>
                </c:pt>
                <c:pt idx="69">
                  <c:v>109.12993081199259</c:v>
                </c:pt>
                <c:pt idx="70">
                  <c:v>109.42042046045351</c:v>
                </c:pt>
                <c:pt idx="71">
                  <c:v>109.6949928679029</c:v>
                </c:pt>
                <c:pt idx="72">
                  <c:v>109.90456987455508</c:v>
                </c:pt>
                <c:pt idx="73">
                  <c:v>109.91916067881566</c:v>
                </c:pt>
                <c:pt idx="74">
                  <c:v>109.7414181541866</c:v>
                </c:pt>
                <c:pt idx="75">
                  <c:v>109.99874688387345</c:v>
                </c:pt>
                <c:pt idx="76">
                  <c:v>110.40861583992108</c:v>
                </c:pt>
                <c:pt idx="77">
                  <c:v>110.26536067081706</c:v>
                </c:pt>
                <c:pt idx="78">
                  <c:v>109.27981816485142</c:v>
                </c:pt>
                <c:pt idx="79">
                  <c:v>107.83930785330543</c:v>
                </c:pt>
                <c:pt idx="80">
                  <c:v>107.10976764027569</c:v>
                </c:pt>
                <c:pt idx="81">
                  <c:v>107.15354005305747</c:v>
                </c:pt>
                <c:pt idx="82">
                  <c:v>106.57919293989042</c:v>
                </c:pt>
                <c:pt idx="83">
                  <c:v>107.50769866556463</c:v>
                </c:pt>
                <c:pt idx="84">
                  <c:v>108.1894871555597</c:v>
                </c:pt>
                <c:pt idx="85">
                  <c:v>107.29546878541052</c:v>
                </c:pt>
                <c:pt idx="86">
                  <c:v>107.25169637262876</c:v>
                </c:pt>
                <c:pt idx="87">
                  <c:v>107.87379520883047</c:v>
                </c:pt>
                <c:pt idx="88">
                  <c:v>107.49841360830789</c:v>
                </c:pt>
                <c:pt idx="89">
                  <c:v>106.94131017290337</c:v>
                </c:pt>
                <c:pt idx="90">
                  <c:v>105.96107341394159</c:v>
                </c:pt>
                <c:pt idx="91">
                  <c:v>104.9052297601749</c:v>
                </c:pt>
                <c:pt idx="92">
                  <c:v>104.24333782144429</c:v>
                </c:pt>
                <c:pt idx="93">
                  <c:v>102.90496313972244</c:v>
                </c:pt>
                <c:pt idx="94">
                  <c:v>101.07845973364617</c:v>
                </c:pt>
                <c:pt idx="95">
                  <c:v>102.88639302520896</c:v>
                </c:pt>
                <c:pt idx="96">
                  <c:v>102.00165971231654</c:v>
                </c:pt>
                <c:pt idx="97">
                  <c:v>100.99622065508645</c:v>
                </c:pt>
                <c:pt idx="98">
                  <c:v>100.8901057150094</c:v>
                </c:pt>
                <c:pt idx="99">
                  <c:v>100.09822297468439</c:v>
                </c:pt>
                <c:pt idx="100">
                  <c:v>97.867156359564348</c:v>
                </c:pt>
                <c:pt idx="101">
                  <c:v>98.446809219735258</c:v>
                </c:pt>
                <c:pt idx="102">
                  <c:v>98.896471278311765</c:v>
                </c:pt>
                <c:pt idx="103">
                  <c:v>100.65002066308506</c:v>
                </c:pt>
                <c:pt idx="104">
                  <c:v>101.03734019436631</c:v>
                </c:pt>
                <c:pt idx="105">
                  <c:v>100.93520456454215</c:v>
                </c:pt>
                <c:pt idx="106">
                  <c:v>100.94581605854985</c:v>
                </c:pt>
                <c:pt idx="107">
                  <c:v>100.92061376028155</c:v>
                </c:pt>
                <c:pt idx="108">
                  <c:v>101.29599536080413</c:v>
                </c:pt>
                <c:pt idx="109">
                  <c:v>102.30674016503805</c:v>
                </c:pt>
                <c:pt idx="110">
                  <c:v>100.7097103168784</c:v>
                </c:pt>
                <c:pt idx="111">
                  <c:v>101.17263674296456</c:v>
                </c:pt>
                <c:pt idx="112">
                  <c:v>100.70042525962165</c:v>
                </c:pt>
                <c:pt idx="113">
                  <c:v>99.708250569901224</c:v>
                </c:pt>
                <c:pt idx="114">
                  <c:v>100.12475170970366</c:v>
                </c:pt>
                <c:pt idx="115">
                  <c:v>100.08363217042378</c:v>
                </c:pt>
                <c:pt idx="116">
                  <c:v>99.819671256982119</c:v>
                </c:pt>
                <c:pt idx="117">
                  <c:v>98.460073587244878</c:v>
                </c:pt>
                <c:pt idx="118">
                  <c:v>98.534354045298812</c:v>
                </c:pt>
                <c:pt idx="119">
                  <c:v>98.462726460746794</c:v>
                </c:pt>
                <c:pt idx="120">
                  <c:v>99.027788516657125</c:v>
                </c:pt>
              </c:numCache>
            </c:numRef>
          </c:val>
          <c:smooth val="0"/>
          <c:extLst>
            <c:ext xmlns:c16="http://schemas.microsoft.com/office/drawing/2014/chart" uri="{C3380CC4-5D6E-409C-BE32-E72D297353CC}">
              <c16:uniqueId val="{00000005-D1C5-4EE6-A4E6-43199C045214}"/>
            </c:ext>
          </c:extLst>
        </c:ser>
        <c:ser>
          <c:idx val="6"/>
          <c:order val="6"/>
          <c:tx>
            <c:strRef>
              <c:f>'12 luni indici pana in sept (2'!$V$1</c:f>
              <c:strCache>
                <c:ptCount val="1"/>
                <c:pt idx="0">
                  <c:v>BET-XT-TR (rebased)</c:v>
                </c:pt>
              </c:strCache>
            </c:strRef>
          </c:tx>
          <c:spPr>
            <a:ln w="28575" cap="rnd" cmpd="dbl">
              <a:solidFill>
                <a:schemeClr val="accent1">
                  <a:lumMod val="60000"/>
                </a:schemeClr>
              </a:solidFill>
              <a:round/>
            </a:ln>
            <a:effectLst/>
          </c:spPr>
          <c:marker>
            <c:symbol val="none"/>
          </c:marker>
          <c:cat>
            <c:strRef>
              <c:f>'12 luni indici pana in sept (2'!$A$552:$A$672</c:f>
              <c:strCache>
                <c:ptCount val="108"/>
                <c:pt idx="2">
                  <c:v>Jan. 2018</c:v>
                </c:pt>
                <c:pt idx="22">
                  <c:v>Feb. 2018</c:v>
                </c:pt>
                <c:pt idx="42">
                  <c:v>Mar. 2018</c:v>
                </c:pt>
                <c:pt idx="63">
                  <c:v>Apr. 2018</c:v>
                </c:pt>
                <c:pt idx="87">
                  <c:v>May 2018</c:v>
                </c:pt>
                <c:pt idx="107">
                  <c:v>Jun. 2018</c:v>
                </c:pt>
              </c:strCache>
            </c:strRef>
          </c:cat>
          <c:val>
            <c:numRef>
              <c:f>'12 luni indici pana in sept (2'!$V$552:$V$672</c:f>
              <c:numCache>
                <c:formatCode>0.00</c:formatCode>
                <c:ptCount val="121"/>
                <c:pt idx="0">
                  <c:v>99.5</c:v>
                </c:pt>
                <c:pt idx="1">
                  <c:v>100.11076846628279</c:v>
                </c:pt>
                <c:pt idx="2">
                  <c:v>100.42584743698421</c:v>
                </c:pt>
                <c:pt idx="3">
                  <c:v>100.55963481531282</c:v>
                </c:pt>
                <c:pt idx="4">
                  <c:v>101.29643486987615</c:v>
                </c:pt>
                <c:pt idx="5">
                  <c:v>101.48645172605302</c:v>
                </c:pt>
                <c:pt idx="6">
                  <c:v>102.90188340981946</c:v>
                </c:pt>
                <c:pt idx="7">
                  <c:v>103.900441378504</c:v>
                </c:pt>
                <c:pt idx="8">
                  <c:v>103.77731821149143</c:v>
                </c:pt>
                <c:pt idx="9">
                  <c:v>103.67455399335498</c:v>
                </c:pt>
                <c:pt idx="10">
                  <c:v>104.56743932263501</c:v>
                </c:pt>
                <c:pt idx="11">
                  <c:v>105.25479621564214</c:v>
                </c:pt>
                <c:pt idx="12">
                  <c:v>105.28097200705427</c:v>
                </c:pt>
                <c:pt idx="13">
                  <c:v>106.73615211481687</c:v>
                </c:pt>
                <c:pt idx="14">
                  <c:v>106.35902682373116</c:v>
                </c:pt>
                <c:pt idx="15">
                  <c:v>106.13313943858213</c:v>
                </c:pt>
                <c:pt idx="16">
                  <c:v>106.33285103231904</c:v>
                </c:pt>
                <c:pt idx="17">
                  <c:v>106.53062367854393</c:v>
                </c:pt>
                <c:pt idx="18">
                  <c:v>105.59702045151171</c:v>
                </c:pt>
                <c:pt idx="19">
                  <c:v>105.61059308409575</c:v>
                </c:pt>
                <c:pt idx="20">
                  <c:v>104.84664776436429</c:v>
                </c:pt>
                <c:pt idx="21">
                  <c:v>103.89753295723598</c:v>
                </c:pt>
                <c:pt idx="22">
                  <c:v>103.1510381651126</c:v>
                </c:pt>
                <c:pt idx="23">
                  <c:v>100.75256009275769</c:v>
                </c:pt>
                <c:pt idx="24">
                  <c:v>100.76031588280573</c:v>
                </c:pt>
                <c:pt idx="25">
                  <c:v>101.3235801350443</c:v>
                </c:pt>
                <c:pt idx="26">
                  <c:v>100.62555903072112</c:v>
                </c:pt>
                <c:pt idx="27">
                  <c:v>101.94598228639911</c:v>
                </c:pt>
                <c:pt idx="28">
                  <c:v>102.32213810372883</c:v>
                </c:pt>
                <c:pt idx="29">
                  <c:v>102.77488234778288</c:v>
                </c:pt>
                <c:pt idx="30">
                  <c:v>103.62317188428672</c:v>
                </c:pt>
                <c:pt idx="31">
                  <c:v>104.47436984205861</c:v>
                </c:pt>
                <c:pt idx="32">
                  <c:v>104.34736878002202</c:v>
                </c:pt>
                <c:pt idx="33">
                  <c:v>104.31828456734189</c:v>
                </c:pt>
                <c:pt idx="34">
                  <c:v>103.8374255843637</c:v>
                </c:pt>
                <c:pt idx="35">
                  <c:v>103.90819716855202</c:v>
                </c:pt>
                <c:pt idx="36">
                  <c:v>104.45594984069452</c:v>
                </c:pt>
                <c:pt idx="37">
                  <c:v>104.79429618154006</c:v>
                </c:pt>
                <c:pt idx="38">
                  <c:v>105.36531622382664</c:v>
                </c:pt>
                <c:pt idx="39">
                  <c:v>105.79091520271258</c:v>
                </c:pt>
                <c:pt idx="40">
                  <c:v>105.39149201523875</c:v>
                </c:pt>
                <c:pt idx="41">
                  <c:v>104.50248458098274</c:v>
                </c:pt>
                <c:pt idx="42">
                  <c:v>105.0453898843452</c:v>
                </c:pt>
                <c:pt idx="43">
                  <c:v>105.59023413521967</c:v>
                </c:pt>
                <c:pt idx="44">
                  <c:v>105.61544045287579</c:v>
                </c:pt>
                <c:pt idx="45">
                  <c:v>105.85199204934085</c:v>
                </c:pt>
                <c:pt idx="46">
                  <c:v>105.86847310319293</c:v>
                </c:pt>
                <c:pt idx="47">
                  <c:v>106.63920473921644</c:v>
                </c:pt>
                <c:pt idx="48">
                  <c:v>107.10843003712256</c:v>
                </c:pt>
                <c:pt idx="49">
                  <c:v>107.0046963452301</c:v>
                </c:pt>
                <c:pt idx="50">
                  <c:v>107.91600167587424</c:v>
                </c:pt>
                <c:pt idx="51">
                  <c:v>109.22188282521216</c:v>
                </c:pt>
                <c:pt idx="52">
                  <c:v>108.68964173316574</c:v>
                </c:pt>
                <c:pt idx="53">
                  <c:v>108.30573012578802</c:v>
                </c:pt>
                <c:pt idx="54">
                  <c:v>108.92813227714282</c:v>
                </c:pt>
                <c:pt idx="55">
                  <c:v>107.15205635614277</c:v>
                </c:pt>
                <c:pt idx="56">
                  <c:v>107.34207321231963</c:v>
                </c:pt>
                <c:pt idx="57">
                  <c:v>108.08953747819903</c:v>
                </c:pt>
                <c:pt idx="58">
                  <c:v>108.32511960090808</c:v>
                </c:pt>
                <c:pt idx="59">
                  <c:v>108.02167431527872</c:v>
                </c:pt>
                <c:pt idx="60">
                  <c:v>107.41187532275195</c:v>
                </c:pt>
                <c:pt idx="61">
                  <c:v>107.81420693149377</c:v>
                </c:pt>
                <c:pt idx="62">
                  <c:v>108.35226486607623</c:v>
                </c:pt>
                <c:pt idx="63">
                  <c:v>108.2349585415997</c:v>
                </c:pt>
                <c:pt idx="64">
                  <c:v>108.07499537185896</c:v>
                </c:pt>
                <c:pt idx="65">
                  <c:v>109.26357019672035</c:v>
                </c:pt>
                <c:pt idx="66">
                  <c:v>109.04446912786337</c:v>
                </c:pt>
                <c:pt idx="67">
                  <c:v>108.86511648300255</c:v>
                </c:pt>
                <c:pt idx="68">
                  <c:v>109.75897128603862</c:v>
                </c:pt>
                <c:pt idx="69">
                  <c:v>109.0997291319556</c:v>
                </c:pt>
                <c:pt idx="70">
                  <c:v>109.3837849424649</c:v>
                </c:pt>
                <c:pt idx="71">
                  <c:v>109.66105443668218</c:v>
                </c:pt>
                <c:pt idx="72">
                  <c:v>109.86561339919909</c:v>
                </c:pt>
                <c:pt idx="73">
                  <c:v>109.87724708427113</c:v>
                </c:pt>
                <c:pt idx="74">
                  <c:v>109.69692496565432</c:v>
                </c:pt>
                <c:pt idx="75">
                  <c:v>109.95577445850751</c:v>
                </c:pt>
                <c:pt idx="76">
                  <c:v>110.36489238354137</c:v>
                </c:pt>
                <c:pt idx="77">
                  <c:v>110.22819658394474</c:v>
                </c:pt>
                <c:pt idx="78">
                  <c:v>109.24418072160026</c:v>
                </c:pt>
                <c:pt idx="79">
                  <c:v>107.80257324642173</c:v>
                </c:pt>
                <c:pt idx="80">
                  <c:v>107.08225424571044</c:v>
                </c:pt>
                <c:pt idx="81">
                  <c:v>107.10649108961056</c:v>
                </c:pt>
                <c:pt idx="82">
                  <c:v>106.52189841473991</c:v>
                </c:pt>
                <c:pt idx="83">
                  <c:v>107.44871532548011</c:v>
                </c:pt>
                <c:pt idx="84">
                  <c:v>108.11668274336715</c:v>
                </c:pt>
                <c:pt idx="85">
                  <c:v>108.43757855660461</c:v>
                </c:pt>
                <c:pt idx="86">
                  <c:v>108.38813539504838</c:v>
                </c:pt>
                <c:pt idx="87">
                  <c:v>108.99987333508716</c:v>
                </c:pt>
                <c:pt idx="88">
                  <c:v>108.61208383268539</c:v>
                </c:pt>
                <c:pt idx="89">
                  <c:v>108.25434801671979</c:v>
                </c:pt>
                <c:pt idx="90">
                  <c:v>107.24318688920718</c:v>
                </c:pt>
                <c:pt idx="91">
                  <c:v>106.19421628521043</c:v>
                </c:pt>
                <c:pt idx="92">
                  <c:v>105.52527939356737</c:v>
                </c:pt>
                <c:pt idx="93">
                  <c:v>104.16898560891721</c:v>
                </c:pt>
                <c:pt idx="94">
                  <c:v>102.38127600284508</c:v>
                </c:pt>
                <c:pt idx="95">
                  <c:v>104.21067298042541</c:v>
                </c:pt>
                <c:pt idx="96">
                  <c:v>103.30130659729326</c:v>
                </c:pt>
                <c:pt idx="97">
                  <c:v>103.18012237779271</c:v>
                </c:pt>
                <c:pt idx="98">
                  <c:v>103.06960236960823</c:v>
                </c:pt>
                <c:pt idx="99">
                  <c:v>102.25427494080851</c:v>
                </c:pt>
                <c:pt idx="100">
                  <c:v>99.974072666686155</c:v>
                </c:pt>
                <c:pt idx="101">
                  <c:v>100.57320744789689</c:v>
                </c:pt>
                <c:pt idx="102">
                  <c:v>102.00221176424738</c:v>
                </c:pt>
                <c:pt idx="103">
                  <c:v>103.81028031919558</c:v>
                </c:pt>
                <c:pt idx="104">
                  <c:v>104.21067298042541</c:v>
                </c:pt>
                <c:pt idx="105">
                  <c:v>104.53350774117487</c:v>
                </c:pt>
                <c:pt idx="106">
                  <c:v>105.74922783120439</c:v>
                </c:pt>
                <c:pt idx="107">
                  <c:v>105.83163310046477</c:v>
                </c:pt>
                <c:pt idx="108">
                  <c:v>106.23493418296259</c:v>
                </c:pt>
                <c:pt idx="109">
                  <c:v>107.2451258367192</c:v>
                </c:pt>
                <c:pt idx="110">
                  <c:v>105.5747225551236</c:v>
                </c:pt>
                <c:pt idx="111">
                  <c:v>106.06139838063781</c:v>
                </c:pt>
                <c:pt idx="112">
                  <c:v>105.56405834380756</c:v>
                </c:pt>
                <c:pt idx="113">
                  <c:v>104.52187405610283</c:v>
                </c:pt>
                <c:pt idx="114">
                  <c:v>104.96880145762084</c:v>
                </c:pt>
                <c:pt idx="115">
                  <c:v>104.92808355986865</c:v>
                </c:pt>
                <c:pt idx="116">
                  <c:v>104.66050880321144</c:v>
                </c:pt>
                <c:pt idx="117">
                  <c:v>103.97218243644832</c:v>
                </c:pt>
                <c:pt idx="118">
                  <c:v>104.04683191566066</c:v>
                </c:pt>
                <c:pt idx="119">
                  <c:v>103.97896875274034</c:v>
                </c:pt>
                <c:pt idx="120">
                  <c:v>104.57616458643906</c:v>
                </c:pt>
              </c:numCache>
            </c:numRef>
          </c:val>
          <c:smooth val="0"/>
          <c:extLst>
            <c:ext xmlns:c16="http://schemas.microsoft.com/office/drawing/2014/chart" uri="{C3380CC4-5D6E-409C-BE32-E72D297353CC}">
              <c16:uniqueId val="{00000006-D1C5-4EE6-A4E6-43199C045214}"/>
            </c:ext>
          </c:extLst>
        </c:ser>
        <c:dLbls>
          <c:showLegendKey val="0"/>
          <c:showVal val="0"/>
          <c:showCatName val="0"/>
          <c:showSerName val="0"/>
          <c:showPercent val="0"/>
          <c:showBubbleSize val="0"/>
        </c:dLbls>
        <c:smooth val="0"/>
        <c:axId val="248583872"/>
        <c:axId val="248585440"/>
      </c:lineChart>
      <c:catAx>
        <c:axId val="2485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780000" spcFirstLastPara="1" vertOverflow="ellipsis" wrap="square" anchor="ctr" anchorCtr="1"/>
          <a:lstStyle/>
          <a:p>
            <a:pPr>
              <a:defRPr sz="800" b="0" i="0" u="none" strike="noStrike" kern="5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248585440"/>
        <c:crosses val="autoZero"/>
        <c:auto val="1"/>
        <c:lblAlgn val="ctr"/>
        <c:lblOffset val="100"/>
        <c:noMultiLvlLbl val="0"/>
      </c:catAx>
      <c:valAx>
        <c:axId val="248585440"/>
        <c:scaling>
          <c:orientation val="minMax"/>
          <c:max val="130"/>
          <c:min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583872"/>
        <c:crosses val="autoZero"/>
        <c:crossBetween val="between"/>
      </c:valAx>
      <c:spPr>
        <a:noFill/>
        <a:ln>
          <a:noFill/>
        </a:ln>
        <a:effectLst/>
      </c:spPr>
    </c:plotArea>
    <c:legend>
      <c:legendPos val="b"/>
      <c:layout>
        <c:manualLayout>
          <c:xMode val="edge"/>
          <c:yMode val="edge"/>
          <c:x val="7.6885725822733703E-2"/>
          <c:y val="0.69079828499056894"/>
          <c:w val="0.87395600058322642"/>
          <c:h val="0.146305990360514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'SI 2018 vs. SI 2017'!$B$28</c:f>
              <c:strCache>
                <c:ptCount val="1"/>
                <c:pt idx="0">
                  <c:v>Preţ mediu (lei/acțiune) S1 2018</c:v>
                </c:pt>
              </c:strCache>
            </c:strRef>
          </c:tx>
          <c:spPr>
            <a:ln w="28575" cap="rnd">
              <a:solidFill>
                <a:schemeClr val="tx2">
                  <a:lumMod val="75000"/>
                </a:schemeClr>
              </a:solidFill>
              <a:round/>
            </a:ln>
            <a:effectLst/>
          </c:spPr>
          <c:marker>
            <c:symbol val="circle"/>
            <c:size val="5"/>
            <c:spPr>
              <a:solidFill>
                <a:schemeClr val="tx2">
                  <a:lumMod val="75000"/>
                </a:schemeClr>
              </a:solidFill>
              <a:ln w="9525">
                <a:solidFill>
                  <a:schemeClr val="tx2">
                    <a:lumMod val="75000"/>
                  </a:schemeClr>
                </a:solidFill>
              </a:ln>
              <a:effectLst/>
            </c:spPr>
          </c:marker>
          <c:cat>
            <c:strRef>
              <c:f>'SI 2018 vs. SI 2017'!$A$29:$A$34</c:f>
              <c:strCache>
                <c:ptCount val="6"/>
                <c:pt idx="0">
                  <c:v>ianuarie</c:v>
                </c:pt>
                <c:pt idx="1">
                  <c:v>februarie</c:v>
                </c:pt>
                <c:pt idx="2">
                  <c:v>martie</c:v>
                </c:pt>
                <c:pt idx="3">
                  <c:v>aprilie</c:v>
                </c:pt>
                <c:pt idx="4">
                  <c:v>mai</c:v>
                </c:pt>
                <c:pt idx="5">
                  <c:v>iunie</c:v>
                </c:pt>
              </c:strCache>
            </c:strRef>
          </c:cat>
          <c:val>
            <c:numRef>
              <c:f>'SI 2018 vs. SI 2017'!$B$29:$B$34</c:f>
              <c:numCache>
                <c:formatCode>#.000</c:formatCode>
                <c:ptCount val="6"/>
                <c:pt idx="0">
                  <c:v>112.38691473094008</c:v>
                </c:pt>
                <c:pt idx="1">
                  <c:v>102.53338231553961</c:v>
                </c:pt>
                <c:pt idx="2">
                  <c:v>113.36117779253281</c:v>
                </c:pt>
                <c:pt idx="3">
                  <c:v>101.33550884649144</c:v>
                </c:pt>
                <c:pt idx="4">
                  <c:v>97.943006710881079</c:v>
                </c:pt>
                <c:pt idx="5">
                  <c:v>94.610460622922943</c:v>
                </c:pt>
              </c:numCache>
            </c:numRef>
          </c:val>
          <c:smooth val="0"/>
          <c:extLst>
            <c:ext xmlns:c16="http://schemas.microsoft.com/office/drawing/2014/chart" uri="{C3380CC4-5D6E-409C-BE32-E72D297353CC}">
              <c16:uniqueId val="{00000000-BC6D-4CE4-B9CC-6491C2B04C5D}"/>
            </c:ext>
          </c:extLst>
        </c:ser>
        <c:ser>
          <c:idx val="1"/>
          <c:order val="1"/>
          <c:tx>
            <c:strRef>
              <c:f>'SI 2018 vs. SI 2017'!$C$28</c:f>
              <c:strCache>
                <c:ptCount val="1"/>
                <c:pt idx="0">
                  <c:v>Preţ mediu (lei/acțiune) S1 2017</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'SI 2018 vs. SI 2017'!$A$29:$A$34</c:f>
              <c:strCache>
                <c:ptCount val="6"/>
                <c:pt idx="0">
                  <c:v>ianuarie</c:v>
                </c:pt>
                <c:pt idx="1">
                  <c:v>februarie</c:v>
                </c:pt>
                <c:pt idx="2">
                  <c:v>martie</c:v>
                </c:pt>
                <c:pt idx="3">
                  <c:v>aprilie</c:v>
                </c:pt>
                <c:pt idx="4">
                  <c:v>mai</c:v>
                </c:pt>
                <c:pt idx="5">
                  <c:v>iunie</c:v>
                </c:pt>
              </c:strCache>
            </c:strRef>
          </c:cat>
          <c:val>
            <c:numRef>
              <c:f>'SI 2018 vs. SI 2017'!$C$29:$C$34</c:f>
              <c:numCache>
                <c:formatCode>#.000</c:formatCode>
                <c:ptCount val="6"/>
                <c:pt idx="0">
                  <c:v>85.096640766828855</c:v>
                </c:pt>
                <c:pt idx="1">
                  <c:v>96.38739157970096</c:v>
                </c:pt>
                <c:pt idx="2">
                  <c:v>108.05877290340167</c:v>
                </c:pt>
                <c:pt idx="3">
                  <c:v>117.16053542953956</c:v>
                </c:pt>
                <c:pt idx="4">
                  <c:v>130.34603203261941</c:v>
                </c:pt>
                <c:pt idx="5">
                  <c:v>125.4626811464771</c:v>
                </c:pt>
              </c:numCache>
            </c:numRef>
          </c:val>
          <c:smooth val="0"/>
          <c:extLst>
            <c:ext xmlns:c16="http://schemas.microsoft.com/office/drawing/2014/chart" uri="{C3380CC4-5D6E-409C-BE32-E72D297353CC}">
              <c16:uniqueId val="{00000001-BC6D-4CE4-B9CC-6491C2B04C5D}"/>
            </c:ext>
          </c:extLst>
        </c:ser>
        <c:dLbls>
          <c:showLegendKey val="0"/>
          <c:showVal val="0"/>
          <c:showCatName val="0"/>
          <c:showSerName val="0"/>
          <c:showPercent val="0"/>
          <c:showBubbleSize val="0"/>
        </c:dLbls>
        <c:marker val="1"/>
        <c:smooth val="0"/>
        <c:axId val="248587792"/>
        <c:axId val="248588968"/>
      </c:lineChart>
      <c:catAx>
        <c:axId val="24858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588968"/>
        <c:crosses val="autoZero"/>
        <c:auto val="1"/>
        <c:lblAlgn val="ctr"/>
        <c:lblOffset val="100"/>
        <c:noMultiLvlLbl val="0"/>
      </c:catAx>
      <c:valAx>
        <c:axId val="248588968"/>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58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0.0702</cdr:x>
      <cdr:y>0.02175</cdr:y>
    </cdr:from>
    <cdr:to>
      <cdr:x>0.55212</cdr:x>
      <cdr:y>0.19593</cdr:y>
    </cdr:to>
    <cdr:sp macro="" textlink="">
      <cdr:nvSpPr>
        <cdr:cNvPr id="2" name="Rectangle 1"/>
        <cdr:cNvSpPr/>
      </cdr:nvSpPr>
      <cdr:spPr>
        <a:xfrm xmlns:a="http://schemas.openxmlformats.org/drawingml/2006/main">
          <a:off x="410554" y="68891"/>
          <a:ext cx="2818421" cy="551689"/>
        </a:xfrm>
        <a:prstGeom xmlns:a="http://schemas.openxmlformats.org/drawingml/2006/main" prst="rect">
          <a:avLst/>
        </a:prstGeom>
      </cdr:spPr>
      <cdr:txBody>
        <a:bodyPr xmlns:a="http://schemas.openxmlformats.org/drawingml/2006/main" wrap="square">
          <a:spAutoFit/>
        </a:bodyPr>
        <a:lstStyle xmlns:a="http://schemas.openxmlformats.org/drawingml/2006/main"/>
        <a:p xmlns:a="http://schemas.openxmlformats.org/drawingml/2006/main">
          <a:pPr>
            <a:spcAft>
              <a:spcPts val="0"/>
            </a:spcAft>
          </a:pPr>
          <a:r>
            <a:rPr lang="en-US"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Stock performance within the last 6 months</a:t>
          </a:r>
          <a:r>
            <a:rPr lang="ro-RO"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a:t>
          </a:r>
          <a:endParaRPr lang="ro-RO" sz="1000">
            <a:effectLst/>
            <a:latin typeface="Arial" panose="020B0604020202020204" pitchFamily="34" charset="0"/>
            <a:ea typeface="Calibri" panose="020F0502020204030204" pitchFamily="34" charset="0"/>
            <a:cs typeface="Arial" panose="020B0604020202020204" pitchFamily="34" charset="0"/>
          </a:endParaRPr>
        </a:p>
        <a:p xmlns:a="http://schemas.openxmlformats.org/drawingml/2006/main">
          <a:pPr>
            <a:spcAft>
              <a:spcPts val="0"/>
            </a:spcAft>
          </a:pPr>
          <a:r>
            <a:rPr lang="ro-RO"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CONPET: -9</a:t>
          </a:r>
          <a:r>
            <a:rPr lang="en-US"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a:t>
          </a:r>
          <a:r>
            <a:rPr lang="ro-RO"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55%	</a:t>
          </a:r>
          <a:endParaRPr lang="ro-RO" sz="1000">
            <a:effectLst/>
            <a:latin typeface="Arial" panose="020B0604020202020204" pitchFamily="34" charset="0"/>
            <a:ea typeface="Calibri" panose="020F0502020204030204" pitchFamily="34" charset="0"/>
            <a:cs typeface="Arial" panose="020B0604020202020204" pitchFamily="34" charset="0"/>
          </a:endParaRPr>
        </a:p>
        <a:p xmlns:a="http://schemas.openxmlformats.org/drawingml/2006/main">
          <a:pPr>
            <a:spcAft>
              <a:spcPts val="0"/>
            </a:spcAft>
          </a:pPr>
          <a:r>
            <a:rPr lang="ro-RO"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BET index: 1</a:t>
          </a:r>
          <a:r>
            <a:rPr lang="en-US"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a:t>
          </a:r>
          <a:r>
            <a:rPr lang="ro-RO" sz="1000" kern="1200">
              <a:solidFill>
                <a:srgbClr val="000000"/>
              </a:solidFill>
              <a:effectLst/>
              <a:latin typeface="Arial" panose="020B0604020202020204" pitchFamily="34" charset="0"/>
              <a:ea typeface="Calibri" panose="020F0502020204030204" pitchFamily="34" charset="0"/>
              <a:cs typeface="Arial" panose="020B0604020202020204" pitchFamily="34" charset="0"/>
            </a:rPr>
            <a:t>01%</a:t>
          </a:r>
          <a:r>
            <a:rPr lang="ro-RO" sz="1050" kern="120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	</a:t>
          </a:r>
          <a:endParaRPr lang="ro-RO" sz="1200">
            <a:effectLst/>
            <a:latin typeface="Times New Roman" panose="02020603050405020304" pitchFamily="18" charset="0"/>
            <a:ea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AF7AC8-DAED-49D9-B32A-DE8DFBC6C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99</Pages>
  <Words>36798</Words>
  <Characters>209751</Characters>
  <Application>Microsoft Office Word</Application>
  <DocSecurity>0</DocSecurity>
  <Lines>1747</Lines>
  <Paragraphs>492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CPT</Company>
  <LinksUpToDate>false</LinksUpToDate>
  <CharactersWithSpaces>246057</CharactersWithSpaces>
  <SharedDoc>false</SharedDoc>
  <HLinks>
    <vt:vector size="96" baseType="variant">
      <vt:variant>
        <vt:i4>131145</vt:i4>
      </vt:variant>
      <vt:variant>
        <vt:i4>48</vt:i4>
      </vt:variant>
      <vt:variant>
        <vt:i4>0</vt:i4>
      </vt:variant>
      <vt:variant>
        <vt:i4>5</vt:i4>
      </vt:variant>
      <vt:variant>
        <vt:lpwstr>http://www.conpet.ro/</vt:lpwstr>
      </vt:variant>
      <vt:variant>
        <vt:lpwstr/>
      </vt:variant>
      <vt:variant>
        <vt:i4>35</vt:i4>
      </vt:variant>
      <vt:variant>
        <vt:i4>45</vt:i4>
      </vt:variant>
      <vt:variant>
        <vt:i4>0</vt:i4>
      </vt:variant>
      <vt:variant>
        <vt:i4>5</vt:i4>
      </vt:variant>
      <vt:variant>
        <vt:lpwstr/>
      </vt:variant>
      <vt:variant>
        <vt:lpwstr>#</vt:lpwstr>
      </vt:variant>
      <vt:variant>
        <vt:i4>131145</vt:i4>
      </vt:variant>
      <vt:variant>
        <vt:i4>42</vt:i4>
      </vt:variant>
      <vt:variant>
        <vt:i4>0</vt:i4>
      </vt:variant>
      <vt:variant>
        <vt:i4>5</vt:i4>
      </vt:variant>
      <vt:variant>
        <vt:lpwstr>http://www.conpet.ro/</vt:lpwstr>
      </vt:variant>
      <vt:variant>
        <vt:lpwstr/>
      </vt:variant>
      <vt:variant>
        <vt:i4>2752554</vt:i4>
      </vt:variant>
      <vt:variant>
        <vt:i4>39</vt:i4>
      </vt:variant>
      <vt:variant>
        <vt:i4>0</vt:i4>
      </vt:variant>
      <vt:variant>
        <vt:i4>5</vt:i4>
      </vt:variant>
      <vt:variant>
        <vt:lpwstr>http://www.conpet.ro/wp-content/uploads/2015/11/Certificat-siguranta-partea-B-Suplacu-de-Barcau.pdf</vt:lpwstr>
      </vt:variant>
      <vt:variant>
        <vt:lpwstr/>
      </vt:variant>
      <vt:variant>
        <vt:i4>1245203</vt:i4>
      </vt:variant>
      <vt:variant>
        <vt:i4>36</vt:i4>
      </vt:variant>
      <vt:variant>
        <vt:i4>0</vt:i4>
      </vt:variant>
      <vt:variant>
        <vt:i4>5</vt:i4>
      </vt:variant>
      <vt:variant>
        <vt:lpwstr>http://www.conpet.ro/wp-content/uploads/2015/11/Certificat-siguranta-partea-B-Salonta.pdf</vt:lpwstr>
      </vt:variant>
      <vt:variant>
        <vt:lpwstr/>
      </vt:variant>
      <vt:variant>
        <vt:i4>4456448</vt:i4>
      </vt:variant>
      <vt:variant>
        <vt:i4>33</vt:i4>
      </vt:variant>
      <vt:variant>
        <vt:i4>0</vt:i4>
      </vt:variant>
      <vt:variant>
        <vt:i4>5</vt:i4>
      </vt:variant>
      <vt:variant>
        <vt:lpwstr>http://www.conpet.ro/wp-content/uploads/2015/11/Certificat-siguranta-partea-A.pdf</vt:lpwstr>
      </vt:variant>
      <vt:variant>
        <vt:lpwstr/>
      </vt:variant>
      <vt:variant>
        <vt:i4>2818106</vt:i4>
      </vt:variant>
      <vt:variant>
        <vt:i4>30</vt:i4>
      </vt:variant>
      <vt:variant>
        <vt:i4>0</vt:i4>
      </vt:variant>
      <vt:variant>
        <vt:i4>5</vt:i4>
      </vt:variant>
      <vt:variant>
        <vt:lpwstr>http://www.conpet.ro/wp-content/uploads/2015/11/Licenta-pentru-efectuarea-serviciilor-de-transport-feroviar.pdf</vt:lpwstr>
      </vt:variant>
      <vt:variant>
        <vt:lpwstr/>
      </vt:variant>
      <vt:variant>
        <vt:i4>6029347</vt:i4>
      </vt:variant>
      <vt:variant>
        <vt:i4>27</vt:i4>
      </vt:variant>
      <vt:variant>
        <vt:i4>0</vt:i4>
      </vt:variant>
      <vt:variant>
        <vt:i4>5</vt:i4>
      </vt:variant>
      <vt:variant>
        <vt:lpwstr>http://www.conpet.ro/wp-content/uploads/2015/10/Politica-referitoare-la-siguranta-feroviara_iunie-2015.pdf</vt:lpwstr>
      </vt:variant>
      <vt:variant>
        <vt:lpwstr/>
      </vt:variant>
      <vt:variant>
        <vt:i4>2359389</vt:i4>
      </vt:variant>
      <vt:variant>
        <vt:i4>24</vt:i4>
      </vt:variant>
      <vt:variant>
        <vt:i4>0</vt:i4>
      </vt:variant>
      <vt:variant>
        <vt:i4>5</vt:i4>
      </vt:variant>
      <vt:variant>
        <vt:lpwstr>http://www.conpet.ro/wp-content/uploads/2015/11/Management-System-Certificate-ISO-18001_2007.pdf</vt:lpwstr>
      </vt:variant>
      <vt:variant>
        <vt:lpwstr/>
      </vt:variant>
      <vt:variant>
        <vt:i4>6684744</vt:i4>
      </vt:variant>
      <vt:variant>
        <vt:i4>21</vt:i4>
      </vt:variant>
      <vt:variant>
        <vt:i4>0</vt:i4>
      </vt:variant>
      <vt:variant>
        <vt:i4>5</vt:i4>
      </vt:variant>
      <vt:variant>
        <vt:lpwstr>http://www.conpet.ro/wp-content/uploads/2015/11/Management-System-ISO-14001_2004.pdf</vt:lpwstr>
      </vt:variant>
      <vt:variant>
        <vt:lpwstr/>
      </vt:variant>
      <vt:variant>
        <vt:i4>2818059</vt:i4>
      </vt:variant>
      <vt:variant>
        <vt:i4>18</vt:i4>
      </vt:variant>
      <vt:variant>
        <vt:i4>0</vt:i4>
      </vt:variant>
      <vt:variant>
        <vt:i4>5</vt:i4>
      </vt:variant>
      <vt:variant>
        <vt:lpwstr>http://www.conpet.ro/wp-content/uploads/2015/11/Management-System-Certificate-ISO-9001_2008.pdf</vt:lpwstr>
      </vt:variant>
      <vt:variant>
        <vt:lpwstr/>
      </vt:variant>
      <vt:variant>
        <vt:i4>3539006</vt:i4>
      </vt:variant>
      <vt:variant>
        <vt:i4>15</vt:i4>
      </vt:variant>
      <vt:variant>
        <vt:i4>0</vt:i4>
      </vt:variant>
      <vt:variant>
        <vt:i4>5</vt:i4>
      </vt:variant>
      <vt:variant>
        <vt:lpwstr>http://www.conpet.ro/wp-content/uploads/2015/10/Politica_referitoare_la_sanatate_si_securitate_ocupationala_ianuarie_2013.pdf</vt:lpwstr>
      </vt:variant>
      <vt:variant>
        <vt:lpwstr/>
      </vt:variant>
      <vt:variant>
        <vt:i4>8323164</vt:i4>
      </vt:variant>
      <vt:variant>
        <vt:i4>12</vt:i4>
      </vt:variant>
      <vt:variant>
        <vt:i4>0</vt:i4>
      </vt:variant>
      <vt:variant>
        <vt:i4>5</vt:i4>
      </vt:variant>
      <vt:variant>
        <vt:lpwstr>http://www.conpet.ro/wp-content/uploads/2015/10/Politica_referitoare_la_mediu_ianuarie_2013.pdf</vt:lpwstr>
      </vt:variant>
      <vt:variant>
        <vt:lpwstr/>
      </vt:variant>
      <vt:variant>
        <vt:i4>3080217</vt:i4>
      </vt:variant>
      <vt:variant>
        <vt:i4>9</vt:i4>
      </vt:variant>
      <vt:variant>
        <vt:i4>0</vt:i4>
      </vt:variant>
      <vt:variant>
        <vt:i4>5</vt:i4>
      </vt:variant>
      <vt:variant>
        <vt:lpwstr>http://www.conpet.ro/wp-content/uploads/2015/10/Politica_referitoare_la_calitate_ianuarie_2013.pdf</vt:lpwstr>
      </vt:variant>
      <vt:variant>
        <vt:lpwstr/>
      </vt:variant>
      <vt:variant>
        <vt:i4>131145</vt:i4>
      </vt:variant>
      <vt:variant>
        <vt:i4>3</vt:i4>
      </vt:variant>
      <vt:variant>
        <vt:i4>0</vt:i4>
      </vt:variant>
      <vt:variant>
        <vt:i4>5</vt:i4>
      </vt:variant>
      <vt:variant>
        <vt:lpwstr>http://www.conpet.ro/</vt:lpwstr>
      </vt:variant>
      <vt:variant>
        <vt:lpwstr/>
      </vt:variant>
      <vt:variant>
        <vt:i4>5439591</vt:i4>
      </vt:variant>
      <vt:variant>
        <vt:i4>0</vt:i4>
      </vt:variant>
      <vt:variant>
        <vt:i4>0</vt:i4>
      </vt:variant>
      <vt:variant>
        <vt:i4>5</vt:i4>
      </vt:variant>
      <vt:variant>
        <vt:lpwstr>mailto:conpet@conpet.ro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Dragos Jianu</dc:creator>
  <cp:lastModifiedBy>Monica Stoica</cp:lastModifiedBy>
  <cp:revision>25</cp:revision>
  <cp:lastPrinted>2018-08-02T16:23:00Z</cp:lastPrinted>
  <dcterms:created xsi:type="dcterms:W3CDTF">2018-08-09T07:35:00Z</dcterms:created>
  <dcterms:modified xsi:type="dcterms:W3CDTF">2018-08-09T13:10:00Z</dcterms:modified>
</cp:coreProperties>
</file>