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DC4" w:rsidRPr="00C46AEC" w:rsidRDefault="00405DC4" w:rsidP="00C46AE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/>
          <w:bCs/>
          <w:lang w:val="it-IT"/>
        </w:rPr>
      </w:pPr>
    </w:p>
    <w:p w:rsidR="00790A44" w:rsidRPr="00C46AEC" w:rsidRDefault="00134C40" w:rsidP="00C46A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hAnsi="Arial"/>
          <w:b/>
          <w:bCs/>
        </w:rPr>
        <w:t xml:space="preserve">STATEMENT OF THE PERSONS IN CHARGE </w:t>
      </w:r>
    </w:p>
    <w:p w:rsidR="00D245A6" w:rsidRPr="00C46AEC" w:rsidRDefault="00D245A6" w:rsidP="00C46A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it-IT"/>
        </w:rPr>
      </w:pPr>
    </w:p>
    <w:p w:rsidR="00790A44" w:rsidRPr="00C46AEC" w:rsidRDefault="009134EF" w:rsidP="00C46A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proofErr w:type="gramStart"/>
      <w:r>
        <w:rPr>
          <w:rFonts w:ascii="Arial" w:hAnsi="Arial"/>
          <w:b/>
          <w:bCs/>
        </w:rPr>
        <w:t>in</w:t>
      </w:r>
      <w:proofErr w:type="gramEnd"/>
      <w:r w:rsidR="00134C40">
        <w:rPr>
          <w:rFonts w:ascii="Arial" w:hAnsi="Arial"/>
          <w:b/>
          <w:bCs/>
        </w:rPr>
        <w:t xml:space="preserve"> CONPET S.A., in compliance with the provisions </w:t>
      </w:r>
    </w:p>
    <w:p w:rsidR="00405DC4" w:rsidRPr="00C46AEC" w:rsidRDefault="00134C40" w:rsidP="00C46AEC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hAnsi="Arial"/>
          <w:b/>
          <w:bCs/>
        </w:rPr>
        <w:t xml:space="preserve"> </w:t>
      </w:r>
      <w:proofErr w:type="gramStart"/>
      <w:r>
        <w:rPr>
          <w:rFonts w:ascii="Arial" w:hAnsi="Arial"/>
          <w:b/>
          <w:bCs/>
        </w:rPr>
        <w:t>of</w:t>
      </w:r>
      <w:proofErr w:type="gramEnd"/>
      <w:r>
        <w:rPr>
          <w:rFonts w:ascii="Arial" w:hAnsi="Arial"/>
          <w:b/>
          <w:bCs/>
        </w:rPr>
        <w:t xml:space="preserve"> Articles 65 of Law no. 24/ 2017 regarding the issuers of financial instruments and market operations</w:t>
      </w:r>
    </w:p>
    <w:p w:rsidR="00790A44" w:rsidRPr="00C46AEC" w:rsidRDefault="00790A44" w:rsidP="00C46AEC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bCs/>
          <w:lang w:val="it-IT"/>
        </w:rPr>
      </w:pPr>
    </w:p>
    <w:p w:rsidR="00C46AEC" w:rsidRPr="00C46AEC" w:rsidRDefault="00134C40" w:rsidP="00744754">
      <w:pPr>
        <w:autoSpaceDE w:val="0"/>
        <w:autoSpaceDN w:val="0"/>
        <w:adjustRightInd w:val="0"/>
        <w:spacing w:after="0" w:line="276" w:lineRule="auto"/>
        <w:ind w:left="90"/>
        <w:jc w:val="both"/>
        <w:rPr>
          <w:rFonts w:ascii="Arial" w:eastAsia="Times New Roman" w:hAnsi="Arial" w:cs="Arial"/>
          <w:bCs/>
        </w:rPr>
      </w:pPr>
      <w:r>
        <w:rPr>
          <w:rFonts w:ascii="Arial" w:hAnsi="Arial"/>
          <w:bCs/>
        </w:rPr>
        <w:t>Have been prepared the Interim Financial Statements at the date and for the six months period ended at</w:t>
      </w:r>
    </w:p>
    <w:p w:rsidR="00DC47E9" w:rsidRDefault="00134C40" w:rsidP="00744754">
      <w:pPr>
        <w:autoSpaceDE w:val="0"/>
        <w:autoSpaceDN w:val="0"/>
        <w:adjustRightInd w:val="0"/>
        <w:spacing w:after="0" w:line="276" w:lineRule="auto"/>
        <w:ind w:left="90"/>
        <w:jc w:val="both"/>
        <w:rPr>
          <w:rFonts w:ascii="Arial" w:eastAsia="Times New Roman" w:hAnsi="Arial" w:cs="Arial"/>
          <w:bCs/>
        </w:rPr>
      </w:pPr>
      <w:r>
        <w:rPr>
          <w:rFonts w:ascii="Arial" w:hAnsi="Arial"/>
          <w:bCs/>
        </w:rPr>
        <w:t xml:space="preserve"> June 30, 2018 for:</w:t>
      </w:r>
    </w:p>
    <w:p w:rsidR="00F55082" w:rsidRPr="00C46AEC" w:rsidRDefault="00F55082" w:rsidP="00744754">
      <w:pPr>
        <w:autoSpaceDE w:val="0"/>
        <w:autoSpaceDN w:val="0"/>
        <w:adjustRightInd w:val="0"/>
        <w:spacing w:after="0" w:line="276" w:lineRule="auto"/>
        <w:ind w:left="90"/>
        <w:jc w:val="both"/>
        <w:rPr>
          <w:rFonts w:ascii="Arial" w:eastAsia="Times New Roman" w:hAnsi="Arial" w:cs="Arial"/>
          <w:bCs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2"/>
        <w:gridCol w:w="5330"/>
      </w:tblGrid>
      <w:tr w:rsidR="00084B7F" w:rsidTr="00F55082">
        <w:tc>
          <w:tcPr>
            <w:tcW w:w="4230" w:type="dxa"/>
            <w:shd w:val="clear" w:color="auto" w:fill="auto"/>
            <w:vAlign w:val="center"/>
          </w:tcPr>
          <w:p w:rsidR="00DC47E9" w:rsidRPr="00C46AEC" w:rsidRDefault="00134C40" w:rsidP="00F55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Entity</w:t>
            </w:r>
          </w:p>
        </w:tc>
        <w:tc>
          <w:tcPr>
            <w:tcW w:w="5400" w:type="dxa"/>
            <w:shd w:val="clear" w:color="auto" w:fill="auto"/>
          </w:tcPr>
          <w:p w:rsidR="00DC47E9" w:rsidRPr="00C46AEC" w:rsidRDefault="00134C40" w:rsidP="00C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 xml:space="preserve">CONPET SA </w:t>
            </w:r>
          </w:p>
        </w:tc>
      </w:tr>
      <w:tr w:rsidR="00084B7F" w:rsidTr="00F55082">
        <w:tc>
          <w:tcPr>
            <w:tcW w:w="4230" w:type="dxa"/>
            <w:shd w:val="clear" w:color="auto" w:fill="auto"/>
            <w:vAlign w:val="center"/>
          </w:tcPr>
          <w:p w:rsidR="00DC47E9" w:rsidRPr="00C46AEC" w:rsidRDefault="00134C40" w:rsidP="00F55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County</w:t>
            </w:r>
          </w:p>
        </w:tc>
        <w:tc>
          <w:tcPr>
            <w:tcW w:w="5400" w:type="dxa"/>
            <w:shd w:val="clear" w:color="auto" w:fill="auto"/>
          </w:tcPr>
          <w:p w:rsidR="00DC47E9" w:rsidRPr="00C46AEC" w:rsidRDefault="00134C40" w:rsidP="00C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29 - PRAHOVA</w:t>
            </w:r>
          </w:p>
        </w:tc>
      </w:tr>
      <w:tr w:rsidR="00084B7F" w:rsidTr="00F55082">
        <w:tc>
          <w:tcPr>
            <w:tcW w:w="4230" w:type="dxa"/>
            <w:shd w:val="clear" w:color="auto" w:fill="auto"/>
            <w:vAlign w:val="center"/>
          </w:tcPr>
          <w:p w:rsidR="00DC47E9" w:rsidRPr="00C46AEC" w:rsidRDefault="00134C40" w:rsidP="00F55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Address</w:t>
            </w:r>
          </w:p>
        </w:tc>
        <w:tc>
          <w:tcPr>
            <w:tcW w:w="5400" w:type="dxa"/>
            <w:shd w:val="clear" w:color="auto" w:fill="auto"/>
          </w:tcPr>
          <w:p w:rsidR="00DC47E9" w:rsidRPr="00C46AEC" w:rsidRDefault="00134C40" w:rsidP="00C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hAnsi="Arial"/>
              </w:rPr>
              <w:t>Ploiești</w:t>
            </w:r>
            <w:proofErr w:type="spellEnd"/>
            <w:r>
              <w:rPr>
                <w:rFonts w:ascii="Arial" w:hAnsi="Arial"/>
              </w:rPr>
              <w:t xml:space="preserve"> No. 1-3, </w:t>
            </w:r>
            <w:proofErr w:type="spellStart"/>
            <w:r>
              <w:rPr>
                <w:rFonts w:ascii="Arial" w:hAnsi="Arial"/>
              </w:rPr>
              <w:t>Anul</w:t>
            </w:r>
            <w:proofErr w:type="spellEnd"/>
            <w:r>
              <w:rPr>
                <w:rFonts w:ascii="Arial" w:hAnsi="Arial"/>
              </w:rPr>
              <w:t xml:space="preserve"> 1848 Street</w:t>
            </w:r>
          </w:p>
        </w:tc>
      </w:tr>
      <w:tr w:rsidR="00084B7F" w:rsidTr="00F55082">
        <w:tc>
          <w:tcPr>
            <w:tcW w:w="4230" w:type="dxa"/>
            <w:shd w:val="clear" w:color="auto" w:fill="auto"/>
            <w:vAlign w:val="center"/>
          </w:tcPr>
          <w:p w:rsidR="00DC47E9" w:rsidRPr="00C46AEC" w:rsidRDefault="00134C40" w:rsidP="00F55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Trade Registry Number</w:t>
            </w:r>
          </w:p>
        </w:tc>
        <w:tc>
          <w:tcPr>
            <w:tcW w:w="5400" w:type="dxa"/>
            <w:shd w:val="clear" w:color="auto" w:fill="auto"/>
          </w:tcPr>
          <w:p w:rsidR="00DC47E9" w:rsidRPr="00C46AEC" w:rsidRDefault="00134C40" w:rsidP="00C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J29/6/1991</w:t>
            </w:r>
          </w:p>
        </w:tc>
      </w:tr>
      <w:tr w:rsidR="00084B7F" w:rsidTr="00F55082">
        <w:tc>
          <w:tcPr>
            <w:tcW w:w="4230" w:type="dxa"/>
            <w:shd w:val="clear" w:color="auto" w:fill="auto"/>
            <w:vAlign w:val="center"/>
          </w:tcPr>
          <w:p w:rsidR="00DC47E9" w:rsidRPr="00C46AEC" w:rsidRDefault="00134C40" w:rsidP="00F55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Type of ownership</w:t>
            </w:r>
          </w:p>
        </w:tc>
        <w:tc>
          <w:tcPr>
            <w:tcW w:w="5400" w:type="dxa"/>
            <w:shd w:val="clear" w:color="auto" w:fill="auto"/>
          </w:tcPr>
          <w:p w:rsidR="00DC47E9" w:rsidRPr="00C46AEC" w:rsidRDefault="00134C40" w:rsidP="00C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26 - Publicly and privately owned companies with domestic and foreign capital</w:t>
            </w:r>
          </w:p>
        </w:tc>
      </w:tr>
      <w:tr w:rsidR="00084B7F" w:rsidTr="00F55082">
        <w:tc>
          <w:tcPr>
            <w:tcW w:w="4230" w:type="dxa"/>
            <w:shd w:val="clear" w:color="auto" w:fill="auto"/>
            <w:vAlign w:val="center"/>
          </w:tcPr>
          <w:p w:rsidR="00DC47E9" w:rsidRPr="00C46AEC" w:rsidRDefault="00134C40" w:rsidP="00F55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Main activity (NACE code)</w:t>
            </w:r>
          </w:p>
        </w:tc>
        <w:tc>
          <w:tcPr>
            <w:tcW w:w="5400" w:type="dxa"/>
            <w:shd w:val="clear" w:color="auto" w:fill="auto"/>
          </w:tcPr>
          <w:p w:rsidR="00DC47E9" w:rsidRPr="00C46AEC" w:rsidRDefault="00134C40" w:rsidP="00C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4950 - Transport through pipelines</w:t>
            </w:r>
          </w:p>
        </w:tc>
      </w:tr>
      <w:tr w:rsidR="00084B7F" w:rsidTr="00F55082">
        <w:tc>
          <w:tcPr>
            <w:tcW w:w="4230" w:type="dxa"/>
            <w:shd w:val="clear" w:color="auto" w:fill="auto"/>
            <w:vAlign w:val="center"/>
          </w:tcPr>
          <w:p w:rsidR="00DC47E9" w:rsidRPr="00C46AEC" w:rsidRDefault="00134C40" w:rsidP="00F550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Tax Registration Number</w:t>
            </w:r>
          </w:p>
        </w:tc>
        <w:tc>
          <w:tcPr>
            <w:tcW w:w="5400" w:type="dxa"/>
            <w:shd w:val="clear" w:color="auto" w:fill="auto"/>
          </w:tcPr>
          <w:p w:rsidR="00DC47E9" w:rsidRPr="00C46AEC" w:rsidRDefault="00134C40" w:rsidP="00C46AE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hAnsi="Arial"/>
              </w:rPr>
              <w:t>1350020</w:t>
            </w:r>
          </w:p>
        </w:tc>
      </w:tr>
    </w:tbl>
    <w:p w:rsidR="00DC47E9" w:rsidRPr="00C46AEC" w:rsidRDefault="00DC47E9" w:rsidP="00C46AEC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lang w:val="it-IT"/>
        </w:rPr>
      </w:pPr>
    </w:p>
    <w:p w:rsidR="00577593" w:rsidRPr="00C46AEC" w:rsidRDefault="00134C40" w:rsidP="0074475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hAnsi="Arial"/>
          <w:bCs/>
        </w:rPr>
        <w:t>The undersigned: Dan-</w:t>
      </w:r>
      <w:proofErr w:type="spellStart"/>
      <w:r>
        <w:rPr>
          <w:rFonts w:ascii="Arial" w:hAnsi="Arial"/>
          <w:bCs/>
        </w:rPr>
        <w:t>Silviu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Baciu</w:t>
      </w:r>
      <w:proofErr w:type="spellEnd"/>
      <w:r>
        <w:rPr>
          <w:rFonts w:ascii="Arial" w:hAnsi="Arial"/>
          <w:bCs/>
        </w:rPr>
        <w:t xml:space="preserve">, acting as Director General and </w:t>
      </w:r>
      <w:proofErr w:type="spellStart"/>
      <w:r>
        <w:rPr>
          <w:rFonts w:ascii="Arial" w:hAnsi="Arial"/>
          <w:bCs/>
        </w:rPr>
        <w:t>Toader</w:t>
      </w:r>
      <w:proofErr w:type="spellEnd"/>
      <w:r>
        <w:rPr>
          <w:rFonts w:ascii="Arial" w:hAnsi="Arial"/>
          <w:bCs/>
        </w:rPr>
        <w:t xml:space="preserve"> </w:t>
      </w:r>
      <w:proofErr w:type="spellStart"/>
      <w:r>
        <w:rPr>
          <w:rFonts w:ascii="Arial" w:hAnsi="Arial"/>
          <w:bCs/>
        </w:rPr>
        <w:t>Sanda</w:t>
      </w:r>
      <w:proofErr w:type="spellEnd"/>
      <w:r>
        <w:rPr>
          <w:rFonts w:ascii="Arial" w:hAnsi="Arial"/>
          <w:bCs/>
        </w:rPr>
        <w:t>, acting as Economic Direction, takes responsibility for the preparation of the interim financial statements at June 30, 2018 in compliance with the applicable accounting standards (International Accounting Standard 34 - “Interim Financial Reporting”) and confirms, according to their knowledge:</w:t>
      </w:r>
    </w:p>
    <w:p w:rsidR="00577593" w:rsidRPr="00C46AEC" w:rsidRDefault="00577593" w:rsidP="0074475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lang w:val="it-IT"/>
        </w:rPr>
      </w:pPr>
    </w:p>
    <w:p w:rsidR="00F91B0D" w:rsidRPr="00C46AEC" w:rsidRDefault="00134C40" w:rsidP="007447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hAnsi="Arial"/>
          <w:bCs/>
        </w:rPr>
        <w:t>The Interim Financial Statements at June 30, 2018 offers a true view, compliant with the reality  of assets, liabilities, financial standing, profit and loss account of the company; and</w:t>
      </w:r>
    </w:p>
    <w:p w:rsidR="00C358F3" w:rsidRPr="00C46AEC" w:rsidRDefault="00C358F3" w:rsidP="00744754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  <w:lang w:val="it-IT"/>
        </w:rPr>
      </w:pPr>
    </w:p>
    <w:p w:rsidR="00D402D4" w:rsidRPr="00C46AEC" w:rsidRDefault="00134C40" w:rsidP="00744754">
      <w:pPr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bCs/>
        </w:rPr>
      </w:pPr>
      <w:r>
        <w:rPr>
          <w:rFonts w:ascii="Arial" w:hAnsi="Arial"/>
          <w:bCs/>
        </w:rPr>
        <w:t>The administrators’ report presents in a fair and complete manner the info</w:t>
      </w:r>
      <w:bookmarkStart w:id="0" w:name="_GoBack"/>
      <w:bookmarkEnd w:id="0"/>
      <w:r>
        <w:rPr>
          <w:rFonts w:ascii="Arial" w:hAnsi="Arial"/>
          <w:bCs/>
        </w:rPr>
        <w:t>rmation about the company.</w:t>
      </w:r>
    </w:p>
    <w:p w:rsidR="00D402D4" w:rsidRPr="00C46AEC" w:rsidRDefault="00D402D4" w:rsidP="00C46AE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bCs/>
        </w:rPr>
      </w:pPr>
    </w:p>
    <w:p w:rsidR="00577593" w:rsidRPr="00C46AEC" w:rsidRDefault="00577593" w:rsidP="00C46AEC">
      <w:pPr>
        <w:autoSpaceDE w:val="0"/>
        <w:autoSpaceDN w:val="0"/>
        <w:adjustRightInd w:val="0"/>
        <w:spacing w:after="0" w:line="360" w:lineRule="auto"/>
        <w:jc w:val="center"/>
        <w:rPr>
          <w:rStyle w:val="tli1"/>
          <w:rFonts w:ascii="Arial" w:hAnsi="Arial" w:cs="Arial"/>
        </w:rPr>
      </w:pPr>
    </w:p>
    <w:p w:rsidR="00DC47E9" w:rsidRPr="00C46AEC" w:rsidRDefault="00134C40" w:rsidP="0074475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hAnsi="Arial"/>
          <w:b/>
        </w:rPr>
        <w:t>Director General</w:t>
      </w:r>
    </w:p>
    <w:p w:rsidR="00573E8A" w:rsidRPr="00C46AEC" w:rsidRDefault="00134C40" w:rsidP="0074475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hAnsi="Arial"/>
          <w:b/>
        </w:rPr>
        <w:t>Eng. Dan-</w:t>
      </w:r>
      <w:proofErr w:type="spellStart"/>
      <w:r>
        <w:rPr>
          <w:rFonts w:ascii="Arial" w:hAnsi="Arial"/>
          <w:b/>
        </w:rPr>
        <w:t>Silviu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Baciu</w:t>
      </w:r>
      <w:proofErr w:type="spellEnd"/>
      <w:r>
        <w:rPr>
          <w:rFonts w:ascii="Arial" w:hAnsi="Arial"/>
          <w:b/>
        </w:rPr>
        <w:t>, E.M.B.A.</w:t>
      </w:r>
    </w:p>
    <w:p w:rsidR="00384D70" w:rsidRPr="00C46AEC" w:rsidRDefault="00384D70" w:rsidP="0074475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</w:rPr>
      </w:pPr>
    </w:p>
    <w:p w:rsidR="00952E83" w:rsidRPr="00C46AEC" w:rsidRDefault="00952E83" w:rsidP="0074475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Cs/>
        </w:rPr>
      </w:pPr>
    </w:p>
    <w:p w:rsidR="00DC47E9" w:rsidRPr="00C46AEC" w:rsidRDefault="00134C40" w:rsidP="0074475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hAnsi="Arial"/>
          <w:b/>
          <w:bCs/>
        </w:rPr>
        <w:t>Economic Director</w:t>
      </w:r>
    </w:p>
    <w:p w:rsidR="00DC47E9" w:rsidRPr="00C46AEC" w:rsidRDefault="00134C40" w:rsidP="00744754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bCs/>
        </w:rPr>
      </w:pPr>
      <w:r>
        <w:rPr>
          <w:rFonts w:ascii="Arial" w:hAnsi="Arial"/>
          <w:b/>
          <w:bCs/>
        </w:rPr>
        <w:t xml:space="preserve">Econ. TOADER </w:t>
      </w:r>
      <w:proofErr w:type="spellStart"/>
      <w:r>
        <w:rPr>
          <w:rFonts w:ascii="Arial" w:hAnsi="Arial"/>
          <w:b/>
          <w:bCs/>
        </w:rPr>
        <w:t>Sanda</w:t>
      </w:r>
      <w:proofErr w:type="spellEnd"/>
    </w:p>
    <w:sectPr w:rsidR="00DC47E9" w:rsidRPr="00C46AEC" w:rsidSect="00D31708">
      <w:headerReference w:type="default" r:id="rId7"/>
      <w:footerReference w:type="default" r:id="rId8"/>
      <w:pgSz w:w="12240" w:h="15840"/>
      <w:pgMar w:top="643" w:right="1170" w:bottom="851" w:left="1350" w:header="360" w:footer="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046" w:rsidRDefault="006E4046">
      <w:pPr>
        <w:spacing w:after="0" w:line="240" w:lineRule="auto"/>
      </w:pPr>
      <w:r>
        <w:separator/>
      </w:r>
    </w:p>
  </w:endnote>
  <w:endnote w:type="continuationSeparator" w:id="0">
    <w:p w:rsidR="006E4046" w:rsidRDefault="006E40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8F" w:rsidRDefault="009134EF">
    <w:pPr>
      <w:pStyle w:val="Footer"/>
    </w:pPr>
    <w:r>
      <w:rPr>
        <w:noProof/>
      </w:rPr>
      <w:drawing>
        <wp:inline distT="0" distB="0" distL="0" distR="0">
          <wp:extent cx="6172200" cy="828675"/>
          <wp:effectExtent l="0" t="0" r="0" b="0"/>
          <wp:docPr id="2" name="Picture 1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046" w:rsidRDefault="006E4046">
      <w:pPr>
        <w:spacing w:after="0" w:line="240" w:lineRule="auto"/>
      </w:pPr>
      <w:r>
        <w:separator/>
      </w:r>
    </w:p>
  </w:footnote>
  <w:footnote w:type="continuationSeparator" w:id="0">
    <w:p w:rsidR="006E4046" w:rsidRDefault="006E40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F8F" w:rsidRPr="00C46AEC" w:rsidRDefault="004852DB" w:rsidP="00C46AEC">
    <w:pPr>
      <w:pStyle w:val="Header"/>
    </w:pPr>
    <w:r>
      <w:rPr>
        <w:noProof/>
      </w:rPr>
      <w:drawing>
        <wp:inline distT="0" distB="0" distL="0" distR="0" wp14:anchorId="7A500B9F" wp14:editId="6BDAC2C7">
          <wp:extent cx="5940425" cy="887730"/>
          <wp:effectExtent l="0" t="0" r="3175" b="7620"/>
          <wp:docPr id="3" name="Picture 3" descr="Antet Conpet 2018_sus_EN (2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ntet Conpet 2018_sus_EN (2)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887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22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FB3FB3"/>
    <w:multiLevelType w:val="hybridMultilevel"/>
    <w:tmpl w:val="003A20AE"/>
    <w:lvl w:ilvl="0" w:tplc="A33E17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330C6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A07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2E1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D0FE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D419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1062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FCD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98FC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AD7556"/>
    <w:multiLevelType w:val="multilevel"/>
    <w:tmpl w:val="82149A4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8F"/>
    <w:rsid w:val="00043E6B"/>
    <w:rsid w:val="00055A98"/>
    <w:rsid w:val="00074513"/>
    <w:rsid w:val="00084B7F"/>
    <w:rsid w:val="000B04BC"/>
    <w:rsid w:val="00134C40"/>
    <w:rsid w:val="001762EC"/>
    <w:rsid w:val="001855DC"/>
    <w:rsid w:val="00190A14"/>
    <w:rsid w:val="00197AFA"/>
    <w:rsid w:val="001B4BB4"/>
    <w:rsid w:val="001D6634"/>
    <w:rsid w:val="001F56BD"/>
    <w:rsid w:val="00236E19"/>
    <w:rsid w:val="002908FD"/>
    <w:rsid w:val="002917B4"/>
    <w:rsid w:val="00301E87"/>
    <w:rsid w:val="00302FFE"/>
    <w:rsid w:val="0037205E"/>
    <w:rsid w:val="00373E5F"/>
    <w:rsid w:val="00384D70"/>
    <w:rsid w:val="00387FFE"/>
    <w:rsid w:val="00396029"/>
    <w:rsid w:val="003A4F41"/>
    <w:rsid w:val="003C3295"/>
    <w:rsid w:val="003C7D49"/>
    <w:rsid w:val="003E6062"/>
    <w:rsid w:val="003F1CAF"/>
    <w:rsid w:val="00405DC4"/>
    <w:rsid w:val="00440094"/>
    <w:rsid w:val="00476E47"/>
    <w:rsid w:val="004852DB"/>
    <w:rsid w:val="004876FB"/>
    <w:rsid w:val="004C02C8"/>
    <w:rsid w:val="004C7237"/>
    <w:rsid w:val="00557F54"/>
    <w:rsid w:val="00573E8A"/>
    <w:rsid w:val="00577593"/>
    <w:rsid w:val="00587056"/>
    <w:rsid w:val="005A18F2"/>
    <w:rsid w:val="005E3F25"/>
    <w:rsid w:val="005E6303"/>
    <w:rsid w:val="005F224D"/>
    <w:rsid w:val="005F5460"/>
    <w:rsid w:val="0060055E"/>
    <w:rsid w:val="00686720"/>
    <w:rsid w:val="006A698A"/>
    <w:rsid w:val="006B56AF"/>
    <w:rsid w:val="006B682E"/>
    <w:rsid w:val="006D2433"/>
    <w:rsid w:val="006E4046"/>
    <w:rsid w:val="00744754"/>
    <w:rsid w:val="00762DD6"/>
    <w:rsid w:val="00790A44"/>
    <w:rsid w:val="007A5BA6"/>
    <w:rsid w:val="007E66D8"/>
    <w:rsid w:val="00894F35"/>
    <w:rsid w:val="00895315"/>
    <w:rsid w:val="008A75E9"/>
    <w:rsid w:val="008E0F23"/>
    <w:rsid w:val="009134EF"/>
    <w:rsid w:val="009420A6"/>
    <w:rsid w:val="00952E83"/>
    <w:rsid w:val="00967DAA"/>
    <w:rsid w:val="0099339B"/>
    <w:rsid w:val="009979A9"/>
    <w:rsid w:val="00A564C6"/>
    <w:rsid w:val="00A803F2"/>
    <w:rsid w:val="00B2233D"/>
    <w:rsid w:val="00B4515D"/>
    <w:rsid w:val="00B57E62"/>
    <w:rsid w:val="00B61A02"/>
    <w:rsid w:val="00B64A71"/>
    <w:rsid w:val="00B76094"/>
    <w:rsid w:val="00B9545D"/>
    <w:rsid w:val="00BA4046"/>
    <w:rsid w:val="00BA688D"/>
    <w:rsid w:val="00BD515F"/>
    <w:rsid w:val="00C358F3"/>
    <w:rsid w:val="00C46AEC"/>
    <w:rsid w:val="00C70C2F"/>
    <w:rsid w:val="00C871F2"/>
    <w:rsid w:val="00C90037"/>
    <w:rsid w:val="00CA0D48"/>
    <w:rsid w:val="00CB6F8F"/>
    <w:rsid w:val="00CC1104"/>
    <w:rsid w:val="00D160EC"/>
    <w:rsid w:val="00D245A6"/>
    <w:rsid w:val="00D30535"/>
    <w:rsid w:val="00D31708"/>
    <w:rsid w:val="00D402D4"/>
    <w:rsid w:val="00D46561"/>
    <w:rsid w:val="00D64D07"/>
    <w:rsid w:val="00D91016"/>
    <w:rsid w:val="00D947A4"/>
    <w:rsid w:val="00DC47E9"/>
    <w:rsid w:val="00E110B2"/>
    <w:rsid w:val="00E67081"/>
    <w:rsid w:val="00E82D7D"/>
    <w:rsid w:val="00E84FB0"/>
    <w:rsid w:val="00E903FD"/>
    <w:rsid w:val="00E944F5"/>
    <w:rsid w:val="00E963C3"/>
    <w:rsid w:val="00EB44E8"/>
    <w:rsid w:val="00F24D04"/>
    <w:rsid w:val="00F55082"/>
    <w:rsid w:val="00F91B0D"/>
    <w:rsid w:val="00FE3FF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CD95A4-339D-4A36-AD51-2FD03C19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F8F"/>
  </w:style>
  <w:style w:type="paragraph" w:styleId="Footer">
    <w:name w:val="footer"/>
    <w:basedOn w:val="Normal"/>
    <w:link w:val="FooterChar"/>
    <w:uiPriority w:val="99"/>
    <w:unhideWhenUsed/>
    <w:rsid w:val="00CB6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F8F"/>
  </w:style>
  <w:style w:type="paragraph" w:customStyle="1" w:styleId="CharChar">
    <w:name w:val="Char Char"/>
    <w:basedOn w:val="Normal"/>
    <w:rsid w:val="00DC47E9"/>
    <w:pPr>
      <w:spacing w:line="240" w:lineRule="exact"/>
    </w:pPr>
    <w:rPr>
      <w:rFonts w:ascii="Verdana" w:eastAsia="Times New Roman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60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160EC"/>
    <w:rPr>
      <w:rFonts w:ascii="Segoe UI" w:hAnsi="Segoe UI" w:cs="Segoe UI"/>
      <w:sz w:val="18"/>
      <w:szCs w:val="18"/>
    </w:rPr>
  </w:style>
  <w:style w:type="character" w:customStyle="1" w:styleId="ar1">
    <w:name w:val="ar1"/>
    <w:rsid w:val="00055A98"/>
    <w:rPr>
      <w:b/>
      <w:bCs/>
      <w:color w:val="0000AF"/>
      <w:sz w:val="22"/>
      <w:szCs w:val="22"/>
    </w:rPr>
  </w:style>
  <w:style w:type="character" w:customStyle="1" w:styleId="al1">
    <w:name w:val="al1"/>
    <w:rsid w:val="00055A98"/>
    <w:rPr>
      <w:b/>
      <w:bCs/>
      <w:color w:val="008F00"/>
    </w:rPr>
  </w:style>
  <w:style w:type="character" w:customStyle="1" w:styleId="li1">
    <w:name w:val="li1"/>
    <w:rsid w:val="00D402D4"/>
    <w:rPr>
      <w:b/>
      <w:bCs/>
      <w:color w:val="8F0000"/>
    </w:rPr>
  </w:style>
  <w:style w:type="character" w:customStyle="1" w:styleId="tli1">
    <w:name w:val="tli1"/>
    <w:rsid w:val="00D402D4"/>
  </w:style>
  <w:style w:type="paragraph" w:styleId="ListParagraph">
    <w:name w:val="List Paragraph"/>
    <w:basedOn w:val="Normal"/>
    <w:uiPriority w:val="34"/>
    <w:qFormat/>
    <w:rsid w:val="00C358F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Dobo</dc:creator>
  <cp:lastModifiedBy>Monica Stoica</cp:lastModifiedBy>
  <cp:revision>3</cp:revision>
  <cp:lastPrinted>2018-03-14T07:23:00Z</cp:lastPrinted>
  <dcterms:created xsi:type="dcterms:W3CDTF">2018-08-09T05:45:00Z</dcterms:created>
  <dcterms:modified xsi:type="dcterms:W3CDTF">2018-08-09T13:22:00Z</dcterms:modified>
</cp:coreProperties>
</file>