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62D" w:rsidRPr="00917650" w:rsidRDefault="0027462D" w:rsidP="00CE05D6">
      <w:pPr>
        <w:ind w:left="360"/>
        <w:jc w:val="both"/>
        <w:rPr>
          <w:rFonts w:ascii="Trebuchet MS" w:hAnsi="Trebuchet MS"/>
          <w:b/>
          <w:lang w:val="en-GB"/>
        </w:rPr>
      </w:pPr>
    </w:p>
    <w:p w:rsidR="0027462D" w:rsidRPr="00917650" w:rsidRDefault="0027462D" w:rsidP="00CE05D6">
      <w:pPr>
        <w:ind w:left="360"/>
        <w:jc w:val="both"/>
        <w:rPr>
          <w:rFonts w:ascii="Trebuchet MS" w:hAnsi="Trebuchet MS"/>
          <w:b/>
          <w:lang w:val="en-GB"/>
        </w:rPr>
      </w:pPr>
    </w:p>
    <w:p w:rsidR="00917650" w:rsidRDefault="00917650" w:rsidP="00CE05D6">
      <w:pPr>
        <w:ind w:left="360"/>
        <w:jc w:val="both"/>
        <w:rPr>
          <w:rFonts w:ascii="Trebuchet MS" w:hAnsi="Trebuchet MS"/>
          <w:b/>
          <w:lang w:val="en-GB"/>
        </w:rPr>
      </w:pPr>
      <w:r w:rsidRPr="00917650">
        <w:rPr>
          <w:rFonts w:ascii="Trebuchet MS" w:hAnsi="Trebuchet MS"/>
          <w:b/>
          <w:lang w:val="en-GB"/>
        </w:rPr>
        <w:t xml:space="preserve">REPORT ON REVIEW </w:t>
      </w:r>
      <w:r>
        <w:rPr>
          <w:rFonts w:ascii="Trebuchet MS" w:hAnsi="Trebuchet MS"/>
          <w:b/>
          <w:lang w:val="en-GB"/>
        </w:rPr>
        <w:t>OF INTERIM FINANCIAL STATEMENTS</w:t>
      </w:r>
    </w:p>
    <w:p w:rsidR="00917650" w:rsidRDefault="00917650" w:rsidP="00CE05D6">
      <w:pPr>
        <w:ind w:left="360"/>
        <w:jc w:val="both"/>
        <w:rPr>
          <w:rFonts w:ascii="Trebuchet MS" w:hAnsi="Trebuchet MS"/>
          <w:b/>
          <w:lang w:val="en-GB"/>
        </w:rPr>
      </w:pPr>
    </w:p>
    <w:p w:rsidR="007613F6" w:rsidRPr="00917650" w:rsidRDefault="00917650" w:rsidP="00CE05D6">
      <w:pPr>
        <w:ind w:left="360"/>
        <w:jc w:val="both"/>
        <w:rPr>
          <w:rFonts w:ascii="Trebuchet MS" w:hAnsi="Trebuchet MS"/>
          <w:b/>
          <w:lang w:val="en-GB"/>
        </w:rPr>
      </w:pPr>
      <w:r>
        <w:rPr>
          <w:rFonts w:ascii="Trebuchet MS" w:hAnsi="Trebuchet MS"/>
          <w:b/>
          <w:lang w:val="en-GB"/>
        </w:rPr>
        <w:t>T</w:t>
      </w:r>
      <w:r w:rsidR="007613F6" w:rsidRPr="00917650">
        <w:rPr>
          <w:rFonts w:ascii="Trebuchet MS" w:hAnsi="Trebuchet MS"/>
          <w:b/>
          <w:lang w:val="en-GB"/>
        </w:rPr>
        <w:t xml:space="preserve">o the Shareholders of </w:t>
      </w:r>
      <w:r w:rsidR="00B4125B" w:rsidRPr="00D077AC">
        <w:rPr>
          <w:rFonts w:ascii="Trebuchet MS" w:hAnsi="Trebuchet MS"/>
          <w:b/>
          <w:lang w:val="en-GB"/>
        </w:rPr>
        <w:t>CONPET S.A.</w:t>
      </w:r>
    </w:p>
    <w:p w:rsidR="00B44069" w:rsidRPr="00917650" w:rsidRDefault="00B44069" w:rsidP="007613F6">
      <w:pPr>
        <w:jc w:val="both"/>
        <w:rPr>
          <w:rFonts w:ascii="Trebuchet MS" w:hAnsi="Trebuchet MS"/>
          <w:lang w:val="en-GB"/>
        </w:rPr>
      </w:pPr>
    </w:p>
    <w:p w:rsidR="004E7904" w:rsidRDefault="004E7904" w:rsidP="007613F6">
      <w:pPr>
        <w:ind w:firstLine="360"/>
        <w:jc w:val="both"/>
        <w:rPr>
          <w:rFonts w:ascii="Trebuchet MS" w:hAnsi="Trebuchet MS"/>
          <w:i/>
          <w:sz w:val="22"/>
          <w:szCs w:val="22"/>
          <w:lang w:val="en-GB"/>
        </w:rPr>
      </w:pPr>
    </w:p>
    <w:p w:rsidR="007613F6" w:rsidRPr="00D077AC" w:rsidRDefault="007613F6" w:rsidP="007613F6">
      <w:pPr>
        <w:ind w:firstLine="360"/>
        <w:jc w:val="both"/>
        <w:rPr>
          <w:rFonts w:ascii="Trebuchet MS" w:hAnsi="Trebuchet MS"/>
          <w:b/>
          <w:sz w:val="22"/>
          <w:szCs w:val="22"/>
          <w:lang w:val="en-GB"/>
        </w:rPr>
      </w:pPr>
      <w:r w:rsidRPr="00D077AC">
        <w:rPr>
          <w:rFonts w:ascii="Trebuchet MS" w:hAnsi="Trebuchet MS"/>
          <w:b/>
          <w:sz w:val="22"/>
          <w:szCs w:val="22"/>
          <w:lang w:val="en-GB"/>
        </w:rPr>
        <w:t>Introduction</w:t>
      </w:r>
    </w:p>
    <w:p w:rsidR="007613F6" w:rsidRPr="00917650" w:rsidRDefault="007613F6" w:rsidP="007613F6">
      <w:pPr>
        <w:jc w:val="both"/>
        <w:rPr>
          <w:rFonts w:ascii="Trebuchet MS" w:hAnsi="Trebuchet MS"/>
          <w:sz w:val="22"/>
          <w:szCs w:val="22"/>
          <w:lang w:val="en-GB"/>
        </w:rPr>
      </w:pPr>
    </w:p>
    <w:p w:rsidR="00286D50" w:rsidRDefault="007613F6" w:rsidP="007613F6">
      <w:pPr>
        <w:ind w:left="360"/>
        <w:jc w:val="both"/>
        <w:rPr>
          <w:rFonts w:ascii="Trebuchet MS" w:hAnsi="Trebuchet MS"/>
          <w:sz w:val="22"/>
          <w:szCs w:val="22"/>
          <w:lang w:val="en-GB"/>
        </w:rPr>
      </w:pPr>
      <w:r w:rsidRPr="00917650">
        <w:rPr>
          <w:rFonts w:ascii="Trebuchet MS" w:hAnsi="Trebuchet MS"/>
          <w:sz w:val="22"/>
          <w:szCs w:val="22"/>
          <w:lang w:val="en-GB"/>
        </w:rPr>
        <w:t xml:space="preserve">We have reviewed the </w:t>
      </w:r>
      <w:r w:rsidR="0053635C">
        <w:rPr>
          <w:rFonts w:ascii="Trebuchet MS" w:hAnsi="Trebuchet MS"/>
          <w:sz w:val="22"/>
          <w:szCs w:val="22"/>
          <w:lang w:val="en-GB"/>
        </w:rPr>
        <w:t xml:space="preserve">accompanying </w:t>
      </w:r>
      <w:r w:rsidR="00075B08" w:rsidRPr="00917650">
        <w:rPr>
          <w:rFonts w:ascii="Trebuchet MS" w:hAnsi="Trebuchet MS"/>
          <w:sz w:val="22"/>
          <w:szCs w:val="22"/>
          <w:lang w:val="en-GB"/>
        </w:rPr>
        <w:t xml:space="preserve">interim </w:t>
      </w:r>
      <w:r w:rsidR="0053635C">
        <w:rPr>
          <w:rFonts w:ascii="Trebuchet MS" w:hAnsi="Trebuchet MS"/>
          <w:sz w:val="22"/>
          <w:szCs w:val="22"/>
          <w:lang w:val="en-GB"/>
        </w:rPr>
        <w:t xml:space="preserve">financial statements of </w:t>
      </w:r>
      <w:r w:rsidR="0053635C" w:rsidRPr="0022654F">
        <w:rPr>
          <w:rFonts w:ascii="Trebuchet MS" w:hAnsi="Trebuchet MS"/>
          <w:sz w:val="22"/>
          <w:szCs w:val="22"/>
          <w:lang w:val="en-GB"/>
        </w:rPr>
        <w:t>CONPET S.A. (The Company) as of June 30, 2018</w:t>
      </w:r>
      <w:r w:rsidR="00D06702">
        <w:rPr>
          <w:rFonts w:ascii="Trebuchet MS" w:hAnsi="Trebuchet MS"/>
          <w:sz w:val="22"/>
          <w:szCs w:val="22"/>
          <w:lang w:val="en-GB"/>
        </w:rPr>
        <w:t xml:space="preserve">, which comprise the </w:t>
      </w:r>
      <w:r w:rsidR="00075B08" w:rsidRPr="00917650">
        <w:rPr>
          <w:rFonts w:ascii="Trebuchet MS" w:hAnsi="Trebuchet MS"/>
          <w:sz w:val="22"/>
          <w:szCs w:val="22"/>
          <w:lang w:val="en-GB"/>
        </w:rPr>
        <w:t xml:space="preserve">statement of financial position </w:t>
      </w:r>
      <w:r w:rsidR="00D86B41">
        <w:rPr>
          <w:rFonts w:ascii="Trebuchet MS" w:hAnsi="Trebuchet MS"/>
          <w:sz w:val="22"/>
          <w:szCs w:val="22"/>
          <w:lang w:val="en-GB"/>
        </w:rPr>
        <w:t>as at 30 June 2018,</w:t>
      </w:r>
      <w:r w:rsidR="00075B08" w:rsidRPr="00917650">
        <w:rPr>
          <w:rFonts w:ascii="Trebuchet MS" w:hAnsi="Trebuchet MS"/>
          <w:sz w:val="22"/>
          <w:szCs w:val="22"/>
          <w:lang w:val="en-GB"/>
        </w:rPr>
        <w:t xml:space="preserve"> and the </w:t>
      </w:r>
      <w:r w:rsidR="006E33C7">
        <w:rPr>
          <w:rFonts w:ascii="Trebuchet MS" w:hAnsi="Trebuchet MS"/>
          <w:sz w:val="22"/>
          <w:szCs w:val="22"/>
          <w:lang w:val="en-GB"/>
        </w:rPr>
        <w:t>related</w:t>
      </w:r>
      <w:r w:rsidR="006E33C7" w:rsidRPr="00917650">
        <w:rPr>
          <w:rFonts w:ascii="Trebuchet MS" w:hAnsi="Trebuchet MS"/>
          <w:sz w:val="22"/>
          <w:szCs w:val="22"/>
          <w:lang w:val="en-GB"/>
        </w:rPr>
        <w:t xml:space="preserve"> </w:t>
      </w:r>
      <w:r w:rsidR="00075B08" w:rsidRPr="00917650">
        <w:rPr>
          <w:rFonts w:ascii="Trebuchet MS" w:hAnsi="Trebuchet MS"/>
          <w:sz w:val="22"/>
          <w:szCs w:val="22"/>
          <w:lang w:val="en-GB"/>
        </w:rPr>
        <w:t xml:space="preserve">statement of comprehensive income, statement of changes in equity and statement of cash flows for the </w:t>
      </w:r>
      <w:r w:rsidR="00CF1834" w:rsidRPr="00917650">
        <w:rPr>
          <w:rFonts w:ascii="Trebuchet MS" w:hAnsi="Trebuchet MS"/>
          <w:sz w:val="22"/>
          <w:szCs w:val="22"/>
          <w:lang w:val="en-GB"/>
        </w:rPr>
        <w:t>six-month</w:t>
      </w:r>
      <w:r w:rsidR="0016305D" w:rsidRPr="00917650">
        <w:rPr>
          <w:rFonts w:ascii="Trebuchet MS" w:hAnsi="Trebuchet MS"/>
          <w:sz w:val="22"/>
          <w:szCs w:val="22"/>
          <w:lang w:val="en-GB"/>
        </w:rPr>
        <w:t xml:space="preserve"> period</w:t>
      </w:r>
      <w:r w:rsidR="00415E87" w:rsidRPr="00917650">
        <w:rPr>
          <w:rFonts w:ascii="Trebuchet MS" w:hAnsi="Trebuchet MS"/>
          <w:sz w:val="22"/>
          <w:szCs w:val="22"/>
          <w:lang w:val="en-GB"/>
        </w:rPr>
        <w:t xml:space="preserve"> then</w:t>
      </w:r>
      <w:r w:rsidR="00075B08" w:rsidRPr="00917650">
        <w:rPr>
          <w:rFonts w:ascii="Trebuchet MS" w:hAnsi="Trebuchet MS"/>
          <w:sz w:val="22"/>
          <w:szCs w:val="22"/>
          <w:lang w:val="en-GB"/>
        </w:rPr>
        <w:t xml:space="preserve"> ended, and </w:t>
      </w:r>
      <w:r w:rsidR="00860D53">
        <w:rPr>
          <w:rFonts w:ascii="Trebuchet MS" w:hAnsi="Trebuchet MS"/>
          <w:sz w:val="22"/>
          <w:szCs w:val="22"/>
          <w:lang w:val="en-GB"/>
        </w:rPr>
        <w:t xml:space="preserve">other </w:t>
      </w:r>
      <w:r w:rsidR="00A73EBB">
        <w:rPr>
          <w:rFonts w:ascii="Trebuchet MS" w:hAnsi="Trebuchet MS"/>
          <w:sz w:val="22"/>
          <w:szCs w:val="22"/>
          <w:lang w:val="en-GB"/>
        </w:rPr>
        <w:t>explanatory</w:t>
      </w:r>
      <w:r w:rsidR="00860D53">
        <w:rPr>
          <w:rFonts w:ascii="Trebuchet MS" w:hAnsi="Trebuchet MS"/>
          <w:sz w:val="22"/>
          <w:szCs w:val="22"/>
          <w:lang w:val="en-GB"/>
        </w:rPr>
        <w:t xml:space="preserve"> </w:t>
      </w:r>
      <w:r w:rsidR="00075B08" w:rsidRPr="00917650">
        <w:rPr>
          <w:rFonts w:ascii="Trebuchet MS" w:hAnsi="Trebuchet MS"/>
          <w:sz w:val="22"/>
          <w:szCs w:val="22"/>
          <w:lang w:val="en-GB"/>
        </w:rPr>
        <w:t>notes</w:t>
      </w:r>
      <w:r w:rsidRPr="00917650">
        <w:rPr>
          <w:rFonts w:ascii="Trebuchet MS" w:hAnsi="Trebuchet MS"/>
          <w:sz w:val="22"/>
          <w:szCs w:val="22"/>
          <w:lang w:val="en-GB"/>
        </w:rPr>
        <w:t xml:space="preserve">. </w:t>
      </w:r>
    </w:p>
    <w:p w:rsidR="00286D50" w:rsidRDefault="00286D50" w:rsidP="007613F6">
      <w:pPr>
        <w:ind w:left="360"/>
        <w:jc w:val="both"/>
        <w:rPr>
          <w:rFonts w:ascii="Trebuchet MS" w:hAnsi="Trebuchet MS"/>
          <w:sz w:val="22"/>
          <w:szCs w:val="22"/>
          <w:lang w:val="en-GB"/>
        </w:rPr>
      </w:pPr>
    </w:p>
    <w:p w:rsidR="007613F6" w:rsidRPr="00917650" w:rsidRDefault="007613F6" w:rsidP="007613F6">
      <w:pPr>
        <w:ind w:left="360"/>
        <w:jc w:val="both"/>
        <w:rPr>
          <w:rFonts w:ascii="Trebuchet MS" w:hAnsi="Trebuchet MS"/>
          <w:sz w:val="22"/>
          <w:szCs w:val="22"/>
          <w:lang w:val="en-GB"/>
        </w:rPr>
      </w:pPr>
      <w:r w:rsidRPr="00917650">
        <w:rPr>
          <w:rFonts w:ascii="Trebuchet MS" w:hAnsi="Trebuchet MS"/>
          <w:sz w:val="22"/>
          <w:szCs w:val="22"/>
          <w:lang w:val="en-GB"/>
        </w:rPr>
        <w:t xml:space="preserve">Management </w:t>
      </w:r>
      <w:r w:rsidR="00286D50">
        <w:rPr>
          <w:rFonts w:ascii="Trebuchet MS" w:hAnsi="Trebuchet MS"/>
          <w:sz w:val="22"/>
          <w:szCs w:val="22"/>
          <w:lang w:val="en-GB"/>
        </w:rPr>
        <w:t xml:space="preserve">of the Company </w:t>
      </w:r>
      <w:r w:rsidRPr="00917650">
        <w:rPr>
          <w:rFonts w:ascii="Trebuchet MS" w:hAnsi="Trebuchet MS"/>
          <w:sz w:val="22"/>
          <w:szCs w:val="22"/>
          <w:lang w:val="en-GB"/>
        </w:rPr>
        <w:t>is responsible for the preparation and fair presentation of the</w:t>
      </w:r>
      <w:r w:rsidR="008D54DA">
        <w:rPr>
          <w:rFonts w:ascii="Trebuchet MS" w:hAnsi="Trebuchet MS"/>
          <w:sz w:val="22"/>
          <w:szCs w:val="22"/>
          <w:lang w:val="en-GB"/>
        </w:rPr>
        <w:t>se</w:t>
      </w:r>
      <w:r w:rsidRPr="00917650">
        <w:rPr>
          <w:rFonts w:ascii="Trebuchet MS" w:hAnsi="Trebuchet MS"/>
          <w:sz w:val="22"/>
          <w:szCs w:val="22"/>
          <w:lang w:val="en-GB"/>
        </w:rPr>
        <w:t xml:space="preserve"> interim financial </w:t>
      </w:r>
      <w:r w:rsidR="00B02E25" w:rsidRPr="00917650">
        <w:rPr>
          <w:rFonts w:ascii="Trebuchet MS" w:hAnsi="Trebuchet MS"/>
          <w:sz w:val="22"/>
          <w:szCs w:val="22"/>
          <w:lang w:val="en-GB"/>
        </w:rPr>
        <w:t>statements</w:t>
      </w:r>
      <w:r w:rsidRPr="00917650">
        <w:rPr>
          <w:rFonts w:ascii="Trebuchet MS" w:hAnsi="Trebuchet MS"/>
          <w:sz w:val="22"/>
          <w:szCs w:val="22"/>
          <w:lang w:val="en-GB"/>
        </w:rPr>
        <w:t xml:space="preserve"> in accordance with</w:t>
      </w:r>
      <w:r w:rsidR="00B02E25" w:rsidRPr="00917650">
        <w:rPr>
          <w:rFonts w:ascii="Trebuchet MS" w:hAnsi="Trebuchet MS"/>
          <w:sz w:val="22"/>
          <w:szCs w:val="22"/>
          <w:lang w:val="en-GB"/>
        </w:rPr>
        <w:t xml:space="preserve"> IAS 34 </w:t>
      </w:r>
      <w:r w:rsidR="00A16600">
        <w:rPr>
          <w:rFonts w:ascii="Trebuchet MS" w:hAnsi="Trebuchet MS"/>
          <w:sz w:val="22"/>
          <w:szCs w:val="22"/>
          <w:lang w:val="en-GB"/>
        </w:rPr>
        <w:t>“</w:t>
      </w:r>
      <w:r w:rsidR="00B02E25" w:rsidRPr="00D077AC">
        <w:rPr>
          <w:rFonts w:ascii="Trebuchet MS" w:hAnsi="Trebuchet MS"/>
          <w:iCs/>
          <w:sz w:val="22"/>
          <w:szCs w:val="22"/>
          <w:lang w:val="en-GB"/>
        </w:rPr>
        <w:t>Interim Financial Reporting</w:t>
      </w:r>
      <w:r w:rsidR="00A16600" w:rsidRPr="00D077AC">
        <w:rPr>
          <w:rFonts w:ascii="Trebuchet MS" w:hAnsi="Trebuchet MS"/>
          <w:iCs/>
          <w:sz w:val="22"/>
          <w:szCs w:val="22"/>
          <w:lang w:val="en-GB"/>
        </w:rPr>
        <w:t>”</w:t>
      </w:r>
      <w:r w:rsidRPr="00917650">
        <w:rPr>
          <w:rFonts w:ascii="Trebuchet MS" w:hAnsi="Trebuchet MS"/>
          <w:sz w:val="22"/>
          <w:szCs w:val="22"/>
          <w:lang w:val="en-GB"/>
        </w:rPr>
        <w:t>. Our responsibility is to express a conclusion on th</w:t>
      </w:r>
      <w:r w:rsidR="00265E53">
        <w:rPr>
          <w:rFonts w:ascii="Trebuchet MS" w:hAnsi="Trebuchet MS"/>
          <w:sz w:val="22"/>
          <w:szCs w:val="22"/>
          <w:lang w:val="en-GB"/>
        </w:rPr>
        <w:t>ese</w:t>
      </w:r>
      <w:r w:rsidR="008B093C" w:rsidRPr="00917650">
        <w:rPr>
          <w:rFonts w:ascii="Trebuchet MS" w:hAnsi="Trebuchet MS"/>
          <w:sz w:val="22"/>
          <w:szCs w:val="22"/>
          <w:lang w:val="en-GB"/>
        </w:rPr>
        <w:t xml:space="preserve"> interim financial statements </w:t>
      </w:r>
      <w:r w:rsidRPr="00917650">
        <w:rPr>
          <w:rFonts w:ascii="Trebuchet MS" w:hAnsi="Trebuchet MS"/>
          <w:sz w:val="22"/>
          <w:szCs w:val="22"/>
          <w:lang w:val="en-GB"/>
        </w:rPr>
        <w:t>based on our review.</w:t>
      </w:r>
    </w:p>
    <w:p w:rsidR="00B44069" w:rsidRPr="00917650" w:rsidRDefault="00B44069" w:rsidP="007613F6">
      <w:pPr>
        <w:pStyle w:val="Body"/>
        <w:tabs>
          <w:tab w:val="left" w:pos="540"/>
          <w:tab w:val="left" w:pos="6237"/>
        </w:tabs>
        <w:spacing w:after="0" w:line="290" w:lineRule="atLeast"/>
        <w:ind w:left="720"/>
        <w:rPr>
          <w:rFonts w:ascii="Trebuchet MS" w:hAnsi="Trebuchet MS"/>
          <w:i/>
          <w:szCs w:val="22"/>
        </w:rPr>
      </w:pPr>
    </w:p>
    <w:p w:rsidR="007613F6" w:rsidRPr="00D077AC" w:rsidRDefault="007613F6" w:rsidP="007613F6">
      <w:pPr>
        <w:pStyle w:val="Body"/>
        <w:tabs>
          <w:tab w:val="left" w:pos="540"/>
          <w:tab w:val="left" w:pos="6237"/>
        </w:tabs>
        <w:spacing w:after="0" w:line="290" w:lineRule="atLeast"/>
        <w:rPr>
          <w:rFonts w:ascii="Trebuchet MS" w:hAnsi="Trebuchet MS"/>
          <w:b/>
          <w:szCs w:val="22"/>
        </w:rPr>
      </w:pPr>
      <w:r w:rsidRPr="00917650">
        <w:rPr>
          <w:rFonts w:ascii="Trebuchet MS" w:hAnsi="Trebuchet MS"/>
          <w:i/>
          <w:szCs w:val="22"/>
        </w:rPr>
        <w:t xml:space="preserve">    </w:t>
      </w:r>
      <w:r w:rsidR="000E5FA1" w:rsidRPr="00917650">
        <w:rPr>
          <w:rFonts w:ascii="Trebuchet MS" w:hAnsi="Trebuchet MS"/>
          <w:i/>
          <w:szCs w:val="22"/>
        </w:rPr>
        <w:t xml:space="preserve">  </w:t>
      </w:r>
      <w:r w:rsidRPr="00D077AC">
        <w:rPr>
          <w:rFonts w:ascii="Trebuchet MS" w:hAnsi="Trebuchet MS"/>
          <w:b/>
          <w:szCs w:val="22"/>
        </w:rPr>
        <w:t>Scope of review</w:t>
      </w:r>
    </w:p>
    <w:p w:rsidR="007613F6" w:rsidRPr="00917650" w:rsidRDefault="007613F6" w:rsidP="007613F6">
      <w:pPr>
        <w:pStyle w:val="Body"/>
        <w:tabs>
          <w:tab w:val="left" w:pos="540"/>
          <w:tab w:val="left" w:pos="6237"/>
        </w:tabs>
        <w:spacing w:after="0" w:line="290" w:lineRule="atLeast"/>
        <w:rPr>
          <w:rFonts w:ascii="Trebuchet MS" w:hAnsi="Trebuchet MS"/>
          <w:szCs w:val="22"/>
        </w:rPr>
      </w:pPr>
    </w:p>
    <w:p w:rsidR="00A45C0A" w:rsidRPr="00917650" w:rsidRDefault="0027462D" w:rsidP="00E61469">
      <w:pPr>
        <w:pStyle w:val="ListParagraph"/>
        <w:tabs>
          <w:tab w:val="left" w:pos="360"/>
        </w:tabs>
        <w:ind w:left="360"/>
        <w:jc w:val="both"/>
        <w:rPr>
          <w:rFonts w:ascii="Trebuchet MS" w:hAnsi="Trebuchet MS"/>
          <w:i/>
          <w:sz w:val="22"/>
          <w:szCs w:val="22"/>
          <w:lang w:val="en-GB"/>
        </w:rPr>
      </w:pPr>
      <w:r w:rsidRPr="00917650">
        <w:rPr>
          <w:rFonts w:ascii="Trebuchet MS" w:hAnsi="Trebuchet MS"/>
          <w:sz w:val="22"/>
          <w:szCs w:val="22"/>
          <w:lang w:val="en-GB"/>
        </w:rPr>
        <w:t>W</w:t>
      </w:r>
      <w:r w:rsidR="00A45C0A" w:rsidRPr="00917650">
        <w:rPr>
          <w:rFonts w:ascii="Trebuchet MS" w:hAnsi="Trebuchet MS"/>
          <w:sz w:val="22"/>
          <w:szCs w:val="22"/>
          <w:lang w:val="en-GB"/>
        </w:rPr>
        <w:t xml:space="preserve">e conducted our review in accordance with International Standard on Review Engagements 2410, </w:t>
      </w:r>
      <w:r w:rsidR="00A45C0A" w:rsidRPr="00D077AC">
        <w:rPr>
          <w:rFonts w:ascii="Trebuchet MS" w:hAnsi="Trebuchet MS"/>
          <w:sz w:val="22"/>
          <w:szCs w:val="22"/>
          <w:lang w:val="en-GB"/>
        </w:rPr>
        <w:t>“Review of Interim Financial Information Performed by the Independent Auditor of the Entity”</w:t>
      </w:r>
      <w:r w:rsidR="00220ED3" w:rsidRPr="00D077AC">
        <w:rPr>
          <w:rFonts w:ascii="Trebuchet MS" w:hAnsi="Trebuchet MS"/>
          <w:sz w:val="22"/>
          <w:szCs w:val="22"/>
          <w:lang w:val="en-GB"/>
        </w:rPr>
        <w:t>.</w:t>
      </w:r>
      <w:r w:rsidR="00A45C0A" w:rsidRPr="00917650">
        <w:rPr>
          <w:rFonts w:ascii="Trebuchet MS" w:hAnsi="Trebuchet MS"/>
          <w:sz w:val="22"/>
          <w:szCs w:val="22"/>
          <w:lang w:val="en-GB"/>
        </w:rPr>
        <w:t xml:space="preserve"> A review of interim financial information consists of making inquiries, primarily of persons responsible for financial and accounting matters, and applying analytical and other review procedures. A review is substantially less in scope than an audit conducted in accordance with International Standards on Auditing and consequently does not enable us to obtain assurance that we would become aware of all significant matters that might be identified in an audit.</w:t>
      </w:r>
      <w:r w:rsidR="005E6B82" w:rsidRPr="00917650">
        <w:rPr>
          <w:rFonts w:ascii="Trebuchet MS" w:hAnsi="Trebuchet MS"/>
          <w:sz w:val="22"/>
          <w:szCs w:val="22"/>
          <w:lang w:val="en-GB"/>
        </w:rPr>
        <w:t xml:space="preserve"> Accordingly, we do not express an audit opinion.</w:t>
      </w:r>
    </w:p>
    <w:p w:rsidR="00A45C0A" w:rsidRPr="00917650" w:rsidRDefault="00A45C0A" w:rsidP="00A45C0A">
      <w:pPr>
        <w:pStyle w:val="ListParagraph"/>
        <w:tabs>
          <w:tab w:val="left" w:pos="360"/>
        </w:tabs>
        <w:ind w:left="360"/>
        <w:jc w:val="both"/>
        <w:rPr>
          <w:rFonts w:ascii="Trebuchet MS" w:hAnsi="Trebuchet MS"/>
          <w:sz w:val="22"/>
          <w:szCs w:val="22"/>
          <w:lang w:val="en-GB"/>
        </w:rPr>
      </w:pPr>
    </w:p>
    <w:p w:rsidR="0008763B" w:rsidRPr="00917650" w:rsidRDefault="0008763B" w:rsidP="00852D5C">
      <w:pPr>
        <w:pStyle w:val="ListParagraph"/>
        <w:tabs>
          <w:tab w:val="left" w:pos="360"/>
        </w:tabs>
        <w:ind w:left="360"/>
        <w:jc w:val="both"/>
        <w:rPr>
          <w:rFonts w:ascii="Trebuchet MS" w:hAnsi="Trebuchet MS"/>
          <w:lang w:val="en-GB"/>
        </w:rPr>
      </w:pPr>
    </w:p>
    <w:p w:rsidR="007613F6" w:rsidRPr="00313B44" w:rsidRDefault="0027462D" w:rsidP="0027462D">
      <w:pPr>
        <w:pStyle w:val="Body"/>
        <w:tabs>
          <w:tab w:val="left" w:pos="360"/>
          <w:tab w:val="left" w:pos="6237"/>
        </w:tabs>
        <w:spacing w:after="0" w:line="290" w:lineRule="atLeast"/>
        <w:rPr>
          <w:rFonts w:ascii="Trebuchet MS" w:hAnsi="Trebuchet MS"/>
          <w:b/>
          <w:szCs w:val="22"/>
        </w:rPr>
      </w:pPr>
      <w:r w:rsidRPr="00313B44">
        <w:rPr>
          <w:rFonts w:ascii="Trebuchet MS" w:hAnsi="Trebuchet MS"/>
          <w:b/>
          <w:szCs w:val="22"/>
        </w:rPr>
        <w:tab/>
        <w:t>C</w:t>
      </w:r>
      <w:r w:rsidR="007613F6" w:rsidRPr="00313B44">
        <w:rPr>
          <w:rFonts w:ascii="Trebuchet MS" w:hAnsi="Trebuchet MS"/>
          <w:b/>
          <w:szCs w:val="22"/>
        </w:rPr>
        <w:t xml:space="preserve">onclusion </w:t>
      </w: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7613F6" w:rsidRPr="00917650" w:rsidRDefault="00854261" w:rsidP="004E19CB">
      <w:pPr>
        <w:pStyle w:val="ListParagraph"/>
        <w:tabs>
          <w:tab w:val="left" w:pos="360"/>
        </w:tabs>
        <w:ind w:left="360"/>
        <w:jc w:val="both"/>
        <w:rPr>
          <w:rFonts w:ascii="Trebuchet MS" w:hAnsi="Trebuchet MS"/>
          <w:sz w:val="22"/>
          <w:szCs w:val="22"/>
          <w:lang w:val="en-GB"/>
        </w:rPr>
      </w:pPr>
      <w:r>
        <w:rPr>
          <w:rFonts w:ascii="Trebuchet MS" w:hAnsi="Trebuchet MS"/>
          <w:sz w:val="22"/>
          <w:szCs w:val="22"/>
          <w:lang w:val="en-GB"/>
        </w:rPr>
        <w:t>B</w:t>
      </w:r>
      <w:r w:rsidR="00A36991" w:rsidRPr="00917650">
        <w:rPr>
          <w:rFonts w:ascii="Trebuchet MS" w:hAnsi="Trebuchet MS"/>
          <w:sz w:val="22"/>
          <w:szCs w:val="22"/>
          <w:lang w:val="en-GB"/>
        </w:rPr>
        <w:t xml:space="preserve">ased on our review, </w:t>
      </w:r>
      <w:r w:rsidR="007613F6" w:rsidRPr="00917650">
        <w:rPr>
          <w:rFonts w:ascii="Trebuchet MS" w:hAnsi="Trebuchet MS"/>
          <w:sz w:val="22"/>
          <w:szCs w:val="22"/>
          <w:lang w:val="en-GB"/>
        </w:rPr>
        <w:t xml:space="preserve">nothing has come to our attention that causes us to believe that the accompanying </w:t>
      </w:r>
      <w:r w:rsidR="0057209A" w:rsidRPr="00917650">
        <w:rPr>
          <w:rFonts w:ascii="Trebuchet MS" w:hAnsi="Trebuchet MS"/>
          <w:sz w:val="22"/>
          <w:szCs w:val="22"/>
          <w:lang w:val="en-GB"/>
        </w:rPr>
        <w:t xml:space="preserve">interim </w:t>
      </w:r>
      <w:r w:rsidR="007613F6" w:rsidRPr="00917650">
        <w:rPr>
          <w:rFonts w:ascii="Trebuchet MS" w:hAnsi="Trebuchet MS"/>
          <w:sz w:val="22"/>
          <w:szCs w:val="22"/>
          <w:lang w:val="en-GB"/>
        </w:rPr>
        <w:t xml:space="preserve">financial </w:t>
      </w:r>
      <w:r w:rsidR="0057209A" w:rsidRPr="00917650">
        <w:rPr>
          <w:rFonts w:ascii="Trebuchet MS" w:hAnsi="Trebuchet MS"/>
          <w:sz w:val="22"/>
          <w:szCs w:val="22"/>
          <w:lang w:val="en-GB"/>
        </w:rPr>
        <w:t xml:space="preserve">statements </w:t>
      </w:r>
      <w:r w:rsidR="00D077AC">
        <w:rPr>
          <w:rFonts w:ascii="Trebuchet MS" w:hAnsi="Trebuchet MS"/>
          <w:sz w:val="22"/>
          <w:szCs w:val="22"/>
          <w:lang w:val="en-GB"/>
        </w:rPr>
        <w:t>do not present fairly</w:t>
      </w:r>
      <w:r w:rsidR="0036356A">
        <w:rPr>
          <w:rFonts w:ascii="Trebuchet MS" w:hAnsi="Trebuchet MS"/>
          <w:sz w:val="22"/>
          <w:szCs w:val="22"/>
          <w:lang w:val="en-GB"/>
        </w:rPr>
        <w:t xml:space="preserve">, in all material </w:t>
      </w:r>
      <w:r w:rsidR="00D077AC">
        <w:rPr>
          <w:rFonts w:ascii="Trebuchet MS" w:hAnsi="Trebuchet MS"/>
          <w:sz w:val="22"/>
          <w:szCs w:val="22"/>
          <w:lang w:val="en-GB"/>
        </w:rPr>
        <w:t>respects,</w:t>
      </w:r>
      <w:r w:rsidR="003D2D04" w:rsidRPr="00917650">
        <w:rPr>
          <w:rFonts w:ascii="Trebuchet MS" w:hAnsi="Trebuchet MS"/>
          <w:sz w:val="22"/>
          <w:szCs w:val="22"/>
          <w:lang w:val="en-GB"/>
        </w:rPr>
        <w:t xml:space="preserve"> the financial position of the entity as at June 30, </w:t>
      </w:r>
      <w:r w:rsidR="005A0CA1" w:rsidRPr="00917650">
        <w:rPr>
          <w:rFonts w:ascii="Trebuchet MS" w:hAnsi="Trebuchet MS"/>
          <w:sz w:val="22"/>
          <w:szCs w:val="22"/>
          <w:lang w:val="en-GB"/>
        </w:rPr>
        <w:t>2018</w:t>
      </w:r>
      <w:r w:rsidR="003D2D04" w:rsidRPr="00917650">
        <w:rPr>
          <w:rFonts w:ascii="Trebuchet MS" w:hAnsi="Trebuchet MS"/>
          <w:sz w:val="22"/>
          <w:szCs w:val="22"/>
          <w:lang w:val="en-GB"/>
        </w:rPr>
        <w:t xml:space="preserve">, and of its financial performance and its cash flows for the six-month period then ended </w:t>
      </w:r>
      <w:r w:rsidR="00812743" w:rsidRPr="00917650">
        <w:rPr>
          <w:rFonts w:ascii="Trebuchet MS" w:hAnsi="Trebuchet MS"/>
          <w:sz w:val="22"/>
          <w:szCs w:val="22"/>
          <w:lang w:val="en-GB"/>
        </w:rPr>
        <w:t>in accordance with</w:t>
      </w:r>
      <w:r w:rsidR="00D077AC">
        <w:rPr>
          <w:rFonts w:ascii="Trebuchet MS" w:hAnsi="Trebuchet MS"/>
          <w:sz w:val="22"/>
          <w:szCs w:val="22"/>
          <w:lang w:val="en-GB"/>
        </w:rPr>
        <w:t xml:space="preserve"> </w:t>
      </w:r>
      <w:r w:rsidR="00812743" w:rsidRPr="00917650">
        <w:rPr>
          <w:rFonts w:ascii="Trebuchet MS" w:hAnsi="Trebuchet MS"/>
          <w:sz w:val="22"/>
          <w:szCs w:val="22"/>
          <w:lang w:val="en-GB"/>
        </w:rPr>
        <w:t>IAS 34 </w:t>
      </w:r>
      <w:r w:rsidR="00B96422">
        <w:rPr>
          <w:rFonts w:ascii="Trebuchet MS" w:hAnsi="Trebuchet MS"/>
          <w:sz w:val="22"/>
          <w:szCs w:val="22"/>
          <w:lang w:val="en-GB"/>
        </w:rPr>
        <w:t>“</w:t>
      </w:r>
      <w:r w:rsidR="00812743" w:rsidRPr="00D077AC">
        <w:rPr>
          <w:rFonts w:ascii="Trebuchet MS" w:hAnsi="Trebuchet MS"/>
          <w:iCs/>
          <w:sz w:val="22"/>
          <w:szCs w:val="22"/>
          <w:lang w:val="en-GB"/>
        </w:rPr>
        <w:t>Interim Financial Reporting</w:t>
      </w:r>
      <w:r w:rsidR="00B96422">
        <w:rPr>
          <w:rFonts w:ascii="Trebuchet MS" w:hAnsi="Trebuchet MS"/>
          <w:sz w:val="22"/>
          <w:szCs w:val="22"/>
          <w:lang w:val="en-GB"/>
        </w:rPr>
        <w:t>”</w:t>
      </w:r>
      <w:r w:rsidR="007613F6" w:rsidRPr="00917650">
        <w:rPr>
          <w:rFonts w:ascii="Trebuchet MS" w:hAnsi="Trebuchet MS"/>
          <w:sz w:val="22"/>
          <w:szCs w:val="22"/>
          <w:lang w:val="en-GB"/>
        </w:rPr>
        <w:t>.</w:t>
      </w: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043A27" w:rsidRDefault="006D4DA6" w:rsidP="006D4DA6">
      <w:pPr>
        <w:tabs>
          <w:tab w:val="left" w:pos="360"/>
        </w:tabs>
        <w:jc w:val="both"/>
        <w:rPr>
          <w:rFonts w:ascii="Trebuchet MS" w:hAnsi="Trebuchet MS"/>
          <w:sz w:val="22"/>
          <w:szCs w:val="22"/>
          <w:lang w:val="en-GB"/>
        </w:rPr>
      </w:pPr>
      <w:r w:rsidRPr="00917650">
        <w:rPr>
          <w:rFonts w:ascii="Trebuchet MS" w:hAnsi="Trebuchet MS"/>
          <w:sz w:val="22"/>
          <w:szCs w:val="22"/>
          <w:lang w:val="en-GB"/>
        </w:rPr>
        <w:tab/>
      </w:r>
    </w:p>
    <w:p w:rsidR="00043A27" w:rsidRDefault="00043A27" w:rsidP="006D4DA6">
      <w:pPr>
        <w:tabs>
          <w:tab w:val="left" w:pos="360"/>
        </w:tabs>
        <w:jc w:val="both"/>
        <w:rPr>
          <w:rFonts w:ascii="Trebuchet MS" w:hAnsi="Trebuchet MS"/>
          <w:sz w:val="22"/>
          <w:szCs w:val="22"/>
          <w:lang w:val="en-GB"/>
        </w:rPr>
      </w:pPr>
    </w:p>
    <w:p w:rsidR="00043A27" w:rsidRDefault="00043A27" w:rsidP="006D4DA6">
      <w:pPr>
        <w:tabs>
          <w:tab w:val="left" w:pos="360"/>
        </w:tabs>
        <w:jc w:val="both"/>
        <w:rPr>
          <w:rFonts w:ascii="Trebuchet MS" w:hAnsi="Trebuchet MS"/>
          <w:sz w:val="22"/>
          <w:szCs w:val="22"/>
          <w:lang w:val="en-GB"/>
        </w:rPr>
      </w:pPr>
    </w:p>
    <w:p w:rsidR="00043A27" w:rsidRDefault="00043A27" w:rsidP="006D4DA6">
      <w:pPr>
        <w:tabs>
          <w:tab w:val="left" w:pos="360"/>
        </w:tabs>
        <w:jc w:val="both"/>
        <w:rPr>
          <w:rFonts w:ascii="Trebuchet MS" w:hAnsi="Trebuchet MS"/>
          <w:sz w:val="22"/>
          <w:szCs w:val="22"/>
          <w:lang w:val="en-GB"/>
        </w:rPr>
      </w:pPr>
    </w:p>
    <w:p w:rsidR="00043A27" w:rsidRDefault="00043A27" w:rsidP="006D4DA6">
      <w:pPr>
        <w:tabs>
          <w:tab w:val="left" w:pos="360"/>
        </w:tabs>
        <w:jc w:val="both"/>
        <w:rPr>
          <w:rFonts w:ascii="Trebuchet MS" w:hAnsi="Trebuchet MS"/>
          <w:sz w:val="22"/>
          <w:szCs w:val="22"/>
          <w:lang w:val="en-GB"/>
        </w:rPr>
      </w:pPr>
    </w:p>
    <w:p w:rsidR="00043A27" w:rsidRDefault="00043A27" w:rsidP="006D4DA6">
      <w:pPr>
        <w:tabs>
          <w:tab w:val="left" w:pos="360"/>
        </w:tabs>
        <w:jc w:val="both"/>
        <w:rPr>
          <w:rFonts w:ascii="Trebuchet MS" w:hAnsi="Trebuchet MS"/>
          <w:sz w:val="22"/>
          <w:szCs w:val="22"/>
          <w:lang w:val="en-GB"/>
        </w:rPr>
      </w:pPr>
    </w:p>
    <w:p w:rsidR="00043A27" w:rsidRDefault="00043A27" w:rsidP="006D4DA6">
      <w:pPr>
        <w:tabs>
          <w:tab w:val="left" w:pos="360"/>
        </w:tabs>
        <w:jc w:val="both"/>
        <w:rPr>
          <w:rFonts w:ascii="Trebuchet MS" w:hAnsi="Trebuchet MS"/>
          <w:sz w:val="22"/>
          <w:szCs w:val="22"/>
          <w:lang w:val="en-GB"/>
        </w:rPr>
      </w:pPr>
    </w:p>
    <w:p w:rsidR="007613F6" w:rsidRPr="00D077AC" w:rsidRDefault="00043A27" w:rsidP="006D4DA6">
      <w:pPr>
        <w:tabs>
          <w:tab w:val="left" w:pos="360"/>
        </w:tabs>
        <w:jc w:val="both"/>
        <w:rPr>
          <w:rFonts w:ascii="Trebuchet MS" w:hAnsi="Trebuchet MS"/>
          <w:b/>
          <w:sz w:val="22"/>
          <w:szCs w:val="22"/>
          <w:lang w:val="en-GB"/>
        </w:rPr>
      </w:pPr>
      <w:r>
        <w:rPr>
          <w:rFonts w:ascii="Trebuchet MS" w:hAnsi="Trebuchet MS"/>
          <w:sz w:val="22"/>
          <w:szCs w:val="22"/>
          <w:lang w:val="en-GB"/>
        </w:rPr>
        <w:tab/>
      </w:r>
      <w:r w:rsidR="007613F6" w:rsidRPr="00D077AC">
        <w:rPr>
          <w:rFonts w:ascii="Trebuchet MS" w:hAnsi="Trebuchet MS"/>
          <w:b/>
          <w:sz w:val="22"/>
          <w:szCs w:val="22"/>
          <w:lang w:val="en-GB"/>
        </w:rPr>
        <w:t xml:space="preserve">Other </w:t>
      </w:r>
      <w:r w:rsidR="00CE3548" w:rsidRPr="00D077AC">
        <w:rPr>
          <w:rFonts w:ascii="Trebuchet MS" w:hAnsi="Trebuchet MS"/>
          <w:b/>
          <w:sz w:val="22"/>
          <w:szCs w:val="22"/>
          <w:lang w:val="en-GB"/>
        </w:rPr>
        <w:t>Aspects</w:t>
      </w: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CE3548" w:rsidRPr="00917650" w:rsidRDefault="00CE3548" w:rsidP="00CE3548">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 xml:space="preserve">This report is addressed exclusively to the Company’s shareholders, as a body. Our </w:t>
      </w:r>
      <w:r w:rsidR="00D35070" w:rsidRPr="00917650">
        <w:rPr>
          <w:rFonts w:ascii="Trebuchet MS" w:hAnsi="Trebuchet MS"/>
          <w:sz w:val="22"/>
          <w:szCs w:val="22"/>
          <w:lang w:val="en-GB"/>
        </w:rPr>
        <w:t>review</w:t>
      </w:r>
      <w:r w:rsidRPr="00917650">
        <w:rPr>
          <w:rFonts w:ascii="Trebuchet MS" w:hAnsi="Trebuchet MS"/>
          <w:sz w:val="22"/>
          <w:szCs w:val="22"/>
          <w:lang w:val="en-GB"/>
        </w:rPr>
        <w:t xml:space="preserve"> was undertaken in order to report to the Company’s shareholders all those aspects that we are required to state to them in a </w:t>
      </w:r>
      <w:r w:rsidR="0040098D" w:rsidRPr="00917650">
        <w:rPr>
          <w:rFonts w:ascii="Trebuchet MS" w:hAnsi="Trebuchet MS"/>
          <w:sz w:val="22"/>
          <w:szCs w:val="22"/>
          <w:lang w:val="en-GB"/>
        </w:rPr>
        <w:t>review</w:t>
      </w:r>
      <w:r w:rsidRPr="00917650">
        <w:rPr>
          <w:rFonts w:ascii="Trebuchet MS" w:hAnsi="Trebuchet MS"/>
          <w:sz w:val="22"/>
          <w:szCs w:val="22"/>
          <w:lang w:val="en-GB"/>
        </w:rPr>
        <w:t xml:space="preserve"> report and for no other purposes whatsoever. To the extent permitted by law, we do not accept or take responsibility to anyone other than the Company and its shareholders, as a body, for our </w:t>
      </w:r>
      <w:r w:rsidR="007B30F9" w:rsidRPr="00917650">
        <w:rPr>
          <w:rFonts w:ascii="Trebuchet MS" w:hAnsi="Trebuchet MS"/>
          <w:sz w:val="22"/>
          <w:szCs w:val="22"/>
          <w:lang w:val="en-GB"/>
        </w:rPr>
        <w:t>review</w:t>
      </w:r>
      <w:r w:rsidRPr="00917650">
        <w:rPr>
          <w:rFonts w:ascii="Trebuchet MS" w:hAnsi="Trebuchet MS"/>
          <w:sz w:val="22"/>
          <w:szCs w:val="22"/>
          <w:lang w:val="en-GB"/>
        </w:rPr>
        <w:t xml:space="preserve"> work, for th</w:t>
      </w:r>
      <w:r w:rsidR="00F636A0" w:rsidRPr="00917650">
        <w:rPr>
          <w:rFonts w:ascii="Trebuchet MS" w:hAnsi="Trebuchet MS"/>
          <w:sz w:val="22"/>
          <w:szCs w:val="22"/>
          <w:lang w:val="en-GB"/>
        </w:rPr>
        <w:t>is</w:t>
      </w:r>
      <w:r w:rsidRPr="00917650">
        <w:rPr>
          <w:rFonts w:ascii="Trebuchet MS" w:hAnsi="Trebuchet MS"/>
          <w:sz w:val="22"/>
          <w:szCs w:val="22"/>
          <w:lang w:val="en-GB"/>
        </w:rPr>
        <w:t xml:space="preserve"> report or for the </w:t>
      </w:r>
      <w:r w:rsidR="00F636A0" w:rsidRPr="00917650">
        <w:rPr>
          <w:rFonts w:ascii="Trebuchet MS" w:hAnsi="Trebuchet MS"/>
          <w:sz w:val="22"/>
          <w:szCs w:val="22"/>
          <w:lang w:val="en-GB"/>
        </w:rPr>
        <w:t>conclusion</w:t>
      </w:r>
      <w:r w:rsidRPr="00917650">
        <w:rPr>
          <w:rFonts w:ascii="Trebuchet MS" w:hAnsi="Trebuchet MS"/>
          <w:sz w:val="22"/>
          <w:szCs w:val="22"/>
          <w:lang w:val="en-GB"/>
        </w:rPr>
        <w:t xml:space="preserve"> we have formed.</w:t>
      </w: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7613F6" w:rsidRPr="00917650" w:rsidRDefault="007613F6" w:rsidP="007613F6">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 xml:space="preserve">On </w:t>
      </w:r>
      <w:r w:rsidR="00856136" w:rsidRPr="00917650">
        <w:rPr>
          <w:rFonts w:ascii="Trebuchet MS" w:hAnsi="Trebuchet MS"/>
          <w:sz w:val="22"/>
          <w:szCs w:val="22"/>
          <w:lang w:val="en-GB"/>
        </w:rPr>
        <w:t>behalf,</w:t>
      </w:r>
      <w:r w:rsidRPr="00917650">
        <w:rPr>
          <w:rFonts w:ascii="Trebuchet MS" w:hAnsi="Trebuchet MS"/>
          <w:sz w:val="22"/>
          <w:szCs w:val="22"/>
          <w:lang w:val="en-GB"/>
        </w:rPr>
        <w:t xml:space="preserve"> of</w:t>
      </w:r>
    </w:p>
    <w:p w:rsidR="007613F6" w:rsidRPr="00917650" w:rsidRDefault="007613F6" w:rsidP="007613F6">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 xml:space="preserve">BDO AUDIT SRL </w:t>
      </w:r>
    </w:p>
    <w:p w:rsidR="007613F6" w:rsidRPr="00917650" w:rsidRDefault="007613F6" w:rsidP="007613F6">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Registered with the Chamber of Financials Auditors in Romania</w:t>
      </w:r>
      <w:r w:rsidR="00056440" w:rsidRPr="00917650">
        <w:rPr>
          <w:rFonts w:ascii="Trebuchet MS" w:hAnsi="Trebuchet MS"/>
          <w:sz w:val="22"/>
          <w:szCs w:val="22"/>
          <w:lang w:val="en-GB"/>
        </w:rPr>
        <w:t xml:space="preserve"> </w:t>
      </w:r>
      <w:r w:rsidRPr="00917650">
        <w:rPr>
          <w:rFonts w:ascii="Trebuchet MS" w:hAnsi="Trebuchet MS"/>
          <w:sz w:val="22"/>
          <w:szCs w:val="22"/>
          <w:lang w:val="en-GB"/>
        </w:rPr>
        <w:t>No 018 / 2001</w:t>
      </w: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7613F6" w:rsidRPr="00917650" w:rsidRDefault="007613F6" w:rsidP="007613F6">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Name of signing person: Vasile Bulata</w:t>
      </w:r>
    </w:p>
    <w:p w:rsidR="007613F6" w:rsidRPr="00917650" w:rsidRDefault="007613F6" w:rsidP="007613F6">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 xml:space="preserve">Registered with the Chamber of Financials Auditors in Romania </w:t>
      </w:r>
    </w:p>
    <w:p w:rsidR="007613F6" w:rsidRPr="00917650" w:rsidRDefault="007613F6" w:rsidP="007613F6">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No 1480 / 2002</w:t>
      </w:r>
    </w:p>
    <w:p w:rsidR="007613F6" w:rsidRPr="00917650" w:rsidRDefault="007613F6" w:rsidP="007613F6">
      <w:pPr>
        <w:pStyle w:val="ListParagraph"/>
        <w:tabs>
          <w:tab w:val="left" w:pos="360"/>
        </w:tabs>
        <w:ind w:left="360"/>
        <w:jc w:val="both"/>
        <w:rPr>
          <w:rFonts w:ascii="Trebuchet MS" w:hAnsi="Trebuchet MS"/>
          <w:sz w:val="22"/>
          <w:szCs w:val="22"/>
          <w:lang w:val="en-GB"/>
        </w:rPr>
      </w:pPr>
    </w:p>
    <w:p w:rsidR="0072303F" w:rsidRPr="00917650" w:rsidRDefault="0072303F" w:rsidP="007613F6">
      <w:pPr>
        <w:pStyle w:val="ListParagraph"/>
        <w:tabs>
          <w:tab w:val="left" w:pos="360"/>
        </w:tabs>
        <w:ind w:left="360"/>
        <w:jc w:val="both"/>
        <w:rPr>
          <w:rFonts w:ascii="Trebuchet MS" w:hAnsi="Trebuchet MS"/>
          <w:sz w:val="22"/>
          <w:szCs w:val="22"/>
          <w:lang w:val="en-GB"/>
        </w:rPr>
      </w:pPr>
    </w:p>
    <w:p w:rsidR="007613F6" w:rsidRPr="00917650" w:rsidRDefault="007613F6" w:rsidP="007613F6">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Bucharest, Romania</w:t>
      </w:r>
    </w:p>
    <w:p w:rsidR="0089400D" w:rsidRPr="00917650" w:rsidRDefault="0027462D" w:rsidP="0072303F">
      <w:pPr>
        <w:pStyle w:val="ListParagraph"/>
        <w:tabs>
          <w:tab w:val="left" w:pos="360"/>
        </w:tabs>
        <w:ind w:left="360"/>
        <w:jc w:val="both"/>
        <w:rPr>
          <w:rFonts w:ascii="Trebuchet MS" w:hAnsi="Trebuchet MS"/>
          <w:sz w:val="22"/>
          <w:szCs w:val="22"/>
          <w:lang w:val="en-GB"/>
        </w:rPr>
      </w:pPr>
      <w:r w:rsidRPr="00917650">
        <w:rPr>
          <w:rFonts w:ascii="Trebuchet MS" w:hAnsi="Trebuchet MS"/>
          <w:sz w:val="22"/>
          <w:szCs w:val="22"/>
          <w:lang w:val="en-GB"/>
        </w:rPr>
        <w:t>9</w:t>
      </w:r>
      <w:r w:rsidR="006B00AA" w:rsidRPr="00917650">
        <w:rPr>
          <w:rFonts w:ascii="Trebuchet MS" w:hAnsi="Trebuchet MS"/>
          <w:sz w:val="22"/>
          <w:szCs w:val="22"/>
          <w:lang w:val="en-GB"/>
        </w:rPr>
        <w:t xml:space="preserve"> August</w:t>
      </w:r>
      <w:r w:rsidR="007613F6" w:rsidRPr="00917650">
        <w:rPr>
          <w:rFonts w:ascii="Trebuchet MS" w:hAnsi="Trebuchet MS"/>
          <w:sz w:val="22"/>
          <w:szCs w:val="22"/>
          <w:lang w:val="en-GB"/>
        </w:rPr>
        <w:t xml:space="preserve"> 201</w:t>
      </w:r>
      <w:r w:rsidRPr="00917650">
        <w:rPr>
          <w:rFonts w:ascii="Trebuchet MS" w:hAnsi="Trebuchet MS"/>
          <w:sz w:val="22"/>
          <w:szCs w:val="22"/>
          <w:lang w:val="en-GB"/>
        </w:rPr>
        <w:t>8</w:t>
      </w:r>
    </w:p>
    <w:p w:rsidR="00A32440" w:rsidRPr="00917650" w:rsidRDefault="00A32440" w:rsidP="0072303F">
      <w:pPr>
        <w:pStyle w:val="ListParagraph"/>
        <w:tabs>
          <w:tab w:val="left" w:pos="360"/>
        </w:tabs>
        <w:ind w:left="360"/>
        <w:jc w:val="both"/>
        <w:rPr>
          <w:rFonts w:ascii="Trebuchet MS" w:hAnsi="Trebuchet MS"/>
          <w:sz w:val="22"/>
          <w:szCs w:val="22"/>
          <w:lang w:val="en-GB"/>
        </w:rPr>
      </w:pPr>
    </w:p>
    <w:p w:rsidR="00A32440" w:rsidRPr="00917650" w:rsidRDefault="00A32440" w:rsidP="0072303F">
      <w:pPr>
        <w:pStyle w:val="ListParagraph"/>
        <w:tabs>
          <w:tab w:val="left" w:pos="360"/>
        </w:tabs>
        <w:ind w:left="360"/>
        <w:jc w:val="both"/>
        <w:rPr>
          <w:rFonts w:ascii="Trebuchet MS" w:hAnsi="Trebuchet MS"/>
          <w:sz w:val="22"/>
          <w:szCs w:val="22"/>
          <w:lang w:val="en-GB"/>
        </w:rPr>
      </w:pPr>
    </w:p>
    <w:p w:rsidR="00A32440" w:rsidRPr="00917650" w:rsidRDefault="00A32440" w:rsidP="0072303F">
      <w:pPr>
        <w:pStyle w:val="ListParagraph"/>
        <w:tabs>
          <w:tab w:val="left" w:pos="360"/>
        </w:tabs>
        <w:ind w:left="360"/>
        <w:jc w:val="both"/>
        <w:rPr>
          <w:rFonts w:ascii="Trebuchet MS" w:hAnsi="Trebuchet MS"/>
          <w:sz w:val="22"/>
          <w:szCs w:val="22"/>
          <w:lang w:val="en-GB"/>
        </w:rPr>
      </w:pPr>
    </w:p>
    <w:p w:rsidR="00A32440" w:rsidRPr="00917650" w:rsidRDefault="00A32440" w:rsidP="0072303F">
      <w:pPr>
        <w:pStyle w:val="ListParagraph"/>
        <w:tabs>
          <w:tab w:val="left" w:pos="360"/>
        </w:tabs>
        <w:ind w:left="360"/>
        <w:jc w:val="both"/>
        <w:rPr>
          <w:rFonts w:ascii="Trebuchet MS" w:hAnsi="Trebuchet MS"/>
          <w:sz w:val="22"/>
          <w:szCs w:val="22"/>
          <w:lang w:val="en-GB"/>
        </w:rPr>
      </w:pPr>
    </w:p>
    <w:p w:rsidR="00A32440" w:rsidRPr="00917650" w:rsidRDefault="00A32440" w:rsidP="0072303F">
      <w:pPr>
        <w:pStyle w:val="ListParagraph"/>
        <w:tabs>
          <w:tab w:val="left" w:pos="360"/>
        </w:tabs>
        <w:ind w:left="360"/>
        <w:jc w:val="both"/>
        <w:rPr>
          <w:rFonts w:ascii="Trebuchet MS" w:hAnsi="Trebuchet MS"/>
          <w:sz w:val="22"/>
          <w:szCs w:val="22"/>
          <w:lang w:val="en-GB"/>
        </w:rPr>
      </w:pPr>
    </w:p>
    <w:p w:rsidR="00A32440" w:rsidRDefault="00A32440"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Default="001C76A7" w:rsidP="0072303F">
      <w:pPr>
        <w:pStyle w:val="ListParagraph"/>
        <w:tabs>
          <w:tab w:val="left" w:pos="360"/>
        </w:tabs>
        <w:ind w:left="360"/>
        <w:jc w:val="both"/>
        <w:rPr>
          <w:rFonts w:ascii="Trebuchet MS" w:hAnsi="Trebuchet MS"/>
          <w:sz w:val="22"/>
          <w:szCs w:val="22"/>
          <w:lang w:val="en-GB"/>
        </w:rPr>
      </w:pPr>
    </w:p>
    <w:p w:rsidR="001C76A7" w:rsidRPr="00917650" w:rsidRDefault="001C76A7" w:rsidP="0072303F">
      <w:pPr>
        <w:pStyle w:val="ListParagraph"/>
        <w:tabs>
          <w:tab w:val="left" w:pos="360"/>
        </w:tabs>
        <w:ind w:left="360"/>
        <w:jc w:val="both"/>
        <w:rPr>
          <w:rFonts w:ascii="Trebuchet MS" w:hAnsi="Trebuchet MS"/>
          <w:sz w:val="22"/>
          <w:szCs w:val="22"/>
          <w:lang w:val="en-GB"/>
        </w:rPr>
      </w:pPr>
    </w:p>
    <w:p w:rsidR="00A32440" w:rsidRDefault="00A32440" w:rsidP="0072303F">
      <w:pPr>
        <w:pStyle w:val="ListParagraph"/>
        <w:tabs>
          <w:tab w:val="left" w:pos="360"/>
        </w:tabs>
        <w:ind w:left="360"/>
        <w:jc w:val="both"/>
        <w:rPr>
          <w:rFonts w:ascii="Trebuchet MS" w:hAnsi="Trebuchet MS"/>
          <w:sz w:val="22"/>
          <w:szCs w:val="22"/>
          <w:lang w:val="en-GB"/>
        </w:rPr>
      </w:pPr>
    </w:p>
    <w:p w:rsidR="00312B5D" w:rsidRPr="00917650" w:rsidRDefault="00312B5D" w:rsidP="0072303F">
      <w:pPr>
        <w:pStyle w:val="ListParagraph"/>
        <w:tabs>
          <w:tab w:val="left" w:pos="360"/>
        </w:tabs>
        <w:ind w:left="360"/>
        <w:jc w:val="both"/>
        <w:rPr>
          <w:rFonts w:ascii="Trebuchet MS" w:hAnsi="Trebuchet MS"/>
          <w:sz w:val="22"/>
          <w:szCs w:val="22"/>
          <w:lang w:val="en-GB"/>
        </w:rPr>
      </w:pPr>
      <w:bookmarkStart w:id="0" w:name="_GoBack"/>
      <w:bookmarkEnd w:id="0"/>
    </w:p>
    <w:p w:rsidR="00A32440" w:rsidRPr="00917650" w:rsidRDefault="00A32440" w:rsidP="0072303F">
      <w:pPr>
        <w:pStyle w:val="ListParagraph"/>
        <w:tabs>
          <w:tab w:val="left" w:pos="360"/>
        </w:tabs>
        <w:ind w:left="360"/>
        <w:jc w:val="both"/>
        <w:rPr>
          <w:rFonts w:ascii="Trebuchet MS" w:hAnsi="Trebuchet MS"/>
          <w:sz w:val="22"/>
          <w:szCs w:val="22"/>
          <w:lang w:val="en-GB"/>
        </w:rPr>
      </w:pPr>
    </w:p>
    <w:p w:rsidR="00A32440" w:rsidRPr="00313B44" w:rsidRDefault="00A32440" w:rsidP="00A32440">
      <w:pPr>
        <w:pStyle w:val="Footer"/>
        <w:rPr>
          <w:rFonts w:ascii="Trebuchet MS" w:hAnsi="Trebuchet MS"/>
          <w:lang w:val="en-GB"/>
        </w:rPr>
      </w:pPr>
      <w:r w:rsidRPr="00313B44">
        <w:rPr>
          <w:rFonts w:ascii="Trebuchet MS" w:hAnsi="Trebuchet MS"/>
          <w:lang w:val="en-GB"/>
        </w:rPr>
        <w:t>This is a free translation of the original Romanian language version. In case of any differences the Romanian version will prevail.</w:t>
      </w:r>
    </w:p>
    <w:sectPr w:rsidR="00A32440" w:rsidRPr="00313B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4E1" w:rsidRDefault="004324E1" w:rsidP="007613F6">
      <w:r>
        <w:separator/>
      </w:r>
    </w:p>
  </w:endnote>
  <w:endnote w:type="continuationSeparator" w:id="0">
    <w:p w:rsidR="004324E1" w:rsidRDefault="004324E1" w:rsidP="0076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B19" w:rsidRDefault="00763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18"/>
      </w:rPr>
      <w:id w:val="-695081359"/>
      <w:docPartObj>
        <w:docPartGallery w:val="Page Numbers (Bottom of Page)"/>
        <w:docPartUnique/>
      </w:docPartObj>
    </w:sdtPr>
    <w:sdtEndPr>
      <w:rPr>
        <w:noProof/>
      </w:rPr>
    </w:sdtEndPr>
    <w:sdtContent>
      <w:p w:rsidR="008F329F" w:rsidRPr="00763B19" w:rsidRDefault="008F329F">
        <w:pPr>
          <w:pStyle w:val="Footer"/>
          <w:jc w:val="center"/>
          <w:rPr>
            <w:rFonts w:ascii="Trebuchet MS" w:hAnsi="Trebuchet MS"/>
            <w:sz w:val="18"/>
          </w:rPr>
        </w:pPr>
        <w:r w:rsidRPr="00763B19">
          <w:rPr>
            <w:rFonts w:ascii="Trebuchet MS" w:hAnsi="Trebuchet MS"/>
            <w:sz w:val="18"/>
          </w:rPr>
          <w:fldChar w:fldCharType="begin"/>
        </w:r>
        <w:r w:rsidRPr="00763B19">
          <w:rPr>
            <w:rFonts w:ascii="Trebuchet MS" w:hAnsi="Trebuchet MS"/>
            <w:sz w:val="18"/>
          </w:rPr>
          <w:instrText xml:space="preserve"> PAGE   \* MERGEFORMAT </w:instrText>
        </w:r>
        <w:r w:rsidRPr="00763B19">
          <w:rPr>
            <w:rFonts w:ascii="Trebuchet MS" w:hAnsi="Trebuchet MS"/>
            <w:sz w:val="18"/>
          </w:rPr>
          <w:fldChar w:fldCharType="separate"/>
        </w:r>
        <w:r w:rsidR="00312B5D">
          <w:rPr>
            <w:rFonts w:ascii="Trebuchet MS" w:hAnsi="Trebuchet MS"/>
            <w:noProof/>
            <w:sz w:val="18"/>
          </w:rPr>
          <w:t>1</w:t>
        </w:r>
        <w:r w:rsidRPr="00763B19">
          <w:rPr>
            <w:rFonts w:ascii="Trebuchet MS" w:hAnsi="Trebuchet MS"/>
            <w:noProof/>
            <w:sz w:val="18"/>
          </w:rPr>
          <w:fldChar w:fldCharType="end"/>
        </w:r>
      </w:p>
    </w:sdtContent>
  </w:sdt>
  <w:p w:rsidR="008F329F" w:rsidRPr="00763B19" w:rsidRDefault="008F329F">
    <w:pPr>
      <w:pStyle w:val="Footer"/>
      <w:rPr>
        <w:rFonts w:ascii="Trebuchet MS" w:hAnsi="Trebuchet M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B19" w:rsidRDefault="00763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4E1" w:rsidRDefault="004324E1" w:rsidP="007613F6">
      <w:r>
        <w:separator/>
      </w:r>
    </w:p>
  </w:footnote>
  <w:footnote w:type="continuationSeparator" w:id="0">
    <w:p w:rsidR="004324E1" w:rsidRDefault="004324E1" w:rsidP="0076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B19" w:rsidRDefault="00763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450" w:type="dxa"/>
      <w:tblLayout w:type="fixed"/>
      <w:tblCellMar>
        <w:left w:w="0" w:type="dxa"/>
        <w:right w:w="0" w:type="dxa"/>
      </w:tblCellMar>
      <w:tblLook w:val="0000" w:firstRow="0" w:lastRow="0" w:firstColumn="0" w:lastColumn="0" w:noHBand="0" w:noVBand="0"/>
    </w:tblPr>
    <w:tblGrid>
      <w:gridCol w:w="4182"/>
      <w:gridCol w:w="2727"/>
      <w:gridCol w:w="2091"/>
    </w:tblGrid>
    <w:tr w:rsidR="007613F6" w:rsidTr="00B4125B">
      <w:trPr>
        <w:trHeight w:val="1312"/>
      </w:trPr>
      <w:tc>
        <w:tcPr>
          <w:tcW w:w="4182" w:type="dxa"/>
        </w:tcPr>
        <w:p w:rsidR="007613F6" w:rsidRDefault="007613F6" w:rsidP="007613F6">
          <w:pPr>
            <w:pStyle w:val="BDONormal"/>
          </w:pPr>
          <w:r>
            <w:rPr>
              <w:noProof/>
              <w:lang w:val="en-US" w:eastAsia="en-US"/>
            </w:rPr>
            <w:drawing>
              <wp:inline distT="0" distB="0" distL="0" distR="0">
                <wp:extent cx="977900" cy="374015"/>
                <wp:effectExtent l="0" t="0" r="0" b="6985"/>
                <wp:docPr id="1" name="Picture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374015"/>
                        </a:xfrm>
                        <a:prstGeom prst="rect">
                          <a:avLst/>
                        </a:prstGeom>
                        <a:noFill/>
                        <a:ln>
                          <a:noFill/>
                        </a:ln>
                      </pic:spPr>
                    </pic:pic>
                  </a:graphicData>
                </a:graphic>
              </wp:inline>
            </w:drawing>
          </w:r>
        </w:p>
      </w:tc>
      <w:tc>
        <w:tcPr>
          <w:tcW w:w="2727" w:type="dxa"/>
        </w:tcPr>
        <w:p w:rsidR="007613F6" w:rsidRDefault="007613F6" w:rsidP="007613F6">
          <w:pPr>
            <w:pStyle w:val="BDOAddress"/>
          </w:pPr>
          <w:r>
            <w:t>Tel:  +40-21-319 9476</w:t>
          </w:r>
        </w:p>
        <w:p w:rsidR="007613F6" w:rsidRDefault="007613F6" w:rsidP="007613F6">
          <w:pPr>
            <w:pStyle w:val="BDOAddress"/>
          </w:pPr>
          <w:r>
            <w:t>Fax: +40-21-319 9477</w:t>
          </w:r>
        </w:p>
        <w:p w:rsidR="007613F6" w:rsidRDefault="007613F6" w:rsidP="007613F6">
          <w:pPr>
            <w:pStyle w:val="BDOAddressBold"/>
          </w:pPr>
          <w:r>
            <w:t>www.bdo.ro</w:t>
          </w:r>
        </w:p>
      </w:tc>
      <w:tc>
        <w:tcPr>
          <w:tcW w:w="2091" w:type="dxa"/>
        </w:tcPr>
        <w:p w:rsidR="007613F6" w:rsidRDefault="007613F6" w:rsidP="007613F6">
          <w:pPr>
            <w:pStyle w:val="BDOAddress"/>
          </w:pPr>
          <w:smartTag w:uri="urn:schemas-microsoft-com:office:smarttags" w:element="place">
            <w:smartTag w:uri="urn:schemas-microsoft-com:office:smarttags" w:element="PlaceName">
              <w:r>
                <w:t>Victory</w:t>
              </w:r>
            </w:smartTag>
            <w:r>
              <w:t xml:space="preserve"> </w:t>
            </w:r>
            <w:smartTag w:uri="urn:schemas-microsoft-com:office:smarttags" w:element="PlaceName">
              <w:r>
                <w:t>Business</w:t>
              </w:r>
            </w:smartTag>
            <w:r>
              <w:t xml:space="preserve"> </w:t>
            </w:r>
            <w:proofErr w:type="spellStart"/>
            <w:smartTag w:uri="urn:schemas-microsoft-com:office:smarttags" w:element="PlaceType">
              <w:r>
                <w:t>Center</w:t>
              </w:r>
            </w:smartTag>
          </w:smartTag>
          <w:proofErr w:type="spellEnd"/>
        </w:p>
        <w:p w:rsidR="007613F6" w:rsidRDefault="007613F6" w:rsidP="007613F6">
          <w:pPr>
            <w:pStyle w:val="BDOAddress"/>
          </w:pPr>
          <w:r>
            <w:t xml:space="preserve">Str. </w:t>
          </w:r>
          <w:proofErr w:type="spellStart"/>
          <w:r>
            <w:t>Invingatorilor</w:t>
          </w:r>
          <w:proofErr w:type="spellEnd"/>
          <w:r>
            <w:t xml:space="preserve"> 24</w:t>
          </w:r>
        </w:p>
        <w:p w:rsidR="007613F6" w:rsidRDefault="00416D3B" w:rsidP="007613F6">
          <w:pPr>
            <w:pStyle w:val="BDOAddress"/>
          </w:pPr>
          <w:r>
            <w:t>Bucharest</w:t>
          </w:r>
          <w:r w:rsidR="007613F6">
            <w:t xml:space="preserve"> - 3</w:t>
          </w:r>
        </w:p>
        <w:p w:rsidR="007613F6" w:rsidRDefault="007613F6" w:rsidP="007613F6">
          <w:pPr>
            <w:pStyle w:val="BDOAddress"/>
          </w:pPr>
          <w:smartTag w:uri="urn:schemas-microsoft-com:office:smarttags" w:element="country-region">
            <w:smartTag w:uri="urn:schemas-microsoft-com:office:smarttags" w:element="place">
              <w:r>
                <w:t>Romania</w:t>
              </w:r>
            </w:smartTag>
          </w:smartTag>
        </w:p>
        <w:p w:rsidR="007613F6" w:rsidRDefault="007613F6" w:rsidP="007613F6">
          <w:pPr>
            <w:pStyle w:val="BDOAddress"/>
          </w:pPr>
          <w:r>
            <w:t>030922</w:t>
          </w:r>
        </w:p>
      </w:tc>
    </w:tr>
  </w:tbl>
  <w:p w:rsidR="007613F6" w:rsidRDefault="00761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B19" w:rsidRDefault="00763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B2E86"/>
    <w:multiLevelType w:val="hybridMultilevel"/>
    <w:tmpl w:val="F8D81CE0"/>
    <w:lvl w:ilvl="0" w:tplc="FFFFFFFF">
      <w:start w:val="1"/>
      <w:numFmt w:val="bullet"/>
      <w:lvlText w:val=""/>
      <w:lvlJc w:val="left"/>
      <w:pPr>
        <w:tabs>
          <w:tab w:val="num" w:pos="720"/>
        </w:tabs>
        <w:ind w:left="720" w:hanging="720"/>
      </w:pPr>
      <w:rPr>
        <w:rFonts w:ascii="Symbol" w:hAnsi="Symbol" w:hint="default"/>
        <w:color w:val="auto"/>
        <w:sz w:val="22"/>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F6"/>
    <w:rsid w:val="00043A27"/>
    <w:rsid w:val="00043C9C"/>
    <w:rsid w:val="000544E1"/>
    <w:rsid w:val="00056440"/>
    <w:rsid w:val="00064FE5"/>
    <w:rsid w:val="00070632"/>
    <w:rsid w:val="00075B08"/>
    <w:rsid w:val="0008763B"/>
    <w:rsid w:val="000B13B6"/>
    <w:rsid w:val="000B4A4C"/>
    <w:rsid w:val="000B5148"/>
    <w:rsid w:val="000D5434"/>
    <w:rsid w:val="000E3640"/>
    <w:rsid w:val="000E5FA1"/>
    <w:rsid w:val="001076CD"/>
    <w:rsid w:val="0012127B"/>
    <w:rsid w:val="00142206"/>
    <w:rsid w:val="001423F2"/>
    <w:rsid w:val="00145D98"/>
    <w:rsid w:val="00154C38"/>
    <w:rsid w:val="00155516"/>
    <w:rsid w:val="0016305D"/>
    <w:rsid w:val="00167BFF"/>
    <w:rsid w:val="00182846"/>
    <w:rsid w:val="0019064C"/>
    <w:rsid w:val="001A6CF2"/>
    <w:rsid w:val="001B19A2"/>
    <w:rsid w:val="001B1F93"/>
    <w:rsid w:val="001C2901"/>
    <w:rsid w:val="001C76A7"/>
    <w:rsid w:val="001F36BB"/>
    <w:rsid w:val="00220ED3"/>
    <w:rsid w:val="00265E53"/>
    <w:rsid w:val="0027462D"/>
    <w:rsid w:val="00286D50"/>
    <w:rsid w:val="002B5A40"/>
    <w:rsid w:val="002D110C"/>
    <w:rsid w:val="002F1500"/>
    <w:rsid w:val="002F4123"/>
    <w:rsid w:val="00307502"/>
    <w:rsid w:val="003109AC"/>
    <w:rsid w:val="00312B5D"/>
    <w:rsid w:val="00313B44"/>
    <w:rsid w:val="00362A6B"/>
    <w:rsid w:val="0036356A"/>
    <w:rsid w:val="00366AD4"/>
    <w:rsid w:val="003D2D04"/>
    <w:rsid w:val="0040098D"/>
    <w:rsid w:val="00415E87"/>
    <w:rsid w:val="00416D3B"/>
    <w:rsid w:val="004324E1"/>
    <w:rsid w:val="004359A8"/>
    <w:rsid w:val="004847CF"/>
    <w:rsid w:val="004863C8"/>
    <w:rsid w:val="00497205"/>
    <w:rsid w:val="00497DED"/>
    <w:rsid w:val="004C062A"/>
    <w:rsid w:val="004E0675"/>
    <w:rsid w:val="004E19CB"/>
    <w:rsid w:val="004E7904"/>
    <w:rsid w:val="004F11FD"/>
    <w:rsid w:val="005125E7"/>
    <w:rsid w:val="0051580A"/>
    <w:rsid w:val="0053635C"/>
    <w:rsid w:val="00545AF4"/>
    <w:rsid w:val="00553FC2"/>
    <w:rsid w:val="0057209A"/>
    <w:rsid w:val="005771A5"/>
    <w:rsid w:val="00580338"/>
    <w:rsid w:val="005A0CA1"/>
    <w:rsid w:val="005C23EE"/>
    <w:rsid w:val="005D5D75"/>
    <w:rsid w:val="005E53C7"/>
    <w:rsid w:val="005E6B82"/>
    <w:rsid w:val="0060381B"/>
    <w:rsid w:val="00625C1B"/>
    <w:rsid w:val="00630D56"/>
    <w:rsid w:val="00655152"/>
    <w:rsid w:val="00660329"/>
    <w:rsid w:val="006720D5"/>
    <w:rsid w:val="00673EC3"/>
    <w:rsid w:val="00687B88"/>
    <w:rsid w:val="006A67C8"/>
    <w:rsid w:val="006B00AA"/>
    <w:rsid w:val="006D4DA6"/>
    <w:rsid w:val="006E33C7"/>
    <w:rsid w:val="00703581"/>
    <w:rsid w:val="007076B0"/>
    <w:rsid w:val="0072303F"/>
    <w:rsid w:val="00750243"/>
    <w:rsid w:val="007613F6"/>
    <w:rsid w:val="00763B19"/>
    <w:rsid w:val="0076433B"/>
    <w:rsid w:val="00787C71"/>
    <w:rsid w:val="007B30F9"/>
    <w:rsid w:val="007D2AE9"/>
    <w:rsid w:val="007D5A03"/>
    <w:rsid w:val="0081064C"/>
    <w:rsid w:val="00812743"/>
    <w:rsid w:val="00812F24"/>
    <w:rsid w:val="00852D5C"/>
    <w:rsid w:val="00854261"/>
    <w:rsid w:val="00856136"/>
    <w:rsid w:val="00860D53"/>
    <w:rsid w:val="00871739"/>
    <w:rsid w:val="00877FB2"/>
    <w:rsid w:val="008929CE"/>
    <w:rsid w:val="0089400D"/>
    <w:rsid w:val="008A37F0"/>
    <w:rsid w:val="008B093C"/>
    <w:rsid w:val="008B418D"/>
    <w:rsid w:val="008D1E3C"/>
    <w:rsid w:val="008D54DA"/>
    <w:rsid w:val="008E34A3"/>
    <w:rsid w:val="008F329F"/>
    <w:rsid w:val="00917650"/>
    <w:rsid w:val="0096316C"/>
    <w:rsid w:val="009931A1"/>
    <w:rsid w:val="009D592C"/>
    <w:rsid w:val="009F6ACF"/>
    <w:rsid w:val="00A06FFD"/>
    <w:rsid w:val="00A16600"/>
    <w:rsid w:val="00A32440"/>
    <w:rsid w:val="00A335F5"/>
    <w:rsid w:val="00A36991"/>
    <w:rsid w:val="00A45C0A"/>
    <w:rsid w:val="00A50124"/>
    <w:rsid w:val="00A5794E"/>
    <w:rsid w:val="00A73EBB"/>
    <w:rsid w:val="00A75D68"/>
    <w:rsid w:val="00AA4945"/>
    <w:rsid w:val="00AD087B"/>
    <w:rsid w:val="00AF3195"/>
    <w:rsid w:val="00B02E25"/>
    <w:rsid w:val="00B4125B"/>
    <w:rsid w:val="00B44069"/>
    <w:rsid w:val="00B96422"/>
    <w:rsid w:val="00B9692D"/>
    <w:rsid w:val="00BC7583"/>
    <w:rsid w:val="00BD1BC8"/>
    <w:rsid w:val="00BE29CE"/>
    <w:rsid w:val="00C571DD"/>
    <w:rsid w:val="00C614B9"/>
    <w:rsid w:val="00C66AC5"/>
    <w:rsid w:val="00CA67F4"/>
    <w:rsid w:val="00CC3100"/>
    <w:rsid w:val="00CD77DC"/>
    <w:rsid w:val="00CE05D6"/>
    <w:rsid w:val="00CE0CFD"/>
    <w:rsid w:val="00CE3548"/>
    <w:rsid w:val="00CF1834"/>
    <w:rsid w:val="00D06702"/>
    <w:rsid w:val="00D077AC"/>
    <w:rsid w:val="00D23E77"/>
    <w:rsid w:val="00D35070"/>
    <w:rsid w:val="00D45ECE"/>
    <w:rsid w:val="00D86B41"/>
    <w:rsid w:val="00DA4CEC"/>
    <w:rsid w:val="00DB7D73"/>
    <w:rsid w:val="00DC6AF1"/>
    <w:rsid w:val="00DE0A76"/>
    <w:rsid w:val="00E0317A"/>
    <w:rsid w:val="00E2244B"/>
    <w:rsid w:val="00E32AE6"/>
    <w:rsid w:val="00E61469"/>
    <w:rsid w:val="00E716F4"/>
    <w:rsid w:val="00E8033F"/>
    <w:rsid w:val="00EE707C"/>
    <w:rsid w:val="00F22B83"/>
    <w:rsid w:val="00F4235D"/>
    <w:rsid w:val="00F636A0"/>
    <w:rsid w:val="00F7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D3B915C"/>
  <w15:chartTrackingRefBased/>
  <w15:docId w15:val="{2485729A-C33E-4EEF-A77C-969A82E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3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3F6"/>
    <w:pPr>
      <w:ind w:left="720"/>
      <w:contextualSpacing/>
    </w:pPr>
  </w:style>
  <w:style w:type="paragraph" w:customStyle="1" w:styleId="Body">
    <w:name w:val="Body"/>
    <w:aliases w:val="by,Text,Indent"/>
    <w:basedOn w:val="Normal"/>
    <w:link w:val="Body1"/>
    <w:uiPriority w:val="99"/>
    <w:rsid w:val="007613F6"/>
    <w:pPr>
      <w:overflowPunct w:val="0"/>
      <w:autoSpaceDE w:val="0"/>
      <w:autoSpaceDN w:val="0"/>
      <w:adjustRightInd w:val="0"/>
      <w:spacing w:after="130" w:line="260" w:lineRule="exact"/>
      <w:jc w:val="both"/>
      <w:textAlignment w:val="baseline"/>
    </w:pPr>
    <w:rPr>
      <w:color w:val="000000"/>
      <w:sz w:val="22"/>
      <w:szCs w:val="20"/>
      <w:lang w:val="en-GB"/>
    </w:rPr>
  </w:style>
  <w:style w:type="character" w:customStyle="1" w:styleId="Body1">
    <w:name w:val="Body1"/>
    <w:aliases w:val="Text3,Indent1,Char2"/>
    <w:link w:val="Body"/>
    <w:uiPriority w:val="99"/>
    <w:locked/>
    <w:rsid w:val="007613F6"/>
    <w:rPr>
      <w:rFonts w:ascii="Times New Roman" w:eastAsia="Times New Roman" w:hAnsi="Times New Roman" w:cs="Times New Roman"/>
      <w:color w:val="000000"/>
      <w:szCs w:val="20"/>
      <w:lang w:val="en-GB"/>
    </w:rPr>
  </w:style>
  <w:style w:type="paragraph" w:styleId="Header">
    <w:name w:val="header"/>
    <w:basedOn w:val="Normal"/>
    <w:link w:val="HeaderChar"/>
    <w:uiPriority w:val="99"/>
    <w:unhideWhenUsed/>
    <w:rsid w:val="007613F6"/>
    <w:pPr>
      <w:tabs>
        <w:tab w:val="center" w:pos="4680"/>
        <w:tab w:val="right" w:pos="9360"/>
      </w:tabs>
    </w:pPr>
  </w:style>
  <w:style w:type="character" w:customStyle="1" w:styleId="HeaderChar">
    <w:name w:val="Header Char"/>
    <w:basedOn w:val="DefaultParagraphFont"/>
    <w:link w:val="Header"/>
    <w:uiPriority w:val="99"/>
    <w:rsid w:val="007613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13F6"/>
    <w:pPr>
      <w:tabs>
        <w:tab w:val="center" w:pos="4680"/>
        <w:tab w:val="right" w:pos="9360"/>
      </w:tabs>
    </w:pPr>
  </w:style>
  <w:style w:type="character" w:customStyle="1" w:styleId="FooterChar">
    <w:name w:val="Footer Char"/>
    <w:basedOn w:val="DefaultParagraphFont"/>
    <w:link w:val="Footer"/>
    <w:uiPriority w:val="99"/>
    <w:rsid w:val="007613F6"/>
    <w:rPr>
      <w:rFonts w:ascii="Times New Roman" w:eastAsia="Times New Roman" w:hAnsi="Times New Roman" w:cs="Times New Roman"/>
      <w:sz w:val="24"/>
      <w:szCs w:val="24"/>
    </w:rPr>
  </w:style>
  <w:style w:type="paragraph" w:customStyle="1" w:styleId="BDONormal">
    <w:name w:val="BDO_Normal"/>
    <w:rsid w:val="007613F6"/>
    <w:pPr>
      <w:spacing w:after="0" w:line="240" w:lineRule="auto"/>
    </w:pPr>
    <w:rPr>
      <w:rFonts w:ascii="Trebuchet MS" w:eastAsia="Times New Roman" w:hAnsi="Trebuchet MS" w:cs="Times New Roman"/>
      <w:sz w:val="20"/>
      <w:szCs w:val="24"/>
      <w:lang w:val="en-GB" w:eastAsia="en-GB"/>
    </w:rPr>
  </w:style>
  <w:style w:type="paragraph" w:customStyle="1" w:styleId="BDOAddress">
    <w:name w:val="BDO_Address"/>
    <w:basedOn w:val="BDONormal"/>
    <w:rsid w:val="007613F6"/>
    <w:pPr>
      <w:spacing w:line="170" w:lineRule="exact"/>
    </w:pPr>
    <w:rPr>
      <w:color w:val="786860"/>
      <w:sz w:val="16"/>
    </w:rPr>
  </w:style>
  <w:style w:type="paragraph" w:customStyle="1" w:styleId="BDOAddressBold">
    <w:name w:val="BDO_Address (Bold)"/>
    <w:basedOn w:val="BDOAddress"/>
    <w:rsid w:val="007613F6"/>
    <w:rPr>
      <w:b/>
    </w:rPr>
  </w:style>
  <w:style w:type="character" w:styleId="Emphasis">
    <w:name w:val="Emphasis"/>
    <w:basedOn w:val="DefaultParagraphFont"/>
    <w:uiPriority w:val="20"/>
    <w:qFormat/>
    <w:rsid w:val="00B02E25"/>
    <w:rPr>
      <w:i/>
      <w:iCs/>
    </w:rPr>
  </w:style>
  <w:style w:type="paragraph" w:styleId="BalloonText">
    <w:name w:val="Balloon Text"/>
    <w:basedOn w:val="Normal"/>
    <w:link w:val="BalloonTextChar"/>
    <w:uiPriority w:val="99"/>
    <w:semiHidden/>
    <w:unhideWhenUsed/>
    <w:rsid w:val="00D0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7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216589">
      <w:bodyDiv w:val="1"/>
      <w:marLeft w:val="0"/>
      <w:marRight w:val="0"/>
      <w:marTop w:val="0"/>
      <w:marBottom w:val="0"/>
      <w:divBdr>
        <w:top w:val="none" w:sz="0" w:space="0" w:color="auto"/>
        <w:left w:val="none" w:sz="0" w:space="0" w:color="auto"/>
        <w:bottom w:val="none" w:sz="0" w:space="0" w:color="auto"/>
        <w:right w:val="none" w:sz="0" w:space="0" w:color="auto"/>
      </w:divBdr>
    </w:div>
    <w:div w:id="12663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Dan</dc:creator>
  <cp:keywords/>
  <dc:description/>
  <cp:lastModifiedBy>Ana Dan</cp:lastModifiedBy>
  <cp:revision>9</cp:revision>
  <dcterms:created xsi:type="dcterms:W3CDTF">2018-08-03T10:07:00Z</dcterms:created>
  <dcterms:modified xsi:type="dcterms:W3CDTF">2018-08-08T05:43:00Z</dcterms:modified>
</cp:coreProperties>
</file>