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9D5" w:rsidRPr="00A74CF5" w:rsidRDefault="002069D5" w:rsidP="00003AD6">
      <w:pPr>
        <w:shd w:val="clear" w:color="auto" w:fill="FFFFFF"/>
        <w:rPr>
          <w:rFonts w:ascii="Arial" w:hAnsi="Arial" w:cs="Arial"/>
          <w:b/>
          <w:spacing w:val="-4"/>
          <w:sz w:val="22"/>
          <w:szCs w:val="22"/>
        </w:rPr>
      </w:pPr>
    </w:p>
    <w:p w:rsidR="00003AD6" w:rsidRPr="00A74CF5" w:rsidRDefault="00003AD6" w:rsidP="00003AD6">
      <w:pPr>
        <w:shd w:val="clear" w:color="auto" w:fill="FFFFFF"/>
        <w:rPr>
          <w:rFonts w:ascii="Arial" w:hAnsi="Arial" w:cs="Arial"/>
          <w:b/>
          <w:spacing w:val="-4"/>
          <w:sz w:val="22"/>
          <w:szCs w:val="22"/>
        </w:rPr>
      </w:pPr>
    </w:p>
    <w:p w:rsidR="00170C8B" w:rsidRPr="00A74CF5" w:rsidRDefault="00170C8B" w:rsidP="00170C8B">
      <w:pPr>
        <w:shd w:val="clear" w:color="auto" w:fill="FFFFFF"/>
        <w:jc w:val="center"/>
        <w:rPr>
          <w:rFonts w:ascii="Arial" w:hAnsi="Arial" w:cs="Arial"/>
          <w:b/>
          <w:spacing w:val="-4"/>
          <w:sz w:val="22"/>
          <w:szCs w:val="22"/>
        </w:rPr>
      </w:pPr>
    </w:p>
    <w:p w:rsidR="00E70AB6" w:rsidRDefault="00E70AB6" w:rsidP="00047988">
      <w:pPr>
        <w:shd w:val="clear" w:color="auto" w:fill="FFFFFF"/>
        <w:jc w:val="center"/>
        <w:rPr>
          <w:rFonts w:ascii="Arial" w:hAnsi="Arial" w:cs="Arial"/>
          <w:b/>
          <w:spacing w:val="-4"/>
          <w:sz w:val="22"/>
          <w:szCs w:val="22"/>
        </w:rPr>
      </w:pPr>
    </w:p>
    <w:p w:rsidR="00AB5769" w:rsidRDefault="00AB5769" w:rsidP="00047988">
      <w:pPr>
        <w:shd w:val="clear" w:color="auto" w:fill="FFFFFF"/>
        <w:jc w:val="center"/>
        <w:rPr>
          <w:rFonts w:ascii="Arial" w:hAnsi="Arial" w:cs="Arial"/>
          <w:b/>
          <w:spacing w:val="-4"/>
          <w:sz w:val="22"/>
          <w:szCs w:val="22"/>
        </w:rPr>
      </w:pPr>
    </w:p>
    <w:p w:rsidR="00AB5769" w:rsidRDefault="00AB5769" w:rsidP="00047988">
      <w:pPr>
        <w:shd w:val="clear" w:color="auto" w:fill="FFFFFF"/>
        <w:jc w:val="center"/>
        <w:rPr>
          <w:rFonts w:ascii="Arial" w:hAnsi="Arial" w:cs="Arial"/>
          <w:b/>
          <w:spacing w:val="-4"/>
          <w:sz w:val="22"/>
          <w:szCs w:val="22"/>
        </w:rPr>
      </w:pPr>
    </w:p>
    <w:p w:rsidR="00AB5769" w:rsidRDefault="00AB5769" w:rsidP="00047988">
      <w:pPr>
        <w:shd w:val="clear" w:color="auto" w:fill="FFFFFF"/>
        <w:jc w:val="center"/>
        <w:rPr>
          <w:rFonts w:ascii="Arial" w:hAnsi="Arial" w:cs="Arial"/>
          <w:b/>
          <w:spacing w:val="-4"/>
          <w:sz w:val="22"/>
          <w:szCs w:val="22"/>
        </w:rPr>
      </w:pPr>
    </w:p>
    <w:p w:rsidR="00AB5769" w:rsidRPr="00A74CF5" w:rsidRDefault="00E713AB" w:rsidP="00E713AB">
      <w:pPr>
        <w:shd w:val="clear" w:color="auto" w:fill="FFFFFF"/>
        <w:tabs>
          <w:tab w:val="left" w:pos="5805"/>
        </w:tabs>
        <w:rPr>
          <w:rFonts w:ascii="Arial" w:hAnsi="Arial" w:cs="Arial"/>
          <w:b/>
          <w:spacing w:val="-4"/>
          <w:sz w:val="22"/>
          <w:szCs w:val="22"/>
        </w:rPr>
      </w:pPr>
      <w:r>
        <w:rPr>
          <w:rFonts w:ascii="Arial" w:hAnsi="Arial" w:cs="Arial"/>
          <w:b/>
          <w:spacing w:val="-4"/>
          <w:sz w:val="22"/>
          <w:szCs w:val="22"/>
        </w:rPr>
        <w:tab/>
      </w:r>
    </w:p>
    <w:p w:rsidR="008F584D" w:rsidRPr="00A74CF5" w:rsidRDefault="008F584D" w:rsidP="00047988">
      <w:pPr>
        <w:shd w:val="clear" w:color="auto" w:fill="FFFFFF"/>
        <w:jc w:val="center"/>
        <w:rPr>
          <w:rFonts w:ascii="Arial" w:hAnsi="Arial" w:cs="Arial"/>
          <w:b/>
          <w:spacing w:val="-4"/>
          <w:sz w:val="22"/>
          <w:szCs w:val="22"/>
        </w:rPr>
      </w:pPr>
    </w:p>
    <w:p w:rsidR="00E70AB6" w:rsidRDefault="00E232CD" w:rsidP="00E232CD">
      <w:pPr>
        <w:shd w:val="clear" w:color="auto" w:fill="FFFFFF"/>
        <w:tabs>
          <w:tab w:val="left" w:pos="6885"/>
        </w:tabs>
        <w:rPr>
          <w:rFonts w:ascii="Arial" w:hAnsi="Arial" w:cs="Arial"/>
          <w:b/>
          <w:spacing w:val="-4"/>
          <w:sz w:val="22"/>
          <w:szCs w:val="22"/>
          <w:lang w:val="en-US"/>
        </w:rPr>
      </w:pPr>
      <w:r>
        <w:rPr>
          <w:rFonts w:ascii="Arial" w:hAnsi="Arial" w:cs="Arial"/>
          <w:b/>
          <w:spacing w:val="-4"/>
          <w:sz w:val="22"/>
          <w:szCs w:val="22"/>
          <w:lang w:val="en-US"/>
        </w:rPr>
        <w:tab/>
      </w:r>
    </w:p>
    <w:p w:rsidR="00AB5769" w:rsidRDefault="00AB5769" w:rsidP="00047988">
      <w:pPr>
        <w:shd w:val="clear" w:color="auto" w:fill="FFFFFF"/>
        <w:jc w:val="center"/>
        <w:rPr>
          <w:rFonts w:ascii="Arial" w:hAnsi="Arial" w:cs="Arial"/>
          <w:b/>
          <w:spacing w:val="-4"/>
          <w:sz w:val="22"/>
          <w:szCs w:val="22"/>
          <w:lang w:val="en-US"/>
        </w:rPr>
      </w:pPr>
    </w:p>
    <w:p w:rsidR="00AB5769" w:rsidRPr="00A74CF5" w:rsidRDefault="00AB5769" w:rsidP="00047988">
      <w:pPr>
        <w:shd w:val="clear" w:color="auto" w:fill="FFFFFF"/>
        <w:jc w:val="center"/>
        <w:rPr>
          <w:rFonts w:ascii="Arial" w:hAnsi="Arial" w:cs="Arial"/>
          <w:b/>
          <w:spacing w:val="-4"/>
          <w:sz w:val="22"/>
          <w:szCs w:val="22"/>
          <w:lang w:val="en-US"/>
        </w:rPr>
      </w:pPr>
    </w:p>
    <w:p w:rsidR="00E70AB6" w:rsidRPr="00A74CF5" w:rsidRDefault="00E70AB6" w:rsidP="00047988">
      <w:pPr>
        <w:shd w:val="clear" w:color="auto" w:fill="FFFFFF"/>
        <w:jc w:val="center"/>
        <w:rPr>
          <w:rFonts w:ascii="Arial" w:hAnsi="Arial" w:cs="Arial"/>
          <w:b/>
          <w:spacing w:val="-4"/>
          <w:sz w:val="22"/>
          <w:szCs w:val="22"/>
        </w:rPr>
      </w:pPr>
    </w:p>
    <w:p w:rsidR="00E70AB6" w:rsidRPr="00A74CF5" w:rsidRDefault="00E70AB6" w:rsidP="00047988">
      <w:pPr>
        <w:shd w:val="clear" w:color="auto" w:fill="FFFFFF"/>
        <w:jc w:val="center"/>
        <w:rPr>
          <w:rFonts w:ascii="Arial" w:hAnsi="Arial" w:cs="Arial"/>
          <w:b/>
          <w:spacing w:val="-4"/>
          <w:sz w:val="22"/>
          <w:szCs w:val="22"/>
        </w:rPr>
      </w:pPr>
    </w:p>
    <w:p w:rsidR="00E70AB6" w:rsidRPr="00A74CF5" w:rsidRDefault="00E70AB6" w:rsidP="00047988">
      <w:pPr>
        <w:shd w:val="clear" w:color="auto" w:fill="FFFFFF"/>
        <w:jc w:val="center"/>
        <w:rPr>
          <w:rFonts w:ascii="Arial" w:hAnsi="Arial" w:cs="Arial"/>
          <w:b/>
          <w:spacing w:val="-4"/>
          <w:sz w:val="22"/>
          <w:szCs w:val="22"/>
        </w:rPr>
      </w:pPr>
    </w:p>
    <w:p w:rsidR="009F6D1A" w:rsidRPr="009F6D1A" w:rsidRDefault="00047988" w:rsidP="00047988">
      <w:pPr>
        <w:shd w:val="clear" w:color="auto" w:fill="FFFFFF"/>
        <w:jc w:val="center"/>
        <w:rPr>
          <w:rFonts w:ascii="Arial" w:hAnsi="Arial" w:cs="Arial"/>
          <w:b/>
          <w:spacing w:val="-4"/>
          <w:sz w:val="40"/>
          <w:szCs w:val="40"/>
        </w:rPr>
      </w:pPr>
      <w:r w:rsidRPr="009F6D1A">
        <w:rPr>
          <w:rFonts w:ascii="Arial" w:hAnsi="Arial" w:cs="Arial"/>
          <w:b/>
          <w:spacing w:val="-4"/>
          <w:sz w:val="40"/>
          <w:szCs w:val="40"/>
        </w:rPr>
        <w:t>RAPORT</w:t>
      </w:r>
      <w:r w:rsidR="009F6D1A" w:rsidRPr="009F6D1A">
        <w:rPr>
          <w:rFonts w:ascii="Arial" w:hAnsi="Arial" w:cs="Arial"/>
          <w:b/>
          <w:spacing w:val="-4"/>
          <w:sz w:val="40"/>
          <w:szCs w:val="40"/>
        </w:rPr>
        <w:t>UL ADMINISTRATORILOR</w:t>
      </w:r>
    </w:p>
    <w:p w:rsidR="009F6D1A" w:rsidRDefault="009F6D1A" w:rsidP="00047988">
      <w:pPr>
        <w:shd w:val="clear" w:color="auto" w:fill="FFFFFF"/>
        <w:jc w:val="center"/>
        <w:rPr>
          <w:rFonts w:ascii="Arial" w:hAnsi="Arial" w:cs="Arial"/>
          <w:b/>
          <w:spacing w:val="-4"/>
          <w:sz w:val="32"/>
          <w:szCs w:val="32"/>
        </w:rPr>
      </w:pPr>
    </w:p>
    <w:p w:rsidR="00047988" w:rsidRPr="009F6D1A" w:rsidRDefault="00047988" w:rsidP="00047988">
      <w:pPr>
        <w:shd w:val="clear" w:color="auto" w:fill="FFFFFF"/>
        <w:jc w:val="center"/>
        <w:rPr>
          <w:rFonts w:ascii="Arial" w:hAnsi="Arial" w:cs="Arial"/>
          <w:b/>
          <w:spacing w:val="-4"/>
          <w:sz w:val="36"/>
          <w:szCs w:val="36"/>
        </w:rPr>
      </w:pPr>
      <w:r w:rsidRPr="009F6D1A">
        <w:rPr>
          <w:rFonts w:ascii="Arial" w:hAnsi="Arial" w:cs="Arial"/>
          <w:b/>
          <w:spacing w:val="-4"/>
          <w:sz w:val="36"/>
          <w:szCs w:val="36"/>
        </w:rPr>
        <w:t xml:space="preserve"> </w:t>
      </w:r>
      <w:r w:rsidR="00E733E8" w:rsidRPr="009F6D1A">
        <w:rPr>
          <w:rFonts w:ascii="Arial" w:hAnsi="Arial" w:cs="Arial"/>
          <w:b/>
          <w:spacing w:val="-4"/>
          <w:sz w:val="36"/>
          <w:szCs w:val="36"/>
        </w:rPr>
        <w:t>SEM</w:t>
      </w:r>
      <w:r w:rsidR="00796DA4" w:rsidRPr="009F6D1A">
        <w:rPr>
          <w:rFonts w:ascii="Arial" w:hAnsi="Arial" w:cs="Arial"/>
          <w:b/>
          <w:spacing w:val="-4"/>
          <w:sz w:val="36"/>
          <w:szCs w:val="36"/>
        </w:rPr>
        <w:t>ESTR</w:t>
      </w:r>
      <w:r w:rsidR="009F6D1A" w:rsidRPr="009F6D1A">
        <w:rPr>
          <w:rFonts w:ascii="Arial" w:hAnsi="Arial" w:cs="Arial"/>
          <w:b/>
          <w:spacing w:val="-4"/>
          <w:sz w:val="36"/>
          <w:szCs w:val="36"/>
        </w:rPr>
        <w:t>U</w:t>
      </w:r>
      <w:r w:rsidR="00796DA4" w:rsidRPr="009F6D1A">
        <w:rPr>
          <w:rFonts w:ascii="Arial" w:hAnsi="Arial" w:cs="Arial"/>
          <w:b/>
          <w:spacing w:val="-4"/>
          <w:sz w:val="36"/>
          <w:szCs w:val="36"/>
        </w:rPr>
        <w:t>L</w:t>
      </w:r>
      <w:r w:rsidR="009F6D1A" w:rsidRPr="009F6D1A">
        <w:rPr>
          <w:rFonts w:ascii="Arial" w:hAnsi="Arial" w:cs="Arial"/>
          <w:b/>
          <w:spacing w:val="-4"/>
          <w:sz w:val="36"/>
          <w:szCs w:val="36"/>
        </w:rPr>
        <w:t xml:space="preserve"> I 201</w:t>
      </w:r>
      <w:r w:rsidR="009C2595">
        <w:rPr>
          <w:rFonts w:ascii="Arial" w:hAnsi="Arial" w:cs="Arial"/>
          <w:b/>
          <w:spacing w:val="-4"/>
          <w:sz w:val="36"/>
          <w:szCs w:val="36"/>
        </w:rPr>
        <w:t>8</w:t>
      </w:r>
    </w:p>
    <w:p w:rsidR="00796DA4" w:rsidRPr="00A74CF5" w:rsidRDefault="00796DA4" w:rsidP="00047988">
      <w:pPr>
        <w:shd w:val="clear" w:color="auto" w:fill="FFFFFF"/>
        <w:jc w:val="center"/>
        <w:rPr>
          <w:rFonts w:ascii="Arial" w:hAnsi="Arial" w:cs="Arial"/>
          <w:b/>
          <w:spacing w:val="-4"/>
          <w:sz w:val="32"/>
          <w:szCs w:val="32"/>
        </w:rPr>
      </w:pPr>
    </w:p>
    <w:p w:rsidR="00AB5769" w:rsidRDefault="00AB5769" w:rsidP="00047988">
      <w:pPr>
        <w:shd w:val="clear" w:color="auto" w:fill="FFFFFF"/>
        <w:jc w:val="center"/>
        <w:rPr>
          <w:rFonts w:ascii="Arial" w:hAnsi="Arial" w:cs="Arial"/>
          <w:b/>
          <w:sz w:val="32"/>
          <w:szCs w:val="32"/>
        </w:rPr>
      </w:pPr>
    </w:p>
    <w:p w:rsidR="00F22FA3" w:rsidRDefault="00F22FA3" w:rsidP="00F22FA3">
      <w:pPr>
        <w:shd w:val="clear" w:color="auto" w:fill="FFFFFF"/>
        <w:jc w:val="center"/>
        <w:rPr>
          <w:rFonts w:ascii="Arial" w:hAnsi="Arial" w:cs="Arial"/>
          <w:b/>
          <w:sz w:val="32"/>
          <w:szCs w:val="32"/>
        </w:rPr>
      </w:pPr>
      <w:r>
        <w:rPr>
          <w:rFonts w:ascii="Arial" w:hAnsi="Arial" w:cs="Arial"/>
          <w:b/>
          <w:sz w:val="32"/>
          <w:szCs w:val="32"/>
        </w:rPr>
        <w:t>perioada</w:t>
      </w:r>
    </w:p>
    <w:p w:rsidR="003C7678" w:rsidRDefault="009F6D1A" w:rsidP="00F22FA3">
      <w:pPr>
        <w:shd w:val="clear" w:color="auto" w:fill="FFFFFF"/>
        <w:jc w:val="center"/>
        <w:rPr>
          <w:rFonts w:ascii="Arial" w:hAnsi="Arial" w:cs="Arial"/>
          <w:b/>
          <w:spacing w:val="-4"/>
          <w:sz w:val="32"/>
          <w:szCs w:val="32"/>
        </w:rPr>
      </w:pPr>
      <w:r>
        <w:rPr>
          <w:rFonts w:ascii="Arial" w:hAnsi="Arial" w:cs="Arial"/>
          <w:b/>
          <w:spacing w:val="-4"/>
          <w:sz w:val="32"/>
          <w:szCs w:val="32"/>
        </w:rPr>
        <w:t>(</w:t>
      </w:r>
      <w:r w:rsidR="00BA2631">
        <w:rPr>
          <w:rFonts w:ascii="Arial" w:hAnsi="Arial" w:cs="Arial"/>
          <w:b/>
          <w:spacing w:val="-4"/>
          <w:sz w:val="32"/>
          <w:szCs w:val="32"/>
        </w:rPr>
        <w:t>ianuarie – iunie 2018</w:t>
      </w:r>
      <w:r>
        <w:rPr>
          <w:rFonts w:ascii="Arial" w:hAnsi="Arial" w:cs="Arial"/>
          <w:b/>
          <w:spacing w:val="-4"/>
          <w:sz w:val="32"/>
          <w:szCs w:val="32"/>
        </w:rPr>
        <w:t>)</w:t>
      </w:r>
    </w:p>
    <w:p w:rsidR="00F22FA3" w:rsidRDefault="00F22FA3" w:rsidP="00F22FA3">
      <w:pPr>
        <w:shd w:val="clear" w:color="auto" w:fill="FFFFFF"/>
        <w:jc w:val="center"/>
        <w:rPr>
          <w:rFonts w:ascii="Arial" w:hAnsi="Arial" w:cs="Arial"/>
          <w:b/>
          <w:spacing w:val="-4"/>
          <w:sz w:val="32"/>
          <w:szCs w:val="32"/>
        </w:rPr>
      </w:pPr>
    </w:p>
    <w:p w:rsidR="00F22FA3" w:rsidRPr="0075026A" w:rsidRDefault="007239FA" w:rsidP="00F22FA3">
      <w:pPr>
        <w:shd w:val="clear" w:color="auto" w:fill="FFFFFF"/>
        <w:jc w:val="center"/>
        <w:rPr>
          <w:rFonts w:ascii="Arial" w:hAnsi="Arial" w:cs="Arial"/>
          <w:spacing w:val="-4"/>
          <w:sz w:val="24"/>
          <w:szCs w:val="24"/>
        </w:rPr>
      </w:pPr>
      <w:r>
        <w:rPr>
          <w:rFonts w:ascii="Arial" w:hAnsi="Arial" w:cs="Arial"/>
          <w:spacing w:val="-4"/>
          <w:sz w:val="24"/>
          <w:szCs w:val="24"/>
        </w:rPr>
        <w:t xml:space="preserve">întocmit </w:t>
      </w:r>
      <w:r w:rsidR="0075026A" w:rsidRPr="0075026A">
        <w:rPr>
          <w:rFonts w:ascii="Arial" w:hAnsi="Arial" w:cs="Arial"/>
          <w:spacing w:val="-4"/>
          <w:sz w:val="24"/>
          <w:szCs w:val="24"/>
        </w:rPr>
        <w:t>î</w:t>
      </w:r>
      <w:r w:rsidR="00F22FA3" w:rsidRPr="0075026A">
        <w:rPr>
          <w:rFonts w:ascii="Arial" w:hAnsi="Arial" w:cs="Arial"/>
          <w:spacing w:val="-4"/>
          <w:sz w:val="24"/>
          <w:szCs w:val="24"/>
        </w:rPr>
        <w:t>n</w:t>
      </w:r>
      <w:r w:rsidR="0075026A" w:rsidRPr="0075026A">
        <w:rPr>
          <w:rFonts w:ascii="Arial" w:hAnsi="Arial" w:cs="Arial"/>
          <w:spacing w:val="-4"/>
          <w:sz w:val="24"/>
          <w:szCs w:val="24"/>
        </w:rPr>
        <w:t xml:space="preserve"> conformitate cu art.223 din Regulamentul A</w:t>
      </w:r>
      <w:r>
        <w:rPr>
          <w:rFonts w:ascii="Arial" w:hAnsi="Arial" w:cs="Arial"/>
          <w:spacing w:val="-4"/>
          <w:sz w:val="24"/>
          <w:szCs w:val="24"/>
        </w:rPr>
        <w:t>.</w:t>
      </w:r>
      <w:r w:rsidR="0075026A" w:rsidRPr="0075026A">
        <w:rPr>
          <w:rFonts w:ascii="Arial" w:hAnsi="Arial" w:cs="Arial"/>
          <w:spacing w:val="-4"/>
          <w:sz w:val="24"/>
          <w:szCs w:val="24"/>
        </w:rPr>
        <w:t>S</w:t>
      </w:r>
      <w:r>
        <w:rPr>
          <w:rFonts w:ascii="Arial" w:hAnsi="Arial" w:cs="Arial"/>
          <w:spacing w:val="-4"/>
          <w:sz w:val="24"/>
          <w:szCs w:val="24"/>
        </w:rPr>
        <w:t>.</w:t>
      </w:r>
      <w:r w:rsidR="0075026A" w:rsidRPr="0075026A">
        <w:rPr>
          <w:rFonts w:ascii="Arial" w:hAnsi="Arial" w:cs="Arial"/>
          <w:spacing w:val="-4"/>
          <w:sz w:val="24"/>
          <w:szCs w:val="24"/>
        </w:rPr>
        <w:t>F</w:t>
      </w:r>
      <w:r>
        <w:rPr>
          <w:rFonts w:ascii="Arial" w:hAnsi="Arial" w:cs="Arial"/>
          <w:spacing w:val="-4"/>
          <w:sz w:val="24"/>
          <w:szCs w:val="24"/>
        </w:rPr>
        <w:t>.</w:t>
      </w:r>
      <w:r w:rsidR="0075026A" w:rsidRPr="0075026A">
        <w:rPr>
          <w:rFonts w:ascii="Arial" w:hAnsi="Arial" w:cs="Arial"/>
          <w:spacing w:val="-4"/>
          <w:sz w:val="24"/>
          <w:szCs w:val="24"/>
        </w:rPr>
        <w:t xml:space="preserve"> nr.5/2018 și art. 55 din O</w:t>
      </w:r>
      <w:r>
        <w:rPr>
          <w:rFonts w:ascii="Arial" w:hAnsi="Arial" w:cs="Arial"/>
          <w:spacing w:val="-4"/>
          <w:sz w:val="24"/>
          <w:szCs w:val="24"/>
        </w:rPr>
        <w:t>.</w:t>
      </w:r>
      <w:r w:rsidR="0075026A" w:rsidRPr="0075026A">
        <w:rPr>
          <w:rFonts w:ascii="Arial" w:hAnsi="Arial" w:cs="Arial"/>
          <w:spacing w:val="-4"/>
          <w:sz w:val="24"/>
          <w:szCs w:val="24"/>
        </w:rPr>
        <w:t>U</w:t>
      </w:r>
      <w:r>
        <w:rPr>
          <w:rFonts w:ascii="Arial" w:hAnsi="Arial" w:cs="Arial"/>
          <w:spacing w:val="-4"/>
          <w:sz w:val="24"/>
          <w:szCs w:val="24"/>
        </w:rPr>
        <w:t>.</w:t>
      </w:r>
      <w:r w:rsidR="0075026A" w:rsidRPr="0075026A">
        <w:rPr>
          <w:rFonts w:ascii="Arial" w:hAnsi="Arial" w:cs="Arial"/>
          <w:spacing w:val="-4"/>
          <w:sz w:val="24"/>
          <w:szCs w:val="24"/>
        </w:rPr>
        <w:t>G 109/2011 privind guvernanța corporativă a întreprinderilor publice</w:t>
      </w:r>
    </w:p>
    <w:p w:rsidR="00170C8B" w:rsidRPr="0075026A" w:rsidRDefault="00170C8B" w:rsidP="00170C8B">
      <w:pPr>
        <w:shd w:val="clear" w:color="auto" w:fill="FFFFFF"/>
        <w:jc w:val="center"/>
        <w:rPr>
          <w:rFonts w:ascii="Arial" w:hAnsi="Arial" w:cs="Arial"/>
          <w:spacing w:val="-4"/>
          <w:sz w:val="24"/>
          <w:szCs w:val="24"/>
        </w:rPr>
      </w:pPr>
    </w:p>
    <w:p w:rsidR="00170C8B" w:rsidRPr="0075026A" w:rsidRDefault="00170C8B" w:rsidP="00170C8B">
      <w:pPr>
        <w:shd w:val="clear" w:color="auto" w:fill="FFFFFF"/>
        <w:jc w:val="center"/>
        <w:rPr>
          <w:rFonts w:ascii="Arial" w:hAnsi="Arial" w:cs="Arial"/>
          <w:spacing w:val="-4"/>
          <w:sz w:val="24"/>
          <w:szCs w:val="24"/>
        </w:rPr>
      </w:pPr>
    </w:p>
    <w:p w:rsidR="00C1463A" w:rsidRPr="0075026A" w:rsidRDefault="00C1463A" w:rsidP="00E04104">
      <w:pPr>
        <w:shd w:val="clear" w:color="auto" w:fill="FFFFFF"/>
        <w:ind w:firstLine="86"/>
        <w:rPr>
          <w:rFonts w:ascii="Arial" w:hAnsi="Arial" w:cs="Arial"/>
          <w:color w:val="FF0000"/>
          <w:sz w:val="24"/>
          <w:szCs w:val="24"/>
        </w:rPr>
      </w:pPr>
    </w:p>
    <w:p w:rsidR="008F584D" w:rsidRPr="00A74CF5" w:rsidRDefault="008F584D" w:rsidP="00E04104">
      <w:pPr>
        <w:shd w:val="clear" w:color="auto" w:fill="FFFFFF"/>
        <w:ind w:firstLine="86"/>
        <w:rPr>
          <w:rFonts w:ascii="Arial" w:hAnsi="Arial" w:cs="Arial"/>
          <w:b/>
          <w:color w:val="FF0000"/>
          <w:sz w:val="22"/>
          <w:szCs w:val="22"/>
        </w:rPr>
      </w:pPr>
    </w:p>
    <w:p w:rsidR="00090F8B" w:rsidRDefault="00090F8B" w:rsidP="00564B3E">
      <w:pPr>
        <w:shd w:val="clear" w:color="auto" w:fill="FFFFFF"/>
        <w:rPr>
          <w:rFonts w:ascii="Arial" w:hAnsi="Arial" w:cs="Arial"/>
          <w:b/>
          <w:color w:val="FF0000"/>
          <w:sz w:val="22"/>
          <w:szCs w:val="22"/>
        </w:rPr>
      </w:pPr>
    </w:p>
    <w:p w:rsidR="00090F8B" w:rsidRDefault="00090F8B" w:rsidP="00E04104">
      <w:pPr>
        <w:shd w:val="clear" w:color="auto" w:fill="FFFFFF"/>
        <w:ind w:firstLine="86"/>
        <w:rPr>
          <w:rFonts w:ascii="Arial" w:hAnsi="Arial" w:cs="Arial"/>
          <w:b/>
          <w:color w:val="FF0000"/>
          <w:sz w:val="22"/>
          <w:szCs w:val="22"/>
        </w:rPr>
      </w:pPr>
    </w:p>
    <w:p w:rsidR="00090F8B" w:rsidRPr="00A74CF5" w:rsidRDefault="00090F8B" w:rsidP="00E04104">
      <w:pPr>
        <w:shd w:val="clear" w:color="auto" w:fill="FFFFFF"/>
        <w:ind w:firstLine="86"/>
        <w:rPr>
          <w:rFonts w:ascii="Arial" w:hAnsi="Arial" w:cs="Arial"/>
          <w:b/>
          <w:color w:val="FF0000"/>
          <w:sz w:val="22"/>
          <w:szCs w:val="22"/>
        </w:rPr>
      </w:pPr>
    </w:p>
    <w:p w:rsidR="00A74CF5" w:rsidRDefault="00A74CF5" w:rsidP="00E04104">
      <w:pPr>
        <w:shd w:val="clear" w:color="auto" w:fill="FFFFFF"/>
        <w:ind w:firstLine="86"/>
        <w:rPr>
          <w:rFonts w:ascii="Arial" w:hAnsi="Arial" w:cs="Arial"/>
          <w:b/>
          <w:color w:val="FF0000"/>
          <w:sz w:val="22"/>
          <w:szCs w:val="22"/>
        </w:rPr>
      </w:pPr>
    </w:p>
    <w:p w:rsidR="009F6D1A" w:rsidRDefault="009F6D1A" w:rsidP="00E04104">
      <w:pPr>
        <w:shd w:val="clear" w:color="auto" w:fill="FFFFFF"/>
        <w:ind w:firstLine="86"/>
        <w:rPr>
          <w:rFonts w:ascii="Arial" w:hAnsi="Arial" w:cs="Arial"/>
          <w:b/>
          <w:color w:val="FF0000"/>
          <w:sz w:val="22"/>
          <w:szCs w:val="22"/>
        </w:rPr>
      </w:pPr>
    </w:p>
    <w:p w:rsidR="009F6D1A" w:rsidRDefault="009F6D1A" w:rsidP="00E04104">
      <w:pPr>
        <w:shd w:val="clear" w:color="auto" w:fill="FFFFFF"/>
        <w:ind w:firstLine="86"/>
        <w:rPr>
          <w:rFonts w:ascii="Arial" w:hAnsi="Arial" w:cs="Arial"/>
          <w:b/>
          <w:color w:val="FF0000"/>
          <w:sz w:val="22"/>
          <w:szCs w:val="22"/>
        </w:rPr>
      </w:pPr>
    </w:p>
    <w:p w:rsidR="009F6D1A" w:rsidRDefault="009F6D1A" w:rsidP="00E04104">
      <w:pPr>
        <w:shd w:val="clear" w:color="auto" w:fill="FFFFFF"/>
        <w:ind w:firstLine="86"/>
        <w:rPr>
          <w:rFonts w:ascii="Arial" w:hAnsi="Arial" w:cs="Arial"/>
          <w:b/>
          <w:color w:val="FF0000"/>
          <w:sz w:val="22"/>
          <w:szCs w:val="22"/>
        </w:rPr>
      </w:pPr>
    </w:p>
    <w:p w:rsidR="009F6D1A" w:rsidRDefault="009F6D1A" w:rsidP="00E04104">
      <w:pPr>
        <w:shd w:val="clear" w:color="auto" w:fill="FFFFFF"/>
        <w:ind w:firstLine="86"/>
        <w:rPr>
          <w:rFonts w:ascii="Arial" w:hAnsi="Arial" w:cs="Arial"/>
          <w:b/>
          <w:color w:val="FF0000"/>
          <w:sz w:val="22"/>
          <w:szCs w:val="22"/>
        </w:rPr>
      </w:pPr>
    </w:p>
    <w:p w:rsidR="009F6D1A" w:rsidRDefault="009F6D1A" w:rsidP="00E04104">
      <w:pPr>
        <w:shd w:val="clear" w:color="auto" w:fill="FFFFFF"/>
        <w:ind w:firstLine="86"/>
        <w:rPr>
          <w:rFonts w:ascii="Arial" w:hAnsi="Arial" w:cs="Arial"/>
          <w:b/>
          <w:color w:val="FF0000"/>
          <w:sz w:val="22"/>
          <w:szCs w:val="22"/>
        </w:rPr>
      </w:pPr>
    </w:p>
    <w:p w:rsidR="008F584D" w:rsidRDefault="008F584D" w:rsidP="00907FDF">
      <w:pPr>
        <w:shd w:val="clear" w:color="auto" w:fill="FFFFFF"/>
        <w:rPr>
          <w:rFonts w:ascii="Arial" w:hAnsi="Arial" w:cs="Arial"/>
          <w:b/>
          <w:color w:val="FF0000"/>
          <w:sz w:val="22"/>
          <w:szCs w:val="22"/>
        </w:rPr>
      </w:pPr>
    </w:p>
    <w:p w:rsidR="00564B3E" w:rsidRDefault="00564B3E" w:rsidP="00907FDF">
      <w:pPr>
        <w:shd w:val="clear" w:color="auto" w:fill="FFFFFF"/>
        <w:rPr>
          <w:rFonts w:ascii="Arial" w:hAnsi="Arial" w:cs="Arial"/>
          <w:b/>
          <w:color w:val="FF0000"/>
          <w:sz w:val="22"/>
          <w:szCs w:val="22"/>
        </w:rPr>
      </w:pPr>
    </w:p>
    <w:p w:rsidR="00564B3E" w:rsidRDefault="00564B3E" w:rsidP="00907FDF">
      <w:pPr>
        <w:shd w:val="clear" w:color="auto" w:fill="FFFFFF"/>
        <w:rPr>
          <w:rFonts w:ascii="Arial" w:hAnsi="Arial" w:cs="Arial"/>
          <w:b/>
          <w:color w:val="FF0000"/>
          <w:sz w:val="22"/>
          <w:szCs w:val="22"/>
        </w:rPr>
      </w:pPr>
    </w:p>
    <w:p w:rsidR="00564B3E" w:rsidRDefault="00564B3E" w:rsidP="00907FDF">
      <w:pPr>
        <w:shd w:val="clear" w:color="auto" w:fill="FFFFFF"/>
        <w:rPr>
          <w:rFonts w:ascii="Arial" w:hAnsi="Arial" w:cs="Arial"/>
          <w:b/>
          <w:color w:val="FF0000"/>
          <w:sz w:val="22"/>
          <w:szCs w:val="22"/>
        </w:rPr>
      </w:pPr>
    </w:p>
    <w:p w:rsidR="00907FDF" w:rsidRPr="00A74CF5" w:rsidRDefault="00907FDF" w:rsidP="00907FDF">
      <w:pPr>
        <w:shd w:val="clear" w:color="auto" w:fill="FFFFFF"/>
        <w:rPr>
          <w:rFonts w:ascii="Arial" w:hAnsi="Arial" w:cs="Arial"/>
          <w:b/>
          <w:color w:val="FF0000"/>
          <w:sz w:val="22"/>
          <w:szCs w:val="22"/>
        </w:rPr>
      </w:pPr>
    </w:p>
    <w:p w:rsidR="004C633A" w:rsidRPr="00A74CF5" w:rsidRDefault="004C633A" w:rsidP="004731BB">
      <w:pPr>
        <w:shd w:val="clear" w:color="auto" w:fill="FFFFFF"/>
        <w:rPr>
          <w:rFonts w:ascii="Arial" w:hAnsi="Arial" w:cs="Arial"/>
          <w:b/>
          <w:color w:val="FF0000"/>
          <w:sz w:val="22"/>
          <w:szCs w:val="22"/>
        </w:rPr>
      </w:pPr>
    </w:p>
    <w:p w:rsidR="00556136" w:rsidRPr="00EF2D1F" w:rsidRDefault="00E713AB" w:rsidP="00EF2D1F">
      <w:pPr>
        <w:shd w:val="clear" w:color="auto" w:fill="FFFFFF"/>
        <w:rPr>
          <w:rFonts w:ascii="Arial" w:hAnsi="Arial" w:cs="Arial"/>
          <w:b/>
          <w:color w:val="FF0000"/>
          <w:sz w:val="22"/>
          <w:szCs w:val="22"/>
        </w:rPr>
      </w:pPr>
      <w:r w:rsidRPr="00324945">
        <w:rPr>
          <w:noProof/>
          <w:lang w:val="en-US" w:eastAsia="en-US"/>
        </w:rPr>
        <w:drawing>
          <wp:inline distT="0" distB="0" distL="0" distR="0">
            <wp:extent cx="5935345" cy="79687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345" cy="796875"/>
                    </a:xfrm>
                    <a:prstGeom prst="rect">
                      <a:avLst/>
                    </a:prstGeom>
                    <a:noFill/>
                    <a:ln>
                      <a:noFill/>
                    </a:ln>
                  </pic:spPr>
                </pic:pic>
              </a:graphicData>
            </a:graphic>
          </wp:inline>
        </w:drawing>
      </w:r>
    </w:p>
    <w:p w:rsidR="00526B7B" w:rsidRDefault="00526B7B" w:rsidP="00511715">
      <w:pPr>
        <w:shd w:val="clear" w:color="auto" w:fill="FFFFFF"/>
        <w:jc w:val="center"/>
        <w:rPr>
          <w:rFonts w:ascii="Arial" w:hAnsi="Arial" w:cs="Arial"/>
          <w:b/>
          <w:spacing w:val="-10"/>
          <w:sz w:val="28"/>
          <w:szCs w:val="28"/>
          <w:u w:val="single"/>
        </w:rPr>
      </w:pPr>
    </w:p>
    <w:p w:rsidR="000E52BE" w:rsidRPr="002F13CC" w:rsidRDefault="00ED6529" w:rsidP="00511715">
      <w:pPr>
        <w:shd w:val="clear" w:color="auto" w:fill="FFFFFF"/>
        <w:jc w:val="center"/>
        <w:rPr>
          <w:rFonts w:ascii="Arial" w:hAnsi="Arial" w:cs="Arial"/>
          <w:b/>
          <w:color w:val="1F4E79" w:themeColor="accent1" w:themeShade="80"/>
          <w:spacing w:val="-10"/>
          <w:sz w:val="28"/>
          <w:szCs w:val="28"/>
          <w:u w:val="single"/>
        </w:rPr>
      </w:pPr>
      <w:r w:rsidRPr="002F13CC">
        <w:rPr>
          <w:rFonts w:ascii="Arial" w:hAnsi="Arial" w:cs="Arial"/>
          <w:b/>
          <w:color w:val="1F4E79" w:themeColor="accent1" w:themeShade="80"/>
          <w:spacing w:val="-10"/>
          <w:sz w:val="28"/>
          <w:szCs w:val="28"/>
          <w:u w:val="single"/>
        </w:rPr>
        <w:t>CUPRINS</w:t>
      </w:r>
    </w:p>
    <w:p w:rsidR="00526B7B" w:rsidRDefault="00526B7B" w:rsidP="00511715">
      <w:pPr>
        <w:shd w:val="clear" w:color="auto" w:fill="FFFFFF"/>
        <w:jc w:val="center"/>
        <w:rPr>
          <w:rFonts w:ascii="Arial" w:hAnsi="Arial" w:cs="Arial"/>
          <w:b/>
          <w:spacing w:val="-10"/>
          <w:sz w:val="28"/>
          <w:szCs w:val="28"/>
          <w:u w:val="single"/>
        </w:rPr>
      </w:pPr>
    </w:p>
    <w:p w:rsidR="00556136" w:rsidRDefault="00556136" w:rsidP="00511715">
      <w:pPr>
        <w:shd w:val="clear" w:color="auto" w:fill="FFFFFF"/>
        <w:jc w:val="center"/>
        <w:rPr>
          <w:rFonts w:ascii="Arial" w:hAnsi="Arial" w:cs="Arial"/>
          <w:b/>
          <w:spacing w:val="-10"/>
          <w:sz w:val="22"/>
          <w:szCs w:val="22"/>
          <w:u w:val="single"/>
        </w:rPr>
      </w:pPr>
    </w:p>
    <w:tbl>
      <w:tblPr>
        <w:tblStyle w:val="TableGrid2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
        <w:gridCol w:w="8233"/>
        <w:gridCol w:w="634"/>
      </w:tblGrid>
      <w:tr w:rsidR="00052F94" w:rsidRPr="00052F94" w:rsidTr="00285908">
        <w:tc>
          <w:tcPr>
            <w:tcW w:w="767" w:type="dxa"/>
          </w:tcPr>
          <w:p w:rsidR="00052F94" w:rsidRPr="00052F94" w:rsidRDefault="00052F94" w:rsidP="00052F94">
            <w:pPr>
              <w:widowControl/>
              <w:autoSpaceDE/>
              <w:autoSpaceDN/>
              <w:adjustRightInd/>
              <w:spacing w:line="276" w:lineRule="auto"/>
              <w:jc w:val="both"/>
              <w:rPr>
                <w:rFonts w:ascii="Arial" w:hAnsi="Arial" w:cs="Arial"/>
                <w:b/>
                <w:color w:val="1F4E79" w:themeColor="accent1" w:themeShade="80"/>
              </w:rPr>
            </w:pPr>
            <w:r w:rsidRPr="00052F94">
              <w:rPr>
                <w:rFonts w:ascii="Arial" w:hAnsi="Arial" w:cs="Arial"/>
                <w:b/>
                <w:color w:val="1F4E79" w:themeColor="accent1" w:themeShade="80"/>
              </w:rPr>
              <w:t>1.</w:t>
            </w:r>
          </w:p>
        </w:tc>
        <w:tc>
          <w:tcPr>
            <w:tcW w:w="8233" w:type="dxa"/>
          </w:tcPr>
          <w:p w:rsidR="00052F94" w:rsidRPr="00052F94" w:rsidRDefault="00052F94" w:rsidP="00052F94">
            <w:pPr>
              <w:widowControl/>
              <w:autoSpaceDE/>
              <w:autoSpaceDN/>
              <w:adjustRightInd/>
              <w:spacing w:line="276" w:lineRule="auto"/>
              <w:rPr>
                <w:rFonts w:ascii="Arial" w:hAnsi="Arial" w:cs="Arial"/>
                <w:b/>
                <w:color w:val="1F4E79" w:themeColor="accent1" w:themeShade="80"/>
              </w:rPr>
            </w:pPr>
            <w:r w:rsidRPr="00052F94">
              <w:rPr>
                <w:rFonts w:ascii="Arial" w:hAnsi="Arial" w:cs="Arial"/>
                <w:b/>
                <w:color w:val="1F4E79" w:themeColor="accent1" w:themeShade="80"/>
              </w:rPr>
              <w:t>PREZENTAREA SOCIETĂȚII</w:t>
            </w:r>
          </w:p>
        </w:tc>
        <w:tc>
          <w:tcPr>
            <w:tcW w:w="634" w:type="dxa"/>
          </w:tcPr>
          <w:p w:rsidR="00052F94" w:rsidRPr="00052F94" w:rsidRDefault="00FC01EC" w:rsidP="00052F94">
            <w:pPr>
              <w:widowControl/>
              <w:autoSpaceDE/>
              <w:autoSpaceDN/>
              <w:adjustRightInd/>
              <w:spacing w:line="276" w:lineRule="auto"/>
              <w:jc w:val="right"/>
              <w:rPr>
                <w:rFonts w:ascii="Arial" w:hAnsi="Arial" w:cs="Arial"/>
                <w:b/>
                <w:color w:val="1F4E79" w:themeColor="accent1" w:themeShade="80"/>
              </w:rPr>
            </w:pPr>
            <w:r w:rsidRPr="00FC01EC">
              <w:rPr>
                <w:rFonts w:ascii="Arial" w:hAnsi="Arial" w:cs="Arial"/>
                <w:b/>
                <w:color w:val="1F4E79" w:themeColor="accent1" w:themeShade="80"/>
              </w:rPr>
              <w:t>3</w:t>
            </w:r>
          </w:p>
        </w:tc>
      </w:tr>
      <w:tr w:rsidR="00052F94" w:rsidRPr="00052F94" w:rsidTr="00285908">
        <w:tc>
          <w:tcPr>
            <w:tcW w:w="767" w:type="dxa"/>
          </w:tcPr>
          <w:p w:rsidR="00052F94" w:rsidRPr="00052F94" w:rsidRDefault="00FC01EC" w:rsidP="00052F94">
            <w:pPr>
              <w:widowControl/>
              <w:autoSpaceDE/>
              <w:autoSpaceDN/>
              <w:adjustRightInd/>
              <w:spacing w:line="276" w:lineRule="auto"/>
              <w:jc w:val="both"/>
              <w:rPr>
                <w:rFonts w:ascii="Arial" w:hAnsi="Arial" w:cs="Arial"/>
              </w:rPr>
            </w:pPr>
            <w:r>
              <w:rPr>
                <w:rFonts w:ascii="Arial" w:hAnsi="Arial" w:cs="Arial"/>
              </w:rPr>
              <w:t>1.1</w:t>
            </w:r>
          </w:p>
        </w:tc>
        <w:tc>
          <w:tcPr>
            <w:tcW w:w="8233" w:type="dxa"/>
          </w:tcPr>
          <w:p w:rsidR="00052F94" w:rsidRPr="00052F94" w:rsidRDefault="00052F94" w:rsidP="00052F94">
            <w:pPr>
              <w:widowControl/>
              <w:autoSpaceDE/>
              <w:autoSpaceDN/>
              <w:adjustRightInd/>
              <w:spacing w:line="276" w:lineRule="auto"/>
              <w:rPr>
                <w:rFonts w:ascii="Arial" w:hAnsi="Arial" w:cs="Arial"/>
              </w:rPr>
            </w:pPr>
            <w:r w:rsidRPr="00052F94">
              <w:rPr>
                <w:rFonts w:ascii="Arial" w:hAnsi="Arial" w:cs="Arial"/>
              </w:rPr>
              <w:t>Date de identificare raport și emitent</w:t>
            </w:r>
          </w:p>
        </w:tc>
        <w:tc>
          <w:tcPr>
            <w:tcW w:w="634" w:type="dxa"/>
          </w:tcPr>
          <w:p w:rsidR="00052F94" w:rsidRPr="00052F94" w:rsidRDefault="00FC01EC" w:rsidP="00052F94">
            <w:pPr>
              <w:widowControl/>
              <w:autoSpaceDE/>
              <w:autoSpaceDN/>
              <w:adjustRightInd/>
              <w:spacing w:line="276" w:lineRule="auto"/>
              <w:jc w:val="right"/>
              <w:rPr>
                <w:rFonts w:ascii="Arial" w:hAnsi="Arial" w:cs="Arial"/>
              </w:rPr>
            </w:pPr>
            <w:r>
              <w:rPr>
                <w:rFonts w:ascii="Arial" w:hAnsi="Arial" w:cs="Arial"/>
              </w:rPr>
              <w:t>3</w:t>
            </w:r>
          </w:p>
        </w:tc>
      </w:tr>
      <w:tr w:rsidR="00052F94" w:rsidRPr="00052F94" w:rsidTr="00285908">
        <w:tc>
          <w:tcPr>
            <w:tcW w:w="767" w:type="dxa"/>
          </w:tcPr>
          <w:p w:rsidR="00052F94" w:rsidRPr="00052F94" w:rsidRDefault="00FC01EC" w:rsidP="00FC01EC">
            <w:pPr>
              <w:widowControl/>
              <w:autoSpaceDE/>
              <w:autoSpaceDN/>
              <w:adjustRightInd/>
              <w:spacing w:line="276" w:lineRule="auto"/>
              <w:jc w:val="both"/>
              <w:rPr>
                <w:rFonts w:ascii="Arial" w:hAnsi="Arial" w:cs="Arial"/>
              </w:rPr>
            </w:pPr>
            <w:r>
              <w:rPr>
                <w:rFonts w:ascii="Arial" w:hAnsi="Arial" w:cs="Arial"/>
              </w:rPr>
              <w:t>1.2</w:t>
            </w:r>
          </w:p>
        </w:tc>
        <w:tc>
          <w:tcPr>
            <w:tcW w:w="8233" w:type="dxa"/>
          </w:tcPr>
          <w:p w:rsidR="00052F94" w:rsidRPr="00052F94" w:rsidRDefault="00052F94" w:rsidP="00052F94">
            <w:pPr>
              <w:widowControl/>
              <w:autoSpaceDE/>
              <w:autoSpaceDN/>
              <w:adjustRightInd/>
              <w:spacing w:line="276" w:lineRule="auto"/>
              <w:rPr>
                <w:rFonts w:ascii="Arial" w:hAnsi="Arial" w:cs="Arial"/>
              </w:rPr>
            </w:pPr>
            <w:r w:rsidRPr="00052F94">
              <w:rPr>
                <w:rFonts w:ascii="Arial" w:hAnsi="Arial" w:cs="Arial"/>
              </w:rPr>
              <w:t>Activități principale</w:t>
            </w:r>
          </w:p>
        </w:tc>
        <w:tc>
          <w:tcPr>
            <w:tcW w:w="634" w:type="dxa"/>
          </w:tcPr>
          <w:p w:rsidR="00052F94" w:rsidRPr="00052F94" w:rsidRDefault="00FC01EC" w:rsidP="00052F94">
            <w:pPr>
              <w:widowControl/>
              <w:autoSpaceDE/>
              <w:autoSpaceDN/>
              <w:adjustRightInd/>
              <w:spacing w:line="276" w:lineRule="auto"/>
              <w:jc w:val="right"/>
              <w:rPr>
                <w:rFonts w:ascii="Arial" w:hAnsi="Arial" w:cs="Arial"/>
              </w:rPr>
            </w:pPr>
            <w:r>
              <w:rPr>
                <w:rFonts w:ascii="Arial" w:hAnsi="Arial" w:cs="Arial"/>
              </w:rPr>
              <w:t>4</w:t>
            </w:r>
          </w:p>
        </w:tc>
      </w:tr>
      <w:tr w:rsidR="00052F94" w:rsidRPr="00052F94" w:rsidTr="00285908">
        <w:tc>
          <w:tcPr>
            <w:tcW w:w="767" w:type="dxa"/>
          </w:tcPr>
          <w:p w:rsidR="00052F94" w:rsidRPr="00052F94" w:rsidRDefault="00052F94" w:rsidP="00FC01EC">
            <w:pPr>
              <w:widowControl/>
              <w:autoSpaceDE/>
              <w:autoSpaceDN/>
              <w:adjustRightInd/>
              <w:spacing w:line="276" w:lineRule="auto"/>
              <w:jc w:val="both"/>
              <w:rPr>
                <w:rFonts w:ascii="Arial" w:hAnsi="Arial" w:cs="Arial"/>
              </w:rPr>
            </w:pPr>
            <w:r w:rsidRPr="00052F94">
              <w:rPr>
                <w:rFonts w:ascii="Arial" w:hAnsi="Arial" w:cs="Arial"/>
              </w:rPr>
              <w:t>1.3</w:t>
            </w:r>
          </w:p>
        </w:tc>
        <w:tc>
          <w:tcPr>
            <w:tcW w:w="8233" w:type="dxa"/>
          </w:tcPr>
          <w:p w:rsidR="00052F94" w:rsidRPr="00052F94" w:rsidRDefault="00052F94" w:rsidP="00052F94">
            <w:pPr>
              <w:widowControl/>
              <w:autoSpaceDE/>
              <w:autoSpaceDN/>
              <w:adjustRightInd/>
              <w:spacing w:line="276" w:lineRule="auto"/>
              <w:rPr>
                <w:rFonts w:ascii="Arial" w:hAnsi="Arial" w:cs="Arial"/>
              </w:rPr>
            </w:pPr>
            <w:r w:rsidRPr="00052F94">
              <w:rPr>
                <w:rFonts w:ascii="Arial" w:hAnsi="Arial" w:cs="Arial"/>
              </w:rPr>
              <w:t>Misiunea, viziunea, și valorile societății</w:t>
            </w:r>
          </w:p>
        </w:tc>
        <w:tc>
          <w:tcPr>
            <w:tcW w:w="634" w:type="dxa"/>
          </w:tcPr>
          <w:p w:rsidR="00052F94" w:rsidRPr="00052F94" w:rsidRDefault="00FC01EC" w:rsidP="00052F94">
            <w:pPr>
              <w:widowControl/>
              <w:autoSpaceDE/>
              <w:autoSpaceDN/>
              <w:adjustRightInd/>
              <w:spacing w:line="276" w:lineRule="auto"/>
              <w:jc w:val="right"/>
              <w:rPr>
                <w:rFonts w:ascii="Arial" w:hAnsi="Arial" w:cs="Arial"/>
              </w:rPr>
            </w:pPr>
            <w:r>
              <w:rPr>
                <w:rFonts w:ascii="Arial" w:hAnsi="Arial" w:cs="Arial"/>
              </w:rPr>
              <w:t>4</w:t>
            </w:r>
          </w:p>
        </w:tc>
      </w:tr>
      <w:tr w:rsidR="00052F94" w:rsidRPr="00052F94" w:rsidTr="00285908">
        <w:tc>
          <w:tcPr>
            <w:tcW w:w="767" w:type="dxa"/>
          </w:tcPr>
          <w:p w:rsidR="00052F94" w:rsidRPr="00052F94" w:rsidRDefault="00052F94" w:rsidP="00FC01EC">
            <w:pPr>
              <w:widowControl/>
              <w:autoSpaceDE/>
              <w:autoSpaceDN/>
              <w:adjustRightInd/>
              <w:spacing w:line="276" w:lineRule="auto"/>
              <w:jc w:val="both"/>
              <w:rPr>
                <w:rFonts w:ascii="Arial" w:hAnsi="Arial" w:cs="Arial"/>
              </w:rPr>
            </w:pPr>
            <w:r w:rsidRPr="00052F94">
              <w:rPr>
                <w:rFonts w:ascii="Arial" w:hAnsi="Arial" w:cs="Arial"/>
              </w:rPr>
              <w:t>1.4</w:t>
            </w:r>
          </w:p>
        </w:tc>
        <w:tc>
          <w:tcPr>
            <w:tcW w:w="8233" w:type="dxa"/>
          </w:tcPr>
          <w:p w:rsidR="00052F94" w:rsidRPr="00052F94" w:rsidRDefault="00052F94" w:rsidP="00052F94">
            <w:pPr>
              <w:widowControl/>
              <w:autoSpaceDE/>
              <w:autoSpaceDN/>
              <w:adjustRightInd/>
              <w:spacing w:line="276" w:lineRule="auto"/>
              <w:rPr>
                <w:rFonts w:ascii="Arial" w:hAnsi="Arial" w:cs="Arial"/>
              </w:rPr>
            </w:pPr>
            <w:r w:rsidRPr="00052F94">
              <w:rPr>
                <w:rFonts w:ascii="Arial" w:hAnsi="Arial" w:cs="Arial"/>
              </w:rPr>
              <w:t xml:space="preserve">Acționariat </w:t>
            </w:r>
          </w:p>
        </w:tc>
        <w:tc>
          <w:tcPr>
            <w:tcW w:w="634" w:type="dxa"/>
          </w:tcPr>
          <w:p w:rsidR="00052F94" w:rsidRPr="00052F94" w:rsidRDefault="00FC01EC" w:rsidP="00052F94">
            <w:pPr>
              <w:widowControl/>
              <w:autoSpaceDE/>
              <w:autoSpaceDN/>
              <w:adjustRightInd/>
              <w:spacing w:line="276" w:lineRule="auto"/>
              <w:jc w:val="right"/>
              <w:rPr>
                <w:rFonts w:ascii="Arial" w:hAnsi="Arial" w:cs="Arial"/>
              </w:rPr>
            </w:pPr>
            <w:r>
              <w:rPr>
                <w:rFonts w:ascii="Arial" w:hAnsi="Arial" w:cs="Arial"/>
              </w:rPr>
              <w:t>4</w:t>
            </w:r>
          </w:p>
        </w:tc>
      </w:tr>
      <w:tr w:rsidR="00052F94" w:rsidRPr="00052F94" w:rsidTr="00285908">
        <w:tc>
          <w:tcPr>
            <w:tcW w:w="767" w:type="dxa"/>
          </w:tcPr>
          <w:p w:rsidR="00052F94" w:rsidRPr="00052F94" w:rsidRDefault="00052F94" w:rsidP="00FC01EC">
            <w:pPr>
              <w:widowControl/>
              <w:autoSpaceDE/>
              <w:autoSpaceDN/>
              <w:adjustRightInd/>
              <w:spacing w:line="276" w:lineRule="auto"/>
              <w:jc w:val="both"/>
              <w:rPr>
                <w:rFonts w:ascii="Arial" w:hAnsi="Arial" w:cs="Arial"/>
              </w:rPr>
            </w:pPr>
            <w:r w:rsidRPr="00052F94">
              <w:rPr>
                <w:rFonts w:ascii="Arial" w:hAnsi="Arial" w:cs="Arial"/>
              </w:rPr>
              <w:t>1.5</w:t>
            </w:r>
          </w:p>
        </w:tc>
        <w:tc>
          <w:tcPr>
            <w:tcW w:w="8233" w:type="dxa"/>
          </w:tcPr>
          <w:p w:rsidR="00052F94" w:rsidRPr="00052F94" w:rsidRDefault="00052F94" w:rsidP="00052F94">
            <w:pPr>
              <w:widowControl/>
              <w:autoSpaceDE/>
              <w:autoSpaceDN/>
              <w:adjustRightInd/>
              <w:spacing w:line="276" w:lineRule="auto"/>
              <w:rPr>
                <w:rFonts w:ascii="Arial" w:hAnsi="Arial" w:cs="Arial"/>
              </w:rPr>
            </w:pPr>
            <w:r w:rsidRPr="00052F94">
              <w:rPr>
                <w:rFonts w:ascii="Arial" w:hAnsi="Arial" w:cs="Arial"/>
              </w:rPr>
              <w:t>Organizarea societății</w:t>
            </w:r>
          </w:p>
        </w:tc>
        <w:tc>
          <w:tcPr>
            <w:tcW w:w="634" w:type="dxa"/>
          </w:tcPr>
          <w:p w:rsidR="00052F94" w:rsidRPr="00052F94" w:rsidRDefault="00FC01EC" w:rsidP="00052F94">
            <w:pPr>
              <w:widowControl/>
              <w:autoSpaceDE/>
              <w:autoSpaceDN/>
              <w:adjustRightInd/>
              <w:spacing w:line="276" w:lineRule="auto"/>
              <w:jc w:val="right"/>
              <w:rPr>
                <w:rFonts w:ascii="Arial" w:hAnsi="Arial" w:cs="Arial"/>
              </w:rPr>
            </w:pPr>
            <w:r>
              <w:rPr>
                <w:rFonts w:ascii="Arial" w:hAnsi="Arial" w:cs="Arial"/>
              </w:rPr>
              <w:t>5</w:t>
            </w:r>
          </w:p>
        </w:tc>
      </w:tr>
      <w:tr w:rsidR="00052F94" w:rsidRPr="00052F94" w:rsidTr="00285908">
        <w:tc>
          <w:tcPr>
            <w:tcW w:w="767" w:type="dxa"/>
          </w:tcPr>
          <w:p w:rsidR="00052F94" w:rsidRPr="00052F94" w:rsidRDefault="00052F94" w:rsidP="00FC01EC">
            <w:pPr>
              <w:widowControl/>
              <w:autoSpaceDE/>
              <w:autoSpaceDN/>
              <w:adjustRightInd/>
              <w:spacing w:line="276" w:lineRule="auto"/>
              <w:jc w:val="both"/>
              <w:rPr>
                <w:rFonts w:ascii="Arial" w:hAnsi="Arial" w:cs="Arial"/>
              </w:rPr>
            </w:pPr>
            <w:r w:rsidRPr="00052F94">
              <w:rPr>
                <w:rFonts w:ascii="Arial" w:hAnsi="Arial" w:cs="Arial"/>
              </w:rPr>
              <w:t>1.6</w:t>
            </w:r>
          </w:p>
        </w:tc>
        <w:tc>
          <w:tcPr>
            <w:tcW w:w="8233" w:type="dxa"/>
          </w:tcPr>
          <w:p w:rsidR="00052F94" w:rsidRPr="00052F94" w:rsidRDefault="00052F94" w:rsidP="00052F94">
            <w:pPr>
              <w:widowControl/>
              <w:autoSpaceDE/>
              <w:autoSpaceDN/>
              <w:adjustRightInd/>
              <w:spacing w:line="276" w:lineRule="auto"/>
              <w:rPr>
                <w:rFonts w:ascii="Arial" w:hAnsi="Arial" w:cs="Arial"/>
              </w:rPr>
            </w:pPr>
            <w:r w:rsidRPr="00052F94">
              <w:rPr>
                <w:rFonts w:ascii="Arial" w:hAnsi="Arial" w:cs="Arial"/>
              </w:rPr>
              <w:t>Obiective strategice de dezvoltare</w:t>
            </w:r>
          </w:p>
        </w:tc>
        <w:tc>
          <w:tcPr>
            <w:tcW w:w="634" w:type="dxa"/>
          </w:tcPr>
          <w:p w:rsidR="00052F94" w:rsidRPr="00052F94" w:rsidRDefault="00FC01EC" w:rsidP="00052F94">
            <w:pPr>
              <w:widowControl/>
              <w:autoSpaceDE/>
              <w:autoSpaceDN/>
              <w:adjustRightInd/>
              <w:spacing w:line="276" w:lineRule="auto"/>
              <w:jc w:val="right"/>
              <w:rPr>
                <w:rFonts w:ascii="Arial" w:hAnsi="Arial" w:cs="Arial"/>
              </w:rPr>
            </w:pPr>
            <w:r>
              <w:rPr>
                <w:rFonts w:ascii="Arial" w:hAnsi="Arial" w:cs="Arial"/>
              </w:rPr>
              <w:t>5</w:t>
            </w:r>
          </w:p>
        </w:tc>
      </w:tr>
      <w:tr w:rsidR="00052F94" w:rsidRPr="00052F94" w:rsidTr="00285908">
        <w:tc>
          <w:tcPr>
            <w:tcW w:w="767" w:type="dxa"/>
          </w:tcPr>
          <w:p w:rsidR="00052F94" w:rsidRPr="00052F94" w:rsidRDefault="00052F94" w:rsidP="00052F94">
            <w:pPr>
              <w:widowControl/>
              <w:autoSpaceDE/>
              <w:autoSpaceDN/>
              <w:adjustRightInd/>
              <w:spacing w:line="276" w:lineRule="auto"/>
              <w:jc w:val="both"/>
              <w:rPr>
                <w:rFonts w:ascii="Arial" w:hAnsi="Arial" w:cs="Arial"/>
                <w:b/>
                <w:color w:val="1F4E79" w:themeColor="accent1" w:themeShade="80"/>
              </w:rPr>
            </w:pPr>
            <w:r w:rsidRPr="00052F94">
              <w:rPr>
                <w:rFonts w:ascii="Arial" w:hAnsi="Arial" w:cs="Arial"/>
                <w:b/>
                <w:color w:val="1F4E79" w:themeColor="accent1" w:themeShade="80"/>
              </w:rPr>
              <w:t>2.</w:t>
            </w:r>
          </w:p>
        </w:tc>
        <w:tc>
          <w:tcPr>
            <w:tcW w:w="8233" w:type="dxa"/>
          </w:tcPr>
          <w:p w:rsidR="00052F94" w:rsidRPr="00052F94" w:rsidRDefault="00FC01EC" w:rsidP="00052F94">
            <w:pPr>
              <w:widowControl/>
              <w:autoSpaceDE/>
              <w:autoSpaceDN/>
              <w:adjustRightInd/>
              <w:spacing w:line="276" w:lineRule="auto"/>
              <w:rPr>
                <w:rFonts w:ascii="Arial" w:hAnsi="Arial" w:cs="Arial"/>
                <w:b/>
                <w:color w:val="1F4E79" w:themeColor="accent1" w:themeShade="80"/>
              </w:rPr>
            </w:pPr>
            <w:r w:rsidRPr="00FC01EC">
              <w:rPr>
                <w:rFonts w:ascii="Arial" w:hAnsi="Arial" w:cs="Arial"/>
                <w:b/>
                <w:color w:val="1F4E79" w:themeColor="accent1" w:themeShade="80"/>
              </w:rPr>
              <w:t>CONPET - SUMAR EXECUTIV</w:t>
            </w:r>
          </w:p>
        </w:tc>
        <w:tc>
          <w:tcPr>
            <w:tcW w:w="634" w:type="dxa"/>
          </w:tcPr>
          <w:p w:rsidR="00052F94" w:rsidRPr="00052F94" w:rsidRDefault="00FC01EC" w:rsidP="00052F94">
            <w:pPr>
              <w:widowControl/>
              <w:autoSpaceDE/>
              <w:autoSpaceDN/>
              <w:adjustRightInd/>
              <w:spacing w:line="276" w:lineRule="auto"/>
              <w:jc w:val="right"/>
              <w:rPr>
                <w:rFonts w:ascii="Arial" w:hAnsi="Arial" w:cs="Arial"/>
                <w:b/>
                <w:color w:val="1F4E79" w:themeColor="accent1" w:themeShade="80"/>
              </w:rPr>
            </w:pPr>
            <w:r w:rsidRPr="00FC01EC">
              <w:rPr>
                <w:rFonts w:ascii="Arial" w:hAnsi="Arial" w:cs="Arial"/>
                <w:b/>
                <w:color w:val="1F4E79" w:themeColor="accent1" w:themeShade="80"/>
              </w:rPr>
              <w:t>6</w:t>
            </w:r>
          </w:p>
        </w:tc>
      </w:tr>
      <w:tr w:rsidR="00FC01EC" w:rsidRPr="00052F94" w:rsidTr="00285908">
        <w:tc>
          <w:tcPr>
            <w:tcW w:w="767" w:type="dxa"/>
          </w:tcPr>
          <w:p w:rsidR="00FC01EC" w:rsidRPr="00052F94" w:rsidRDefault="00FC01EC" w:rsidP="00FC01EC">
            <w:pPr>
              <w:widowControl/>
              <w:autoSpaceDE/>
              <w:autoSpaceDN/>
              <w:adjustRightInd/>
              <w:spacing w:line="276" w:lineRule="auto"/>
              <w:jc w:val="both"/>
              <w:rPr>
                <w:rFonts w:ascii="Arial" w:hAnsi="Arial" w:cs="Arial"/>
              </w:rPr>
            </w:pPr>
            <w:r>
              <w:rPr>
                <w:rFonts w:ascii="Arial" w:hAnsi="Arial" w:cs="Arial"/>
              </w:rPr>
              <w:t>2.1</w:t>
            </w:r>
          </w:p>
        </w:tc>
        <w:tc>
          <w:tcPr>
            <w:tcW w:w="8233" w:type="dxa"/>
            <w:vAlign w:val="center"/>
          </w:tcPr>
          <w:p w:rsidR="00FC01EC" w:rsidRPr="00FC01EC" w:rsidRDefault="00FC01EC" w:rsidP="00FC01EC">
            <w:pPr>
              <w:overflowPunct w:val="0"/>
              <w:jc w:val="both"/>
              <w:textAlignment w:val="baseline"/>
              <w:rPr>
                <w:rFonts w:ascii="Arial" w:hAnsi="Arial" w:cs="Arial"/>
                <w:color w:val="000000" w:themeColor="text1"/>
                <w:sz w:val="24"/>
                <w:szCs w:val="24"/>
              </w:rPr>
            </w:pPr>
            <w:r w:rsidRPr="00FC01EC">
              <w:rPr>
                <w:rFonts w:ascii="Arial" w:hAnsi="Arial" w:cs="Arial"/>
                <w:color w:val="000000" w:themeColor="text1"/>
                <w:sz w:val="24"/>
                <w:szCs w:val="24"/>
              </w:rPr>
              <w:t xml:space="preserve">Indicatori ai activității operaționale </w:t>
            </w:r>
          </w:p>
        </w:tc>
        <w:tc>
          <w:tcPr>
            <w:tcW w:w="634" w:type="dxa"/>
          </w:tcPr>
          <w:p w:rsidR="00FC01EC" w:rsidRPr="00052F94" w:rsidRDefault="00FC01EC" w:rsidP="00FC01EC">
            <w:pPr>
              <w:widowControl/>
              <w:autoSpaceDE/>
              <w:autoSpaceDN/>
              <w:adjustRightInd/>
              <w:spacing w:line="276" w:lineRule="auto"/>
              <w:jc w:val="right"/>
              <w:rPr>
                <w:rFonts w:ascii="Arial" w:hAnsi="Arial" w:cs="Arial"/>
              </w:rPr>
            </w:pPr>
            <w:r>
              <w:rPr>
                <w:rFonts w:ascii="Arial" w:hAnsi="Arial" w:cs="Arial"/>
              </w:rPr>
              <w:t>6</w:t>
            </w:r>
          </w:p>
        </w:tc>
      </w:tr>
      <w:tr w:rsidR="00FC01EC" w:rsidRPr="00052F94" w:rsidTr="00285908">
        <w:tc>
          <w:tcPr>
            <w:tcW w:w="767" w:type="dxa"/>
          </w:tcPr>
          <w:p w:rsidR="00FC01EC" w:rsidRPr="00052F94" w:rsidRDefault="00FC01EC" w:rsidP="00FC01EC">
            <w:pPr>
              <w:widowControl/>
              <w:autoSpaceDE/>
              <w:autoSpaceDN/>
              <w:adjustRightInd/>
              <w:spacing w:line="276" w:lineRule="auto"/>
              <w:jc w:val="both"/>
              <w:rPr>
                <w:rFonts w:ascii="Arial" w:hAnsi="Arial" w:cs="Arial"/>
              </w:rPr>
            </w:pPr>
            <w:r>
              <w:rPr>
                <w:rFonts w:ascii="Arial" w:hAnsi="Arial" w:cs="Arial"/>
              </w:rPr>
              <w:t>2.2</w:t>
            </w:r>
          </w:p>
        </w:tc>
        <w:tc>
          <w:tcPr>
            <w:tcW w:w="8233" w:type="dxa"/>
            <w:vAlign w:val="center"/>
          </w:tcPr>
          <w:p w:rsidR="00FC01EC" w:rsidRPr="00FC01EC" w:rsidRDefault="00FC01EC" w:rsidP="00FC01EC">
            <w:pPr>
              <w:overflowPunct w:val="0"/>
              <w:jc w:val="both"/>
              <w:textAlignment w:val="baseline"/>
              <w:rPr>
                <w:rFonts w:ascii="Arial" w:hAnsi="Arial" w:cs="Arial"/>
                <w:color w:val="000000" w:themeColor="text1"/>
                <w:sz w:val="24"/>
                <w:szCs w:val="24"/>
              </w:rPr>
            </w:pPr>
            <w:r w:rsidRPr="00FC01EC">
              <w:rPr>
                <w:rFonts w:ascii="Arial" w:hAnsi="Arial" w:cs="Arial"/>
                <w:color w:val="000000" w:themeColor="text1"/>
                <w:sz w:val="24"/>
                <w:szCs w:val="24"/>
              </w:rPr>
              <w:t>Indicatori economico financiari</w:t>
            </w:r>
          </w:p>
        </w:tc>
        <w:tc>
          <w:tcPr>
            <w:tcW w:w="634" w:type="dxa"/>
          </w:tcPr>
          <w:p w:rsidR="00FC01EC" w:rsidRPr="00052F94" w:rsidRDefault="00FC01EC" w:rsidP="00FC01EC">
            <w:pPr>
              <w:widowControl/>
              <w:autoSpaceDE/>
              <w:autoSpaceDN/>
              <w:adjustRightInd/>
              <w:spacing w:line="276" w:lineRule="auto"/>
              <w:jc w:val="right"/>
              <w:rPr>
                <w:rFonts w:ascii="Arial" w:hAnsi="Arial" w:cs="Arial"/>
              </w:rPr>
            </w:pPr>
            <w:r>
              <w:rPr>
                <w:rFonts w:ascii="Arial" w:hAnsi="Arial" w:cs="Arial"/>
              </w:rPr>
              <w:t>7</w:t>
            </w:r>
          </w:p>
        </w:tc>
      </w:tr>
      <w:tr w:rsidR="00FC01EC" w:rsidRPr="00052F94" w:rsidTr="00285908">
        <w:tc>
          <w:tcPr>
            <w:tcW w:w="767" w:type="dxa"/>
          </w:tcPr>
          <w:p w:rsidR="00FC01EC" w:rsidRPr="00052F94" w:rsidRDefault="00FC01EC" w:rsidP="00FC01EC">
            <w:pPr>
              <w:widowControl/>
              <w:autoSpaceDE/>
              <w:autoSpaceDN/>
              <w:adjustRightInd/>
              <w:spacing w:line="276" w:lineRule="auto"/>
              <w:jc w:val="both"/>
              <w:rPr>
                <w:rFonts w:ascii="Arial" w:hAnsi="Arial" w:cs="Arial"/>
              </w:rPr>
            </w:pPr>
            <w:r>
              <w:rPr>
                <w:rFonts w:ascii="Arial" w:hAnsi="Arial" w:cs="Arial"/>
              </w:rPr>
              <w:t>2.3</w:t>
            </w:r>
          </w:p>
        </w:tc>
        <w:tc>
          <w:tcPr>
            <w:tcW w:w="8233" w:type="dxa"/>
            <w:vAlign w:val="center"/>
          </w:tcPr>
          <w:p w:rsidR="00FC01EC" w:rsidRPr="00FC01EC" w:rsidRDefault="00FC01EC" w:rsidP="00FC01EC">
            <w:pPr>
              <w:rPr>
                <w:color w:val="000000" w:themeColor="text1"/>
              </w:rPr>
            </w:pPr>
            <w:r w:rsidRPr="00FC01EC">
              <w:rPr>
                <w:rFonts w:ascii="Arial" w:hAnsi="Arial" w:cs="Arial"/>
                <w:bCs/>
                <w:color w:val="000000" w:themeColor="text1"/>
                <w:sz w:val="24"/>
                <w:szCs w:val="24"/>
              </w:rPr>
              <w:t>Investiții</w:t>
            </w:r>
          </w:p>
        </w:tc>
        <w:tc>
          <w:tcPr>
            <w:tcW w:w="634" w:type="dxa"/>
          </w:tcPr>
          <w:p w:rsidR="00FC01EC" w:rsidRPr="00052F94" w:rsidRDefault="00FC01EC" w:rsidP="00FC01EC">
            <w:pPr>
              <w:widowControl/>
              <w:autoSpaceDE/>
              <w:autoSpaceDN/>
              <w:adjustRightInd/>
              <w:spacing w:line="276" w:lineRule="auto"/>
              <w:jc w:val="right"/>
              <w:rPr>
                <w:rFonts w:ascii="Arial" w:hAnsi="Arial" w:cs="Arial"/>
              </w:rPr>
            </w:pPr>
            <w:r>
              <w:rPr>
                <w:rFonts w:ascii="Arial" w:hAnsi="Arial" w:cs="Arial"/>
              </w:rPr>
              <w:t>7</w:t>
            </w:r>
          </w:p>
        </w:tc>
      </w:tr>
      <w:tr w:rsidR="00FC01EC" w:rsidRPr="00052F94" w:rsidTr="00285908">
        <w:tc>
          <w:tcPr>
            <w:tcW w:w="767" w:type="dxa"/>
          </w:tcPr>
          <w:p w:rsidR="00FC01EC" w:rsidRPr="00052F94" w:rsidRDefault="00FC01EC" w:rsidP="00FC01EC">
            <w:pPr>
              <w:widowControl/>
              <w:autoSpaceDE/>
              <w:autoSpaceDN/>
              <w:adjustRightInd/>
              <w:spacing w:line="276" w:lineRule="auto"/>
              <w:jc w:val="both"/>
              <w:rPr>
                <w:rFonts w:ascii="Arial" w:hAnsi="Arial" w:cs="Arial"/>
              </w:rPr>
            </w:pPr>
            <w:r>
              <w:rPr>
                <w:rFonts w:ascii="Arial" w:hAnsi="Arial" w:cs="Arial"/>
              </w:rPr>
              <w:t>2.4</w:t>
            </w:r>
          </w:p>
        </w:tc>
        <w:tc>
          <w:tcPr>
            <w:tcW w:w="8233" w:type="dxa"/>
            <w:vAlign w:val="center"/>
          </w:tcPr>
          <w:p w:rsidR="00FC01EC" w:rsidRPr="00FC01EC" w:rsidRDefault="00FC01EC" w:rsidP="00FC01EC">
            <w:pPr>
              <w:jc w:val="both"/>
              <w:rPr>
                <w:rFonts w:ascii="Arial" w:hAnsi="Arial" w:cs="Arial"/>
                <w:color w:val="000000" w:themeColor="text1"/>
                <w:sz w:val="24"/>
                <w:szCs w:val="24"/>
              </w:rPr>
            </w:pPr>
            <w:r w:rsidRPr="00FC01EC">
              <w:rPr>
                <w:rFonts w:ascii="Arial" w:hAnsi="Arial" w:cs="Arial"/>
                <w:color w:val="000000" w:themeColor="text1"/>
                <w:sz w:val="24"/>
                <w:szCs w:val="24"/>
              </w:rPr>
              <w:t xml:space="preserve">Indicatori bursieri ai societății </w:t>
            </w:r>
          </w:p>
        </w:tc>
        <w:tc>
          <w:tcPr>
            <w:tcW w:w="634" w:type="dxa"/>
          </w:tcPr>
          <w:p w:rsidR="00FC01EC" w:rsidRPr="00052F94" w:rsidRDefault="00FC01EC" w:rsidP="00FC01EC">
            <w:pPr>
              <w:widowControl/>
              <w:autoSpaceDE/>
              <w:autoSpaceDN/>
              <w:adjustRightInd/>
              <w:spacing w:line="276" w:lineRule="auto"/>
              <w:jc w:val="right"/>
              <w:rPr>
                <w:rFonts w:ascii="Arial" w:hAnsi="Arial" w:cs="Arial"/>
              </w:rPr>
            </w:pPr>
            <w:r>
              <w:rPr>
                <w:rFonts w:ascii="Arial" w:hAnsi="Arial" w:cs="Arial"/>
              </w:rPr>
              <w:t>8</w:t>
            </w:r>
          </w:p>
        </w:tc>
      </w:tr>
      <w:tr w:rsidR="00052F94" w:rsidRPr="00052F94" w:rsidTr="00285908">
        <w:tc>
          <w:tcPr>
            <w:tcW w:w="767" w:type="dxa"/>
          </w:tcPr>
          <w:p w:rsidR="00052F94" w:rsidRPr="00052F94" w:rsidRDefault="00052F94" w:rsidP="00052F94">
            <w:pPr>
              <w:widowControl/>
              <w:autoSpaceDE/>
              <w:autoSpaceDN/>
              <w:adjustRightInd/>
              <w:spacing w:line="276" w:lineRule="auto"/>
              <w:jc w:val="both"/>
              <w:rPr>
                <w:rFonts w:ascii="Arial" w:hAnsi="Arial" w:cs="Arial"/>
                <w:b/>
                <w:color w:val="1F4E79" w:themeColor="accent1" w:themeShade="80"/>
              </w:rPr>
            </w:pPr>
            <w:r w:rsidRPr="00052F94">
              <w:rPr>
                <w:rFonts w:ascii="Arial" w:hAnsi="Arial" w:cs="Arial"/>
                <w:b/>
                <w:color w:val="1F4E79" w:themeColor="accent1" w:themeShade="80"/>
              </w:rPr>
              <w:t>3.</w:t>
            </w:r>
          </w:p>
        </w:tc>
        <w:tc>
          <w:tcPr>
            <w:tcW w:w="8233" w:type="dxa"/>
          </w:tcPr>
          <w:p w:rsidR="00052F94" w:rsidRPr="00052F94" w:rsidRDefault="00FC01EC" w:rsidP="00052F94">
            <w:pPr>
              <w:widowControl/>
              <w:autoSpaceDE/>
              <w:autoSpaceDN/>
              <w:adjustRightInd/>
              <w:spacing w:line="276" w:lineRule="auto"/>
              <w:rPr>
                <w:rFonts w:ascii="Arial" w:hAnsi="Arial" w:cs="Arial"/>
                <w:b/>
                <w:color w:val="1F4E79" w:themeColor="accent1" w:themeShade="80"/>
              </w:rPr>
            </w:pPr>
            <w:r w:rsidRPr="00FC01EC">
              <w:rPr>
                <w:rFonts w:ascii="Arial" w:hAnsi="Arial" w:cs="Arial"/>
                <w:b/>
                <w:color w:val="1F4E79" w:themeColor="accent1" w:themeShade="80"/>
              </w:rPr>
              <w:t>ANALIZA ACTIVITĂȚII SOCIETĂȚII</w:t>
            </w:r>
          </w:p>
        </w:tc>
        <w:tc>
          <w:tcPr>
            <w:tcW w:w="634" w:type="dxa"/>
          </w:tcPr>
          <w:p w:rsidR="00052F94" w:rsidRPr="00052F94" w:rsidRDefault="00FC01EC" w:rsidP="00052F94">
            <w:pPr>
              <w:widowControl/>
              <w:autoSpaceDE/>
              <w:autoSpaceDN/>
              <w:adjustRightInd/>
              <w:spacing w:line="276" w:lineRule="auto"/>
              <w:jc w:val="right"/>
              <w:rPr>
                <w:rFonts w:ascii="Arial" w:hAnsi="Arial" w:cs="Arial"/>
                <w:b/>
                <w:color w:val="1F4E79" w:themeColor="accent1" w:themeShade="80"/>
              </w:rPr>
            </w:pPr>
            <w:r>
              <w:rPr>
                <w:rFonts w:ascii="Arial" w:hAnsi="Arial" w:cs="Arial"/>
                <w:b/>
                <w:color w:val="1F4E79" w:themeColor="accent1" w:themeShade="80"/>
              </w:rPr>
              <w:t>9</w:t>
            </w:r>
          </w:p>
        </w:tc>
      </w:tr>
      <w:tr w:rsidR="00052F94" w:rsidRPr="00052F94" w:rsidTr="00285908">
        <w:tc>
          <w:tcPr>
            <w:tcW w:w="767" w:type="dxa"/>
          </w:tcPr>
          <w:p w:rsidR="00052F94" w:rsidRPr="00052F94" w:rsidRDefault="00052F94" w:rsidP="00052F94">
            <w:pPr>
              <w:widowControl/>
              <w:autoSpaceDE/>
              <w:autoSpaceDN/>
              <w:adjustRightInd/>
              <w:spacing w:line="276" w:lineRule="auto"/>
              <w:jc w:val="both"/>
              <w:rPr>
                <w:rFonts w:ascii="Arial" w:hAnsi="Arial" w:cs="Arial"/>
              </w:rPr>
            </w:pPr>
            <w:r w:rsidRPr="00052F94">
              <w:rPr>
                <w:rFonts w:ascii="Arial" w:hAnsi="Arial" w:cs="Arial"/>
              </w:rPr>
              <w:t>3.1.</w:t>
            </w:r>
          </w:p>
        </w:tc>
        <w:tc>
          <w:tcPr>
            <w:tcW w:w="8233" w:type="dxa"/>
          </w:tcPr>
          <w:p w:rsidR="00052F94" w:rsidRPr="00052F94" w:rsidRDefault="008C7A7F" w:rsidP="00052F94">
            <w:pPr>
              <w:widowControl/>
              <w:autoSpaceDE/>
              <w:autoSpaceDN/>
              <w:adjustRightInd/>
              <w:spacing w:line="276" w:lineRule="auto"/>
              <w:rPr>
                <w:rFonts w:ascii="Arial" w:hAnsi="Arial" w:cs="Arial"/>
              </w:rPr>
            </w:pPr>
            <w:r w:rsidRPr="008C7A7F">
              <w:rPr>
                <w:rFonts w:ascii="Arial" w:hAnsi="Arial" w:cs="Arial"/>
              </w:rPr>
              <w:t>Analiza activității operaționale</w:t>
            </w:r>
          </w:p>
        </w:tc>
        <w:tc>
          <w:tcPr>
            <w:tcW w:w="634" w:type="dxa"/>
          </w:tcPr>
          <w:p w:rsidR="00052F94" w:rsidRPr="00052F94" w:rsidRDefault="008C7A7F" w:rsidP="00052F94">
            <w:pPr>
              <w:widowControl/>
              <w:autoSpaceDE/>
              <w:autoSpaceDN/>
              <w:adjustRightInd/>
              <w:spacing w:line="276" w:lineRule="auto"/>
              <w:jc w:val="right"/>
              <w:rPr>
                <w:rFonts w:ascii="Arial" w:hAnsi="Arial" w:cs="Arial"/>
              </w:rPr>
            </w:pPr>
            <w:r>
              <w:rPr>
                <w:rFonts w:ascii="Arial" w:hAnsi="Arial" w:cs="Arial"/>
              </w:rPr>
              <w:t>9</w:t>
            </w:r>
          </w:p>
        </w:tc>
      </w:tr>
      <w:tr w:rsidR="008C7A7F" w:rsidRPr="00052F94" w:rsidTr="00285908">
        <w:tc>
          <w:tcPr>
            <w:tcW w:w="767" w:type="dxa"/>
          </w:tcPr>
          <w:p w:rsidR="008C7A7F" w:rsidRPr="00052F94" w:rsidRDefault="008C7A7F" w:rsidP="00052F94">
            <w:pPr>
              <w:widowControl/>
              <w:autoSpaceDE/>
              <w:autoSpaceDN/>
              <w:adjustRightInd/>
              <w:spacing w:line="276" w:lineRule="auto"/>
              <w:jc w:val="both"/>
              <w:rPr>
                <w:rFonts w:ascii="Arial" w:hAnsi="Arial" w:cs="Arial"/>
              </w:rPr>
            </w:pPr>
            <w:r>
              <w:rPr>
                <w:rFonts w:ascii="Arial" w:hAnsi="Arial" w:cs="Arial"/>
              </w:rPr>
              <w:t>3.1.1</w:t>
            </w:r>
          </w:p>
        </w:tc>
        <w:tc>
          <w:tcPr>
            <w:tcW w:w="8233" w:type="dxa"/>
          </w:tcPr>
          <w:p w:rsidR="008C7A7F" w:rsidRPr="00052F94" w:rsidRDefault="008C7A7F" w:rsidP="00052F94">
            <w:pPr>
              <w:widowControl/>
              <w:autoSpaceDE/>
              <w:autoSpaceDN/>
              <w:adjustRightInd/>
              <w:spacing w:line="276" w:lineRule="auto"/>
              <w:rPr>
                <w:rFonts w:ascii="Arial" w:hAnsi="Arial" w:cs="Arial"/>
              </w:rPr>
            </w:pPr>
            <w:r w:rsidRPr="008C7A7F">
              <w:rPr>
                <w:rFonts w:ascii="Arial" w:hAnsi="Arial" w:cs="Arial"/>
              </w:rPr>
              <w:t>Cadrul de reglementare</w:t>
            </w:r>
          </w:p>
        </w:tc>
        <w:tc>
          <w:tcPr>
            <w:tcW w:w="634" w:type="dxa"/>
          </w:tcPr>
          <w:p w:rsidR="008C7A7F" w:rsidRPr="00052F94" w:rsidRDefault="008C7A7F" w:rsidP="00052F94">
            <w:pPr>
              <w:widowControl/>
              <w:autoSpaceDE/>
              <w:autoSpaceDN/>
              <w:adjustRightInd/>
              <w:spacing w:line="276" w:lineRule="auto"/>
              <w:jc w:val="right"/>
              <w:rPr>
                <w:rFonts w:ascii="Arial" w:hAnsi="Arial" w:cs="Arial"/>
              </w:rPr>
            </w:pPr>
            <w:r>
              <w:rPr>
                <w:rFonts w:ascii="Arial" w:hAnsi="Arial" w:cs="Arial"/>
              </w:rPr>
              <w:t>9</w:t>
            </w:r>
          </w:p>
        </w:tc>
      </w:tr>
      <w:tr w:rsidR="008C7A7F" w:rsidRPr="00052F94" w:rsidTr="00285908">
        <w:tc>
          <w:tcPr>
            <w:tcW w:w="767" w:type="dxa"/>
          </w:tcPr>
          <w:p w:rsidR="008C7A7F" w:rsidRPr="00052F94" w:rsidRDefault="008C7A7F" w:rsidP="008C7A7F">
            <w:pPr>
              <w:widowControl/>
              <w:autoSpaceDE/>
              <w:autoSpaceDN/>
              <w:adjustRightInd/>
              <w:spacing w:line="276" w:lineRule="auto"/>
              <w:jc w:val="both"/>
              <w:rPr>
                <w:rFonts w:ascii="Arial" w:hAnsi="Arial" w:cs="Arial"/>
              </w:rPr>
            </w:pPr>
            <w:r>
              <w:rPr>
                <w:rFonts w:ascii="Arial" w:hAnsi="Arial" w:cs="Arial"/>
              </w:rPr>
              <w:t>3.1.2</w:t>
            </w:r>
          </w:p>
        </w:tc>
        <w:tc>
          <w:tcPr>
            <w:tcW w:w="8233" w:type="dxa"/>
            <w:vAlign w:val="center"/>
          </w:tcPr>
          <w:p w:rsidR="008C7A7F" w:rsidRPr="008C7A7F" w:rsidRDefault="008C7A7F" w:rsidP="008C7A7F">
            <w:r w:rsidRPr="008C7A7F">
              <w:rPr>
                <w:rFonts w:ascii="Arial" w:hAnsi="Arial" w:cs="Arial"/>
              </w:rPr>
              <w:t>Activitatea de transport țitei, condensat și gazolină</w:t>
            </w:r>
          </w:p>
        </w:tc>
        <w:tc>
          <w:tcPr>
            <w:tcW w:w="634" w:type="dxa"/>
          </w:tcPr>
          <w:p w:rsidR="008C7A7F" w:rsidRPr="00052F94" w:rsidRDefault="008C7A7F" w:rsidP="008C7A7F">
            <w:pPr>
              <w:widowControl/>
              <w:autoSpaceDE/>
              <w:autoSpaceDN/>
              <w:adjustRightInd/>
              <w:spacing w:line="276" w:lineRule="auto"/>
              <w:jc w:val="right"/>
              <w:rPr>
                <w:rFonts w:ascii="Arial" w:hAnsi="Arial" w:cs="Arial"/>
              </w:rPr>
            </w:pPr>
            <w:r>
              <w:rPr>
                <w:rFonts w:ascii="Arial" w:hAnsi="Arial" w:cs="Arial"/>
              </w:rPr>
              <w:t>9</w:t>
            </w:r>
          </w:p>
        </w:tc>
      </w:tr>
      <w:tr w:rsidR="008C7A7F" w:rsidRPr="00052F94" w:rsidTr="00285908">
        <w:tc>
          <w:tcPr>
            <w:tcW w:w="767" w:type="dxa"/>
          </w:tcPr>
          <w:p w:rsidR="008C7A7F" w:rsidRDefault="008C7A7F" w:rsidP="008C7A7F">
            <w:pPr>
              <w:widowControl/>
              <w:autoSpaceDE/>
              <w:autoSpaceDN/>
              <w:adjustRightInd/>
              <w:spacing w:line="276" w:lineRule="auto"/>
              <w:jc w:val="both"/>
              <w:rPr>
                <w:rFonts w:ascii="Arial" w:hAnsi="Arial" w:cs="Arial"/>
              </w:rPr>
            </w:pPr>
            <w:r>
              <w:rPr>
                <w:rFonts w:ascii="Arial" w:hAnsi="Arial" w:cs="Arial"/>
              </w:rPr>
              <w:t>3.1.3</w:t>
            </w:r>
          </w:p>
        </w:tc>
        <w:tc>
          <w:tcPr>
            <w:tcW w:w="8233" w:type="dxa"/>
            <w:vAlign w:val="center"/>
          </w:tcPr>
          <w:p w:rsidR="008C7A7F" w:rsidRPr="008C7A7F" w:rsidRDefault="008C7A7F" w:rsidP="008C7A7F">
            <w:pPr>
              <w:overflowPunct w:val="0"/>
              <w:jc w:val="both"/>
              <w:textAlignment w:val="baseline"/>
              <w:rPr>
                <w:rFonts w:ascii="Arial" w:hAnsi="Arial" w:cs="Arial"/>
              </w:rPr>
            </w:pPr>
            <w:r w:rsidRPr="008C7A7F">
              <w:rPr>
                <w:rFonts w:ascii="Arial" w:hAnsi="Arial" w:cs="Arial"/>
              </w:rPr>
              <w:t>Alte activități</w:t>
            </w:r>
          </w:p>
        </w:tc>
        <w:tc>
          <w:tcPr>
            <w:tcW w:w="634" w:type="dxa"/>
          </w:tcPr>
          <w:p w:rsidR="008C7A7F" w:rsidRPr="00052F94" w:rsidRDefault="008C7A7F" w:rsidP="008C7A7F">
            <w:pPr>
              <w:widowControl/>
              <w:autoSpaceDE/>
              <w:autoSpaceDN/>
              <w:adjustRightInd/>
              <w:spacing w:line="276" w:lineRule="auto"/>
              <w:jc w:val="right"/>
              <w:rPr>
                <w:rFonts w:ascii="Arial" w:hAnsi="Arial" w:cs="Arial"/>
              </w:rPr>
            </w:pPr>
            <w:r>
              <w:rPr>
                <w:rFonts w:ascii="Arial" w:hAnsi="Arial" w:cs="Arial"/>
              </w:rPr>
              <w:t>14</w:t>
            </w:r>
          </w:p>
        </w:tc>
      </w:tr>
      <w:tr w:rsidR="008C7A7F" w:rsidRPr="00052F94" w:rsidTr="00285908">
        <w:tc>
          <w:tcPr>
            <w:tcW w:w="767" w:type="dxa"/>
          </w:tcPr>
          <w:p w:rsidR="008C7A7F" w:rsidRDefault="008C7A7F" w:rsidP="008C7A7F">
            <w:pPr>
              <w:widowControl/>
              <w:autoSpaceDE/>
              <w:autoSpaceDN/>
              <w:adjustRightInd/>
              <w:spacing w:line="276" w:lineRule="auto"/>
              <w:jc w:val="both"/>
              <w:rPr>
                <w:rFonts w:ascii="Arial" w:hAnsi="Arial" w:cs="Arial"/>
              </w:rPr>
            </w:pPr>
            <w:r>
              <w:rPr>
                <w:rFonts w:ascii="Arial" w:hAnsi="Arial" w:cs="Arial"/>
              </w:rPr>
              <w:t>3.1.4</w:t>
            </w:r>
          </w:p>
        </w:tc>
        <w:tc>
          <w:tcPr>
            <w:tcW w:w="8233" w:type="dxa"/>
            <w:vAlign w:val="center"/>
          </w:tcPr>
          <w:p w:rsidR="008C7A7F" w:rsidRPr="008C7A7F" w:rsidRDefault="008C7A7F" w:rsidP="008C7A7F">
            <w:pPr>
              <w:overflowPunct w:val="0"/>
              <w:jc w:val="both"/>
              <w:textAlignment w:val="baseline"/>
              <w:rPr>
                <w:rFonts w:ascii="Arial" w:hAnsi="Arial" w:cs="Arial"/>
                <w:lang w:val="en-GB"/>
              </w:rPr>
            </w:pPr>
            <w:r w:rsidRPr="008C7A7F">
              <w:rPr>
                <w:rFonts w:ascii="Arial" w:hAnsi="Arial" w:cs="Arial"/>
                <w:lang w:val="en-GB"/>
              </w:rPr>
              <w:t>Evaluarea activității operaționale</w:t>
            </w:r>
          </w:p>
        </w:tc>
        <w:tc>
          <w:tcPr>
            <w:tcW w:w="634" w:type="dxa"/>
          </w:tcPr>
          <w:p w:rsidR="008C7A7F" w:rsidRPr="00052F94" w:rsidRDefault="008C7A7F" w:rsidP="008C7A7F">
            <w:pPr>
              <w:widowControl/>
              <w:autoSpaceDE/>
              <w:autoSpaceDN/>
              <w:adjustRightInd/>
              <w:spacing w:line="276" w:lineRule="auto"/>
              <w:jc w:val="right"/>
              <w:rPr>
                <w:rFonts w:ascii="Arial" w:hAnsi="Arial" w:cs="Arial"/>
              </w:rPr>
            </w:pPr>
            <w:r>
              <w:rPr>
                <w:rFonts w:ascii="Arial" w:hAnsi="Arial" w:cs="Arial"/>
              </w:rPr>
              <w:t>14</w:t>
            </w:r>
          </w:p>
        </w:tc>
      </w:tr>
      <w:tr w:rsidR="008C7A7F" w:rsidRPr="00052F94" w:rsidTr="00285908">
        <w:tc>
          <w:tcPr>
            <w:tcW w:w="767" w:type="dxa"/>
          </w:tcPr>
          <w:p w:rsidR="008C7A7F" w:rsidRDefault="008C7A7F" w:rsidP="008C7A7F">
            <w:pPr>
              <w:widowControl/>
              <w:autoSpaceDE/>
              <w:autoSpaceDN/>
              <w:adjustRightInd/>
              <w:spacing w:line="276" w:lineRule="auto"/>
              <w:jc w:val="both"/>
              <w:rPr>
                <w:rFonts w:ascii="Arial" w:hAnsi="Arial" w:cs="Arial"/>
              </w:rPr>
            </w:pPr>
            <w:r>
              <w:rPr>
                <w:rFonts w:ascii="Arial" w:hAnsi="Arial" w:cs="Arial"/>
              </w:rPr>
              <w:t>3.1.5</w:t>
            </w:r>
          </w:p>
        </w:tc>
        <w:tc>
          <w:tcPr>
            <w:tcW w:w="8233" w:type="dxa"/>
            <w:vAlign w:val="center"/>
          </w:tcPr>
          <w:p w:rsidR="008C7A7F" w:rsidRPr="008C7A7F" w:rsidRDefault="008C7A7F" w:rsidP="008C7A7F">
            <w:pPr>
              <w:jc w:val="both"/>
              <w:rPr>
                <w:rFonts w:ascii="Arial" w:hAnsi="Arial" w:cs="Arial"/>
                <w:lang w:val="it-IT"/>
              </w:rPr>
            </w:pPr>
            <w:r w:rsidRPr="008C7A7F">
              <w:rPr>
                <w:rFonts w:ascii="Arial" w:hAnsi="Arial" w:cs="Arial"/>
                <w:lang w:val="it-IT"/>
              </w:rPr>
              <w:t>Achiziții</w:t>
            </w:r>
          </w:p>
        </w:tc>
        <w:tc>
          <w:tcPr>
            <w:tcW w:w="634" w:type="dxa"/>
          </w:tcPr>
          <w:p w:rsidR="008C7A7F" w:rsidRPr="00052F94" w:rsidRDefault="008C7A7F" w:rsidP="008C7A7F">
            <w:pPr>
              <w:widowControl/>
              <w:autoSpaceDE/>
              <w:autoSpaceDN/>
              <w:adjustRightInd/>
              <w:spacing w:line="276" w:lineRule="auto"/>
              <w:jc w:val="right"/>
              <w:rPr>
                <w:rFonts w:ascii="Arial" w:hAnsi="Arial" w:cs="Arial"/>
              </w:rPr>
            </w:pPr>
            <w:r>
              <w:rPr>
                <w:rFonts w:ascii="Arial" w:hAnsi="Arial" w:cs="Arial"/>
              </w:rPr>
              <w:t>15</w:t>
            </w:r>
          </w:p>
        </w:tc>
      </w:tr>
      <w:tr w:rsidR="008C7A7F" w:rsidRPr="00052F94" w:rsidTr="00285908">
        <w:tc>
          <w:tcPr>
            <w:tcW w:w="767" w:type="dxa"/>
          </w:tcPr>
          <w:p w:rsidR="008C7A7F" w:rsidRDefault="008C7A7F" w:rsidP="008C7A7F">
            <w:pPr>
              <w:widowControl/>
              <w:autoSpaceDE/>
              <w:autoSpaceDN/>
              <w:adjustRightInd/>
              <w:spacing w:line="276" w:lineRule="auto"/>
              <w:jc w:val="both"/>
              <w:rPr>
                <w:rFonts w:ascii="Arial" w:hAnsi="Arial" w:cs="Arial"/>
              </w:rPr>
            </w:pPr>
            <w:r>
              <w:rPr>
                <w:rFonts w:ascii="Arial" w:hAnsi="Arial" w:cs="Arial"/>
              </w:rPr>
              <w:t>3.1.6</w:t>
            </w:r>
          </w:p>
        </w:tc>
        <w:tc>
          <w:tcPr>
            <w:tcW w:w="8233" w:type="dxa"/>
            <w:vAlign w:val="center"/>
          </w:tcPr>
          <w:p w:rsidR="008C7A7F" w:rsidRPr="008C7A7F" w:rsidRDefault="008C7A7F" w:rsidP="008C7A7F">
            <w:pPr>
              <w:overflowPunct w:val="0"/>
              <w:jc w:val="both"/>
              <w:textAlignment w:val="baseline"/>
              <w:rPr>
                <w:rFonts w:ascii="Arial" w:hAnsi="Arial" w:cs="Arial"/>
                <w:lang w:val="en-GB"/>
              </w:rPr>
            </w:pPr>
            <w:r w:rsidRPr="008C7A7F">
              <w:rPr>
                <w:rFonts w:ascii="Arial" w:hAnsi="Arial" w:cs="Arial"/>
                <w:lang w:val="en-GB"/>
              </w:rPr>
              <w:t>Fuziuni și reorganizări ale societății, achiziții și înstrăinări de active în semestrul I 2018</w:t>
            </w:r>
          </w:p>
        </w:tc>
        <w:tc>
          <w:tcPr>
            <w:tcW w:w="634" w:type="dxa"/>
          </w:tcPr>
          <w:p w:rsidR="008C7A7F" w:rsidRPr="00052F94" w:rsidRDefault="008C7A7F" w:rsidP="008C7A7F">
            <w:pPr>
              <w:widowControl/>
              <w:autoSpaceDE/>
              <w:autoSpaceDN/>
              <w:adjustRightInd/>
              <w:spacing w:line="276" w:lineRule="auto"/>
              <w:jc w:val="right"/>
              <w:rPr>
                <w:rFonts w:ascii="Arial" w:hAnsi="Arial" w:cs="Arial"/>
              </w:rPr>
            </w:pPr>
            <w:r>
              <w:rPr>
                <w:rFonts w:ascii="Arial" w:hAnsi="Arial" w:cs="Arial"/>
              </w:rPr>
              <w:t>15</w:t>
            </w:r>
          </w:p>
        </w:tc>
      </w:tr>
      <w:tr w:rsidR="008C7A7F" w:rsidRPr="00052F94" w:rsidTr="00285908">
        <w:tc>
          <w:tcPr>
            <w:tcW w:w="767" w:type="dxa"/>
          </w:tcPr>
          <w:p w:rsidR="008C7A7F" w:rsidRDefault="008C7A7F" w:rsidP="008C7A7F">
            <w:pPr>
              <w:widowControl/>
              <w:autoSpaceDE/>
              <w:autoSpaceDN/>
              <w:adjustRightInd/>
              <w:spacing w:line="276" w:lineRule="auto"/>
              <w:jc w:val="both"/>
              <w:rPr>
                <w:rFonts w:ascii="Arial" w:hAnsi="Arial" w:cs="Arial"/>
              </w:rPr>
            </w:pPr>
            <w:r>
              <w:rPr>
                <w:rFonts w:ascii="Arial" w:hAnsi="Arial" w:cs="Arial"/>
              </w:rPr>
              <w:t>3.1.7</w:t>
            </w:r>
          </w:p>
        </w:tc>
        <w:tc>
          <w:tcPr>
            <w:tcW w:w="8233" w:type="dxa"/>
            <w:vAlign w:val="center"/>
          </w:tcPr>
          <w:p w:rsidR="008C7A7F" w:rsidRPr="008C7A7F" w:rsidRDefault="008C7A7F" w:rsidP="008C7A7F">
            <w:r w:rsidRPr="008C7A7F">
              <w:rPr>
                <w:rFonts w:ascii="Arial" w:hAnsi="Arial" w:cs="Arial"/>
              </w:rPr>
              <w:t>Evaluarea activității de resurse umane și dialog social</w:t>
            </w:r>
          </w:p>
        </w:tc>
        <w:tc>
          <w:tcPr>
            <w:tcW w:w="634" w:type="dxa"/>
          </w:tcPr>
          <w:p w:rsidR="008C7A7F" w:rsidRPr="00052F94" w:rsidRDefault="008C7A7F" w:rsidP="008C7A7F">
            <w:pPr>
              <w:widowControl/>
              <w:autoSpaceDE/>
              <w:autoSpaceDN/>
              <w:adjustRightInd/>
              <w:spacing w:line="276" w:lineRule="auto"/>
              <w:jc w:val="right"/>
              <w:rPr>
                <w:rFonts w:ascii="Arial" w:hAnsi="Arial" w:cs="Arial"/>
              </w:rPr>
            </w:pPr>
            <w:r>
              <w:rPr>
                <w:rFonts w:ascii="Arial" w:hAnsi="Arial" w:cs="Arial"/>
              </w:rPr>
              <w:t>15</w:t>
            </w:r>
          </w:p>
        </w:tc>
      </w:tr>
      <w:tr w:rsidR="008C7A7F" w:rsidRPr="00052F94" w:rsidTr="00285908">
        <w:tc>
          <w:tcPr>
            <w:tcW w:w="767" w:type="dxa"/>
          </w:tcPr>
          <w:p w:rsidR="008C7A7F" w:rsidRPr="00052F94" w:rsidRDefault="00EF2D1F" w:rsidP="008C7A7F">
            <w:pPr>
              <w:widowControl/>
              <w:autoSpaceDE/>
              <w:autoSpaceDN/>
              <w:adjustRightInd/>
              <w:spacing w:line="276" w:lineRule="auto"/>
              <w:jc w:val="both"/>
              <w:rPr>
                <w:rFonts w:ascii="Arial" w:hAnsi="Arial" w:cs="Arial"/>
              </w:rPr>
            </w:pPr>
            <w:r>
              <w:rPr>
                <w:rFonts w:ascii="Arial" w:hAnsi="Arial" w:cs="Arial"/>
              </w:rPr>
              <w:t>3.2</w:t>
            </w:r>
          </w:p>
        </w:tc>
        <w:tc>
          <w:tcPr>
            <w:tcW w:w="8233" w:type="dxa"/>
          </w:tcPr>
          <w:p w:rsidR="008C7A7F" w:rsidRPr="00052F94" w:rsidRDefault="00EF2D1F" w:rsidP="008C7A7F">
            <w:pPr>
              <w:widowControl/>
              <w:autoSpaceDE/>
              <w:autoSpaceDN/>
              <w:adjustRightInd/>
              <w:spacing w:line="276" w:lineRule="auto"/>
              <w:rPr>
                <w:rFonts w:ascii="Arial" w:hAnsi="Arial" w:cs="Arial"/>
              </w:rPr>
            </w:pPr>
            <w:r w:rsidRPr="00EF2D1F">
              <w:rPr>
                <w:rFonts w:ascii="Arial" w:hAnsi="Arial" w:cs="Arial"/>
              </w:rPr>
              <w:t>Investiții realizate în semestrul I 2018 comparativ cu programul semestrului I 2018</w:t>
            </w:r>
          </w:p>
        </w:tc>
        <w:tc>
          <w:tcPr>
            <w:tcW w:w="634" w:type="dxa"/>
          </w:tcPr>
          <w:p w:rsidR="008C7A7F" w:rsidRPr="00052F94" w:rsidRDefault="00EF2D1F" w:rsidP="008C7A7F">
            <w:pPr>
              <w:widowControl/>
              <w:autoSpaceDE/>
              <w:autoSpaceDN/>
              <w:adjustRightInd/>
              <w:spacing w:line="276" w:lineRule="auto"/>
              <w:jc w:val="right"/>
              <w:rPr>
                <w:rFonts w:ascii="Arial" w:hAnsi="Arial" w:cs="Arial"/>
              </w:rPr>
            </w:pPr>
            <w:r>
              <w:rPr>
                <w:rFonts w:ascii="Arial" w:hAnsi="Arial" w:cs="Arial"/>
              </w:rPr>
              <w:t>17</w:t>
            </w:r>
          </w:p>
        </w:tc>
      </w:tr>
      <w:tr w:rsidR="008C7A7F" w:rsidRPr="00052F94" w:rsidTr="00285908">
        <w:tc>
          <w:tcPr>
            <w:tcW w:w="767" w:type="dxa"/>
          </w:tcPr>
          <w:p w:rsidR="008C7A7F" w:rsidRPr="00052F94" w:rsidRDefault="00EF2D1F" w:rsidP="008C7A7F">
            <w:pPr>
              <w:widowControl/>
              <w:autoSpaceDE/>
              <w:autoSpaceDN/>
              <w:adjustRightInd/>
              <w:spacing w:line="276" w:lineRule="auto"/>
              <w:jc w:val="both"/>
              <w:rPr>
                <w:rFonts w:ascii="Arial" w:hAnsi="Arial" w:cs="Arial"/>
              </w:rPr>
            </w:pPr>
            <w:r>
              <w:rPr>
                <w:rFonts w:ascii="Arial" w:hAnsi="Arial" w:cs="Arial"/>
              </w:rPr>
              <w:t>3.3</w:t>
            </w:r>
          </w:p>
        </w:tc>
        <w:tc>
          <w:tcPr>
            <w:tcW w:w="8233" w:type="dxa"/>
          </w:tcPr>
          <w:p w:rsidR="008C7A7F" w:rsidRPr="00052F94" w:rsidRDefault="00EF2D1F" w:rsidP="008C7A7F">
            <w:pPr>
              <w:widowControl/>
              <w:autoSpaceDE/>
              <w:autoSpaceDN/>
              <w:adjustRightInd/>
              <w:spacing w:line="276" w:lineRule="auto"/>
              <w:rPr>
                <w:rFonts w:ascii="Arial" w:hAnsi="Arial" w:cs="Arial"/>
              </w:rPr>
            </w:pPr>
            <w:r w:rsidRPr="00EF2D1F">
              <w:rPr>
                <w:rFonts w:ascii="Arial" w:hAnsi="Arial" w:cs="Arial"/>
              </w:rPr>
              <w:t>Analiza activității financiare</w:t>
            </w:r>
          </w:p>
        </w:tc>
        <w:tc>
          <w:tcPr>
            <w:tcW w:w="634" w:type="dxa"/>
          </w:tcPr>
          <w:p w:rsidR="008C7A7F" w:rsidRPr="00052F94" w:rsidRDefault="00EF2D1F" w:rsidP="008C7A7F">
            <w:pPr>
              <w:widowControl/>
              <w:autoSpaceDE/>
              <w:autoSpaceDN/>
              <w:adjustRightInd/>
              <w:spacing w:line="276" w:lineRule="auto"/>
              <w:jc w:val="right"/>
              <w:rPr>
                <w:rFonts w:ascii="Arial" w:hAnsi="Arial" w:cs="Arial"/>
              </w:rPr>
            </w:pPr>
            <w:r>
              <w:rPr>
                <w:rFonts w:ascii="Arial" w:hAnsi="Arial" w:cs="Arial"/>
              </w:rPr>
              <w:t>21</w:t>
            </w:r>
          </w:p>
        </w:tc>
      </w:tr>
      <w:tr w:rsidR="00EF2D1F" w:rsidRPr="00052F94" w:rsidTr="00285908">
        <w:tc>
          <w:tcPr>
            <w:tcW w:w="767" w:type="dxa"/>
          </w:tcPr>
          <w:p w:rsidR="00EF2D1F" w:rsidRPr="00052F94" w:rsidRDefault="00EF2D1F" w:rsidP="00EF2D1F">
            <w:pPr>
              <w:widowControl/>
              <w:autoSpaceDE/>
              <w:autoSpaceDN/>
              <w:adjustRightInd/>
              <w:spacing w:line="276" w:lineRule="auto"/>
              <w:jc w:val="both"/>
              <w:rPr>
                <w:rFonts w:ascii="Arial" w:hAnsi="Arial" w:cs="Arial"/>
              </w:rPr>
            </w:pPr>
            <w:r>
              <w:rPr>
                <w:rFonts w:ascii="Arial" w:hAnsi="Arial" w:cs="Arial"/>
              </w:rPr>
              <w:t>3.3.1</w:t>
            </w:r>
          </w:p>
        </w:tc>
        <w:tc>
          <w:tcPr>
            <w:tcW w:w="8233" w:type="dxa"/>
            <w:vAlign w:val="center"/>
          </w:tcPr>
          <w:p w:rsidR="00EF2D1F" w:rsidRPr="00EF2D1F" w:rsidRDefault="00EF2D1F" w:rsidP="00EF2D1F">
            <w:pPr>
              <w:rPr>
                <w:rFonts w:ascii="Arial" w:hAnsi="Arial" w:cs="Arial"/>
              </w:rPr>
            </w:pPr>
            <w:r w:rsidRPr="00EF2D1F">
              <w:rPr>
                <w:rFonts w:ascii="Arial" w:hAnsi="Arial" w:cs="Arial"/>
              </w:rPr>
              <w:t>Baza raportului</w:t>
            </w:r>
          </w:p>
        </w:tc>
        <w:tc>
          <w:tcPr>
            <w:tcW w:w="634" w:type="dxa"/>
          </w:tcPr>
          <w:p w:rsidR="00EF2D1F" w:rsidRPr="00052F94" w:rsidRDefault="00EF2D1F" w:rsidP="00EF2D1F">
            <w:pPr>
              <w:widowControl/>
              <w:autoSpaceDE/>
              <w:autoSpaceDN/>
              <w:adjustRightInd/>
              <w:spacing w:line="276" w:lineRule="auto"/>
              <w:jc w:val="right"/>
              <w:rPr>
                <w:rFonts w:ascii="Arial" w:hAnsi="Arial" w:cs="Arial"/>
              </w:rPr>
            </w:pPr>
            <w:r>
              <w:rPr>
                <w:rFonts w:ascii="Arial" w:hAnsi="Arial" w:cs="Arial"/>
              </w:rPr>
              <w:t>21</w:t>
            </w:r>
          </w:p>
        </w:tc>
      </w:tr>
      <w:tr w:rsidR="00EF2D1F" w:rsidRPr="00052F94" w:rsidTr="00285908">
        <w:tc>
          <w:tcPr>
            <w:tcW w:w="767" w:type="dxa"/>
          </w:tcPr>
          <w:p w:rsidR="00EF2D1F" w:rsidRPr="00052F94" w:rsidRDefault="00EF2D1F" w:rsidP="00EF2D1F">
            <w:pPr>
              <w:widowControl/>
              <w:autoSpaceDE/>
              <w:autoSpaceDN/>
              <w:adjustRightInd/>
              <w:spacing w:line="276" w:lineRule="auto"/>
              <w:jc w:val="both"/>
              <w:rPr>
                <w:rFonts w:ascii="Arial" w:hAnsi="Arial" w:cs="Arial"/>
              </w:rPr>
            </w:pPr>
            <w:r>
              <w:rPr>
                <w:rFonts w:ascii="Arial" w:hAnsi="Arial" w:cs="Arial"/>
              </w:rPr>
              <w:t>3.3.2</w:t>
            </w:r>
          </w:p>
        </w:tc>
        <w:tc>
          <w:tcPr>
            <w:tcW w:w="8233" w:type="dxa"/>
            <w:vAlign w:val="center"/>
          </w:tcPr>
          <w:p w:rsidR="00EF2D1F" w:rsidRPr="00EF2D1F" w:rsidRDefault="00EF2D1F" w:rsidP="00EF2D1F">
            <w:r w:rsidRPr="00EF2D1F">
              <w:rPr>
                <w:rFonts w:ascii="Arial" w:hAnsi="Arial" w:cs="Arial"/>
              </w:rPr>
              <w:t>Situația poziției financiare la 30 iunie 2018</w:t>
            </w:r>
          </w:p>
        </w:tc>
        <w:tc>
          <w:tcPr>
            <w:tcW w:w="634" w:type="dxa"/>
          </w:tcPr>
          <w:p w:rsidR="00EF2D1F" w:rsidRPr="00052F94" w:rsidRDefault="00EF2D1F" w:rsidP="00EF2D1F">
            <w:pPr>
              <w:widowControl/>
              <w:autoSpaceDE/>
              <w:autoSpaceDN/>
              <w:adjustRightInd/>
              <w:spacing w:line="276" w:lineRule="auto"/>
              <w:jc w:val="right"/>
              <w:rPr>
                <w:rFonts w:ascii="Arial" w:hAnsi="Arial" w:cs="Arial"/>
              </w:rPr>
            </w:pPr>
            <w:r>
              <w:rPr>
                <w:rFonts w:ascii="Arial" w:hAnsi="Arial" w:cs="Arial"/>
              </w:rPr>
              <w:t>22</w:t>
            </w:r>
          </w:p>
        </w:tc>
      </w:tr>
      <w:tr w:rsidR="00EF2D1F" w:rsidRPr="00052F94" w:rsidTr="00285908">
        <w:tc>
          <w:tcPr>
            <w:tcW w:w="767" w:type="dxa"/>
          </w:tcPr>
          <w:p w:rsidR="00EF2D1F" w:rsidRPr="00052F94" w:rsidRDefault="00EF2D1F" w:rsidP="00EF2D1F">
            <w:pPr>
              <w:widowControl/>
              <w:autoSpaceDE/>
              <w:autoSpaceDN/>
              <w:adjustRightInd/>
              <w:spacing w:line="276" w:lineRule="auto"/>
              <w:jc w:val="both"/>
              <w:rPr>
                <w:rFonts w:ascii="Arial" w:hAnsi="Arial" w:cs="Arial"/>
              </w:rPr>
            </w:pPr>
            <w:r w:rsidRPr="00EF2D1F">
              <w:rPr>
                <w:rFonts w:ascii="Arial" w:hAnsi="Arial" w:cs="Arial"/>
              </w:rPr>
              <w:t>3.3.3</w:t>
            </w:r>
          </w:p>
        </w:tc>
        <w:tc>
          <w:tcPr>
            <w:tcW w:w="8233" w:type="dxa"/>
            <w:vAlign w:val="center"/>
          </w:tcPr>
          <w:p w:rsidR="00EF2D1F" w:rsidRPr="00EF2D1F" w:rsidRDefault="00EF2D1F" w:rsidP="00EF2D1F">
            <w:r w:rsidRPr="00EF2D1F">
              <w:rPr>
                <w:rFonts w:ascii="Arial" w:hAnsi="Arial" w:cs="Arial"/>
                <w:bCs/>
              </w:rPr>
              <w:t>Contul de profit și pierdere pentru perioada ianuarie - iunie 2018</w:t>
            </w:r>
          </w:p>
        </w:tc>
        <w:tc>
          <w:tcPr>
            <w:tcW w:w="634" w:type="dxa"/>
          </w:tcPr>
          <w:p w:rsidR="00EF2D1F" w:rsidRPr="00052F94" w:rsidRDefault="00EF2D1F" w:rsidP="00EF2D1F">
            <w:pPr>
              <w:widowControl/>
              <w:autoSpaceDE/>
              <w:autoSpaceDN/>
              <w:adjustRightInd/>
              <w:spacing w:line="276" w:lineRule="auto"/>
              <w:jc w:val="right"/>
              <w:rPr>
                <w:rFonts w:ascii="Arial" w:hAnsi="Arial" w:cs="Arial"/>
              </w:rPr>
            </w:pPr>
            <w:r w:rsidRPr="00EF2D1F">
              <w:rPr>
                <w:rFonts w:ascii="Arial" w:hAnsi="Arial" w:cs="Arial"/>
              </w:rPr>
              <w:t>23</w:t>
            </w:r>
          </w:p>
        </w:tc>
      </w:tr>
      <w:tr w:rsidR="00EF2D1F" w:rsidRPr="00052F94" w:rsidTr="00285908">
        <w:tc>
          <w:tcPr>
            <w:tcW w:w="767" w:type="dxa"/>
          </w:tcPr>
          <w:p w:rsidR="00EF2D1F" w:rsidRPr="00052F94" w:rsidRDefault="00EF2D1F" w:rsidP="00EF2D1F">
            <w:pPr>
              <w:widowControl/>
              <w:autoSpaceDE/>
              <w:autoSpaceDN/>
              <w:adjustRightInd/>
              <w:spacing w:line="276" w:lineRule="auto"/>
              <w:jc w:val="both"/>
              <w:rPr>
                <w:rFonts w:ascii="Arial" w:hAnsi="Arial" w:cs="Arial"/>
              </w:rPr>
            </w:pPr>
            <w:r>
              <w:rPr>
                <w:rFonts w:ascii="Arial" w:hAnsi="Arial" w:cs="Arial"/>
              </w:rPr>
              <w:t>3.3.4</w:t>
            </w:r>
          </w:p>
        </w:tc>
        <w:tc>
          <w:tcPr>
            <w:tcW w:w="8233" w:type="dxa"/>
            <w:vAlign w:val="center"/>
          </w:tcPr>
          <w:p w:rsidR="00EF2D1F" w:rsidRPr="00EF2D1F" w:rsidRDefault="00EF2D1F" w:rsidP="00EF2D1F">
            <w:pPr>
              <w:jc w:val="both"/>
              <w:rPr>
                <w:rFonts w:ascii="Arial" w:hAnsi="Arial" w:cs="Arial"/>
              </w:rPr>
            </w:pPr>
            <w:r w:rsidRPr="00EF2D1F">
              <w:rPr>
                <w:rFonts w:ascii="Arial" w:hAnsi="Arial" w:cs="Arial"/>
              </w:rPr>
              <w:t xml:space="preserve">Principalii indicatori  economico – financiari </w:t>
            </w:r>
          </w:p>
        </w:tc>
        <w:tc>
          <w:tcPr>
            <w:tcW w:w="634" w:type="dxa"/>
          </w:tcPr>
          <w:p w:rsidR="00EF2D1F" w:rsidRPr="00052F94" w:rsidRDefault="00EF2D1F" w:rsidP="00EF2D1F">
            <w:pPr>
              <w:widowControl/>
              <w:autoSpaceDE/>
              <w:autoSpaceDN/>
              <w:adjustRightInd/>
              <w:spacing w:line="276" w:lineRule="auto"/>
              <w:jc w:val="right"/>
              <w:rPr>
                <w:rFonts w:ascii="Arial" w:hAnsi="Arial" w:cs="Arial"/>
              </w:rPr>
            </w:pPr>
            <w:r>
              <w:rPr>
                <w:rFonts w:ascii="Arial" w:hAnsi="Arial" w:cs="Arial"/>
              </w:rPr>
              <w:t>27</w:t>
            </w:r>
          </w:p>
        </w:tc>
      </w:tr>
      <w:tr w:rsidR="00EF2D1F" w:rsidRPr="00052F94" w:rsidTr="00285908">
        <w:tc>
          <w:tcPr>
            <w:tcW w:w="767" w:type="dxa"/>
          </w:tcPr>
          <w:p w:rsidR="00EF2D1F" w:rsidRPr="00052F94" w:rsidRDefault="00EF2D1F" w:rsidP="00EF2D1F">
            <w:pPr>
              <w:widowControl/>
              <w:autoSpaceDE/>
              <w:autoSpaceDN/>
              <w:adjustRightInd/>
              <w:spacing w:line="276" w:lineRule="auto"/>
              <w:jc w:val="both"/>
              <w:rPr>
                <w:rFonts w:ascii="Arial" w:hAnsi="Arial" w:cs="Arial"/>
              </w:rPr>
            </w:pPr>
            <w:r>
              <w:rPr>
                <w:rFonts w:ascii="Arial" w:hAnsi="Arial" w:cs="Arial"/>
              </w:rPr>
              <w:t>3.3.5</w:t>
            </w:r>
          </w:p>
        </w:tc>
        <w:tc>
          <w:tcPr>
            <w:tcW w:w="8233" w:type="dxa"/>
            <w:vAlign w:val="center"/>
          </w:tcPr>
          <w:p w:rsidR="00EF2D1F" w:rsidRPr="00EF2D1F" w:rsidRDefault="00EF2D1F" w:rsidP="00EF2D1F">
            <w:pPr>
              <w:tabs>
                <w:tab w:val="left" w:pos="450"/>
              </w:tabs>
              <w:rPr>
                <w:rFonts w:ascii="Arial" w:hAnsi="Arial" w:cs="Arial"/>
                <w:lang w:val="fr-FR"/>
              </w:rPr>
            </w:pPr>
            <w:r w:rsidRPr="00EF2D1F">
              <w:rPr>
                <w:rFonts w:ascii="Arial" w:hAnsi="Arial" w:cs="Arial"/>
                <w:lang w:val="it-IT"/>
              </w:rPr>
              <w:t>F</w:t>
            </w:r>
            <w:r w:rsidRPr="00EF2D1F">
              <w:rPr>
                <w:rFonts w:ascii="Arial" w:hAnsi="Arial" w:cs="Arial"/>
                <w:lang w:val="fr-FR"/>
              </w:rPr>
              <w:t>luxul de trezorerie</w:t>
            </w:r>
          </w:p>
        </w:tc>
        <w:tc>
          <w:tcPr>
            <w:tcW w:w="634" w:type="dxa"/>
          </w:tcPr>
          <w:p w:rsidR="00EF2D1F" w:rsidRPr="00052F94" w:rsidRDefault="00EF2D1F" w:rsidP="00EF2D1F">
            <w:pPr>
              <w:widowControl/>
              <w:autoSpaceDE/>
              <w:autoSpaceDN/>
              <w:adjustRightInd/>
              <w:spacing w:line="276" w:lineRule="auto"/>
              <w:jc w:val="right"/>
              <w:rPr>
                <w:rFonts w:ascii="Arial" w:hAnsi="Arial" w:cs="Arial"/>
              </w:rPr>
            </w:pPr>
            <w:r>
              <w:rPr>
                <w:rFonts w:ascii="Arial" w:hAnsi="Arial" w:cs="Arial"/>
              </w:rPr>
              <w:t>27</w:t>
            </w:r>
          </w:p>
        </w:tc>
      </w:tr>
      <w:tr w:rsidR="00EF2D1F" w:rsidRPr="00052F94" w:rsidTr="00285908">
        <w:tc>
          <w:tcPr>
            <w:tcW w:w="767" w:type="dxa"/>
          </w:tcPr>
          <w:p w:rsidR="00EF2D1F" w:rsidRPr="00052F94" w:rsidRDefault="00EF2D1F" w:rsidP="00EF2D1F">
            <w:pPr>
              <w:widowControl/>
              <w:autoSpaceDE/>
              <w:autoSpaceDN/>
              <w:adjustRightInd/>
              <w:spacing w:line="276" w:lineRule="auto"/>
              <w:jc w:val="both"/>
              <w:rPr>
                <w:rFonts w:ascii="Arial" w:hAnsi="Arial" w:cs="Arial"/>
              </w:rPr>
            </w:pPr>
            <w:r>
              <w:rPr>
                <w:rFonts w:ascii="Arial" w:hAnsi="Arial" w:cs="Arial"/>
              </w:rPr>
              <w:t>3.3.6</w:t>
            </w:r>
          </w:p>
        </w:tc>
        <w:tc>
          <w:tcPr>
            <w:tcW w:w="8233" w:type="dxa"/>
            <w:vAlign w:val="center"/>
          </w:tcPr>
          <w:p w:rsidR="00EF2D1F" w:rsidRPr="00EF2D1F" w:rsidRDefault="00EF2D1F" w:rsidP="00EF2D1F">
            <w:pPr>
              <w:jc w:val="both"/>
              <w:rPr>
                <w:rFonts w:ascii="Arial" w:hAnsi="Arial" w:cs="Arial"/>
                <w:bCs/>
              </w:rPr>
            </w:pPr>
            <w:r w:rsidRPr="00EF2D1F">
              <w:rPr>
                <w:rFonts w:ascii="Arial" w:hAnsi="Arial" w:cs="Arial"/>
                <w:bCs/>
              </w:rPr>
              <w:t>Tranzacții părți legate</w:t>
            </w:r>
          </w:p>
        </w:tc>
        <w:tc>
          <w:tcPr>
            <w:tcW w:w="634" w:type="dxa"/>
          </w:tcPr>
          <w:p w:rsidR="00EF2D1F" w:rsidRPr="00052F94" w:rsidRDefault="006D5205" w:rsidP="00EF2D1F">
            <w:pPr>
              <w:widowControl/>
              <w:autoSpaceDE/>
              <w:autoSpaceDN/>
              <w:adjustRightInd/>
              <w:spacing w:line="276" w:lineRule="auto"/>
              <w:jc w:val="right"/>
              <w:rPr>
                <w:rFonts w:ascii="Arial" w:hAnsi="Arial" w:cs="Arial"/>
              </w:rPr>
            </w:pPr>
            <w:r>
              <w:rPr>
                <w:rFonts w:ascii="Arial" w:hAnsi="Arial" w:cs="Arial"/>
              </w:rPr>
              <w:t>29</w:t>
            </w:r>
          </w:p>
        </w:tc>
      </w:tr>
      <w:tr w:rsidR="00E97560" w:rsidRPr="00052F94" w:rsidTr="00285908">
        <w:tc>
          <w:tcPr>
            <w:tcW w:w="767" w:type="dxa"/>
          </w:tcPr>
          <w:p w:rsidR="00E97560" w:rsidRDefault="00E97560" w:rsidP="00EF2D1F">
            <w:pPr>
              <w:widowControl/>
              <w:autoSpaceDE/>
              <w:autoSpaceDN/>
              <w:adjustRightInd/>
              <w:spacing w:line="276" w:lineRule="auto"/>
              <w:jc w:val="both"/>
              <w:rPr>
                <w:rFonts w:ascii="Arial" w:hAnsi="Arial" w:cs="Arial"/>
              </w:rPr>
            </w:pPr>
            <w:r>
              <w:rPr>
                <w:rFonts w:ascii="Arial" w:hAnsi="Arial" w:cs="Arial"/>
              </w:rPr>
              <w:t>3.4</w:t>
            </w:r>
          </w:p>
        </w:tc>
        <w:tc>
          <w:tcPr>
            <w:tcW w:w="8233" w:type="dxa"/>
            <w:vAlign w:val="center"/>
          </w:tcPr>
          <w:p w:rsidR="00E97560" w:rsidRPr="00EF2D1F" w:rsidRDefault="0090558A" w:rsidP="00EF2D1F">
            <w:pPr>
              <w:jc w:val="both"/>
              <w:rPr>
                <w:rFonts w:ascii="Arial" w:hAnsi="Arial" w:cs="Arial"/>
                <w:bCs/>
              </w:rPr>
            </w:pPr>
            <w:r w:rsidRPr="0090558A">
              <w:rPr>
                <w:rFonts w:ascii="Arial" w:hAnsi="Arial" w:cs="Arial"/>
                <w:bCs/>
              </w:rPr>
              <w:t>Alte aspecte</w:t>
            </w:r>
          </w:p>
        </w:tc>
        <w:tc>
          <w:tcPr>
            <w:tcW w:w="634" w:type="dxa"/>
          </w:tcPr>
          <w:p w:rsidR="00E97560" w:rsidRDefault="00E97560" w:rsidP="00EF2D1F">
            <w:pPr>
              <w:widowControl/>
              <w:autoSpaceDE/>
              <w:autoSpaceDN/>
              <w:adjustRightInd/>
              <w:spacing w:line="276" w:lineRule="auto"/>
              <w:jc w:val="right"/>
              <w:rPr>
                <w:rFonts w:ascii="Arial" w:hAnsi="Arial" w:cs="Arial"/>
              </w:rPr>
            </w:pPr>
            <w:r>
              <w:rPr>
                <w:rFonts w:ascii="Arial" w:hAnsi="Arial" w:cs="Arial"/>
              </w:rPr>
              <w:t>29</w:t>
            </w:r>
          </w:p>
        </w:tc>
      </w:tr>
      <w:tr w:rsidR="0090558A" w:rsidRPr="00052F94" w:rsidTr="00285908">
        <w:tc>
          <w:tcPr>
            <w:tcW w:w="767" w:type="dxa"/>
          </w:tcPr>
          <w:p w:rsidR="0090558A" w:rsidRDefault="0090558A" w:rsidP="0090558A">
            <w:pPr>
              <w:widowControl/>
              <w:autoSpaceDE/>
              <w:autoSpaceDN/>
              <w:adjustRightInd/>
              <w:spacing w:line="276" w:lineRule="auto"/>
              <w:jc w:val="both"/>
              <w:rPr>
                <w:rFonts w:ascii="Arial" w:hAnsi="Arial" w:cs="Arial"/>
              </w:rPr>
            </w:pPr>
            <w:r>
              <w:rPr>
                <w:rFonts w:ascii="Arial" w:hAnsi="Arial" w:cs="Arial"/>
              </w:rPr>
              <w:t>3.4.1</w:t>
            </w:r>
          </w:p>
        </w:tc>
        <w:tc>
          <w:tcPr>
            <w:tcW w:w="8233" w:type="dxa"/>
            <w:vAlign w:val="center"/>
          </w:tcPr>
          <w:p w:rsidR="0090558A" w:rsidRPr="0090558A" w:rsidRDefault="0090558A" w:rsidP="0090558A">
            <w:pPr>
              <w:pStyle w:val="BodyText"/>
              <w:rPr>
                <w:rFonts w:cs="Arial"/>
                <w:sz w:val="22"/>
              </w:rPr>
            </w:pPr>
            <w:r w:rsidRPr="0090558A">
              <w:rPr>
                <w:rFonts w:cs="Arial"/>
                <w:sz w:val="22"/>
              </w:rPr>
              <w:t>Situația terenurilor necuprinse în capitalul social</w:t>
            </w:r>
          </w:p>
        </w:tc>
        <w:tc>
          <w:tcPr>
            <w:tcW w:w="634" w:type="dxa"/>
          </w:tcPr>
          <w:p w:rsidR="0090558A" w:rsidRDefault="0090558A" w:rsidP="0090558A">
            <w:pPr>
              <w:widowControl/>
              <w:autoSpaceDE/>
              <w:autoSpaceDN/>
              <w:adjustRightInd/>
              <w:spacing w:line="276" w:lineRule="auto"/>
              <w:jc w:val="right"/>
              <w:rPr>
                <w:rFonts w:ascii="Arial" w:hAnsi="Arial" w:cs="Arial"/>
              </w:rPr>
            </w:pPr>
            <w:r>
              <w:rPr>
                <w:rFonts w:ascii="Arial" w:hAnsi="Arial" w:cs="Arial"/>
              </w:rPr>
              <w:t>29</w:t>
            </w:r>
          </w:p>
        </w:tc>
      </w:tr>
      <w:tr w:rsidR="0090558A" w:rsidRPr="00052F94" w:rsidTr="00285908">
        <w:tc>
          <w:tcPr>
            <w:tcW w:w="767" w:type="dxa"/>
          </w:tcPr>
          <w:p w:rsidR="0090558A" w:rsidRDefault="0090558A" w:rsidP="0090558A">
            <w:pPr>
              <w:widowControl/>
              <w:autoSpaceDE/>
              <w:autoSpaceDN/>
              <w:adjustRightInd/>
              <w:spacing w:line="276" w:lineRule="auto"/>
              <w:jc w:val="both"/>
              <w:rPr>
                <w:rFonts w:ascii="Arial" w:hAnsi="Arial" w:cs="Arial"/>
              </w:rPr>
            </w:pPr>
            <w:r>
              <w:rPr>
                <w:rFonts w:ascii="Arial" w:hAnsi="Arial" w:cs="Arial"/>
              </w:rPr>
              <w:t>3.4.2</w:t>
            </w:r>
          </w:p>
        </w:tc>
        <w:tc>
          <w:tcPr>
            <w:tcW w:w="8233" w:type="dxa"/>
            <w:vAlign w:val="center"/>
          </w:tcPr>
          <w:p w:rsidR="0090558A" w:rsidRPr="0090558A" w:rsidRDefault="0090558A" w:rsidP="0090558A">
            <w:r w:rsidRPr="0090558A">
              <w:rPr>
                <w:rFonts w:ascii="Arial" w:hAnsi="Arial" w:cs="Arial"/>
              </w:rPr>
              <w:t>Litigii</w:t>
            </w:r>
          </w:p>
        </w:tc>
        <w:tc>
          <w:tcPr>
            <w:tcW w:w="634" w:type="dxa"/>
          </w:tcPr>
          <w:p w:rsidR="0090558A" w:rsidRDefault="0090558A" w:rsidP="0090558A">
            <w:pPr>
              <w:widowControl/>
              <w:autoSpaceDE/>
              <w:autoSpaceDN/>
              <w:adjustRightInd/>
              <w:spacing w:line="276" w:lineRule="auto"/>
              <w:jc w:val="right"/>
              <w:rPr>
                <w:rFonts w:ascii="Arial" w:hAnsi="Arial" w:cs="Arial"/>
              </w:rPr>
            </w:pPr>
            <w:r>
              <w:rPr>
                <w:rFonts w:ascii="Arial" w:hAnsi="Arial" w:cs="Arial"/>
              </w:rPr>
              <w:t>29</w:t>
            </w:r>
          </w:p>
        </w:tc>
      </w:tr>
      <w:tr w:rsidR="0090558A" w:rsidRPr="00052F94" w:rsidTr="00285908">
        <w:tc>
          <w:tcPr>
            <w:tcW w:w="767" w:type="dxa"/>
          </w:tcPr>
          <w:p w:rsidR="0090558A" w:rsidRDefault="0090558A" w:rsidP="0090558A">
            <w:pPr>
              <w:widowControl/>
              <w:autoSpaceDE/>
              <w:autoSpaceDN/>
              <w:adjustRightInd/>
              <w:spacing w:line="276" w:lineRule="auto"/>
              <w:jc w:val="both"/>
              <w:rPr>
                <w:rFonts w:ascii="Arial" w:hAnsi="Arial" w:cs="Arial"/>
              </w:rPr>
            </w:pPr>
            <w:r>
              <w:rPr>
                <w:rFonts w:ascii="Arial" w:hAnsi="Arial" w:cs="Arial"/>
              </w:rPr>
              <w:t>3.5</w:t>
            </w:r>
          </w:p>
        </w:tc>
        <w:tc>
          <w:tcPr>
            <w:tcW w:w="8233" w:type="dxa"/>
            <w:vAlign w:val="center"/>
          </w:tcPr>
          <w:p w:rsidR="0090558A" w:rsidRPr="00EF2D1F" w:rsidRDefault="0090558A" w:rsidP="0090558A">
            <w:pPr>
              <w:jc w:val="both"/>
              <w:rPr>
                <w:rFonts w:ascii="Arial" w:hAnsi="Arial" w:cs="Arial"/>
                <w:bCs/>
              </w:rPr>
            </w:pPr>
            <w:r w:rsidRPr="0090558A">
              <w:rPr>
                <w:rFonts w:ascii="Arial" w:hAnsi="Arial" w:cs="Arial"/>
                <w:bCs/>
              </w:rPr>
              <w:t>Analiza activității corporative</w:t>
            </w:r>
          </w:p>
        </w:tc>
        <w:tc>
          <w:tcPr>
            <w:tcW w:w="634" w:type="dxa"/>
          </w:tcPr>
          <w:p w:rsidR="0090558A" w:rsidRDefault="0090558A" w:rsidP="0090558A">
            <w:pPr>
              <w:widowControl/>
              <w:autoSpaceDE/>
              <w:autoSpaceDN/>
              <w:adjustRightInd/>
              <w:spacing w:line="276" w:lineRule="auto"/>
              <w:jc w:val="right"/>
              <w:rPr>
                <w:rFonts w:ascii="Arial" w:hAnsi="Arial" w:cs="Arial"/>
              </w:rPr>
            </w:pPr>
            <w:r>
              <w:rPr>
                <w:rFonts w:ascii="Arial" w:hAnsi="Arial" w:cs="Arial"/>
              </w:rPr>
              <w:t>35</w:t>
            </w:r>
          </w:p>
        </w:tc>
      </w:tr>
      <w:tr w:rsidR="0090558A" w:rsidRPr="00052F94" w:rsidTr="00285908">
        <w:tc>
          <w:tcPr>
            <w:tcW w:w="767" w:type="dxa"/>
          </w:tcPr>
          <w:p w:rsidR="0090558A" w:rsidRDefault="0090558A" w:rsidP="0090558A">
            <w:pPr>
              <w:widowControl/>
              <w:autoSpaceDE/>
              <w:autoSpaceDN/>
              <w:adjustRightInd/>
              <w:spacing w:line="276" w:lineRule="auto"/>
              <w:jc w:val="both"/>
              <w:rPr>
                <w:rFonts w:ascii="Arial" w:hAnsi="Arial" w:cs="Arial"/>
              </w:rPr>
            </w:pPr>
            <w:r>
              <w:rPr>
                <w:rFonts w:ascii="Arial" w:hAnsi="Arial" w:cs="Arial"/>
              </w:rPr>
              <w:t>3.5.1</w:t>
            </w:r>
          </w:p>
        </w:tc>
        <w:tc>
          <w:tcPr>
            <w:tcW w:w="8233" w:type="dxa"/>
            <w:vAlign w:val="center"/>
          </w:tcPr>
          <w:p w:rsidR="0090558A" w:rsidRPr="0090558A" w:rsidRDefault="0090558A" w:rsidP="0090558A">
            <w:r w:rsidRPr="0090558A">
              <w:rPr>
                <w:rFonts w:ascii="Arial" w:hAnsi="Arial" w:cs="Arial"/>
                <w:bCs/>
              </w:rPr>
              <w:t>Activitatea pe piața de capital</w:t>
            </w:r>
          </w:p>
        </w:tc>
        <w:tc>
          <w:tcPr>
            <w:tcW w:w="634" w:type="dxa"/>
          </w:tcPr>
          <w:p w:rsidR="0090558A" w:rsidRDefault="0090558A" w:rsidP="0090558A">
            <w:pPr>
              <w:widowControl/>
              <w:autoSpaceDE/>
              <w:autoSpaceDN/>
              <w:adjustRightInd/>
              <w:spacing w:line="276" w:lineRule="auto"/>
              <w:jc w:val="right"/>
              <w:rPr>
                <w:rFonts w:ascii="Arial" w:hAnsi="Arial" w:cs="Arial"/>
              </w:rPr>
            </w:pPr>
            <w:r>
              <w:rPr>
                <w:rFonts w:ascii="Arial" w:hAnsi="Arial" w:cs="Arial"/>
              </w:rPr>
              <w:t>35</w:t>
            </w:r>
          </w:p>
        </w:tc>
      </w:tr>
      <w:tr w:rsidR="0090558A" w:rsidRPr="00052F94" w:rsidTr="00285908">
        <w:tc>
          <w:tcPr>
            <w:tcW w:w="767" w:type="dxa"/>
          </w:tcPr>
          <w:p w:rsidR="0090558A" w:rsidRDefault="0090558A" w:rsidP="0090558A">
            <w:pPr>
              <w:widowControl/>
              <w:autoSpaceDE/>
              <w:autoSpaceDN/>
              <w:adjustRightInd/>
              <w:spacing w:line="276" w:lineRule="auto"/>
              <w:jc w:val="both"/>
              <w:rPr>
                <w:rFonts w:ascii="Arial" w:hAnsi="Arial" w:cs="Arial"/>
              </w:rPr>
            </w:pPr>
            <w:r>
              <w:rPr>
                <w:rFonts w:ascii="Arial" w:hAnsi="Arial" w:cs="Arial"/>
              </w:rPr>
              <w:t>3.5.2</w:t>
            </w:r>
          </w:p>
        </w:tc>
        <w:tc>
          <w:tcPr>
            <w:tcW w:w="8233" w:type="dxa"/>
            <w:vAlign w:val="center"/>
          </w:tcPr>
          <w:p w:rsidR="0090558A" w:rsidRPr="0090558A" w:rsidRDefault="0090558A" w:rsidP="0090558A">
            <w:pPr>
              <w:shd w:val="clear" w:color="auto" w:fill="FFFFFF"/>
              <w:rPr>
                <w:rFonts w:ascii="Arial" w:hAnsi="Arial" w:cs="Arial"/>
                <w:bCs/>
                <w:spacing w:val="-2"/>
              </w:rPr>
            </w:pPr>
            <w:r w:rsidRPr="0090558A">
              <w:rPr>
                <w:rFonts w:ascii="Arial" w:hAnsi="Arial" w:cs="Arial"/>
                <w:bCs/>
                <w:spacing w:val="-2"/>
              </w:rPr>
              <w:t>Guvernanță corporativă</w:t>
            </w:r>
          </w:p>
        </w:tc>
        <w:tc>
          <w:tcPr>
            <w:tcW w:w="634" w:type="dxa"/>
          </w:tcPr>
          <w:p w:rsidR="0090558A" w:rsidRDefault="0090558A" w:rsidP="0090558A">
            <w:pPr>
              <w:widowControl/>
              <w:autoSpaceDE/>
              <w:autoSpaceDN/>
              <w:adjustRightInd/>
              <w:spacing w:line="276" w:lineRule="auto"/>
              <w:jc w:val="right"/>
              <w:rPr>
                <w:rFonts w:ascii="Arial" w:hAnsi="Arial" w:cs="Arial"/>
              </w:rPr>
            </w:pPr>
            <w:r>
              <w:rPr>
                <w:rFonts w:ascii="Arial" w:hAnsi="Arial" w:cs="Arial"/>
              </w:rPr>
              <w:t>38</w:t>
            </w:r>
          </w:p>
        </w:tc>
      </w:tr>
      <w:tr w:rsidR="0090558A" w:rsidRPr="00052F94" w:rsidTr="00285908">
        <w:tc>
          <w:tcPr>
            <w:tcW w:w="767" w:type="dxa"/>
          </w:tcPr>
          <w:p w:rsidR="0090558A" w:rsidRDefault="0090558A" w:rsidP="0090558A">
            <w:pPr>
              <w:widowControl/>
              <w:autoSpaceDE/>
              <w:autoSpaceDN/>
              <w:adjustRightInd/>
              <w:spacing w:line="276" w:lineRule="auto"/>
              <w:jc w:val="both"/>
              <w:rPr>
                <w:rFonts w:ascii="Arial" w:hAnsi="Arial" w:cs="Arial"/>
              </w:rPr>
            </w:pPr>
            <w:r>
              <w:rPr>
                <w:rFonts w:ascii="Arial" w:hAnsi="Arial" w:cs="Arial"/>
              </w:rPr>
              <w:t>3.5.3</w:t>
            </w:r>
          </w:p>
        </w:tc>
        <w:tc>
          <w:tcPr>
            <w:tcW w:w="8233" w:type="dxa"/>
            <w:vAlign w:val="center"/>
          </w:tcPr>
          <w:p w:rsidR="0090558A" w:rsidRPr="0090558A" w:rsidRDefault="0090558A" w:rsidP="0090558A">
            <w:r w:rsidRPr="0090558A">
              <w:rPr>
                <w:rFonts w:ascii="Arial" w:hAnsi="Arial" w:cs="Arial"/>
                <w:bCs/>
                <w:iCs/>
                <w:lang w:val="it-IT"/>
              </w:rPr>
              <w:t xml:space="preserve">Conducerea executivă  </w:t>
            </w:r>
          </w:p>
        </w:tc>
        <w:tc>
          <w:tcPr>
            <w:tcW w:w="634" w:type="dxa"/>
          </w:tcPr>
          <w:p w:rsidR="0090558A" w:rsidRDefault="0090558A" w:rsidP="0090558A">
            <w:pPr>
              <w:widowControl/>
              <w:autoSpaceDE/>
              <w:autoSpaceDN/>
              <w:adjustRightInd/>
              <w:spacing w:line="276" w:lineRule="auto"/>
              <w:jc w:val="right"/>
              <w:rPr>
                <w:rFonts w:ascii="Arial" w:hAnsi="Arial" w:cs="Arial"/>
              </w:rPr>
            </w:pPr>
            <w:r>
              <w:rPr>
                <w:rFonts w:ascii="Arial" w:hAnsi="Arial" w:cs="Arial"/>
              </w:rPr>
              <w:t>47</w:t>
            </w:r>
          </w:p>
        </w:tc>
      </w:tr>
      <w:tr w:rsidR="0090558A" w:rsidRPr="00052F94" w:rsidTr="00285908">
        <w:tc>
          <w:tcPr>
            <w:tcW w:w="767" w:type="dxa"/>
          </w:tcPr>
          <w:p w:rsidR="0090558A" w:rsidRDefault="0090558A" w:rsidP="0090558A">
            <w:pPr>
              <w:widowControl/>
              <w:autoSpaceDE/>
              <w:autoSpaceDN/>
              <w:adjustRightInd/>
              <w:spacing w:line="276" w:lineRule="auto"/>
              <w:jc w:val="both"/>
              <w:rPr>
                <w:rFonts w:ascii="Arial" w:hAnsi="Arial" w:cs="Arial"/>
              </w:rPr>
            </w:pPr>
            <w:r>
              <w:rPr>
                <w:rFonts w:ascii="Arial" w:hAnsi="Arial" w:cs="Arial"/>
              </w:rPr>
              <w:t>3.5.4</w:t>
            </w:r>
          </w:p>
        </w:tc>
        <w:tc>
          <w:tcPr>
            <w:tcW w:w="8233" w:type="dxa"/>
            <w:vAlign w:val="center"/>
          </w:tcPr>
          <w:p w:rsidR="0090558A" w:rsidRPr="0090558A" w:rsidRDefault="0090558A" w:rsidP="0090558A">
            <w:pPr>
              <w:rPr>
                <w:rFonts w:ascii="Arial" w:hAnsi="Arial" w:cs="Arial"/>
              </w:rPr>
            </w:pPr>
            <w:r w:rsidRPr="0090558A">
              <w:rPr>
                <w:rFonts w:ascii="Arial" w:hAnsi="Arial" w:cs="Arial"/>
              </w:rPr>
              <w:t>Activitatea privind sponsorizările încheiate în semestrul I 2018</w:t>
            </w:r>
          </w:p>
        </w:tc>
        <w:tc>
          <w:tcPr>
            <w:tcW w:w="634" w:type="dxa"/>
          </w:tcPr>
          <w:p w:rsidR="0090558A" w:rsidRDefault="0090558A" w:rsidP="0090558A">
            <w:pPr>
              <w:widowControl/>
              <w:autoSpaceDE/>
              <w:autoSpaceDN/>
              <w:adjustRightInd/>
              <w:spacing w:line="276" w:lineRule="auto"/>
              <w:jc w:val="right"/>
              <w:rPr>
                <w:rFonts w:ascii="Arial" w:hAnsi="Arial" w:cs="Arial"/>
              </w:rPr>
            </w:pPr>
            <w:r>
              <w:rPr>
                <w:rFonts w:ascii="Arial" w:hAnsi="Arial" w:cs="Arial"/>
              </w:rPr>
              <w:t>47</w:t>
            </w:r>
          </w:p>
        </w:tc>
      </w:tr>
      <w:tr w:rsidR="0090558A" w:rsidRPr="00052F94" w:rsidTr="00285908">
        <w:trPr>
          <w:trHeight w:val="469"/>
        </w:trPr>
        <w:tc>
          <w:tcPr>
            <w:tcW w:w="767" w:type="dxa"/>
            <w:vAlign w:val="center"/>
          </w:tcPr>
          <w:p w:rsidR="0090558A" w:rsidRPr="0066123C" w:rsidRDefault="0090558A" w:rsidP="0090558A">
            <w:pPr>
              <w:widowControl/>
              <w:autoSpaceDE/>
              <w:autoSpaceDN/>
              <w:adjustRightInd/>
              <w:spacing w:line="276" w:lineRule="auto"/>
              <w:jc w:val="both"/>
              <w:rPr>
                <w:rFonts w:ascii="Arial" w:hAnsi="Arial" w:cs="Arial"/>
                <w:b/>
                <w:color w:val="1F4E79" w:themeColor="accent1" w:themeShade="80"/>
              </w:rPr>
            </w:pPr>
            <w:r w:rsidRPr="0066123C">
              <w:rPr>
                <w:rFonts w:ascii="Arial" w:hAnsi="Arial" w:cs="Arial"/>
                <w:b/>
                <w:color w:val="1F4E79" w:themeColor="accent1" w:themeShade="80"/>
              </w:rPr>
              <w:t>4.</w:t>
            </w:r>
          </w:p>
        </w:tc>
        <w:tc>
          <w:tcPr>
            <w:tcW w:w="8233" w:type="dxa"/>
            <w:vAlign w:val="center"/>
          </w:tcPr>
          <w:p w:rsidR="0090558A" w:rsidRPr="0066123C" w:rsidRDefault="0090558A" w:rsidP="0066123C">
            <w:pPr>
              <w:jc w:val="both"/>
              <w:rPr>
                <w:rFonts w:ascii="Arial" w:hAnsi="Arial" w:cs="Arial"/>
                <w:b/>
                <w:bCs/>
                <w:color w:val="1F4E79" w:themeColor="accent1" w:themeShade="80"/>
              </w:rPr>
            </w:pPr>
            <w:r w:rsidRPr="0066123C">
              <w:rPr>
                <w:rFonts w:ascii="Arial" w:hAnsi="Arial" w:cs="Arial"/>
                <w:b/>
                <w:bCs/>
                <w:color w:val="1F4E79" w:themeColor="accent1" w:themeShade="80"/>
              </w:rPr>
              <w:t xml:space="preserve">EVENIMENTE CORPORATIVE RELEVANTE ÎN SEMESTRUL I 2018 </w:t>
            </w:r>
          </w:p>
        </w:tc>
        <w:tc>
          <w:tcPr>
            <w:tcW w:w="634" w:type="dxa"/>
          </w:tcPr>
          <w:p w:rsidR="0090558A" w:rsidRPr="0090558A" w:rsidRDefault="0090558A" w:rsidP="0090558A">
            <w:pPr>
              <w:widowControl/>
              <w:autoSpaceDE/>
              <w:autoSpaceDN/>
              <w:adjustRightInd/>
              <w:spacing w:line="276" w:lineRule="auto"/>
              <w:jc w:val="right"/>
              <w:rPr>
                <w:rFonts w:ascii="Arial" w:hAnsi="Arial" w:cs="Arial"/>
                <w:b/>
                <w:color w:val="1F4E79" w:themeColor="accent1" w:themeShade="80"/>
              </w:rPr>
            </w:pPr>
            <w:r w:rsidRPr="0090558A">
              <w:rPr>
                <w:rFonts w:ascii="Arial" w:hAnsi="Arial" w:cs="Arial"/>
                <w:b/>
                <w:color w:val="1F4E79" w:themeColor="accent1" w:themeShade="80"/>
              </w:rPr>
              <w:t>48</w:t>
            </w:r>
          </w:p>
        </w:tc>
      </w:tr>
      <w:tr w:rsidR="0066123C" w:rsidRPr="00052F94" w:rsidTr="00285908">
        <w:trPr>
          <w:trHeight w:val="419"/>
        </w:trPr>
        <w:tc>
          <w:tcPr>
            <w:tcW w:w="767" w:type="dxa"/>
            <w:vAlign w:val="center"/>
          </w:tcPr>
          <w:p w:rsidR="0066123C" w:rsidRPr="0090558A" w:rsidRDefault="0066123C" w:rsidP="0090558A">
            <w:pPr>
              <w:widowControl/>
              <w:autoSpaceDE/>
              <w:autoSpaceDN/>
              <w:adjustRightInd/>
              <w:spacing w:line="276" w:lineRule="auto"/>
              <w:jc w:val="both"/>
              <w:rPr>
                <w:rFonts w:ascii="Arial" w:hAnsi="Arial" w:cs="Arial"/>
                <w:b/>
                <w:color w:val="1F4E79" w:themeColor="accent1" w:themeShade="80"/>
              </w:rPr>
            </w:pPr>
            <w:r>
              <w:rPr>
                <w:rFonts w:ascii="Arial" w:hAnsi="Arial" w:cs="Arial"/>
                <w:b/>
                <w:color w:val="1F4E79" w:themeColor="accent1" w:themeShade="80"/>
              </w:rPr>
              <w:t>5</w:t>
            </w:r>
          </w:p>
        </w:tc>
        <w:tc>
          <w:tcPr>
            <w:tcW w:w="8233" w:type="dxa"/>
            <w:vAlign w:val="center"/>
          </w:tcPr>
          <w:p w:rsidR="0066123C" w:rsidRPr="0090558A" w:rsidRDefault="0066123C" w:rsidP="0066123C">
            <w:pPr>
              <w:widowControl/>
              <w:autoSpaceDE/>
              <w:autoSpaceDN/>
              <w:adjustRightInd/>
              <w:spacing w:before="240" w:line="276" w:lineRule="auto"/>
              <w:contextualSpacing/>
              <w:jc w:val="both"/>
              <w:rPr>
                <w:rFonts w:ascii="Arial" w:hAnsi="Arial" w:cs="Arial"/>
                <w:b/>
                <w:bCs/>
                <w:color w:val="1F4E79" w:themeColor="accent1" w:themeShade="80"/>
              </w:rPr>
            </w:pPr>
            <w:r w:rsidRPr="0066123C">
              <w:rPr>
                <w:rFonts w:ascii="Arial" w:eastAsia="Calibri" w:hAnsi="Arial" w:cs="Arial"/>
                <w:b/>
                <w:color w:val="1F4E79" w:themeColor="accent1" w:themeShade="80"/>
              </w:rPr>
              <w:t>PREZENTAREA SITUAȚIILOR FINANCIARE INTERIMARE</w:t>
            </w:r>
          </w:p>
        </w:tc>
        <w:tc>
          <w:tcPr>
            <w:tcW w:w="634" w:type="dxa"/>
          </w:tcPr>
          <w:p w:rsidR="0066123C" w:rsidRPr="0090558A" w:rsidRDefault="0066123C" w:rsidP="0090558A">
            <w:pPr>
              <w:widowControl/>
              <w:autoSpaceDE/>
              <w:autoSpaceDN/>
              <w:adjustRightInd/>
              <w:spacing w:line="276" w:lineRule="auto"/>
              <w:jc w:val="right"/>
              <w:rPr>
                <w:rFonts w:ascii="Arial" w:hAnsi="Arial" w:cs="Arial"/>
                <w:b/>
                <w:color w:val="1F4E79" w:themeColor="accent1" w:themeShade="80"/>
              </w:rPr>
            </w:pPr>
            <w:r>
              <w:rPr>
                <w:rFonts w:ascii="Arial" w:hAnsi="Arial" w:cs="Arial"/>
                <w:b/>
                <w:color w:val="1F4E79" w:themeColor="accent1" w:themeShade="80"/>
              </w:rPr>
              <w:t>49</w:t>
            </w:r>
          </w:p>
        </w:tc>
      </w:tr>
      <w:tr w:rsidR="0090558A" w:rsidRPr="00052F94" w:rsidTr="00285908">
        <w:tc>
          <w:tcPr>
            <w:tcW w:w="767" w:type="dxa"/>
          </w:tcPr>
          <w:p w:rsidR="0090558A" w:rsidRPr="00E97560" w:rsidRDefault="0090558A" w:rsidP="0090558A">
            <w:pPr>
              <w:widowControl/>
              <w:autoSpaceDE/>
              <w:autoSpaceDN/>
              <w:adjustRightInd/>
              <w:spacing w:line="276" w:lineRule="auto"/>
              <w:jc w:val="both"/>
              <w:rPr>
                <w:rFonts w:ascii="Arial" w:hAnsi="Arial" w:cs="Arial"/>
                <w:color w:val="1F4E79" w:themeColor="accent1" w:themeShade="80"/>
              </w:rPr>
            </w:pPr>
          </w:p>
        </w:tc>
        <w:tc>
          <w:tcPr>
            <w:tcW w:w="8233" w:type="dxa"/>
            <w:vAlign w:val="center"/>
          </w:tcPr>
          <w:p w:rsidR="0090558A" w:rsidRPr="0066123C" w:rsidRDefault="0090558A" w:rsidP="0090558A">
            <w:pPr>
              <w:jc w:val="both"/>
              <w:rPr>
                <w:rFonts w:ascii="Arial" w:hAnsi="Arial" w:cs="Arial"/>
                <w:b/>
                <w:bCs/>
                <w:color w:val="1F4E79" w:themeColor="accent1" w:themeShade="80"/>
              </w:rPr>
            </w:pPr>
            <w:r w:rsidRPr="0066123C">
              <w:rPr>
                <w:rFonts w:ascii="Arial" w:hAnsi="Arial" w:cs="Arial"/>
                <w:b/>
                <w:bCs/>
                <w:color w:val="1F4E79" w:themeColor="accent1" w:themeShade="80"/>
              </w:rPr>
              <w:t>ANEXE</w:t>
            </w:r>
          </w:p>
        </w:tc>
        <w:tc>
          <w:tcPr>
            <w:tcW w:w="634" w:type="dxa"/>
          </w:tcPr>
          <w:p w:rsidR="0090558A" w:rsidRPr="0066123C" w:rsidRDefault="006D5205" w:rsidP="0090558A">
            <w:pPr>
              <w:widowControl/>
              <w:autoSpaceDE/>
              <w:autoSpaceDN/>
              <w:adjustRightInd/>
              <w:spacing w:line="276" w:lineRule="auto"/>
              <w:jc w:val="right"/>
              <w:rPr>
                <w:rFonts w:ascii="Arial" w:hAnsi="Arial" w:cs="Arial"/>
                <w:b/>
                <w:color w:val="1F4E79" w:themeColor="accent1" w:themeShade="80"/>
              </w:rPr>
            </w:pPr>
            <w:r>
              <w:rPr>
                <w:rFonts w:ascii="Arial" w:hAnsi="Arial" w:cs="Arial"/>
                <w:b/>
                <w:color w:val="1F4E79" w:themeColor="accent1" w:themeShade="80"/>
              </w:rPr>
              <w:t>50</w:t>
            </w:r>
          </w:p>
        </w:tc>
      </w:tr>
    </w:tbl>
    <w:p w:rsidR="00B211F4" w:rsidRDefault="00B211F4" w:rsidP="00511715">
      <w:pPr>
        <w:shd w:val="clear" w:color="auto" w:fill="FFFFFF"/>
        <w:jc w:val="center"/>
        <w:rPr>
          <w:rFonts w:ascii="Arial" w:hAnsi="Arial" w:cs="Arial"/>
          <w:b/>
          <w:spacing w:val="-10"/>
          <w:sz w:val="22"/>
          <w:szCs w:val="22"/>
          <w:u w:val="single"/>
        </w:rPr>
      </w:pPr>
    </w:p>
    <w:p w:rsidR="00285908" w:rsidRPr="00574A8F" w:rsidRDefault="00285908" w:rsidP="00511715">
      <w:pPr>
        <w:shd w:val="clear" w:color="auto" w:fill="FFFFFF"/>
        <w:jc w:val="center"/>
        <w:rPr>
          <w:rFonts w:ascii="Arial" w:hAnsi="Arial" w:cs="Arial"/>
          <w:b/>
          <w:spacing w:val="-10"/>
          <w:sz w:val="22"/>
          <w:szCs w:val="22"/>
          <w:u w:val="single"/>
        </w:rPr>
      </w:pPr>
    </w:p>
    <w:p w:rsidR="00052F94" w:rsidRDefault="00052F94" w:rsidP="00BE1B97">
      <w:pPr>
        <w:widowControl/>
        <w:tabs>
          <w:tab w:val="left" w:pos="0"/>
        </w:tabs>
        <w:autoSpaceDE/>
        <w:autoSpaceDN/>
        <w:adjustRightInd/>
        <w:rPr>
          <w:rFonts w:ascii="Arial" w:hAnsi="Arial" w:cs="Arial"/>
          <w:sz w:val="22"/>
          <w:szCs w:val="22"/>
          <w:lang w:val="en-US" w:eastAsia="en-US"/>
        </w:rPr>
      </w:pPr>
    </w:p>
    <w:p w:rsidR="0002420B" w:rsidRPr="009828D6" w:rsidRDefault="00564B3E" w:rsidP="00564B3E">
      <w:pPr>
        <w:widowControl/>
        <w:tabs>
          <w:tab w:val="left" w:pos="0"/>
        </w:tabs>
        <w:autoSpaceDE/>
        <w:autoSpaceDN/>
        <w:adjustRightInd/>
        <w:rPr>
          <w:rFonts w:ascii="Arial" w:hAnsi="Arial" w:cs="Arial"/>
          <w:b/>
          <w:bCs/>
          <w:color w:val="1F4E79" w:themeColor="accent1" w:themeShade="80"/>
          <w:sz w:val="28"/>
          <w:szCs w:val="28"/>
        </w:rPr>
      </w:pPr>
      <w:r w:rsidRPr="009828D6">
        <w:rPr>
          <w:rFonts w:ascii="Arial" w:hAnsi="Arial" w:cs="Arial"/>
          <w:b/>
          <w:bCs/>
          <w:color w:val="1F4E79" w:themeColor="accent1" w:themeShade="80"/>
          <w:sz w:val="28"/>
          <w:szCs w:val="28"/>
        </w:rPr>
        <w:lastRenderedPageBreak/>
        <w:t>1. PREZENTAREA SOCIETĂȚII</w:t>
      </w:r>
    </w:p>
    <w:p w:rsidR="00564B3E" w:rsidRPr="009828D6" w:rsidRDefault="00BE1B97" w:rsidP="00170D7E">
      <w:pPr>
        <w:pStyle w:val="ListParagraph"/>
        <w:numPr>
          <w:ilvl w:val="1"/>
          <w:numId w:val="41"/>
        </w:numPr>
        <w:shd w:val="clear" w:color="auto" w:fill="FFFFFF"/>
        <w:spacing w:before="245"/>
        <w:rPr>
          <w:rFonts w:ascii="Arial" w:hAnsi="Arial" w:cs="Arial"/>
          <w:b/>
          <w:bCs/>
          <w:color w:val="1F4E79" w:themeColor="accent1" w:themeShade="80"/>
          <w:sz w:val="24"/>
          <w:szCs w:val="24"/>
        </w:rPr>
      </w:pPr>
      <w:r w:rsidRPr="009828D6">
        <w:rPr>
          <w:rFonts w:ascii="Arial" w:hAnsi="Arial" w:cs="Arial"/>
          <w:b/>
          <w:bCs/>
          <w:color w:val="1F4E79" w:themeColor="accent1" w:themeShade="80"/>
          <w:sz w:val="24"/>
          <w:szCs w:val="24"/>
        </w:rPr>
        <w:t>Date de identificare raport şi emitent</w:t>
      </w:r>
    </w:p>
    <w:tbl>
      <w:tblPr>
        <w:tblW w:w="9781" w:type="dxa"/>
        <w:jc w:val="center"/>
        <w:tblLook w:val="01E0" w:firstRow="1" w:lastRow="1" w:firstColumn="1" w:lastColumn="1" w:noHBand="0" w:noVBand="0"/>
      </w:tblPr>
      <w:tblGrid>
        <w:gridCol w:w="10"/>
        <w:gridCol w:w="5000"/>
        <w:gridCol w:w="4771"/>
      </w:tblGrid>
      <w:tr w:rsidR="0028276A" w:rsidRPr="00A74CF5" w:rsidTr="00B7227F">
        <w:trPr>
          <w:trHeight w:val="1822"/>
          <w:jc w:val="center"/>
        </w:trPr>
        <w:tc>
          <w:tcPr>
            <w:tcW w:w="5010" w:type="dxa"/>
            <w:gridSpan w:val="2"/>
          </w:tcPr>
          <w:p w:rsidR="000057A2" w:rsidRPr="00A74CF5" w:rsidRDefault="0028276A" w:rsidP="0028276A">
            <w:pPr>
              <w:widowControl/>
              <w:autoSpaceDE/>
              <w:autoSpaceDN/>
              <w:adjustRightInd/>
              <w:rPr>
                <w:rFonts w:ascii="Arial" w:hAnsi="Arial" w:cs="Arial"/>
                <w:sz w:val="22"/>
                <w:szCs w:val="22"/>
                <w:lang w:eastAsia="en-US"/>
              </w:rPr>
            </w:pPr>
            <w:r w:rsidRPr="00A74CF5">
              <w:rPr>
                <w:rFonts w:ascii="Arial" w:hAnsi="Arial" w:cs="Arial"/>
                <w:sz w:val="22"/>
                <w:szCs w:val="22"/>
                <w:lang w:eastAsia="en-US"/>
              </w:rPr>
              <w:t xml:space="preserve">Raport </w:t>
            </w:r>
            <w:r w:rsidR="00E733E8">
              <w:rPr>
                <w:rFonts w:ascii="Arial" w:hAnsi="Arial" w:cs="Arial"/>
                <w:sz w:val="22"/>
                <w:szCs w:val="22"/>
                <w:lang w:eastAsia="en-US"/>
              </w:rPr>
              <w:t>Sem</w:t>
            </w:r>
            <w:r w:rsidR="00AE554C" w:rsidRPr="00A74CF5">
              <w:rPr>
                <w:rFonts w:ascii="Arial" w:hAnsi="Arial" w:cs="Arial"/>
                <w:sz w:val="22"/>
                <w:szCs w:val="22"/>
                <w:lang w:eastAsia="en-US"/>
              </w:rPr>
              <w:t>estrial</w:t>
            </w:r>
            <w:r w:rsidRPr="00A74CF5">
              <w:rPr>
                <w:rFonts w:ascii="Arial" w:hAnsi="Arial" w:cs="Arial"/>
                <w:sz w:val="22"/>
                <w:szCs w:val="22"/>
                <w:lang w:eastAsia="en-US"/>
              </w:rPr>
              <w:t xml:space="preserve"> </w:t>
            </w:r>
          </w:p>
          <w:p w:rsidR="0028276A" w:rsidRDefault="0028276A" w:rsidP="000057A2">
            <w:pPr>
              <w:widowControl/>
              <w:autoSpaceDE/>
              <w:autoSpaceDN/>
              <w:adjustRightInd/>
              <w:rPr>
                <w:rFonts w:ascii="Arial" w:hAnsi="Arial" w:cs="Arial"/>
                <w:sz w:val="22"/>
                <w:szCs w:val="22"/>
                <w:lang w:eastAsia="en-US"/>
              </w:rPr>
            </w:pPr>
            <w:r w:rsidRPr="00A74CF5">
              <w:rPr>
                <w:rFonts w:ascii="Arial" w:hAnsi="Arial" w:cs="Arial"/>
                <w:sz w:val="22"/>
                <w:szCs w:val="22"/>
                <w:lang w:eastAsia="en-US"/>
              </w:rPr>
              <w:t>întocmit în conformitate cu :</w:t>
            </w:r>
          </w:p>
          <w:p w:rsidR="004468E2" w:rsidRPr="00A74CF5" w:rsidRDefault="004468E2" w:rsidP="000057A2">
            <w:pPr>
              <w:widowControl/>
              <w:autoSpaceDE/>
              <w:autoSpaceDN/>
              <w:adjustRightInd/>
              <w:rPr>
                <w:rFonts w:ascii="Arial" w:hAnsi="Arial" w:cs="Arial"/>
                <w:sz w:val="22"/>
                <w:szCs w:val="22"/>
                <w:lang w:eastAsia="en-US"/>
              </w:rPr>
            </w:pPr>
          </w:p>
        </w:tc>
        <w:tc>
          <w:tcPr>
            <w:tcW w:w="4771" w:type="dxa"/>
            <w:vAlign w:val="center"/>
          </w:tcPr>
          <w:p w:rsidR="0028276A" w:rsidRDefault="0028276A" w:rsidP="009E43D9">
            <w:pPr>
              <w:widowControl/>
              <w:jc w:val="both"/>
              <w:rPr>
                <w:rFonts w:ascii="Arial" w:hAnsi="Arial" w:cs="Arial"/>
                <w:sz w:val="22"/>
                <w:szCs w:val="22"/>
                <w:lang w:val="en-US"/>
              </w:rPr>
            </w:pPr>
            <w:r w:rsidRPr="00A74CF5">
              <w:rPr>
                <w:rFonts w:ascii="Arial" w:hAnsi="Arial" w:cs="Arial"/>
                <w:sz w:val="22"/>
                <w:szCs w:val="22"/>
                <w:lang w:eastAsia="en-US"/>
              </w:rPr>
              <w:t xml:space="preserve">Prevederile art. </w:t>
            </w:r>
            <w:r w:rsidR="009E43D9" w:rsidRPr="00A74CF5">
              <w:rPr>
                <w:rFonts w:ascii="Arial" w:hAnsi="Arial" w:cs="Arial"/>
                <w:sz w:val="22"/>
                <w:szCs w:val="22"/>
                <w:lang w:eastAsia="en-US"/>
              </w:rPr>
              <w:t>6</w:t>
            </w:r>
            <w:r w:rsidR="00F3392B">
              <w:rPr>
                <w:rFonts w:ascii="Arial" w:hAnsi="Arial" w:cs="Arial"/>
                <w:sz w:val="22"/>
                <w:szCs w:val="22"/>
                <w:lang w:eastAsia="en-US"/>
              </w:rPr>
              <w:t>5</w:t>
            </w:r>
            <w:r w:rsidRPr="00A74CF5">
              <w:rPr>
                <w:rFonts w:ascii="Arial" w:hAnsi="Arial" w:cs="Arial"/>
                <w:sz w:val="22"/>
                <w:szCs w:val="22"/>
                <w:lang w:eastAsia="en-US"/>
              </w:rPr>
              <w:t xml:space="preserve"> din Legea nr. </w:t>
            </w:r>
            <w:r w:rsidR="009E43D9" w:rsidRPr="00A74CF5">
              <w:rPr>
                <w:rFonts w:ascii="Arial" w:hAnsi="Arial" w:cs="Arial"/>
                <w:sz w:val="22"/>
                <w:szCs w:val="22"/>
                <w:lang w:eastAsia="en-US"/>
              </w:rPr>
              <w:t>24</w:t>
            </w:r>
            <w:r w:rsidRPr="00A74CF5">
              <w:rPr>
                <w:rFonts w:ascii="Arial" w:hAnsi="Arial" w:cs="Arial"/>
                <w:sz w:val="22"/>
                <w:szCs w:val="22"/>
                <w:lang w:eastAsia="en-US"/>
              </w:rPr>
              <w:t>/</w:t>
            </w:r>
            <w:r w:rsidR="00DF2C30" w:rsidRPr="00A74CF5">
              <w:rPr>
                <w:rFonts w:ascii="Arial" w:hAnsi="Arial" w:cs="Arial"/>
                <w:sz w:val="22"/>
                <w:szCs w:val="22"/>
                <w:lang w:eastAsia="en-US"/>
              </w:rPr>
              <w:t>201</w:t>
            </w:r>
            <w:r w:rsidR="007530FF">
              <w:rPr>
                <w:rFonts w:ascii="Arial" w:hAnsi="Arial" w:cs="Arial"/>
                <w:sz w:val="22"/>
                <w:szCs w:val="22"/>
                <w:lang w:eastAsia="en-US"/>
              </w:rPr>
              <w:t>7</w:t>
            </w:r>
            <w:r w:rsidRPr="00A74CF5">
              <w:rPr>
                <w:rFonts w:ascii="Arial" w:hAnsi="Arial" w:cs="Arial"/>
                <w:sz w:val="22"/>
                <w:szCs w:val="22"/>
                <w:lang w:eastAsia="en-US"/>
              </w:rPr>
              <w:t xml:space="preserve"> </w:t>
            </w:r>
            <w:r w:rsidR="009E43D9" w:rsidRPr="00A74CF5">
              <w:rPr>
                <w:rFonts w:ascii="Arial" w:hAnsi="Arial" w:cs="Arial"/>
                <w:sz w:val="22"/>
                <w:szCs w:val="22"/>
                <w:lang w:val="en-US"/>
              </w:rPr>
              <w:t>privind emitenţii de instrumente fi</w:t>
            </w:r>
            <w:r w:rsidR="00CB7528">
              <w:rPr>
                <w:rFonts w:ascii="Arial" w:hAnsi="Arial" w:cs="Arial"/>
                <w:sz w:val="22"/>
                <w:szCs w:val="22"/>
                <w:lang w:val="en-US"/>
              </w:rPr>
              <w:t>nanciare şi operaţiuni de piaţă;</w:t>
            </w:r>
          </w:p>
          <w:p w:rsidR="00696528" w:rsidRPr="00696528" w:rsidRDefault="002B6A42" w:rsidP="00696528">
            <w:pPr>
              <w:widowControl/>
              <w:rPr>
                <w:rFonts w:ascii="Arial" w:hAnsi="Arial" w:cs="Arial"/>
                <w:sz w:val="22"/>
                <w:szCs w:val="22"/>
                <w:lang w:val="en-US"/>
              </w:rPr>
            </w:pPr>
            <w:r>
              <w:rPr>
                <w:rFonts w:ascii="Arial" w:hAnsi="Arial" w:cs="Arial"/>
                <w:sz w:val="22"/>
                <w:szCs w:val="22"/>
                <w:lang w:val="en-US"/>
              </w:rPr>
              <w:t xml:space="preserve">Anexa 14 din </w:t>
            </w:r>
            <w:r w:rsidR="00696528" w:rsidRPr="00696528">
              <w:rPr>
                <w:rFonts w:ascii="Arial" w:hAnsi="Arial" w:cs="Arial"/>
                <w:sz w:val="22"/>
                <w:szCs w:val="22"/>
                <w:lang w:val="en-US"/>
              </w:rPr>
              <w:t>Regulament</w:t>
            </w:r>
            <w:r>
              <w:rPr>
                <w:rFonts w:ascii="Arial" w:hAnsi="Arial" w:cs="Arial"/>
                <w:sz w:val="22"/>
                <w:szCs w:val="22"/>
                <w:lang w:val="en-US"/>
              </w:rPr>
              <w:t>ul</w:t>
            </w:r>
            <w:r w:rsidR="00696528" w:rsidRPr="00696528">
              <w:rPr>
                <w:rFonts w:ascii="Arial" w:hAnsi="Arial" w:cs="Arial"/>
                <w:sz w:val="22"/>
                <w:szCs w:val="22"/>
                <w:lang w:val="en-US"/>
              </w:rPr>
              <w:t xml:space="preserve"> nr. 5/10.05.2018</w:t>
            </w:r>
          </w:p>
          <w:p w:rsidR="00696528" w:rsidRPr="00696528" w:rsidRDefault="00696528" w:rsidP="00696528">
            <w:pPr>
              <w:widowControl/>
              <w:rPr>
                <w:rFonts w:ascii="Arial" w:hAnsi="Arial" w:cs="Arial"/>
                <w:sz w:val="22"/>
                <w:szCs w:val="22"/>
                <w:lang w:val="en-US"/>
              </w:rPr>
            </w:pPr>
            <w:r w:rsidRPr="00696528">
              <w:rPr>
                <w:rFonts w:ascii="Arial" w:hAnsi="Arial" w:cs="Arial"/>
                <w:sz w:val="22"/>
                <w:szCs w:val="22"/>
                <w:lang w:val="en-US"/>
              </w:rPr>
              <w:t>privind emitenţii de instrumente financiare şi operaţiuni de piaţă</w:t>
            </w:r>
            <w:r w:rsidR="00F5447A">
              <w:rPr>
                <w:rFonts w:ascii="Arial" w:hAnsi="Arial" w:cs="Arial"/>
                <w:sz w:val="22"/>
                <w:szCs w:val="22"/>
                <w:lang w:val="en-US"/>
              </w:rPr>
              <w:t>;</w:t>
            </w:r>
          </w:p>
          <w:p w:rsidR="00F3392B" w:rsidRPr="00A74CF5" w:rsidRDefault="00F3392B" w:rsidP="009E43D9">
            <w:pPr>
              <w:widowControl/>
              <w:jc w:val="both"/>
              <w:rPr>
                <w:rFonts w:ascii="Arial" w:hAnsi="Arial" w:cs="Arial"/>
                <w:sz w:val="22"/>
                <w:szCs w:val="22"/>
                <w:lang w:eastAsia="en-US"/>
              </w:rPr>
            </w:pPr>
            <w:r>
              <w:rPr>
                <w:rFonts w:ascii="Arial" w:hAnsi="Arial" w:cs="Arial"/>
                <w:sz w:val="22"/>
                <w:szCs w:val="22"/>
                <w:lang w:eastAsia="en-US"/>
              </w:rPr>
              <w:t>OUG 109/2011 privind guvernanța corporativă a întreprinderilor publice (modificată prin Legea nr. 111/2016).</w:t>
            </w:r>
          </w:p>
          <w:p w:rsidR="0028276A" w:rsidRPr="00A74CF5" w:rsidRDefault="0028276A" w:rsidP="0028276A">
            <w:pPr>
              <w:widowControl/>
              <w:autoSpaceDE/>
              <w:autoSpaceDN/>
              <w:adjustRightInd/>
              <w:jc w:val="both"/>
              <w:rPr>
                <w:rFonts w:ascii="Arial" w:hAnsi="Arial" w:cs="Arial"/>
                <w:sz w:val="22"/>
                <w:szCs w:val="22"/>
                <w:lang w:eastAsia="en-US"/>
              </w:rPr>
            </w:pPr>
          </w:p>
        </w:tc>
      </w:tr>
      <w:tr w:rsidR="0028276A" w:rsidRPr="00A74CF5" w:rsidTr="00B7227F">
        <w:trPr>
          <w:trHeight w:val="264"/>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lang w:eastAsia="en-US"/>
              </w:rPr>
            </w:pPr>
            <w:r w:rsidRPr="00A74CF5">
              <w:rPr>
                <w:rFonts w:ascii="Arial" w:hAnsi="Arial" w:cs="Arial"/>
                <w:sz w:val="22"/>
                <w:szCs w:val="22"/>
                <w:lang w:eastAsia="en-US"/>
              </w:rPr>
              <w:t>Data raportului</w:t>
            </w:r>
          </w:p>
        </w:tc>
        <w:tc>
          <w:tcPr>
            <w:tcW w:w="4771" w:type="dxa"/>
            <w:vAlign w:val="center"/>
          </w:tcPr>
          <w:p w:rsidR="0028276A" w:rsidRPr="00C526CF" w:rsidRDefault="00B7227F" w:rsidP="00724D37">
            <w:pPr>
              <w:widowControl/>
              <w:autoSpaceDE/>
              <w:autoSpaceDN/>
              <w:adjustRightInd/>
              <w:rPr>
                <w:rFonts w:ascii="Arial" w:hAnsi="Arial" w:cs="Arial"/>
                <w:color w:val="FF0000"/>
                <w:sz w:val="22"/>
                <w:szCs w:val="22"/>
                <w:lang w:eastAsia="en-US"/>
              </w:rPr>
            </w:pPr>
            <w:r w:rsidRPr="0092434E">
              <w:rPr>
                <w:rFonts w:ascii="Arial" w:hAnsi="Arial" w:cs="Arial"/>
                <w:sz w:val="22"/>
                <w:szCs w:val="22"/>
                <w:lang w:eastAsia="en-US"/>
              </w:rPr>
              <w:t>09</w:t>
            </w:r>
            <w:r w:rsidR="00D9626F" w:rsidRPr="0092434E">
              <w:rPr>
                <w:rFonts w:ascii="Arial" w:hAnsi="Arial" w:cs="Arial"/>
                <w:sz w:val="22"/>
                <w:szCs w:val="22"/>
                <w:lang w:eastAsia="en-US"/>
              </w:rPr>
              <w:t>.</w:t>
            </w:r>
            <w:r w:rsidR="00CD283B" w:rsidRPr="0092434E">
              <w:rPr>
                <w:rFonts w:ascii="Arial" w:hAnsi="Arial" w:cs="Arial"/>
                <w:sz w:val="22"/>
                <w:szCs w:val="22"/>
                <w:lang w:eastAsia="en-US"/>
              </w:rPr>
              <w:t>0</w:t>
            </w:r>
            <w:r w:rsidR="00724D37" w:rsidRPr="0092434E">
              <w:rPr>
                <w:rFonts w:ascii="Arial" w:hAnsi="Arial" w:cs="Arial"/>
                <w:sz w:val="22"/>
                <w:szCs w:val="22"/>
                <w:lang w:eastAsia="en-US"/>
              </w:rPr>
              <w:t>8</w:t>
            </w:r>
            <w:r w:rsidR="0028276A" w:rsidRPr="0092434E">
              <w:rPr>
                <w:rFonts w:ascii="Arial" w:hAnsi="Arial" w:cs="Arial"/>
                <w:sz w:val="22"/>
                <w:szCs w:val="22"/>
                <w:lang w:eastAsia="en-US"/>
              </w:rPr>
              <w:t>.201</w:t>
            </w:r>
            <w:r w:rsidR="00CD283B" w:rsidRPr="0092434E">
              <w:rPr>
                <w:rFonts w:ascii="Arial" w:hAnsi="Arial" w:cs="Arial"/>
                <w:sz w:val="22"/>
                <w:szCs w:val="22"/>
                <w:lang w:eastAsia="en-US"/>
              </w:rPr>
              <w:t>8</w:t>
            </w:r>
          </w:p>
        </w:tc>
      </w:tr>
      <w:tr w:rsidR="0028276A" w:rsidRPr="00A74CF5" w:rsidTr="00B7227F">
        <w:trPr>
          <w:trHeight w:val="519"/>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lang w:eastAsia="en-US"/>
              </w:rPr>
            </w:pPr>
            <w:r w:rsidRPr="00A74CF5">
              <w:rPr>
                <w:rFonts w:ascii="Arial" w:hAnsi="Arial" w:cs="Arial"/>
                <w:sz w:val="22"/>
                <w:szCs w:val="22"/>
                <w:lang w:eastAsia="en-US"/>
              </w:rPr>
              <w:t xml:space="preserve">Denumirea societăţii </w:t>
            </w:r>
          </w:p>
        </w:tc>
        <w:tc>
          <w:tcPr>
            <w:tcW w:w="4771" w:type="dxa"/>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lang w:eastAsia="en-US"/>
              </w:rPr>
            </w:pPr>
            <w:r w:rsidRPr="00A74CF5">
              <w:rPr>
                <w:rFonts w:ascii="Arial" w:hAnsi="Arial" w:cs="Arial"/>
                <w:sz w:val="22"/>
                <w:szCs w:val="22"/>
                <w:lang w:eastAsia="en-US"/>
              </w:rPr>
              <w:t>CONPET S.A.</w:t>
            </w:r>
          </w:p>
        </w:tc>
      </w:tr>
      <w:tr w:rsidR="0028276A" w:rsidRPr="00A74CF5" w:rsidTr="00B7227F">
        <w:trPr>
          <w:trHeight w:val="780"/>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lang w:eastAsia="en-US"/>
              </w:rPr>
            </w:pPr>
            <w:r w:rsidRPr="00A74CF5">
              <w:rPr>
                <w:rFonts w:ascii="Arial" w:hAnsi="Arial" w:cs="Arial"/>
                <w:sz w:val="22"/>
                <w:szCs w:val="22"/>
                <w:lang w:eastAsia="en-US"/>
              </w:rPr>
              <w:t>Sediul social</w:t>
            </w:r>
          </w:p>
        </w:tc>
        <w:tc>
          <w:tcPr>
            <w:tcW w:w="4771" w:type="dxa"/>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lang w:eastAsia="en-US"/>
              </w:rPr>
            </w:pPr>
            <w:r w:rsidRPr="00A74CF5">
              <w:rPr>
                <w:rFonts w:ascii="Arial" w:hAnsi="Arial" w:cs="Arial"/>
                <w:sz w:val="22"/>
                <w:szCs w:val="22"/>
                <w:lang w:eastAsia="en-US"/>
              </w:rPr>
              <w:t>Str. Anul 1848, nr. 1-3, Ploieşti, Jud. Prahova, Cod poştal 100559</w:t>
            </w:r>
          </w:p>
        </w:tc>
      </w:tr>
      <w:tr w:rsidR="0028276A" w:rsidRPr="00A74CF5" w:rsidTr="00B7227F">
        <w:trPr>
          <w:trHeight w:val="519"/>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lang w:eastAsia="en-US"/>
              </w:rPr>
            </w:pPr>
            <w:r w:rsidRPr="00A74CF5">
              <w:rPr>
                <w:rFonts w:ascii="Arial" w:hAnsi="Arial" w:cs="Arial"/>
                <w:sz w:val="22"/>
                <w:szCs w:val="22"/>
                <w:lang w:eastAsia="en-US"/>
              </w:rPr>
              <w:t>Număr telefon/fax</w:t>
            </w:r>
          </w:p>
        </w:tc>
        <w:tc>
          <w:tcPr>
            <w:tcW w:w="4771" w:type="dxa"/>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lang w:eastAsia="en-US"/>
              </w:rPr>
            </w:pPr>
            <w:r w:rsidRPr="00A74CF5">
              <w:rPr>
                <w:rFonts w:ascii="Arial" w:hAnsi="Arial" w:cs="Arial"/>
                <w:sz w:val="22"/>
                <w:szCs w:val="22"/>
                <w:lang w:eastAsia="en-US"/>
              </w:rPr>
              <w:t>0244 401360 / 0244 516451</w:t>
            </w:r>
          </w:p>
        </w:tc>
      </w:tr>
      <w:tr w:rsidR="0028276A" w:rsidRPr="00A74CF5" w:rsidTr="00B7227F">
        <w:trPr>
          <w:trHeight w:val="519"/>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lang w:eastAsia="en-US"/>
              </w:rPr>
            </w:pPr>
            <w:r w:rsidRPr="00A74CF5">
              <w:rPr>
                <w:rFonts w:ascii="Arial" w:hAnsi="Arial" w:cs="Arial"/>
                <w:sz w:val="22"/>
                <w:szCs w:val="22"/>
                <w:lang w:eastAsia="en-US"/>
              </w:rPr>
              <w:t>E-mail / Internet</w:t>
            </w:r>
          </w:p>
        </w:tc>
        <w:tc>
          <w:tcPr>
            <w:tcW w:w="4771" w:type="dxa"/>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69434A" w:rsidP="0028276A">
            <w:pPr>
              <w:widowControl/>
              <w:autoSpaceDE/>
              <w:autoSpaceDN/>
              <w:adjustRightInd/>
              <w:rPr>
                <w:rFonts w:ascii="Arial" w:hAnsi="Arial" w:cs="Arial"/>
                <w:sz w:val="22"/>
                <w:szCs w:val="22"/>
                <w:lang w:eastAsia="en-US"/>
              </w:rPr>
            </w:pPr>
            <w:hyperlink r:id="rId9" w:history="1">
              <w:r w:rsidR="0028276A" w:rsidRPr="00A74CF5">
                <w:rPr>
                  <w:rFonts w:ascii="Arial" w:hAnsi="Arial" w:cs="Arial"/>
                  <w:sz w:val="22"/>
                  <w:szCs w:val="22"/>
                  <w:u w:val="single"/>
                  <w:lang w:eastAsia="en-US"/>
                </w:rPr>
                <w:t>conpet@conpet.ro</w:t>
              </w:r>
            </w:hyperlink>
            <w:r w:rsidR="0028276A" w:rsidRPr="00A74CF5">
              <w:rPr>
                <w:rFonts w:ascii="Arial" w:hAnsi="Arial" w:cs="Arial"/>
                <w:sz w:val="22"/>
                <w:szCs w:val="22"/>
                <w:lang w:eastAsia="en-US"/>
              </w:rPr>
              <w:t xml:space="preserve"> / </w:t>
            </w:r>
            <w:hyperlink r:id="rId10" w:history="1">
              <w:r w:rsidR="0028276A" w:rsidRPr="00A74CF5">
                <w:rPr>
                  <w:rFonts w:ascii="Arial" w:hAnsi="Arial" w:cs="Arial"/>
                  <w:color w:val="0000FF"/>
                  <w:sz w:val="22"/>
                  <w:szCs w:val="22"/>
                  <w:u w:val="single"/>
                  <w:lang w:eastAsia="en-US"/>
                </w:rPr>
                <w:t>www.conpet.ro</w:t>
              </w:r>
            </w:hyperlink>
          </w:p>
        </w:tc>
      </w:tr>
      <w:tr w:rsidR="0028276A" w:rsidRPr="00A74CF5" w:rsidTr="00B7227F">
        <w:trPr>
          <w:trHeight w:val="519"/>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lang w:eastAsia="en-US"/>
              </w:rPr>
            </w:pPr>
            <w:r w:rsidRPr="00A74CF5">
              <w:rPr>
                <w:rFonts w:ascii="Arial" w:hAnsi="Arial" w:cs="Arial"/>
                <w:sz w:val="22"/>
                <w:szCs w:val="22"/>
                <w:lang w:eastAsia="en-US"/>
              </w:rPr>
              <w:t>Cod unic de înregistrare la O.R.C.</w:t>
            </w:r>
          </w:p>
        </w:tc>
        <w:tc>
          <w:tcPr>
            <w:tcW w:w="4771" w:type="dxa"/>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lang w:eastAsia="en-US"/>
              </w:rPr>
            </w:pPr>
            <w:r w:rsidRPr="00A74CF5">
              <w:rPr>
                <w:rFonts w:ascii="Arial" w:hAnsi="Arial" w:cs="Arial"/>
                <w:sz w:val="22"/>
                <w:szCs w:val="22"/>
                <w:lang w:eastAsia="en-US"/>
              </w:rPr>
              <w:t>1350020</w:t>
            </w:r>
          </w:p>
        </w:tc>
      </w:tr>
      <w:tr w:rsidR="0028276A" w:rsidRPr="00A74CF5" w:rsidTr="00B7227F">
        <w:trPr>
          <w:trHeight w:val="506"/>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lang w:eastAsia="en-US"/>
              </w:rPr>
            </w:pPr>
            <w:r w:rsidRPr="00A74CF5">
              <w:rPr>
                <w:rFonts w:ascii="Arial" w:hAnsi="Arial" w:cs="Arial"/>
                <w:sz w:val="22"/>
                <w:szCs w:val="22"/>
                <w:lang w:eastAsia="en-US"/>
              </w:rPr>
              <w:t>Număr de ordine în Registrul Comerţului</w:t>
            </w:r>
          </w:p>
        </w:tc>
        <w:tc>
          <w:tcPr>
            <w:tcW w:w="4771" w:type="dxa"/>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lang w:eastAsia="en-US"/>
              </w:rPr>
            </w:pPr>
            <w:r w:rsidRPr="00A74CF5">
              <w:rPr>
                <w:rFonts w:ascii="Arial" w:hAnsi="Arial" w:cs="Arial"/>
                <w:sz w:val="22"/>
                <w:szCs w:val="22"/>
                <w:lang w:eastAsia="en-US"/>
              </w:rPr>
              <w:t>J29/6/22.01.1991</w:t>
            </w:r>
          </w:p>
        </w:tc>
      </w:tr>
      <w:tr w:rsidR="0028276A" w:rsidRPr="00A74CF5" w:rsidTr="00B7227F">
        <w:trPr>
          <w:trHeight w:val="780"/>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lang w:eastAsia="en-US"/>
              </w:rPr>
            </w:pPr>
          </w:p>
          <w:p w:rsidR="00AB5769" w:rsidRDefault="00AB5769"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lang w:eastAsia="en-US"/>
              </w:rPr>
            </w:pPr>
            <w:r w:rsidRPr="00A74CF5">
              <w:rPr>
                <w:rFonts w:ascii="Arial" w:hAnsi="Arial" w:cs="Arial"/>
                <w:sz w:val="22"/>
                <w:szCs w:val="22"/>
                <w:lang w:eastAsia="en-US"/>
              </w:rPr>
              <w:t>Piaţa reglementată pe care se tranzacţionează valorile mobiliare emise</w:t>
            </w:r>
          </w:p>
        </w:tc>
        <w:tc>
          <w:tcPr>
            <w:tcW w:w="4771" w:type="dxa"/>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lang w:eastAsia="en-US"/>
              </w:rPr>
            </w:pPr>
            <w:r w:rsidRPr="00A74CF5">
              <w:rPr>
                <w:rFonts w:ascii="Arial" w:hAnsi="Arial" w:cs="Arial"/>
                <w:sz w:val="22"/>
                <w:szCs w:val="22"/>
                <w:lang w:eastAsia="en-US"/>
              </w:rPr>
              <w:t>Bursa de Valori București, categoria Premium</w:t>
            </w:r>
          </w:p>
        </w:tc>
      </w:tr>
      <w:tr w:rsidR="0028276A" w:rsidRPr="00A74CF5" w:rsidTr="00B7227F">
        <w:trPr>
          <w:trHeight w:val="519"/>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lang w:eastAsia="en-US"/>
              </w:rPr>
            </w:pPr>
            <w:r w:rsidRPr="00A74CF5">
              <w:rPr>
                <w:rFonts w:ascii="Arial" w:hAnsi="Arial" w:cs="Arial"/>
                <w:sz w:val="22"/>
                <w:szCs w:val="22"/>
                <w:lang w:eastAsia="en-US"/>
              </w:rPr>
              <w:t>Capitalul social subscris şi vărsat integral</w:t>
            </w:r>
          </w:p>
        </w:tc>
        <w:tc>
          <w:tcPr>
            <w:tcW w:w="4771" w:type="dxa"/>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lang w:eastAsia="en-US"/>
              </w:rPr>
            </w:pPr>
            <w:r w:rsidRPr="00A74CF5">
              <w:rPr>
                <w:rFonts w:ascii="Arial" w:hAnsi="Arial" w:cs="Arial"/>
                <w:sz w:val="22"/>
                <w:szCs w:val="22"/>
                <w:lang w:eastAsia="en-US"/>
              </w:rPr>
              <w:t>28.569.842,40 lei</w:t>
            </w:r>
          </w:p>
        </w:tc>
      </w:tr>
      <w:tr w:rsidR="0028276A" w:rsidRPr="00A74CF5" w:rsidTr="00B7227F">
        <w:trPr>
          <w:trHeight w:val="780"/>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lang w:eastAsia="en-US"/>
              </w:rPr>
            </w:pPr>
            <w:r w:rsidRPr="00A74CF5">
              <w:rPr>
                <w:rFonts w:ascii="Arial" w:hAnsi="Arial" w:cs="Arial"/>
                <w:sz w:val="22"/>
                <w:szCs w:val="22"/>
                <w:lang w:eastAsia="en-US"/>
              </w:rPr>
              <w:t xml:space="preserve">Principalele caracteristici ale valorilor mobiliare </w:t>
            </w:r>
          </w:p>
        </w:tc>
        <w:tc>
          <w:tcPr>
            <w:tcW w:w="4771" w:type="dxa"/>
            <w:shd w:val="clear" w:color="auto" w:fill="auto"/>
            <w:vAlign w:val="center"/>
          </w:tcPr>
          <w:p w:rsidR="0028276A" w:rsidRPr="00346AA5" w:rsidRDefault="0028276A" w:rsidP="0028276A">
            <w:pPr>
              <w:widowControl/>
              <w:autoSpaceDE/>
              <w:autoSpaceDN/>
              <w:adjustRightInd/>
              <w:rPr>
                <w:rFonts w:ascii="Arial" w:hAnsi="Arial" w:cs="Arial"/>
                <w:sz w:val="22"/>
                <w:szCs w:val="22"/>
                <w:lang w:eastAsia="en-US"/>
              </w:rPr>
            </w:pPr>
          </w:p>
          <w:p w:rsidR="0028276A" w:rsidRPr="00346AA5" w:rsidRDefault="0028276A" w:rsidP="0028276A">
            <w:pPr>
              <w:widowControl/>
              <w:autoSpaceDE/>
              <w:autoSpaceDN/>
              <w:adjustRightInd/>
              <w:rPr>
                <w:rFonts w:ascii="Arial" w:hAnsi="Arial" w:cs="Arial"/>
                <w:sz w:val="22"/>
                <w:szCs w:val="22"/>
                <w:lang w:eastAsia="en-US"/>
              </w:rPr>
            </w:pPr>
            <w:r w:rsidRPr="00346AA5">
              <w:rPr>
                <w:rFonts w:ascii="Arial" w:hAnsi="Arial" w:cs="Arial"/>
                <w:sz w:val="22"/>
                <w:szCs w:val="22"/>
                <w:lang w:eastAsia="en-US"/>
              </w:rPr>
              <w:t>8.657.528 acțiuni  cu o valoare nominală  de 3,3 lei/actiune</w:t>
            </w:r>
          </w:p>
        </w:tc>
      </w:tr>
      <w:tr w:rsidR="0028276A" w:rsidRPr="00A74CF5" w:rsidTr="00564B3E">
        <w:trPr>
          <w:trHeight w:val="461"/>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lang w:eastAsia="en-US"/>
              </w:rPr>
            </w:pPr>
          </w:p>
          <w:p w:rsidR="00AB5769" w:rsidRDefault="00AB5769"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lang w:eastAsia="en-US"/>
              </w:rPr>
            </w:pPr>
            <w:r w:rsidRPr="00A74CF5">
              <w:rPr>
                <w:rFonts w:ascii="Arial" w:hAnsi="Arial" w:cs="Arial"/>
                <w:sz w:val="22"/>
                <w:szCs w:val="22"/>
                <w:lang w:eastAsia="en-US"/>
              </w:rPr>
              <w:t xml:space="preserve">Valoarea de piață totală  </w:t>
            </w:r>
          </w:p>
          <w:p w:rsidR="0028276A" w:rsidRPr="00A74CF5" w:rsidRDefault="0028276A" w:rsidP="0028276A">
            <w:pPr>
              <w:widowControl/>
              <w:autoSpaceDE/>
              <w:autoSpaceDN/>
              <w:adjustRightInd/>
              <w:rPr>
                <w:rFonts w:ascii="Arial" w:hAnsi="Arial" w:cs="Arial"/>
                <w:sz w:val="22"/>
                <w:szCs w:val="22"/>
                <w:lang w:eastAsia="en-US"/>
              </w:rPr>
            </w:pPr>
          </w:p>
        </w:tc>
        <w:tc>
          <w:tcPr>
            <w:tcW w:w="4771" w:type="dxa"/>
            <w:vAlign w:val="center"/>
          </w:tcPr>
          <w:p w:rsidR="0028276A" w:rsidRPr="0088609B" w:rsidRDefault="0028276A" w:rsidP="0028276A">
            <w:pPr>
              <w:widowControl/>
              <w:autoSpaceDE/>
              <w:autoSpaceDN/>
              <w:adjustRightInd/>
              <w:rPr>
                <w:rFonts w:ascii="Arial" w:hAnsi="Arial" w:cs="Arial"/>
                <w:sz w:val="22"/>
                <w:szCs w:val="22"/>
                <w:lang w:eastAsia="en-US"/>
              </w:rPr>
            </w:pPr>
          </w:p>
          <w:p w:rsidR="0028276A" w:rsidRPr="0088609B" w:rsidRDefault="004468E2" w:rsidP="00346AA5">
            <w:pPr>
              <w:widowControl/>
              <w:autoSpaceDE/>
              <w:autoSpaceDN/>
              <w:adjustRightInd/>
              <w:rPr>
                <w:rFonts w:ascii="Arial" w:hAnsi="Arial" w:cs="Arial"/>
                <w:sz w:val="22"/>
                <w:szCs w:val="22"/>
                <w:lang w:eastAsia="en-US"/>
              </w:rPr>
            </w:pPr>
            <w:r>
              <w:rPr>
                <w:rFonts w:ascii="Arial" w:hAnsi="Arial" w:cs="Arial"/>
                <w:sz w:val="22"/>
                <w:szCs w:val="22"/>
                <w:lang w:eastAsia="en-US"/>
              </w:rPr>
              <w:t>779.177.520 (</w:t>
            </w:r>
            <w:r w:rsidR="00D87C05">
              <w:rPr>
                <w:rFonts w:ascii="Arial" w:hAnsi="Arial" w:cs="Arial"/>
                <w:sz w:val="22"/>
                <w:szCs w:val="22"/>
                <w:lang w:eastAsia="en-US"/>
              </w:rPr>
              <w:t>90 lei/acț</w:t>
            </w:r>
            <w:r w:rsidR="0088609B" w:rsidRPr="0088609B">
              <w:rPr>
                <w:rFonts w:ascii="Arial" w:hAnsi="Arial" w:cs="Arial"/>
                <w:sz w:val="22"/>
                <w:szCs w:val="22"/>
                <w:lang w:eastAsia="en-US"/>
              </w:rPr>
              <w:t>iune la 29.06.2018)</w:t>
            </w:r>
          </w:p>
        </w:tc>
      </w:tr>
      <w:tr w:rsidR="0028276A" w:rsidRPr="00A74CF5" w:rsidTr="00B7227F">
        <w:trPr>
          <w:trHeight w:val="780"/>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lang w:eastAsia="en-US"/>
              </w:rPr>
            </w:pPr>
            <w:r w:rsidRPr="00A74CF5">
              <w:rPr>
                <w:rFonts w:ascii="Arial" w:hAnsi="Arial" w:cs="Arial"/>
                <w:sz w:val="22"/>
                <w:szCs w:val="22"/>
                <w:lang w:eastAsia="en-US"/>
              </w:rPr>
              <w:t>Standardul contabil aplicat</w:t>
            </w:r>
          </w:p>
        </w:tc>
        <w:tc>
          <w:tcPr>
            <w:tcW w:w="4771" w:type="dxa"/>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C916DE">
            <w:pPr>
              <w:widowControl/>
              <w:autoSpaceDE/>
              <w:autoSpaceDN/>
              <w:adjustRightInd/>
              <w:rPr>
                <w:rFonts w:ascii="Arial" w:hAnsi="Arial" w:cs="Arial"/>
                <w:sz w:val="22"/>
                <w:szCs w:val="22"/>
                <w:lang w:eastAsia="en-US"/>
              </w:rPr>
            </w:pPr>
            <w:r w:rsidRPr="00A74CF5">
              <w:rPr>
                <w:rFonts w:ascii="Arial" w:hAnsi="Arial" w:cs="Arial"/>
                <w:sz w:val="22"/>
                <w:szCs w:val="22"/>
                <w:lang w:eastAsia="en-US"/>
              </w:rPr>
              <w:t>Standardul Internațional de Contabilitate 34- „Raportarea Financiară Interimară”</w:t>
            </w:r>
          </w:p>
        </w:tc>
      </w:tr>
      <w:tr w:rsidR="0028276A" w:rsidRPr="00A74CF5" w:rsidTr="00B7227F">
        <w:trPr>
          <w:trHeight w:val="1288"/>
          <w:jc w:val="center"/>
        </w:trPr>
        <w:tc>
          <w:tcPr>
            <w:tcW w:w="5010" w:type="dxa"/>
            <w:gridSpan w:val="2"/>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lang w:eastAsia="en-US"/>
              </w:rPr>
            </w:pPr>
            <w:r w:rsidRPr="00A74CF5">
              <w:rPr>
                <w:rFonts w:ascii="Arial" w:hAnsi="Arial" w:cs="Arial"/>
                <w:sz w:val="22"/>
                <w:szCs w:val="22"/>
                <w:lang w:eastAsia="en-US"/>
              </w:rPr>
              <w:t>Auditarea</w:t>
            </w:r>
          </w:p>
        </w:tc>
        <w:tc>
          <w:tcPr>
            <w:tcW w:w="4771" w:type="dxa"/>
          </w:tcPr>
          <w:p w:rsidR="0028276A" w:rsidRPr="00A74CF5" w:rsidRDefault="0028276A" w:rsidP="0028276A">
            <w:pPr>
              <w:widowControl/>
              <w:autoSpaceDE/>
              <w:autoSpaceDN/>
              <w:adjustRightInd/>
              <w:rPr>
                <w:rFonts w:ascii="Arial" w:hAnsi="Arial" w:cs="Arial"/>
                <w:sz w:val="22"/>
                <w:szCs w:val="22"/>
                <w:lang w:eastAsia="en-US"/>
              </w:rPr>
            </w:pPr>
          </w:p>
          <w:p w:rsidR="009E43D9" w:rsidRPr="00EA06B8" w:rsidRDefault="0028276A" w:rsidP="0028276A">
            <w:pPr>
              <w:widowControl/>
              <w:autoSpaceDE/>
              <w:autoSpaceDN/>
              <w:adjustRightInd/>
              <w:rPr>
                <w:rFonts w:ascii="Arial" w:hAnsi="Arial" w:cs="Arial"/>
                <w:color w:val="FF0000"/>
                <w:sz w:val="22"/>
                <w:szCs w:val="22"/>
                <w:lang w:eastAsia="en-US"/>
              </w:rPr>
            </w:pPr>
            <w:r w:rsidRPr="00A74CF5">
              <w:rPr>
                <w:rFonts w:ascii="Arial" w:hAnsi="Arial" w:cs="Arial"/>
                <w:sz w:val="22"/>
                <w:szCs w:val="22"/>
                <w:lang w:eastAsia="en-US"/>
              </w:rPr>
              <w:t xml:space="preserve">Situațiile financiare interimare întocmite la data de </w:t>
            </w:r>
            <w:r w:rsidR="00A95D99">
              <w:rPr>
                <w:rFonts w:ascii="Arial" w:hAnsi="Arial" w:cs="Arial"/>
                <w:sz w:val="22"/>
                <w:szCs w:val="22"/>
                <w:lang w:eastAsia="en-US"/>
              </w:rPr>
              <w:t>30.06</w:t>
            </w:r>
            <w:r w:rsidR="00346AA5">
              <w:rPr>
                <w:rFonts w:ascii="Arial" w:hAnsi="Arial" w:cs="Arial"/>
                <w:sz w:val="22"/>
                <w:szCs w:val="22"/>
                <w:lang w:eastAsia="en-US"/>
              </w:rPr>
              <w:t>.</w:t>
            </w:r>
            <w:r w:rsidR="00DF2C30" w:rsidRPr="00A74CF5">
              <w:rPr>
                <w:rFonts w:ascii="Arial" w:hAnsi="Arial" w:cs="Arial"/>
                <w:sz w:val="22"/>
                <w:szCs w:val="22"/>
                <w:lang w:eastAsia="en-US"/>
              </w:rPr>
              <w:t>2018</w:t>
            </w:r>
            <w:r w:rsidR="00D9626F" w:rsidRPr="00A74CF5">
              <w:rPr>
                <w:rFonts w:ascii="Arial" w:hAnsi="Arial" w:cs="Arial"/>
                <w:sz w:val="22"/>
                <w:szCs w:val="22"/>
                <w:lang w:eastAsia="en-US"/>
              </w:rPr>
              <w:t xml:space="preserve"> </w:t>
            </w:r>
            <w:r w:rsidR="00BA2631" w:rsidRPr="00BA2631">
              <w:rPr>
                <w:rFonts w:ascii="Arial" w:hAnsi="Arial" w:cs="Arial"/>
                <w:sz w:val="22"/>
                <w:szCs w:val="22"/>
                <w:lang w:eastAsia="en-US"/>
              </w:rPr>
              <w:t>sunt revizuite</w:t>
            </w:r>
            <w:r w:rsidR="00D407A0" w:rsidRPr="00BA2631">
              <w:rPr>
                <w:rFonts w:ascii="Arial" w:hAnsi="Arial" w:cs="Arial"/>
                <w:sz w:val="22"/>
                <w:szCs w:val="22"/>
                <w:lang w:eastAsia="en-US"/>
              </w:rPr>
              <w:t xml:space="preserve"> </w:t>
            </w:r>
          </w:p>
          <w:p w:rsidR="00072D3E" w:rsidRPr="00A74CF5" w:rsidRDefault="00072D3E" w:rsidP="0028276A">
            <w:pPr>
              <w:widowControl/>
              <w:autoSpaceDE/>
              <w:autoSpaceDN/>
              <w:adjustRightInd/>
              <w:rPr>
                <w:rFonts w:ascii="Arial" w:hAnsi="Arial" w:cs="Arial"/>
                <w:sz w:val="22"/>
                <w:szCs w:val="22"/>
                <w:lang w:eastAsia="en-US"/>
              </w:rPr>
            </w:pPr>
          </w:p>
        </w:tc>
      </w:tr>
      <w:tr w:rsidR="00405B2D" w:rsidRPr="00A74CF5" w:rsidTr="00B7227F">
        <w:tblPrEx>
          <w:jc w:val="left"/>
          <w:tblCellMar>
            <w:left w:w="0" w:type="dxa"/>
            <w:right w:w="0" w:type="dxa"/>
          </w:tblCellMar>
          <w:tblLook w:val="04A0" w:firstRow="1" w:lastRow="0" w:firstColumn="1" w:lastColumn="0" w:noHBand="0" w:noVBand="1"/>
        </w:tblPrEx>
        <w:trPr>
          <w:gridBefore w:val="1"/>
          <w:wBefore w:w="10" w:type="dxa"/>
          <w:trHeight w:val="331"/>
        </w:trPr>
        <w:tc>
          <w:tcPr>
            <w:tcW w:w="9771"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62" w:type="dxa"/>
              <w:bottom w:w="0" w:type="dxa"/>
              <w:right w:w="62" w:type="dxa"/>
            </w:tcMar>
            <w:vAlign w:val="center"/>
          </w:tcPr>
          <w:p w:rsidR="00170C8B" w:rsidRDefault="00170C8B" w:rsidP="00BD09E3">
            <w:pPr>
              <w:widowControl/>
              <w:autoSpaceDE/>
              <w:autoSpaceDN/>
              <w:adjustRightInd/>
              <w:rPr>
                <w:rFonts w:ascii="Arial" w:hAnsi="Arial" w:cs="Arial"/>
                <w:b/>
                <w:sz w:val="22"/>
                <w:szCs w:val="22"/>
                <w:lang w:val="en-US" w:eastAsia="en-US"/>
              </w:rPr>
            </w:pPr>
          </w:p>
          <w:p w:rsidR="00934797" w:rsidRDefault="00934797" w:rsidP="00BD09E3">
            <w:pPr>
              <w:widowControl/>
              <w:autoSpaceDE/>
              <w:autoSpaceDN/>
              <w:adjustRightInd/>
              <w:rPr>
                <w:rFonts w:ascii="Arial" w:hAnsi="Arial" w:cs="Arial"/>
                <w:b/>
                <w:sz w:val="22"/>
                <w:szCs w:val="22"/>
                <w:lang w:val="en-US" w:eastAsia="en-US"/>
              </w:rPr>
            </w:pPr>
          </w:p>
          <w:p w:rsidR="00564B3E" w:rsidRPr="00A74CF5" w:rsidRDefault="00564B3E" w:rsidP="00BD09E3">
            <w:pPr>
              <w:widowControl/>
              <w:autoSpaceDE/>
              <w:autoSpaceDN/>
              <w:adjustRightInd/>
              <w:rPr>
                <w:rFonts w:ascii="Arial" w:hAnsi="Arial" w:cs="Arial"/>
                <w:b/>
                <w:sz w:val="22"/>
                <w:szCs w:val="22"/>
                <w:lang w:val="en-US" w:eastAsia="en-US"/>
              </w:rPr>
            </w:pPr>
          </w:p>
          <w:p w:rsidR="0043743F" w:rsidRDefault="0043743F" w:rsidP="00BD09E3">
            <w:pPr>
              <w:widowControl/>
              <w:autoSpaceDE/>
              <w:autoSpaceDN/>
              <w:adjustRightInd/>
              <w:rPr>
                <w:rFonts w:ascii="Arial" w:hAnsi="Arial" w:cs="Arial"/>
                <w:b/>
                <w:sz w:val="22"/>
                <w:szCs w:val="22"/>
                <w:lang w:val="en-US" w:eastAsia="en-US"/>
              </w:rPr>
            </w:pPr>
          </w:p>
          <w:p w:rsidR="00BA5EE2" w:rsidRDefault="00BA5EE2" w:rsidP="00BD09E3">
            <w:pPr>
              <w:widowControl/>
              <w:autoSpaceDE/>
              <w:autoSpaceDN/>
              <w:adjustRightInd/>
              <w:rPr>
                <w:rFonts w:ascii="Arial" w:hAnsi="Arial" w:cs="Arial"/>
                <w:b/>
                <w:color w:val="5B9BD5" w:themeColor="accent1"/>
                <w:sz w:val="22"/>
                <w:szCs w:val="22"/>
                <w:lang w:val="en-US" w:eastAsia="en-US"/>
              </w:rPr>
            </w:pPr>
          </w:p>
          <w:p w:rsidR="00556136" w:rsidRPr="003605B2" w:rsidRDefault="00556136" w:rsidP="00BD09E3">
            <w:pPr>
              <w:widowControl/>
              <w:autoSpaceDE/>
              <w:autoSpaceDN/>
              <w:adjustRightInd/>
              <w:rPr>
                <w:rFonts w:ascii="Arial" w:hAnsi="Arial" w:cs="Arial"/>
                <w:b/>
                <w:color w:val="5B9BD5" w:themeColor="accent1"/>
                <w:sz w:val="22"/>
                <w:szCs w:val="22"/>
                <w:lang w:val="en-US" w:eastAsia="en-US"/>
              </w:rPr>
            </w:pPr>
          </w:p>
          <w:p w:rsidR="006F2A2B" w:rsidRPr="009828D6" w:rsidRDefault="006F2A2B" w:rsidP="006F2A2B">
            <w:pPr>
              <w:jc w:val="both"/>
              <w:rPr>
                <w:rFonts w:ascii="Arial" w:hAnsi="Arial" w:cs="Arial"/>
                <w:b/>
                <w:color w:val="1F4E79" w:themeColor="accent1" w:themeShade="80"/>
                <w:w w:val="105"/>
                <w:sz w:val="24"/>
                <w:szCs w:val="24"/>
              </w:rPr>
            </w:pPr>
            <w:r w:rsidRPr="009828D6">
              <w:rPr>
                <w:rFonts w:ascii="Arial" w:hAnsi="Arial" w:cs="Arial"/>
                <w:b/>
                <w:color w:val="1F4E79" w:themeColor="accent1" w:themeShade="80"/>
                <w:w w:val="105"/>
                <w:sz w:val="24"/>
                <w:szCs w:val="24"/>
              </w:rPr>
              <w:lastRenderedPageBreak/>
              <w:t>1.2 Activități principale</w:t>
            </w:r>
          </w:p>
          <w:p w:rsidR="006F2A2B" w:rsidRPr="006F2A2B" w:rsidRDefault="006F2A2B" w:rsidP="006F2A2B">
            <w:pPr>
              <w:jc w:val="both"/>
              <w:rPr>
                <w:rFonts w:ascii="Arial" w:hAnsi="Arial" w:cs="Arial"/>
                <w:b/>
                <w:color w:val="1F4E79" w:themeColor="accent1" w:themeShade="80"/>
                <w:w w:val="105"/>
                <w:sz w:val="22"/>
                <w:szCs w:val="22"/>
              </w:rPr>
            </w:pPr>
          </w:p>
          <w:p w:rsidR="006F2A2B" w:rsidRPr="006F2A2B" w:rsidRDefault="006F2A2B" w:rsidP="006F2A2B">
            <w:pPr>
              <w:pStyle w:val="Text"/>
              <w:spacing w:after="0" w:line="276" w:lineRule="auto"/>
              <w:rPr>
                <w:rFonts w:ascii="Arial" w:hAnsi="Arial" w:cs="Arial"/>
                <w:szCs w:val="22"/>
                <w:lang w:val="ro-RO"/>
              </w:rPr>
            </w:pPr>
            <w:r w:rsidRPr="006F2A2B">
              <w:rPr>
                <w:rFonts w:ascii="Arial" w:hAnsi="Arial" w:cs="Arial"/>
                <w:szCs w:val="22"/>
                <w:lang w:val="ro-RO"/>
              </w:rPr>
              <w:t xml:space="preserve">CONPET este o societate pe acțiuni, înființată în baza Legii nr. 31/1990 privind societățile, republicată, cu modificările și completările ulterioare, și </w:t>
            </w:r>
            <w:r w:rsidR="0075026A">
              <w:rPr>
                <w:rFonts w:ascii="Arial" w:hAnsi="Arial" w:cs="Arial"/>
                <w:szCs w:val="22"/>
                <w:lang w:val="ro-RO"/>
              </w:rPr>
              <w:t>î</w:t>
            </w:r>
            <w:r w:rsidRPr="006F2A2B">
              <w:rPr>
                <w:rFonts w:ascii="Arial" w:hAnsi="Arial" w:cs="Arial"/>
                <w:szCs w:val="22"/>
                <w:lang w:val="ro-RO"/>
              </w:rPr>
              <w:t xml:space="preserve">și desfașoară activitatea în conformitate cu legile române și Actul </w:t>
            </w:r>
            <w:r w:rsidR="003605B2">
              <w:rPr>
                <w:rFonts w:ascii="Arial" w:hAnsi="Arial" w:cs="Arial"/>
                <w:szCs w:val="22"/>
                <w:lang w:val="ro-RO"/>
              </w:rPr>
              <w:t>C</w:t>
            </w:r>
            <w:r w:rsidRPr="006F2A2B">
              <w:rPr>
                <w:rFonts w:ascii="Arial" w:hAnsi="Arial" w:cs="Arial"/>
                <w:szCs w:val="22"/>
                <w:lang w:val="ro-RO"/>
              </w:rPr>
              <w:t>onstitutiv. CONPET este o societate deținută public, lista</w:t>
            </w:r>
            <w:r w:rsidR="007E2E52">
              <w:rPr>
                <w:rFonts w:ascii="Arial" w:hAnsi="Arial" w:cs="Arial"/>
                <w:szCs w:val="22"/>
                <w:lang w:val="ro-RO"/>
              </w:rPr>
              <w:t>tă la Bursa de Valori București</w:t>
            </w:r>
            <w:r w:rsidRPr="006F2A2B">
              <w:rPr>
                <w:rFonts w:ascii="Arial" w:hAnsi="Arial" w:cs="Arial"/>
                <w:szCs w:val="22"/>
                <w:lang w:val="ro-RO"/>
              </w:rPr>
              <w:t>, simbol bursier - COTE.</w:t>
            </w:r>
          </w:p>
          <w:p w:rsidR="006F2A2B" w:rsidRPr="006F2A2B" w:rsidRDefault="006F2A2B" w:rsidP="006F2A2B">
            <w:pPr>
              <w:jc w:val="both"/>
              <w:rPr>
                <w:rFonts w:ascii="Arial" w:hAnsi="Arial" w:cs="Arial"/>
                <w:b/>
                <w:color w:val="1F4E79" w:themeColor="accent1" w:themeShade="80"/>
                <w:w w:val="105"/>
                <w:sz w:val="22"/>
                <w:szCs w:val="22"/>
              </w:rPr>
            </w:pPr>
          </w:p>
          <w:p w:rsidR="006F2A2B" w:rsidRPr="009828D6" w:rsidRDefault="006F2A2B" w:rsidP="006F2A2B">
            <w:pPr>
              <w:pStyle w:val="Text"/>
              <w:spacing w:after="0"/>
              <w:rPr>
                <w:rFonts w:ascii="Arial" w:hAnsi="Arial" w:cs="Arial"/>
                <w:b/>
                <w:bCs/>
                <w:color w:val="1F4E79" w:themeColor="accent1" w:themeShade="80"/>
                <w:sz w:val="24"/>
                <w:szCs w:val="24"/>
              </w:rPr>
            </w:pPr>
            <w:r w:rsidRPr="009828D6">
              <w:rPr>
                <w:rFonts w:ascii="Arial" w:hAnsi="Arial" w:cs="Arial"/>
                <w:b/>
                <w:bCs/>
                <w:color w:val="1F4E79" w:themeColor="accent1" w:themeShade="80"/>
                <w:sz w:val="24"/>
                <w:szCs w:val="24"/>
              </w:rPr>
              <w:t>1.3 Misiunea, viziunea și valorile societății</w:t>
            </w:r>
          </w:p>
          <w:p w:rsidR="006F2A2B" w:rsidRPr="006F2A2B" w:rsidRDefault="006F2A2B" w:rsidP="006F2A2B">
            <w:pPr>
              <w:widowControl/>
              <w:tabs>
                <w:tab w:val="left" w:pos="1140"/>
              </w:tabs>
              <w:spacing w:line="276" w:lineRule="auto"/>
              <w:jc w:val="both"/>
              <w:rPr>
                <w:rFonts w:ascii="Arial" w:eastAsiaTheme="minorHAnsi" w:hAnsi="Arial" w:cs="Arial"/>
                <w:b/>
                <w:bCs/>
                <w:sz w:val="22"/>
                <w:szCs w:val="22"/>
                <w:lang w:eastAsia="en-US"/>
              </w:rPr>
            </w:pPr>
          </w:p>
          <w:p w:rsidR="006F2A2B" w:rsidRPr="006F2A2B" w:rsidRDefault="006F2A2B" w:rsidP="006F2A2B">
            <w:pPr>
              <w:widowControl/>
              <w:tabs>
                <w:tab w:val="left" w:pos="1140"/>
              </w:tabs>
              <w:spacing w:line="276" w:lineRule="auto"/>
              <w:jc w:val="both"/>
              <w:rPr>
                <w:rFonts w:ascii="Arial" w:eastAsiaTheme="minorHAnsi" w:hAnsi="Arial" w:cs="Arial"/>
                <w:sz w:val="22"/>
                <w:szCs w:val="22"/>
                <w:lang w:val="x-none" w:eastAsia="en-US"/>
              </w:rPr>
            </w:pPr>
            <w:r w:rsidRPr="006F2A2B">
              <w:rPr>
                <w:rFonts w:ascii="Arial" w:eastAsiaTheme="minorHAnsi" w:hAnsi="Arial" w:cs="Arial"/>
                <w:b/>
                <w:bCs/>
                <w:sz w:val="22"/>
                <w:szCs w:val="22"/>
                <w:lang w:eastAsia="en-US"/>
              </w:rPr>
              <w:t>M</w:t>
            </w:r>
            <w:r w:rsidRPr="006F2A2B">
              <w:rPr>
                <w:rFonts w:ascii="Arial" w:eastAsiaTheme="minorHAnsi" w:hAnsi="Arial" w:cs="Arial"/>
                <w:b/>
                <w:bCs/>
                <w:sz w:val="22"/>
                <w:szCs w:val="22"/>
                <w:lang w:val="x-none" w:eastAsia="en-US"/>
              </w:rPr>
              <w:t>isiunea</w:t>
            </w:r>
            <w:r w:rsidRPr="006F2A2B">
              <w:rPr>
                <w:rFonts w:ascii="Arial" w:eastAsiaTheme="minorHAnsi" w:hAnsi="Arial" w:cs="Arial"/>
                <w:sz w:val="22"/>
                <w:szCs w:val="22"/>
                <w:lang w:val="x-none" w:eastAsia="en-US"/>
              </w:rPr>
              <w:t xml:space="preserve"> CONPET </w:t>
            </w:r>
            <w:r w:rsidRPr="006F2A2B">
              <w:rPr>
                <w:rFonts w:ascii="Arial" w:eastAsiaTheme="minorHAnsi" w:hAnsi="Arial" w:cs="Arial"/>
                <w:sz w:val="22"/>
                <w:szCs w:val="22"/>
                <w:lang w:eastAsia="en-US"/>
              </w:rPr>
              <w:t xml:space="preserve">este </w:t>
            </w:r>
            <w:r w:rsidRPr="006F2A2B">
              <w:rPr>
                <w:rFonts w:ascii="Arial" w:eastAsiaTheme="minorHAnsi" w:hAnsi="Arial" w:cs="Arial"/>
                <w:sz w:val="22"/>
                <w:szCs w:val="22"/>
                <w:lang w:val="x-none" w:eastAsia="en-US"/>
              </w:rPr>
              <w:t>exploata</w:t>
            </w:r>
            <w:r w:rsidRPr="006F2A2B">
              <w:rPr>
                <w:rFonts w:ascii="Arial" w:eastAsiaTheme="minorHAnsi" w:hAnsi="Arial" w:cs="Arial"/>
                <w:sz w:val="22"/>
                <w:szCs w:val="22"/>
                <w:lang w:eastAsia="en-US"/>
              </w:rPr>
              <w:t>rea</w:t>
            </w:r>
            <w:r w:rsidRPr="006F2A2B">
              <w:rPr>
                <w:rFonts w:ascii="Arial" w:eastAsiaTheme="minorHAnsi" w:hAnsi="Arial" w:cs="Arial"/>
                <w:sz w:val="22"/>
                <w:szCs w:val="22"/>
                <w:lang w:val="x-none" w:eastAsia="en-US"/>
              </w:rPr>
              <w:t xml:space="preserve"> Sistemul Naţional de Transport al țițeiului în condiţii de siguranţă şi eficienţă precum și asigurarea accesului liber la capacitatea disponibilă a sistemului pentru toți solicitanţii, persoane juridice autorizate, în condiţii egale, în mod nediscriminatoriu şi transparent.</w:t>
            </w:r>
          </w:p>
          <w:p w:rsidR="006F2A2B" w:rsidRPr="006F2A2B" w:rsidRDefault="006F2A2B" w:rsidP="006F2A2B">
            <w:pPr>
              <w:widowControl/>
              <w:tabs>
                <w:tab w:val="left" w:pos="1140"/>
              </w:tabs>
              <w:spacing w:line="276" w:lineRule="auto"/>
              <w:rPr>
                <w:rFonts w:ascii="Arial" w:eastAsiaTheme="minorHAnsi" w:hAnsi="Arial" w:cs="Arial"/>
                <w:sz w:val="22"/>
                <w:szCs w:val="22"/>
                <w:lang w:val="x-none" w:eastAsia="en-US"/>
              </w:rPr>
            </w:pPr>
          </w:p>
          <w:p w:rsidR="006F2A2B" w:rsidRPr="006F2A2B" w:rsidRDefault="006F2A2B" w:rsidP="006F2A2B">
            <w:pPr>
              <w:widowControl/>
              <w:tabs>
                <w:tab w:val="left" w:pos="1140"/>
              </w:tabs>
              <w:spacing w:line="276" w:lineRule="auto"/>
              <w:jc w:val="both"/>
              <w:rPr>
                <w:rFonts w:ascii="Arial" w:eastAsiaTheme="minorHAnsi" w:hAnsi="Arial" w:cs="Arial"/>
                <w:sz w:val="22"/>
                <w:szCs w:val="22"/>
                <w:lang w:val="x-none" w:eastAsia="en-US"/>
              </w:rPr>
            </w:pPr>
            <w:r w:rsidRPr="006F2A2B">
              <w:rPr>
                <w:rFonts w:ascii="Arial" w:eastAsiaTheme="minorHAnsi" w:hAnsi="Arial" w:cs="Arial"/>
                <w:b/>
                <w:bCs/>
                <w:sz w:val="22"/>
                <w:szCs w:val="22"/>
                <w:lang w:val="x-none" w:eastAsia="en-US"/>
              </w:rPr>
              <w:t>Viziunea societății</w:t>
            </w:r>
            <w:r w:rsidRPr="006F2A2B">
              <w:rPr>
                <w:rFonts w:ascii="Arial" w:eastAsiaTheme="minorHAnsi" w:hAnsi="Arial" w:cs="Arial"/>
                <w:sz w:val="22"/>
                <w:szCs w:val="22"/>
                <w:lang w:val="x-none" w:eastAsia="en-US"/>
              </w:rPr>
              <w:t xml:space="preserve"> este aceea de a-și păstra poziția de jucător strategic în industria de petrol ca transportator de ţiţei, gazolină, condensat şi etan lichid prin conducte şi CF în România şi, în perspectivă să devină un jucător regional important.</w:t>
            </w:r>
          </w:p>
          <w:p w:rsidR="006F2A2B" w:rsidRPr="006F2A2B" w:rsidRDefault="006F2A2B" w:rsidP="006F2A2B">
            <w:pPr>
              <w:widowControl/>
              <w:tabs>
                <w:tab w:val="left" w:pos="1140"/>
              </w:tabs>
              <w:spacing w:line="276" w:lineRule="auto"/>
              <w:jc w:val="both"/>
              <w:rPr>
                <w:rFonts w:ascii="Arial" w:eastAsiaTheme="minorHAnsi" w:hAnsi="Arial" w:cs="Arial"/>
                <w:b/>
                <w:bCs/>
                <w:sz w:val="22"/>
                <w:szCs w:val="22"/>
                <w:lang w:val="x-none" w:eastAsia="en-US"/>
              </w:rPr>
            </w:pPr>
          </w:p>
          <w:p w:rsidR="006F2A2B" w:rsidRPr="006F2A2B" w:rsidRDefault="006F2A2B" w:rsidP="006F2A2B">
            <w:pPr>
              <w:widowControl/>
              <w:tabs>
                <w:tab w:val="left" w:pos="1140"/>
              </w:tabs>
              <w:spacing w:line="276" w:lineRule="auto"/>
              <w:jc w:val="both"/>
              <w:rPr>
                <w:rFonts w:ascii="Arial" w:eastAsiaTheme="minorHAnsi" w:hAnsi="Arial" w:cs="Arial"/>
                <w:sz w:val="22"/>
                <w:szCs w:val="22"/>
                <w:lang w:val="x-none" w:eastAsia="en-US"/>
              </w:rPr>
            </w:pPr>
            <w:r w:rsidRPr="006F2A2B">
              <w:rPr>
                <w:rFonts w:ascii="Arial" w:eastAsiaTheme="minorHAnsi" w:hAnsi="Arial" w:cs="Arial"/>
                <w:b/>
                <w:bCs/>
                <w:sz w:val="22"/>
                <w:szCs w:val="22"/>
                <w:lang w:val="x-none" w:eastAsia="en-US"/>
              </w:rPr>
              <w:t>Valorile societății</w:t>
            </w:r>
            <w:r w:rsidRPr="006F2A2B">
              <w:rPr>
                <w:rFonts w:ascii="Arial" w:eastAsiaTheme="minorHAnsi" w:hAnsi="Arial" w:cs="Arial"/>
                <w:sz w:val="22"/>
                <w:szCs w:val="22"/>
                <w:lang w:val="x-none" w:eastAsia="en-US"/>
              </w:rPr>
              <w:t xml:space="preserve">  au fost identificate și orientate pentru:</w:t>
            </w:r>
          </w:p>
          <w:p w:rsidR="006F2A2B" w:rsidRPr="006F2A2B" w:rsidRDefault="006F2A2B" w:rsidP="00170D7E">
            <w:pPr>
              <w:widowControl/>
              <w:numPr>
                <w:ilvl w:val="0"/>
                <w:numId w:val="21"/>
              </w:numPr>
              <w:tabs>
                <w:tab w:val="left" w:pos="1140"/>
              </w:tabs>
              <w:autoSpaceDE/>
              <w:autoSpaceDN/>
              <w:adjustRightInd/>
              <w:spacing w:line="276" w:lineRule="auto"/>
              <w:jc w:val="both"/>
              <w:rPr>
                <w:rFonts w:ascii="Arial" w:eastAsiaTheme="minorHAnsi" w:hAnsi="Arial" w:cs="Arial"/>
                <w:sz w:val="22"/>
                <w:szCs w:val="22"/>
                <w:lang w:val="x-none" w:eastAsia="en-US"/>
              </w:rPr>
            </w:pPr>
            <w:r w:rsidRPr="006F2A2B">
              <w:rPr>
                <w:rFonts w:ascii="Arial" w:eastAsiaTheme="minorHAnsi" w:hAnsi="Arial" w:cs="Arial"/>
                <w:sz w:val="22"/>
                <w:szCs w:val="22"/>
                <w:lang w:val="x-none" w:eastAsia="en-US"/>
              </w:rPr>
              <w:t>învățare și perfecționare continuă;</w:t>
            </w:r>
          </w:p>
          <w:p w:rsidR="006F2A2B" w:rsidRPr="006F2A2B" w:rsidRDefault="006F2A2B" w:rsidP="00170D7E">
            <w:pPr>
              <w:widowControl/>
              <w:numPr>
                <w:ilvl w:val="0"/>
                <w:numId w:val="21"/>
              </w:numPr>
              <w:tabs>
                <w:tab w:val="left" w:pos="1140"/>
              </w:tabs>
              <w:autoSpaceDE/>
              <w:autoSpaceDN/>
              <w:adjustRightInd/>
              <w:spacing w:line="276" w:lineRule="auto"/>
              <w:jc w:val="both"/>
              <w:rPr>
                <w:rFonts w:ascii="Arial" w:eastAsiaTheme="minorHAnsi" w:hAnsi="Arial" w:cs="Arial"/>
                <w:sz w:val="22"/>
                <w:szCs w:val="22"/>
                <w:lang w:val="x-none" w:eastAsia="en-US"/>
              </w:rPr>
            </w:pPr>
            <w:r w:rsidRPr="006F2A2B">
              <w:rPr>
                <w:rFonts w:ascii="Arial" w:eastAsiaTheme="minorHAnsi" w:hAnsi="Arial" w:cs="Arial"/>
                <w:sz w:val="22"/>
                <w:szCs w:val="22"/>
                <w:lang w:val="x-none" w:eastAsia="en-US"/>
              </w:rPr>
              <w:t>respect pentru oameni și mediu;</w:t>
            </w:r>
          </w:p>
          <w:p w:rsidR="006F2A2B" w:rsidRPr="006F2A2B" w:rsidRDefault="006F2A2B" w:rsidP="00170D7E">
            <w:pPr>
              <w:widowControl/>
              <w:numPr>
                <w:ilvl w:val="0"/>
                <w:numId w:val="21"/>
              </w:numPr>
              <w:tabs>
                <w:tab w:val="left" w:pos="1140"/>
              </w:tabs>
              <w:autoSpaceDE/>
              <w:autoSpaceDN/>
              <w:adjustRightInd/>
              <w:spacing w:line="276" w:lineRule="auto"/>
              <w:jc w:val="both"/>
              <w:rPr>
                <w:rFonts w:ascii="Arial" w:eastAsiaTheme="minorHAnsi" w:hAnsi="Arial" w:cs="Arial"/>
                <w:sz w:val="22"/>
                <w:szCs w:val="22"/>
                <w:lang w:val="x-none" w:eastAsia="en-US"/>
              </w:rPr>
            </w:pPr>
            <w:r w:rsidRPr="006F2A2B">
              <w:rPr>
                <w:rFonts w:ascii="Arial" w:eastAsiaTheme="minorHAnsi" w:hAnsi="Arial" w:cs="Arial"/>
                <w:sz w:val="22"/>
                <w:szCs w:val="22"/>
                <w:lang w:val="x-none" w:eastAsia="en-US"/>
              </w:rPr>
              <w:t>deschidere și creștere calitativă;</w:t>
            </w:r>
          </w:p>
          <w:p w:rsidR="006F2A2B" w:rsidRPr="006F2A2B" w:rsidRDefault="006F2A2B" w:rsidP="00170D7E">
            <w:pPr>
              <w:widowControl/>
              <w:numPr>
                <w:ilvl w:val="0"/>
                <w:numId w:val="21"/>
              </w:numPr>
              <w:tabs>
                <w:tab w:val="left" w:pos="1140"/>
              </w:tabs>
              <w:autoSpaceDE/>
              <w:autoSpaceDN/>
              <w:adjustRightInd/>
              <w:spacing w:line="276" w:lineRule="auto"/>
              <w:jc w:val="both"/>
              <w:rPr>
                <w:rFonts w:ascii="Arial" w:eastAsiaTheme="minorHAnsi" w:hAnsi="Arial" w:cs="Arial"/>
                <w:sz w:val="22"/>
                <w:szCs w:val="22"/>
                <w:lang w:val="x-none" w:eastAsia="en-US"/>
              </w:rPr>
            </w:pPr>
            <w:r w:rsidRPr="006F2A2B">
              <w:rPr>
                <w:rFonts w:ascii="Arial" w:eastAsiaTheme="minorHAnsi" w:hAnsi="Arial" w:cs="Arial"/>
                <w:sz w:val="22"/>
                <w:szCs w:val="22"/>
                <w:lang w:val="x-none" w:eastAsia="en-US"/>
              </w:rPr>
              <w:t>flexibilitate și dinamism;</w:t>
            </w:r>
          </w:p>
          <w:p w:rsidR="006F2A2B" w:rsidRDefault="006F2A2B" w:rsidP="00170D7E">
            <w:pPr>
              <w:widowControl/>
              <w:numPr>
                <w:ilvl w:val="0"/>
                <w:numId w:val="21"/>
              </w:numPr>
              <w:tabs>
                <w:tab w:val="left" w:pos="1140"/>
              </w:tabs>
              <w:autoSpaceDE/>
              <w:autoSpaceDN/>
              <w:adjustRightInd/>
              <w:spacing w:line="276" w:lineRule="auto"/>
              <w:jc w:val="both"/>
              <w:rPr>
                <w:rFonts w:ascii="Arial" w:eastAsiaTheme="minorHAnsi" w:hAnsi="Arial" w:cs="Arial"/>
                <w:sz w:val="22"/>
                <w:szCs w:val="22"/>
                <w:lang w:val="x-none" w:eastAsia="en-US"/>
              </w:rPr>
            </w:pPr>
            <w:r w:rsidRPr="006F2A2B">
              <w:rPr>
                <w:rFonts w:ascii="Arial" w:eastAsiaTheme="minorHAnsi" w:hAnsi="Arial" w:cs="Arial"/>
                <w:sz w:val="22"/>
                <w:szCs w:val="22"/>
                <w:lang w:val="x-none" w:eastAsia="en-US"/>
              </w:rPr>
              <w:t>comunicare și cooperare.</w:t>
            </w:r>
          </w:p>
          <w:p w:rsidR="006F2A2B" w:rsidRDefault="006F2A2B" w:rsidP="006F2A2B">
            <w:pPr>
              <w:widowControl/>
              <w:tabs>
                <w:tab w:val="left" w:pos="1140"/>
              </w:tabs>
              <w:autoSpaceDE/>
              <w:autoSpaceDN/>
              <w:adjustRightInd/>
              <w:spacing w:line="276" w:lineRule="auto"/>
              <w:jc w:val="both"/>
              <w:rPr>
                <w:rFonts w:ascii="Arial" w:eastAsiaTheme="minorHAnsi" w:hAnsi="Arial" w:cs="Arial"/>
                <w:sz w:val="22"/>
                <w:szCs w:val="22"/>
                <w:lang w:val="x-none" w:eastAsia="en-US"/>
              </w:rPr>
            </w:pPr>
          </w:p>
          <w:p w:rsidR="006F2A2B" w:rsidRPr="009828D6" w:rsidRDefault="006F2A2B" w:rsidP="006F2A2B">
            <w:pPr>
              <w:jc w:val="both"/>
              <w:rPr>
                <w:rFonts w:ascii="Arial" w:hAnsi="Arial" w:cs="Arial"/>
                <w:b/>
                <w:color w:val="1F4E79" w:themeColor="accent1" w:themeShade="80"/>
                <w:spacing w:val="3"/>
                <w:sz w:val="24"/>
                <w:szCs w:val="24"/>
              </w:rPr>
            </w:pPr>
            <w:r w:rsidRPr="009828D6">
              <w:rPr>
                <w:rFonts w:ascii="Arial" w:hAnsi="Arial" w:cs="Arial"/>
                <w:b/>
                <w:color w:val="1F4E79" w:themeColor="accent1" w:themeShade="80"/>
                <w:w w:val="105"/>
                <w:sz w:val="24"/>
                <w:szCs w:val="24"/>
              </w:rPr>
              <w:t>1.</w:t>
            </w:r>
            <w:r w:rsidR="003605B2" w:rsidRPr="009828D6">
              <w:rPr>
                <w:rFonts w:ascii="Arial" w:hAnsi="Arial" w:cs="Arial"/>
                <w:b/>
                <w:color w:val="1F4E79" w:themeColor="accent1" w:themeShade="80"/>
                <w:w w:val="105"/>
                <w:sz w:val="24"/>
                <w:szCs w:val="24"/>
              </w:rPr>
              <w:t>4</w:t>
            </w:r>
            <w:r w:rsidRPr="009828D6">
              <w:rPr>
                <w:rFonts w:ascii="Arial" w:hAnsi="Arial" w:cs="Arial"/>
                <w:b/>
                <w:color w:val="1F4E79" w:themeColor="accent1" w:themeShade="80"/>
                <w:spacing w:val="2"/>
                <w:sz w:val="24"/>
                <w:szCs w:val="24"/>
              </w:rPr>
              <w:t xml:space="preserve"> A</w:t>
            </w:r>
            <w:r w:rsidRPr="009828D6">
              <w:rPr>
                <w:rFonts w:ascii="Arial" w:hAnsi="Arial" w:cs="Arial"/>
                <w:b/>
                <w:color w:val="1F4E79" w:themeColor="accent1" w:themeShade="80"/>
                <w:w w:val="105"/>
                <w:sz w:val="24"/>
                <w:szCs w:val="24"/>
              </w:rPr>
              <w:t>cționariat</w:t>
            </w:r>
            <w:r w:rsidRPr="009828D6">
              <w:rPr>
                <w:rFonts w:ascii="Arial" w:hAnsi="Arial" w:cs="Arial"/>
                <w:b/>
                <w:color w:val="1F4E79" w:themeColor="accent1" w:themeShade="80"/>
                <w:spacing w:val="3"/>
                <w:sz w:val="24"/>
                <w:szCs w:val="24"/>
              </w:rPr>
              <w:t xml:space="preserve"> </w:t>
            </w:r>
          </w:p>
          <w:p w:rsidR="006F2A2B" w:rsidRPr="006F2A2B" w:rsidRDefault="006F2A2B" w:rsidP="006F2A2B">
            <w:pPr>
              <w:jc w:val="both"/>
              <w:rPr>
                <w:b/>
                <w:color w:val="FF0000"/>
                <w:spacing w:val="1"/>
                <w:w w:val="105"/>
                <w:sz w:val="24"/>
                <w:szCs w:val="24"/>
              </w:rPr>
            </w:pPr>
          </w:p>
          <w:p w:rsidR="006F2A2B" w:rsidRPr="00934797" w:rsidRDefault="006F2A2B" w:rsidP="006F2A2B">
            <w:pPr>
              <w:widowControl/>
              <w:overflowPunct w:val="0"/>
              <w:spacing w:line="276" w:lineRule="auto"/>
              <w:jc w:val="both"/>
              <w:textAlignment w:val="baseline"/>
              <w:rPr>
                <w:rFonts w:ascii="Arial" w:hAnsi="Arial" w:cs="Arial"/>
                <w:sz w:val="22"/>
                <w:szCs w:val="22"/>
                <w:lang w:eastAsia="en-US"/>
              </w:rPr>
            </w:pPr>
            <w:r w:rsidRPr="00934797">
              <w:rPr>
                <w:rFonts w:ascii="Arial" w:hAnsi="Arial" w:cs="Arial"/>
                <w:sz w:val="22"/>
                <w:szCs w:val="22"/>
                <w:lang w:eastAsia="en-US"/>
              </w:rPr>
              <w:t>Structura sintetică a acţionariatului, la data de referință 30.06.2018, se prezintă astfel:</w:t>
            </w:r>
          </w:p>
          <w:p w:rsidR="006F2A2B" w:rsidRPr="00934797" w:rsidRDefault="006F2A2B" w:rsidP="00170D7E">
            <w:pPr>
              <w:widowControl/>
              <w:numPr>
                <w:ilvl w:val="0"/>
                <w:numId w:val="25"/>
              </w:numPr>
              <w:overflowPunct w:val="0"/>
              <w:autoSpaceDE/>
              <w:autoSpaceDN/>
              <w:adjustRightInd/>
              <w:spacing w:after="200" w:line="276" w:lineRule="auto"/>
              <w:contextualSpacing/>
              <w:jc w:val="both"/>
              <w:textAlignment w:val="baseline"/>
              <w:rPr>
                <w:rFonts w:ascii="Arial" w:eastAsia="Calibri" w:hAnsi="Arial" w:cs="Arial"/>
                <w:sz w:val="22"/>
                <w:szCs w:val="22"/>
                <w:lang w:eastAsia="en-US"/>
              </w:rPr>
            </w:pPr>
            <w:r w:rsidRPr="00934797">
              <w:rPr>
                <w:rFonts w:ascii="Arial" w:eastAsia="Calibri" w:hAnsi="Arial" w:cs="Arial"/>
                <w:sz w:val="22"/>
                <w:szCs w:val="22"/>
                <w:lang w:eastAsia="en-US"/>
              </w:rPr>
              <w:t xml:space="preserve">58,7162% - </w:t>
            </w:r>
            <w:r w:rsidRPr="00934797">
              <w:rPr>
                <w:rFonts w:ascii="Arial" w:eastAsia="Calibri" w:hAnsi="Arial" w:cs="Arial"/>
                <w:sz w:val="22"/>
                <w:szCs w:val="22"/>
                <w:lang w:val="en-US" w:eastAsia="en-US"/>
              </w:rPr>
              <w:t>Statul R</w:t>
            </w:r>
            <w:r w:rsidRPr="00934797">
              <w:rPr>
                <w:rFonts w:ascii="Arial" w:eastAsia="Calibri" w:hAnsi="Arial" w:cs="Arial"/>
                <w:sz w:val="22"/>
                <w:szCs w:val="22"/>
                <w:lang w:eastAsia="en-US"/>
              </w:rPr>
              <w:t>omân prin Ministerul Energiei;</w:t>
            </w:r>
          </w:p>
          <w:p w:rsidR="006F2A2B" w:rsidRPr="00934797" w:rsidRDefault="006F2A2B" w:rsidP="00170D7E">
            <w:pPr>
              <w:widowControl/>
              <w:numPr>
                <w:ilvl w:val="0"/>
                <w:numId w:val="25"/>
              </w:numPr>
              <w:overflowPunct w:val="0"/>
              <w:autoSpaceDE/>
              <w:autoSpaceDN/>
              <w:adjustRightInd/>
              <w:spacing w:after="200" w:line="276" w:lineRule="auto"/>
              <w:contextualSpacing/>
              <w:jc w:val="both"/>
              <w:textAlignment w:val="baseline"/>
              <w:rPr>
                <w:rFonts w:ascii="Arial" w:eastAsia="Calibri" w:hAnsi="Arial" w:cs="Arial"/>
                <w:sz w:val="22"/>
                <w:szCs w:val="22"/>
                <w:lang w:eastAsia="en-US"/>
              </w:rPr>
            </w:pPr>
            <w:r w:rsidRPr="00934797">
              <w:rPr>
                <w:rFonts w:ascii="Arial" w:eastAsia="Calibri" w:hAnsi="Arial" w:cs="Arial"/>
                <w:sz w:val="22"/>
                <w:szCs w:val="22"/>
                <w:lang w:eastAsia="en-US"/>
              </w:rPr>
              <w:t>41,2838% - Free float</w:t>
            </w:r>
          </w:p>
          <w:p w:rsidR="006F2A2B" w:rsidRPr="006F2A2B" w:rsidRDefault="006F2A2B" w:rsidP="006F2A2B">
            <w:pPr>
              <w:widowControl/>
              <w:overflowPunct w:val="0"/>
              <w:autoSpaceDE/>
              <w:autoSpaceDN/>
              <w:adjustRightInd/>
              <w:spacing w:after="200" w:line="276" w:lineRule="auto"/>
              <w:ind w:left="1440"/>
              <w:contextualSpacing/>
              <w:jc w:val="both"/>
              <w:textAlignment w:val="baseline"/>
              <w:rPr>
                <w:rFonts w:eastAsia="Calibri"/>
                <w:sz w:val="24"/>
                <w:szCs w:val="24"/>
                <w:lang w:eastAsia="en-US"/>
              </w:rPr>
            </w:pP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1"/>
              <w:gridCol w:w="2228"/>
              <w:gridCol w:w="1941"/>
            </w:tblGrid>
            <w:tr w:rsidR="006F2A2B" w:rsidRPr="00934797" w:rsidTr="001D229E">
              <w:trPr>
                <w:trHeight w:val="533"/>
                <w:jc w:val="center"/>
              </w:trPr>
              <w:tc>
                <w:tcPr>
                  <w:tcW w:w="4321" w:type="dxa"/>
                  <w:shd w:val="clear" w:color="auto" w:fill="DEEAF6" w:themeFill="accent1" w:themeFillTint="33"/>
                  <w:vAlign w:val="center"/>
                </w:tcPr>
                <w:p w:rsidR="006F2A2B" w:rsidRPr="00934797" w:rsidRDefault="006F2A2B" w:rsidP="003605B2">
                  <w:pPr>
                    <w:widowControl/>
                    <w:autoSpaceDE/>
                    <w:autoSpaceDN/>
                    <w:adjustRightInd/>
                    <w:jc w:val="center"/>
                    <w:rPr>
                      <w:rFonts w:ascii="Arial" w:hAnsi="Arial" w:cs="Arial"/>
                      <w:b/>
                      <w:lang w:val="en-US" w:eastAsia="en-US"/>
                    </w:rPr>
                  </w:pPr>
                  <w:r w:rsidRPr="00934797">
                    <w:rPr>
                      <w:rFonts w:ascii="Arial" w:hAnsi="Arial" w:cs="Arial"/>
                      <w:b/>
                      <w:lang w:val="en-US" w:eastAsia="en-US"/>
                    </w:rPr>
                    <w:t>Denumire acționar</w:t>
                  </w:r>
                </w:p>
              </w:tc>
              <w:tc>
                <w:tcPr>
                  <w:tcW w:w="2228" w:type="dxa"/>
                  <w:shd w:val="clear" w:color="auto" w:fill="DEEAF6" w:themeFill="accent1" w:themeFillTint="33"/>
                  <w:vAlign w:val="center"/>
                </w:tcPr>
                <w:p w:rsidR="006F2A2B" w:rsidRPr="00934797" w:rsidRDefault="006F2A2B" w:rsidP="006F2A2B">
                  <w:pPr>
                    <w:widowControl/>
                    <w:autoSpaceDE/>
                    <w:autoSpaceDN/>
                    <w:adjustRightInd/>
                    <w:jc w:val="center"/>
                    <w:rPr>
                      <w:rFonts w:ascii="Arial" w:hAnsi="Arial" w:cs="Arial"/>
                      <w:b/>
                      <w:lang w:val="en-US" w:eastAsia="en-US"/>
                    </w:rPr>
                  </w:pPr>
                  <w:r w:rsidRPr="00934797">
                    <w:rPr>
                      <w:rFonts w:ascii="Arial" w:hAnsi="Arial" w:cs="Arial"/>
                      <w:b/>
                      <w:lang w:val="en-US" w:eastAsia="en-US"/>
                    </w:rPr>
                    <w:t>Număr acțiuni</w:t>
                  </w:r>
                </w:p>
              </w:tc>
              <w:tc>
                <w:tcPr>
                  <w:tcW w:w="1941" w:type="dxa"/>
                  <w:shd w:val="clear" w:color="auto" w:fill="DEEAF6" w:themeFill="accent1" w:themeFillTint="33"/>
                  <w:vAlign w:val="center"/>
                </w:tcPr>
                <w:p w:rsidR="006F2A2B" w:rsidRPr="00934797" w:rsidRDefault="006F2A2B" w:rsidP="006F2A2B">
                  <w:pPr>
                    <w:widowControl/>
                    <w:autoSpaceDE/>
                    <w:autoSpaceDN/>
                    <w:adjustRightInd/>
                    <w:jc w:val="center"/>
                    <w:rPr>
                      <w:rFonts w:ascii="Arial" w:hAnsi="Arial" w:cs="Arial"/>
                      <w:b/>
                      <w:lang w:val="en-US" w:eastAsia="en-US"/>
                    </w:rPr>
                  </w:pPr>
                  <w:r w:rsidRPr="00934797">
                    <w:rPr>
                      <w:rFonts w:ascii="Arial" w:hAnsi="Arial" w:cs="Arial"/>
                      <w:b/>
                      <w:lang w:val="en-US" w:eastAsia="en-US"/>
                    </w:rPr>
                    <w:t>Procent %</w:t>
                  </w:r>
                </w:p>
              </w:tc>
            </w:tr>
            <w:tr w:rsidR="006F2A2B" w:rsidRPr="00934797" w:rsidTr="001D229E">
              <w:trPr>
                <w:trHeight w:val="238"/>
                <w:jc w:val="center"/>
              </w:trPr>
              <w:tc>
                <w:tcPr>
                  <w:tcW w:w="4321" w:type="dxa"/>
                  <w:shd w:val="clear" w:color="auto" w:fill="auto"/>
                </w:tcPr>
                <w:p w:rsidR="006F2A2B" w:rsidRPr="00934797" w:rsidRDefault="006F2A2B" w:rsidP="006F2A2B">
                  <w:pPr>
                    <w:widowControl/>
                    <w:autoSpaceDE/>
                    <w:autoSpaceDN/>
                    <w:adjustRightInd/>
                    <w:rPr>
                      <w:rFonts w:ascii="Arial" w:hAnsi="Arial" w:cs="Arial"/>
                      <w:lang w:eastAsia="en-US"/>
                    </w:rPr>
                  </w:pPr>
                  <w:r w:rsidRPr="00934797">
                    <w:rPr>
                      <w:rFonts w:ascii="Arial" w:hAnsi="Arial" w:cs="Arial"/>
                      <w:lang w:val="en-US" w:eastAsia="en-US"/>
                    </w:rPr>
                    <w:t>Statul R</w:t>
                  </w:r>
                  <w:r w:rsidRPr="00934797">
                    <w:rPr>
                      <w:rFonts w:ascii="Arial" w:hAnsi="Arial" w:cs="Arial"/>
                      <w:lang w:eastAsia="en-US"/>
                    </w:rPr>
                    <w:t>omân prin Ministerul Energiei</w:t>
                  </w:r>
                </w:p>
              </w:tc>
              <w:tc>
                <w:tcPr>
                  <w:tcW w:w="2228" w:type="dxa"/>
                  <w:shd w:val="clear" w:color="auto" w:fill="auto"/>
                  <w:vAlign w:val="center"/>
                </w:tcPr>
                <w:p w:rsidR="006F2A2B" w:rsidRPr="00934797" w:rsidRDefault="006F2A2B" w:rsidP="006F2A2B">
                  <w:pPr>
                    <w:widowControl/>
                    <w:autoSpaceDE/>
                    <w:autoSpaceDN/>
                    <w:adjustRightInd/>
                    <w:jc w:val="center"/>
                    <w:rPr>
                      <w:rFonts w:ascii="Arial" w:hAnsi="Arial" w:cs="Arial"/>
                      <w:bCs/>
                      <w:lang w:val="en-US" w:eastAsia="en-US"/>
                    </w:rPr>
                  </w:pPr>
                  <w:r w:rsidRPr="00934797">
                    <w:rPr>
                      <w:rFonts w:ascii="Arial" w:hAnsi="Arial" w:cs="Arial"/>
                      <w:bCs/>
                      <w:lang w:val="en-US" w:eastAsia="en-US"/>
                    </w:rPr>
                    <w:t>5.083.372</w:t>
                  </w:r>
                </w:p>
              </w:tc>
              <w:tc>
                <w:tcPr>
                  <w:tcW w:w="1941" w:type="dxa"/>
                  <w:shd w:val="clear" w:color="auto" w:fill="auto"/>
                  <w:vAlign w:val="center"/>
                </w:tcPr>
                <w:p w:rsidR="006F2A2B" w:rsidRPr="00934797" w:rsidRDefault="006F2A2B" w:rsidP="006F2A2B">
                  <w:pPr>
                    <w:widowControl/>
                    <w:autoSpaceDE/>
                    <w:autoSpaceDN/>
                    <w:adjustRightInd/>
                    <w:jc w:val="center"/>
                    <w:rPr>
                      <w:rFonts w:ascii="Arial" w:hAnsi="Arial" w:cs="Arial"/>
                      <w:bCs/>
                      <w:lang w:val="en-US" w:eastAsia="en-US"/>
                    </w:rPr>
                  </w:pPr>
                  <w:r w:rsidRPr="00934797">
                    <w:rPr>
                      <w:rFonts w:ascii="Arial" w:hAnsi="Arial" w:cs="Arial"/>
                      <w:bCs/>
                      <w:lang w:val="en-US" w:eastAsia="en-US"/>
                    </w:rPr>
                    <w:t>58,7162%</w:t>
                  </w:r>
                </w:p>
              </w:tc>
            </w:tr>
            <w:tr w:rsidR="006F2A2B" w:rsidRPr="00934797" w:rsidTr="001D229E">
              <w:trPr>
                <w:trHeight w:val="238"/>
                <w:jc w:val="center"/>
              </w:trPr>
              <w:tc>
                <w:tcPr>
                  <w:tcW w:w="4321" w:type="dxa"/>
                  <w:shd w:val="clear" w:color="auto" w:fill="auto"/>
                </w:tcPr>
                <w:p w:rsidR="006F2A2B" w:rsidRPr="00934797" w:rsidRDefault="006F2A2B" w:rsidP="006F2A2B">
                  <w:pPr>
                    <w:widowControl/>
                    <w:autoSpaceDE/>
                    <w:autoSpaceDN/>
                    <w:adjustRightInd/>
                    <w:rPr>
                      <w:rFonts w:ascii="Arial" w:hAnsi="Arial" w:cs="Arial"/>
                      <w:lang w:val="en-US" w:eastAsia="en-US"/>
                    </w:rPr>
                  </w:pPr>
                  <w:r w:rsidRPr="00934797">
                    <w:rPr>
                      <w:rFonts w:ascii="Arial" w:hAnsi="Arial" w:cs="Arial"/>
                      <w:lang w:val="en-US" w:eastAsia="en-US"/>
                    </w:rPr>
                    <w:t xml:space="preserve">Persoane juridice </w:t>
                  </w:r>
                </w:p>
              </w:tc>
              <w:tc>
                <w:tcPr>
                  <w:tcW w:w="2228" w:type="dxa"/>
                  <w:shd w:val="clear" w:color="auto" w:fill="auto"/>
                  <w:vAlign w:val="center"/>
                </w:tcPr>
                <w:p w:rsidR="006F2A2B" w:rsidRPr="00934797" w:rsidRDefault="00B7227F" w:rsidP="006F2A2B">
                  <w:pPr>
                    <w:widowControl/>
                    <w:autoSpaceDE/>
                    <w:autoSpaceDN/>
                    <w:adjustRightInd/>
                    <w:jc w:val="center"/>
                    <w:rPr>
                      <w:rFonts w:ascii="Arial" w:hAnsi="Arial" w:cs="Arial"/>
                      <w:lang w:val="en-US" w:eastAsia="en-US"/>
                    </w:rPr>
                  </w:pPr>
                  <w:r w:rsidRPr="00934797">
                    <w:rPr>
                      <w:rFonts w:ascii="Arial" w:hAnsi="Arial" w:cs="Arial"/>
                      <w:lang w:val="en-US" w:eastAsia="en-US"/>
                    </w:rPr>
                    <w:t>2.536.458</w:t>
                  </w:r>
                </w:p>
              </w:tc>
              <w:tc>
                <w:tcPr>
                  <w:tcW w:w="1941" w:type="dxa"/>
                  <w:shd w:val="clear" w:color="auto" w:fill="auto"/>
                  <w:vAlign w:val="center"/>
                </w:tcPr>
                <w:p w:rsidR="006F2A2B" w:rsidRPr="00934797" w:rsidRDefault="006F2A2B" w:rsidP="00B7227F">
                  <w:pPr>
                    <w:widowControl/>
                    <w:autoSpaceDE/>
                    <w:autoSpaceDN/>
                    <w:adjustRightInd/>
                    <w:jc w:val="center"/>
                    <w:rPr>
                      <w:rFonts w:ascii="Arial" w:hAnsi="Arial" w:cs="Arial"/>
                      <w:lang w:val="en-US" w:eastAsia="en-US"/>
                    </w:rPr>
                  </w:pPr>
                  <w:r w:rsidRPr="00934797">
                    <w:rPr>
                      <w:rFonts w:ascii="Arial" w:hAnsi="Arial" w:cs="Arial"/>
                      <w:lang w:val="en-US" w:eastAsia="en-US"/>
                    </w:rPr>
                    <w:t>29,</w:t>
                  </w:r>
                  <w:r w:rsidR="00B7227F" w:rsidRPr="00934797">
                    <w:rPr>
                      <w:rFonts w:ascii="Arial" w:hAnsi="Arial" w:cs="Arial"/>
                      <w:lang w:val="en-US" w:eastAsia="en-US"/>
                    </w:rPr>
                    <w:t>2977</w:t>
                  </w:r>
                  <w:r w:rsidRPr="00934797">
                    <w:rPr>
                      <w:rFonts w:ascii="Arial" w:hAnsi="Arial" w:cs="Arial"/>
                      <w:lang w:val="en-US" w:eastAsia="en-US"/>
                    </w:rPr>
                    <w:t>%</w:t>
                  </w:r>
                </w:p>
              </w:tc>
            </w:tr>
            <w:tr w:rsidR="006F2A2B" w:rsidRPr="00934797" w:rsidTr="001D229E">
              <w:trPr>
                <w:trHeight w:val="238"/>
                <w:jc w:val="center"/>
              </w:trPr>
              <w:tc>
                <w:tcPr>
                  <w:tcW w:w="4321" w:type="dxa"/>
                  <w:shd w:val="clear" w:color="auto" w:fill="auto"/>
                </w:tcPr>
                <w:p w:rsidR="006F2A2B" w:rsidRPr="00934797" w:rsidRDefault="006F2A2B" w:rsidP="006F2A2B">
                  <w:pPr>
                    <w:widowControl/>
                    <w:autoSpaceDE/>
                    <w:autoSpaceDN/>
                    <w:adjustRightInd/>
                    <w:rPr>
                      <w:rFonts w:ascii="Arial" w:hAnsi="Arial" w:cs="Arial"/>
                      <w:lang w:val="en-US" w:eastAsia="en-US"/>
                    </w:rPr>
                  </w:pPr>
                  <w:r w:rsidRPr="00934797">
                    <w:rPr>
                      <w:rFonts w:ascii="Arial" w:hAnsi="Arial" w:cs="Arial"/>
                      <w:lang w:val="en-US" w:eastAsia="en-US"/>
                    </w:rPr>
                    <w:t>Persoane fizice</w:t>
                  </w:r>
                </w:p>
              </w:tc>
              <w:tc>
                <w:tcPr>
                  <w:tcW w:w="2228" w:type="dxa"/>
                  <w:shd w:val="clear" w:color="auto" w:fill="auto"/>
                  <w:vAlign w:val="center"/>
                </w:tcPr>
                <w:p w:rsidR="006F2A2B" w:rsidRPr="00934797" w:rsidRDefault="00B7227F" w:rsidP="006F2A2B">
                  <w:pPr>
                    <w:widowControl/>
                    <w:autoSpaceDE/>
                    <w:autoSpaceDN/>
                    <w:adjustRightInd/>
                    <w:jc w:val="center"/>
                    <w:rPr>
                      <w:rFonts w:ascii="Arial" w:hAnsi="Arial" w:cs="Arial"/>
                      <w:bCs/>
                      <w:lang w:val="en-US" w:eastAsia="en-US"/>
                    </w:rPr>
                  </w:pPr>
                  <w:r w:rsidRPr="00934797">
                    <w:rPr>
                      <w:rFonts w:ascii="Arial" w:hAnsi="Arial" w:cs="Arial"/>
                      <w:bCs/>
                      <w:lang w:val="en-US" w:eastAsia="en-US"/>
                    </w:rPr>
                    <w:t>1.037.</w:t>
                  </w:r>
                  <w:r w:rsidR="003605B2">
                    <w:rPr>
                      <w:rFonts w:ascii="Arial" w:hAnsi="Arial" w:cs="Arial"/>
                      <w:bCs/>
                      <w:lang w:val="en-US" w:eastAsia="en-US"/>
                    </w:rPr>
                    <w:t>6</w:t>
                  </w:r>
                  <w:r w:rsidRPr="00934797">
                    <w:rPr>
                      <w:rFonts w:ascii="Arial" w:hAnsi="Arial" w:cs="Arial"/>
                      <w:bCs/>
                      <w:lang w:val="en-US" w:eastAsia="en-US"/>
                    </w:rPr>
                    <w:t>98</w:t>
                  </w:r>
                </w:p>
              </w:tc>
              <w:tc>
                <w:tcPr>
                  <w:tcW w:w="1941" w:type="dxa"/>
                  <w:shd w:val="clear" w:color="auto" w:fill="auto"/>
                  <w:vAlign w:val="center"/>
                </w:tcPr>
                <w:p w:rsidR="006F2A2B" w:rsidRPr="00934797" w:rsidRDefault="00B7227F" w:rsidP="006F2A2B">
                  <w:pPr>
                    <w:widowControl/>
                    <w:autoSpaceDE/>
                    <w:autoSpaceDN/>
                    <w:adjustRightInd/>
                    <w:jc w:val="center"/>
                    <w:rPr>
                      <w:rFonts w:ascii="Arial" w:hAnsi="Arial" w:cs="Arial"/>
                      <w:bCs/>
                      <w:lang w:val="en-US" w:eastAsia="en-US"/>
                    </w:rPr>
                  </w:pPr>
                  <w:r w:rsidRPr="00934797">
                    <w:rPr>
                      <w:rFonts w:ascii="Arial" w:hAnsi="Arial" w:cs="Arial"/>
                      <w:bCs/>
                      <w:lang w:val="en-US" w:eastAsia="en-US"/>
                    </w:rPr>
                    <w:t>11,9861</w:t>
                  </w:r>
                  <w:r w:rsidR="006F2A2B" w:rsidRPr="00934797">
                    <w:rPr>
                      <w:rFonts w:ascii="Arial" w:hAnsi="Arial" w:cs="Arial"/>
                      <w:bCs/>
                      <w:lang w:val="en-US" w:eastAsia="en-US"/>
                    </w:rPr>
                    <w:t>%</w:t>
                  </w:r>
                </w:p>
              </w:tc>
            </w:tr>
            <w:tr w:rsidR="006F2A2B" w:rsidRPr="00934797" w:rsidTr="001D229E">
              <w:trPr>
                <w:trHeight w:val="60"/>
                <w:jc w:val="center"/>
              </w:trPr>
              <w:tc>
                <w:tcPr>
                  <w:tcW w:w="4321" w:type="dxa"/>
                  <w:shd w:val="clear" w:color="auto" w:fill="auto"/>
                </w:tcPr>
                <w:p w:rsidR="006F2A2B" w:rsidRPr="00934797" w:rsidRDefault="006F2A2B" w:rsidP="006F2A2B">
                  <w:pPr>
                    <w:widowControl/>
                    <w:autoSpaceDE/>
                    <w:autoSpaceDN/>
                    <w:adjustRightInd/>
                    <w:rPr>
                      <w:rFonts w:ascii="Arial" w:hAnsi="Arial" w:cs="Arial"/>
                      <w:b/>
                      <w:lang w:val="fr-FR" w:eastAsia="en-US"/>
                    </w:rPr>
                  </w:pPr>
                  <w:r w:rsidRPr="00934797">
                    <w:rPr>
                      <w:rFonts w:ascii="Arial" w:hAnsi="Arial" w:cs="Arial"/>
                      <w:b/>
                      <w:lang w:val="fr-FR" w:eastAsia="en-US"/>
                    </w:rPr>
                    <w:t xml:space="preserve">Total </w:t>
                  </w:r>
                </w:p>
              </w:tc>
              <w:tc>
                <w:tcPr>
                  <w:tcW w:w="2228" w:type="dxa"/>
                  <w:shd w:val="clear" w:color="auto" w:fill="auto"/>
                  <w:vAlign w:val="center"/>
                </w:tcPr>
                <w:p w:rsidR="006F2A2B" w:rsidRPr="00934797" w:rsidRDefault="006F2A2B" w:rsidP="006F2A2B">
                  <w:pPr>
                    <w:widowControl/>
                    <w:autoSpaceDE/>
                    <w:autoSpaceDN/>
                    <w:adjustRightInd/>
                    <w:jc w:val="center"/>
                    <w:rPr>
                      <w:rFonts w:ascii="Arial" w:hAnsi="Arial" w:cs="Arial"/>
                      <w:b/>
                      <w:lang w:val="en-US" w:eastAsia="en-US"/>
                    </w:rPr>
                  </w:pPr>
                  <w:r w:rsidRPr="00934797">
                    <w:rPr>
                      <w:rFonts w:ascii="Arial" w:hAnsi="Arial" w:cs="Arial"/>
                      <w:b/>
                      <w:lang w:val="en-US" w:eastAsia="en-US"/>
                    </w:rPr>
                    <w:t>8.657.528</w:t>
                  </w:r>
                </w:p>
              </w:tc>
              <w:tc>
                <w:tcPr>
                  <w:tcW w:w="1941" w:type="dxa"/>
                  <w:shd w:val="clear" w:color="auto" w:fill="auto"/>
                  <w:vAlign w:val="center"/>
                </w:tcPr>
                <w:p w:rsidR="006F2A2B" w:rsidRPr="00934797" w:rsidRDefault="006F2A2B" w:rsidP="006F2A2B">
                  <w:pPr>
                    <w:widowControl/>
                    <w:autoSpaceDE/>
                    <w:autoSpaceDN/>
                    <w:adjustRightInd/>
                    <w:jc w:val="center"/>
                    <w:rPr>
                      <w:rFonts w:ascii="Arial" w:hAnsi="Arial" w:cs="Arial"/>
                      <w:b/>
                      <w:lang w:val="en-US" w:eastAsia="en-US"/>
                    </w:rPr>
                  </w:pPr>
                  <w:r w:rsidRPr="00934797">
                    <w:rPr>
                      <w:rFonts w:ascii="Arial" w:hAnsi="Arial" w:cs="Arial"/>
                      <w:b/>
                      <w:lang w:val="en-US" w:eastAsia="en-US"/>
                    </w:rPr>
                    <w:t>100,0000%</w:t>
                  </w:r>
                </w:p>
              </w:tc>
            </w:tr>
          </w:tbl>
          <w:p w:rsidR="006F2A2B" w:rsidRPr="006F2A2B" w:rsidRDefault="006F2A2B" w:rsidP="006F2A2B">
            <w:pPr>
              <w:jc w:val="center"/>
              <w:rPr>
                <w:i/>
                <w:spacing w:val="1"/>
                <w:w w:val="105"/>
                <w:sz w:val="18"/>
                <w:szCs w:val="18"/>
              </w:rPr>
            </w:pPr>
          </w:p>
          <w:p w:rsidR="006F2A2B" w:rsidRPr="008F5405" w:rsidRDefault="006F2A2B" w:rsidP="006F2A2B">
            <w:pPr>
              <w:jc w:val="center"/>
              <w:rPr>
                <w:rFonts w:ascii="Arial" w:hAnsi="Arial" w:cs="Arial"/>
                <w:spacing w:val="1"/>
                <w:w w:val="105"/>
                <w:sz w:val="16"/>
                <w:szCs w:val="16"/>
              </w:rPr>
            </w:pPr>
            <w:r w:rsidRPr="008F5405">
              <w:rPr>
                <w:rFonts w:ascii="Arial" w:hAnsi="Arial" w:cs="Arial"/>
                <w:spacing w:val="1"/>
                <w:w w:val="105"/>
                <w:sz w:val="16"/>
                <w:szCs w:val="16"/>
              </w:rPr>
              <w:t>Tabel 1 - Structura Acționariatului CONPET S</w:t>
            </w:r>
            <w:r w:rsidR="002309D4">
              <w:rPr>
                <w:rFonts w:ascii="Arial" w:hAnsi="Arial" w:cs="Arial"/>
                <w:spacing w:val="1"/>
                <w:w w:val="105"/>
                <w:sz w:val="16"/>
                <w:szCs w:val="16"/>
              </w:rPr>
              <w:t>.</w:t>
            </w:r>
            <w:r w:rsidRPr="008F5405">
              <w:rPr>
                <w:rFonts w:ascii="Arial" w:hAnsi="Arial" w:cs="Arial"/>
                <w:spacing w:val="1"/>
                <w:w w:val="105"/>
                <w:sz w:val="16"/>
                <w:szCs w:val="16"/>
              </w:rPr>
              <w:t>A</w:t>
            </w:r>
            <w:r w:rsidR="002309D4">
              <w:rPr>
                <w:rFonts w:ascii="Arial" w:hAnsi="Arial" w:cs="Arial"/>
                <w:spacing w:val="1"/>
                <w:w w:val="105"/>
                <w:sz w:val="16"/>
                <w:szCs w:val="16"/>
              </w:rPr>
              <w:t>.</w:t>
            </w:r>
            <w:r w:rsidRPr="008F5405">
              <w:rPr>
                <w:rFonts w:ascii="Arial" w:hAnsi="Arial" w:cs="Arial"/>
                <w:spacing w:val="1"/>
                <w:w w:val="105"/>
                <w:sz w:val="16"/>
                <w:szCs w:val="16"/>
              </w:rPr>
              <w:t xml:space="preserve"> la 30.06.2018</w:t>
            </w:r>
          </w:p>
          <w:p w:rsidR="006F2A2B" w:rsidRPr="006F2A2B" w:rsidRDefault="006F2A2B" w:rsidP="006F2A2B">
            <w:pPr>
              <w:jc w:val="both"/>
              <w:rPr>
                <w:spacing w:val="1"/>
                <w:w w:val="105"/>
                <w:sz w:val="24"/>
                <w:szCs w:val="24"/>
              </w:rPr>
            </w:pPr>
          </w:p>
          <w:p w:rsidR="006F2A2B" w:rsidRPr="00934797" w:rsidRDefault="006F2A2B" w:rsidP="006F2A2B">
            <w:pPr>
              <w:autoSpaceDE/>
              <w:spacing w:line="276" w:lineRule="auto"/>
              <w:jc w:val="both"/>
              <w:rPr>
                <w:rFonts w:ascii="Arial" w:hAnsi="Arial" w:cs="Arial"/>
                <w:sz w:val="22"/>
                <w:szCs w:val="22"/>
                <w:lang w:eastAsia="en-US"/>
              </w:rPr>
            </w:pPr>
            <w:r w:rsidRPr="00934797">
              <w:rPr>
                <w:rFonts w:ascii="Arial" w:hAnsi="Arial" w:cs="Arial"/>
                <w:spacing w:val="1"/>
                <w:w w:val="105"/>
                <w:sz w:val="22"/>
                <w:szCs w:val="22"/>
              </w:rPr>
              <w:t>Capitalul s</w:t>
            </w:r>
            <w:r w:rsidR="003605B2">
              <w:rPr>
                <w:rFonts w:ascii="Arial" w:hAnsi="Arial" w:cs="Arial"/>
                <w:spacing w:val="1"/>
                <w:w w:val="105"/>
                <w:sz w:val="22"/>
                <w:szCs w:val="22"/>
              </w:rPr>
              <w:t>ocial al CONPET la data de 30.06.</w:t>
            </w:r>
            <w:r w:rsidRPr="00934797">
              <w:rPr>
                <w:rFonts w:ascii="Arial" w:hAnsi="Arial" w:cs="Arial"/>
                <w:spacing w:val="1"/>
                <w:w w:val="105"/>
                <w:sz w:val="22"/>
                <w:szCs w:val="22"/>
              </w:rPr>
              <w:t xml:space="preserve">2018 este de </w:t>
            </w:r>
            <w:r w:rsidRPr="00934797">
              <w:rPr>
                <w:rFonts w:ascii="Arial" w:hAnsi="Arial" w:cs="Arial"/>
                <w:sz w:val="22"/>
                <w:szCs w:val="22"/>
                <w:lang w:eastAsia="en-US"/>
              </w:rPr>
              <w:t>28.569.842,40 lei și este împărțit în 8.657.528 de acțiuni nominative, fiecare acțiune având valoarea nominală de 3,3 lei/acțiune.</w:t>
            </w:r>
          </w:p>
          <w:p w:rsidR="006F2A2B" w:rsidRPr="00934797" w:rsidRDefault="006F2A2B" w:rsidP="006F2A2B">
            <w:pPr>
              <w:autoSpaceDE/>
              <w:spacing w:line="276" w:lineRule="auto"/>
              <w:jc w:val="both"/>
              <w:rPr>
                <w:sz w:val="22"/>
                <w:szCs w:val="22"/>
                <w:lang w:eastAsia="en-US"/>
              </w:rPr>
            </w:pPr>
          </w:p>
          <w:p w:rsidR="006F2A2B" w:rsidRPr="00934797" w:rsidRDefault="006F2A2B" w:rsidP="006F2A2B">
            <w:pPr>
              <w:autoSpaceDE/>
              <w:spacing w:line="276" w:lineRule="auto"/>
              <w:jc w:val="both"/>
              <w:rPr>
                <w:rFonts w:ascii="Arial" w:hAnsi="Arial" w:cs="Arial"/>
                <w:color w:val="000000" w:themeColor="text1"/>
                <w:sz w:val="22"/>
                <w:szCs w:val="22"/>
                <w:lang w:eastAsia="en-US"/>
              </w:rPr>
            </w:pPr>
            <w:r w:rsidRPr="00934797">
              <w:rPr>
                <w:rFonts w:ascii="Arial" w:hAnsi="Arial" w:cs="Arial"/>
                <w:sz w:val="22"/>
                <w:szCs w:val="22"/>
                <w:lang w:eastAsia="en-US"/>
              </w:rPr>
              <w:t xml:space="preserve">CONPET </w:t>
            </w:r>
            <w:r w:rsidR="002309D4">
              <w:rPr>
                <w:rFonts w:ascii="Arial" w:hAnsi="Arial" w:cs="Arial"/>
                <w:sz w:val="22"/>
                <w:szCs w:val="22"/>
                <w:lang w:eastAsia="en-US"/>
              </w:rPr>
              <w:t xml:space="preserve">S.A. </w:t>
            </w:r>
            <w:r w:rsidRPr="00934797">
              <w:rPr>
                <w:rFonts w:ascii="Arial" w:hAnsi="Arial" w:cs="Arial"/>
                <w:sz w:val="22"/>
                <w:szCs w:val="22"/>
                <w:lang w:eastAsia="en-US"/>
              </w:rPr>
              <w:t xml:space="preserve">nu a efectuat tranzacții având ca obiect acțiunile proprii și </w:t>
            </w:r>
            <w:r w:rsidRPr="00934797">
              <w:rPr>
                <w:rFonts w:ascii="Arial" w:hAnsi="Arial" w:cs="Arial"/>
                <w:color w:val="000000" w:themeColor="text1"/>
                <w:sz w:val="22"/>
                <w:szCs w:val="22"/>
                <w:lang w:eastAsia="en-US"/>
              </w:rPr>
              <w:t>ca urmare societatea nu deține acțiuni proprii.</w:t>
            </w:r>
          </w:p>
          <w:p w:rsidR="006F2A2B" w:rsidRDefault="006F2A2B" w:rsidP="006F2A2B">
            <w:pPr>
              <w:widowControl/>
              <w:tabs>
                <w:tab w:val="left" w:pos="1140"/>
              </w:tabs>
              <w:autoSpaceDE/>
              <w:autoSpaceDN/>
              <w:adjustRightInd/>
              <w:spacing w:line="276" w:lineRule="auto"/>
              <w:jc w:val="both"/>
              <w:rPr>
                <w:rFonts w:ascii="Arial" w:eastAsiaTheme="minorHAnsi" w:hAnsi="Arial" w:cs="Arial"/>
                <w:sz w:val="22"/>
                <w:szCs w:val="22"/>
                <w:lang w:val="x-none" w:eastAsia="en-US"/>
              </w:rPr>
            </w:pPr>
          </w:p>
          <w:p w:rsidR="00B7227F" w:rsidRDefault="00B7227F" w:rsidP="006F2A2B">
            <w:pPr>
              <w:widowControl/>
              <w:tabs>
                <w:tab w:val="left" w:pos="1140"/>
              </w:tabs>
              <w:autoSpaceDE/>
              <w:autoSpaceDN/>
              <w:adjustRightInd/>
              <w:spacing w:line="276" w:lineRule="auto"/>
              <w:jc w:val="both"/>
              <w:rPr>
                <w:rFonts w:ascii="Arial" w:eastAsiaTheme="minorHAnsi" w:hAnsi="Arial" w:cs="Arial"/>
                <w:sz w:val="22"/>
                <w:szCs w:val="22"/>
                <w:lang w:val="x-none" w:eastAsia="en-US"/>
              </w:rPr>
            </w:pPr>
          </w:p>
          <w:p w:rsidR="00564B3E" w:rsidRDefault="00564B3E" w:rsidP="006F2A2B">
            <w:pPr>
              <w:widowControl/>
              <w:tabs>
                <w:tab w:val="left" w:pos="1140"/>
              </w:tabs>
              <w:autoSpaceDE/>
              <w:autoSpaceDN/>
              <w:adjustRightInd/>
              <w:spacing w:line="276" w:lineRule="auto"/>
              <w:jc w:val="both"/>
              <w:rPr>
                <w:rFonts w:ascii="Arial" w:eastAsiaTheme="minorHAnsi" w:hAnsi="Arial" w:cs="Arial"/>
                <w:sz w:val="22"/>
                <w:szCs w:val="22"/>
                <w:lang w:val="x-none" w:eastAsia="en-US"/>
              </w:rPr>
            </w:pPr>
          </w:p>
          <w:p w:rsidR="00934797" w:rsidRDefault="00934797" w:rsidP="006F2A2B">
            <w:pPr>
              <w:widowControl/>
              <w:tabs>
                <w:tab w:val="left" w:pos="1140"/>
              </w:tabs>
              <w:autoSpaceDE/>
              <w:autoSpaceDN/>
              <w:adjustRightInd/>
              <w:spacing w:line="276" w:lineRule="auto"/>
              <w:jc w:val="both"/>
              <w:rPr>
                <w:rFonts w:ascii="Arial" w:eastAsiaTheme="minorHAnsi" w:hAnsi="Arial" w:cs="Arial"/>
                <w:sz w:val="22"/>
                <w:szCs w:val="22"/>
                <w:lang w:val="x-none" w:eastAsia="en-US"/>
              </w:rPr>
            </w:pPr>
          </w:p>
          <w:p w:rsidR="006F2A2B" w:rsidRPr="006F2A2B" w:rsidRDefault="006F2A2B" w:rsidP="006F2A2B">
            <w:pPr>
              <w:widowControl/>
              <w:tabs>
                <w:tab w:val="left" w:pos="1140"/>
              </w:tabs>
              <w:autoSpaceDE/>
              <w:autoSpaceDN/>
              <w:adjustRightInd/>
              <w:spacing w:line="276" w:lineRule="auto"/>
              <w:jc w:val="both"/>
              <w:rPr>
                <w:rFonts w:ascii="Arial" w:eastAsiaTheme="minorHAnsi" w:hAnsi="Arial" w:cs="Arial"/>
                <w:sz w:val="22"/>
                <w:szCs w:val="22"/>
                <w:lang w:val="x-none" w:eastAsia="en-US"/>
              </w:rPr>
            </w:pPr>
          </w:p>
          <w:p w:rsidR="006F2A2B" w:rsidRPr="009828D6" w:rsidRDefault="006F2A2B" w:rsidP="006F2A2B">
            <w:pPr>
              <w:shd w:val="clear" w:color="auto" w:fill="FFFFFF"/>
              <w:ind w:left="22"/>
              <w:rPr>
                <w:rFonts w:ascii="Arial" w:hAnsi="Arial" w:cs="Arial"/>
                <w:b/>
                <w:bCs/>
                <w:color w:val="1F4E79" w:themeColor="accent1" w:themeShade="80"/>
                <w:sz w:val="24"/>
                <w:szCs w:val="24"/>
              </w:rPr>
            </w:pPr>
            <w:r w:rsidRPr="009828D6">
              <w:rPr>
                <w:rFonts w:ascii="Arial" w:hAnsi="Arial" w:cs="Arial"/>
                <w:b/>
                <w:bCs/>
                <w:color w:val="1F4E79" w:themeColor="accent1" w:themeShade="80"/>
                <w:sz w:val="24"/>
                <w:szCs w:val="24"/>
              </w:rPr>
              <w:lastRenderedPageBreak/>
              <w:t>1.</w:t>
            </w:r>
            <w:r w:rsidR="003605B2" w:rsidRPr="009828D6">
              <w:rPr>
                <w:rFonts w:ascii="Arial" w:hAnsi="Arial" w:cs="Arial"/>
                <w:b/>
                <w:bCs/>
                <w:color w:val="1F4E79" w:themeColor="accent1" w:themeShade="80"/>
                <w:sz w:val="24"/>
                <w:szCs w:val="24"/>
              </w:rPr>
              <w:t>5</w:t>
            </w:r>
            <w:r w:rsidRPr="009828D6">
              <w:rPr>
                <w:rFonts w:ascii="Arial" w:hAnsi="Arial" w:cs="Arial"/>
                <w:b/>
                <w:bCs/>
                <w:color w:val="1F4E79" w:themeColor="accent1" w:themeShade="80"/>
                <w:sz w:val="24"/>
                <w:szCs w:val="24"/>
              </w:rPr>
              <w:t xml:space="preserve"> Organizarea societății</w:t>
            </w:r>
          </w:p>
          <w:p w:rsidR="006F2A2B" w:rsidRPr="006F2A2B" w:rsidRDefault="006F2A2B" w:rsidP="006F2A2B">
            <w:pPr>
              <w:shd w:val="clear" w:color="auto" w:fill="FFFFFF"/>
              <w:spacing w:line="276" w:lineRule="auto"/>
              <w:jc w:val="both"/>
              <w:rPr>
                <w:rFonts w:ascii="Arial" w:hAnsi="Arial" w:cs="Arial"/>
                <w:sz w:val="22"/>
                <w:szCs w:val="22"/>
              </w:rPr>
            </w:pPr>
          </w:p>
          <w:p w:rsidR="006F2A2B" w:rsidRPr="006F2A2B" w:rsidRDefault="006F2A2B" w:rsidP="006F2A2B">
            <w:pPr>
              <w:shd w:val="clear" w:color="auto" w:fill="FFFFFF"/>
              <w:spacing w:line="276" w:lineRule="auto"/>
              <w:jc w:val="both"/>
              <w:rPr>
                <w:rFonts w:ascii="Arial" w:hAnsi="Arial" w:cs="Arial"/>
                <w:sz w:val="22"/>
                <w:szCs w:val="22"/>
              </w:rPr>
            </w:pPr>
            <w:r w:rsidRPr="006F2A2B">
              <w:rPr>
                <w:rFonts w:ascii="Arial" w:hAnsi="Arial" w:cs="Arial"/>
                <w:sz w:val="22"/>
                <w:szCs w:val="22"/>
              </w:rPr>
              <w:t>CONPET s-a înființat în anul 1990, în baza Hotărârii de Guvern nr. 1213/1990 privind înființarea de societăți come</w:t>
            </w:r>
            <w:r w:rsidR="0075026A">
              <w:rPr>
                <w:rFonts w:ascii="Arial" w:hAnsi="Arial" w:cs="Arial"/>
                <w:sz w:val="22"/>
                <w:szCs w:val="22"/>
              </w:rPr>
              <w:t>rciale de acțiuni din industrie</w:t>
            </w:r>
            <w:r w:rsidRPr="006F2A2B">
              <w:rPr>
                <w:rFonts w:ascii="Arial" w:hAnsi="Arial" w:cs="Arial"/>
                <w:sz w:val="22"/>
                <w:szCs w:val="22"/>
              </w:rPr>
              <w:t>, prin preluarea întregului activ și pasiv al I.T.T.C. Ploieşti, fiind prima companie constituită în industria petrolieră din România.</w:t>
            </w:r>
          </w:p>
          <w:p w:rsidR="006F2A2B" w:rsidRPr="006F2A2B" w:rsidRDefault="006F2A2B" w:rsidP="006F2A2B">
            <w:pPr>
              <w:spacing w:line="276" w:lineRule="auto"/>
              <w:jc w:val="both"/>
              <w:rPr>
                <w:rFonts w:ascii="Arial" w:hAnsi="Arial" w:cs="Arial"/>
                <w:sz w:val="22"/>
                <w:szCs w:val="22"/>
                <w:lang w:eastAsia="en-US"/>
              </w:rPr>
            </w:pPr>
          </w:p>
          <w:p w:rsidR="006F2A2B" w:rsidRPr="006F2A2B" w:rsidRDefault="006F2A2B" w:rsidP="006F2A2B">
            <w:pPr>
              <w:spacing w:line="276" w:lineRule="auto"/>
              <w:jc w:val="both"/>
              <w:rPr>
                <w:rFonts w:ascii="Arial" w:hAnsi="Arial" w:cs="Arial"/>
                <w:sz w:val="22"/>
                <w:szCs w:val="22"/>
              </w:rPr>
            </w:pPr>
            <w:r w:rsidRPr="006F2A2B">
              <w:rPr>
                <w:rFonts w:ascii="Arial" w:hAnsi="Arial" w:cs="Arial"/>
                <w:sz w:val="22"/>
                <w:szCs w:val="22"/>
                <w:lang w:eastAsia="en-US"/>
              </w:rPr>
              <w:t xml:space="preserve">În urma preluării activului și pasivului I.T.T.C. Ploiești, CONPET a devenit operatorul SNT al țiteiului, </w:t>
            </w:r>
            <w:r w:rsidRPr="006F2A2B">
              <w:rPr>
                <w:rFonts w:ascii="Arial" w:hAnsi="Arial" w:cs="Arial"/>
                <w:sz w:val="22"/>
                <w:szCs w:val="22"/>
              </w:rPr>
              <w:t>gazolinei, condensatului și etanului.</w:t>
            </w:r>
          </w:p>
          <w:p w:rsidR="006F2A2B" w:rsidRPr="006F2A2B" w:rsidRDefault="006F2A2B" w:rsidP="006F2A2B">
            <w:pPr>
              <w:spacing w:line="276" w:lineRule="auto"/>
              <w:jc w:val="both"/>
              <w:rPr>
                <w:rFonts w:ascii="Arial" w:hAnsi="Arial" w:cs="Arial"/>
                <w:sz w:val="22"/>
                <w:szCs w:val="22"/>
                <w:lang w:eastAsia="en-US"/>
              </w:rPr>
            </w:pPr>
          </w:p>
          <w:p w:rsidR="006F2A2B" w:rsidRPr="006F2A2B" w:rsidRDefault="006F2A2B" w:rsidP="006F2A2B">
            <w:pPr>
              <w:widowControl/>
              <w:overflowPunct w:val="0"/>
              <w:spacing w:line="276" w:lineRule="auto"/>
              <w:jc w:val="both"/>
              <w:textAlignment w:val="baseline"/>
              <w:rPr>
                <w:rFonts w:ascii="Arial" w:hAnsi="Arial" w:cs="Arial"/>
                <w:sz w:val="22"/>
                <w:szCs w:val="22"/>
                <w:lang w:eastAsia="en-US"/>
              </w:rPr>
            </w:pPr>
            <w:r w:rsidRPr="006F2A2B">
              <w:rPr>
                <w:rFonts w:ascii="Arial" w:hAnsi="Arial" w:cs="Arial"/>
                <w:sz w:val="22"/>
                <w:szCs w:val="22"/>
                <w:lang w:eastAsia="en-US"/>
              </w:rPr>
              <w:t xml:space="preserve">Din anul 2002, CONPET este concesionarul activității de operare a Sistemului Național de Transport al țițeiului, gazolinei, condensatului și etanului, în baza Acordului Petrolier de Concesiune încheiat cu Agentia Națională pentru Resurse Minerale, aprobat prin HG nr. 793/25.07.2002. </w:t>
            </w:r>
          </w:p>
          <w:p w:rsidR="006F2A2B" w:rsidRPr="006F2A2B" w:rsidRDefault="006F2A2B" w:rsidP="006F2A2B">
            <w:pPr>
              <w:widowControl/>
              <w:overflowPunct w:val="0"/>
              <w:spacing w:line="276" w:lineRule="auto"/>
              <w:jc w:val="both"/>
              <w:textAlignment w:val="baseline"/>
              <w:rPr>
                <w:rFonts w:ascii="Arial" w:hAnsi="Arial" w:cs="Arial"/>
                <w:sz w:val="22"/>
                <w:szCs w:val="22"/>
                <w:lang w:eastAsia="en-US"/>
              </w:rPr>
            </w:pPr>
          </w:p>
          <w:p w:rsidR="006F2A2B" w:rsidRPr="00C10FB6" w:rsidRDefault="006F2A2B" w:rsidP="006F2A2B">
            <w:pPr>
              <w:widowControl/>
              <w:overflowPunct w:val="0"/>
              <w:spacing w:line="276" w:lineRule="auto"/>
              <w:jc w:val="both"/>
              <w:textAlignment w:val="baseline"/>
              <w:rPr>
                <w:rFonts w:ascii="Arial" w:hAnsi="Arial" w:cs="Arial"/>
                <w:sz w:val="22"/>
                <w:szCs w:val="22"/>
                <w:lang w:eastAsia="en-US"/>
              </w:rPr>
            </w:pPr>
            <w:r w:rsidRPr="006F2A2B">
              <w:rPr>
                <w:rFonts w:ascii="Arial" w:hAnsi="Arial" w:cs="Arial"/>
                <w:sz w:val="22"/>
                <w:szCs w:val="22"/>
                <w:lang w:eastAsia="en-US"/>
              </w:rPr>
              <w:t>Sistemul Național de Transport al țițeiului, gazolinei, condensatului și etanului (SNT</w:t>
            </w:r>
            <w:r w:rsidRPr="00C10FB6">
              <w:rPr>
                <w:rFonts w:ascii="Arial" w:hAnsi="Arial" w:cs="Arial"/>
                <w:sz w:val="22"/>
                <w:szCs w:val="22"/>
                <w:lang w:eastAsia="en-US"/>
              </w:rPr>
              <w:t xml:space="preserve">) </w:t>
            </w:r>
            <w:r w:rsidRPr="00C10FB6">
              <w:rPr>
                <w:rFonts w:ascii="Arial" w:hAnsi="Arial" w:cs="Arial"/>
                <w:sz w:val="22"/>
                <w:szCs w:val="22"/>
                <w:shd w:val="clear" w:color="auto" w:fill="FFFFFF"/>
                <w:lang w:val="en-GB" w:eastAsia="en-US"/>
              </w:rPr>
              <w:t xml:space="preserve">face parte din proprietatea publică a statului și este de importanță strategică. </w:t>
            </w:r>
            <w:r w:rsidRPr="00C10FB6">
              <w:rPr>
                <w:rFonts w:ascii="Arial" w:hAnsi="Arial" w:cs="Arial"/>
                <w:sz w:val="22"/>
                <w:szCs w:val="22"/>
                <w:lang w:eastAsia="en-US"/>
              </w:rPr>
              <w:t xml:space="preserve"> </w:t>
            </w:r>
          </w:p>
          <w:p w:rsidR="006F2A2B" w:rsidRPr="006F2A2B" w:rsidRDefault="006F2A2B" w:rsidP="006F2A2B">
            <w:pPr>
              <w:widowControl/>
              <w:overflowPunct w:val="0"/>
              <w:spacing w:line="276" w:lineRule="auto"/>
              <w:jc w:val="both"/>
              <w:textAlignment w:val="baseline"/>
              <w:rPr>
                <w:rFonts w:ascii="Arial" w:hAnsi="Arial" w:cs="Arial"/>
                <w:sz w:val="22"/>
                <w:szCs w:val="22"/>
                <w:lang w:eastAsia="en-US"/>
              </w:rPr>
            </w:pPr>
            <w:r w:rsidRPr="006F2A2B">
              <w:rPr>
                <w:rFonts w:ascii="Arial" w:hAnsi="Arial" w:cs="Arial"/>
                <w:sz w:val="22"/>
                <w:szCs w:val="22"/>
                <w:lang w:eastAsia="en-US"/>
              </w:rPr>
              <w:t>Prin Legea Petrolului nr. 238 din 7 iunie 2004 și Normele metodologice pentru aplicarea Legii Petrolului, aprobate prin HG nr. 2075/2004 este definit și reglementat SNT.</w:t>
            </w:r>
          </w:p>
          <w:p w:rsidR="006F2A2B" w:rsidRPr="006F2A2B" w:rsidRDefault="006F2A2B" w:rsidP="006F2A2B">
            <w:pPr>
              <w:widowControl/>
              <w:overflowPunct w:val="0"/>
              <w:spacing w:line="276" w:lineRule="auto"/>
              <w:jc w:val="both"/>
              <w:textAlignment w:val="baseline"/>
              <w:rPr>
                <w:rFonts w:ascii="Arial" w:hAnsi="Arial" w:cs="Arial"/>
                <w:sz w:val="22"/>
                <w:szCs w:val="22"/>
                <w:lang w:eastAsia="en-US"/>
              </w:rPr>
            </w:pPr>
          </w:p>
          <w:p w:rsidR="006F2A2B" w:rsidRPr="006F2A2B" w:rsidRDefault="006F2A2B" w:rsidP="006F2A2B">
            <w:pPr>
              <w:widowControl/>
              <w:overflowPunct w:val="0"/>
              <w:spacing w:line="276" w:lineRule="auto"/>
              <w:jc w:val="both"/>
              <w:textAlignment w:val="baseline"/>
              <w:rPr>
                <w:rFonts w:ascii="Arial" w:hAnsi="Arial" w:cs="Arial"/>
                <w:sz w:val="22"/>
                <w:szCs w:val="22"/>
                <w:lang w:eastAsia="en-US"/>
              </w:rPr>
            </w:pPr>
            <w:r w:rsidRPr="006F2A2B">
              <w:rPr>
                <w:rFonts w:ascii="Arial" w:hAnsi="Arial" w:cs="Arial"/>
                <w:sz w:val="22"/>
                <w:szCs w:val="22"/>
                <w:lang w:eastAsia="en-US"/>
              </w:rPr>
              <w:t>CONPET prestează servicii de transport pentru clienții săi atât prin Sistemul Național de Transport, concesionat în baza Acordului Petrolier de concesiune a activității de operare a Sistemului Național de Transport al țițeiului, gazolinei, condensatului și etanului, cât și pe calea ferată, de la rampele de încărcare la rafinării, pentru zonele petroliere care nu sunt racordate la conductele magistrale de transport.</w:t>
            </w:r>
          </w:p>
          <w:p w:rsidR="006F2A2B" w:rsidRPr="006F2A2B" w:rsidRDefault="006F2A2B" w:rsidP="006F2A2B">
            <w:pPr>
              <w:spacing w:line="276" w:lineRule="auto"/>
              <w:jc w:val="both"/>
              <w:rPr>
                <w:rFonts w:ascii="Arial" w:hAnsi="Arial" w:cs="Arial"/>
                <w:sz w:val="22"/>
                <w:szCs w:val="22"/>
                <w:lang w:eastAsia="en-US"/>
              </w:rPr>
            </w:pPr>
          </w:p>
          <w:p w:rsidR="006F2A2B" w:rsidRPr="006F2A2B" w:rsidRDefault="006F2A2B" w:rsidP="00B7227F">
            <w:pPr>
              <w:spacing w:line="276" w:lineRule="auto"/>
              <w:jc w:val="both"/>
              <w:rPr>
                <w:rFonts w:ascii="Arial" w:hAnsi="Arial" w:cs="Arial"/>
                <w:sz w:val="22"/>
                <w:szCs w:val="22"/>
                <w:lang w:eastAsia="en-US"/>
              </w:rPr>
            </w:pPr>
            <w:r w:rsidRPr="006F2A2B">
              <w:rPr>
                <w:rFonts w:ascii="Arial" w:hAnsi="Arial" w:cs="Arial"/>
                <w:sz w:val="22"/>
                <w:szCs w:val="22"/>
                <w:lang w:eastAsia="en-US"/>
              </w:rPr>
              <w:t>Societatea CONPET își desfașoară activitatea în următoarele locații:</w:t>
            </w:r>
          </w:p>
          <w:p w:rsidR="006F2A2B" w:rsidRPr="006F2A2B" w:rsidRDefault="006F2A2B" w:rsidP="00170D7E">
            <w:pPr>
              <w:widowControl/>
              <w:numPr>
                <w:ilvl w:val="0"/>
                <w:numId w:val="24"/>
              </w:numPr>
              <w:autoSpaceDE/>
              <w:autoSpaceDN/>
              <w:adjustRightInd/>
              <w:spacing w:after="200" w:line="276" w:lineRule="auto"/>
              <w:contextualSpacing/>
              <w:jc w:val="both"/>
              <w:rPr>
                <w:rFonts w:ascii="Arial" w:eastAsia="Calibri" w:hAnsi="Arial" w:cs="Arial"/>
                <w:sz w:val="22"/>
                <w:szCs w:val="22"/>
                <w:lang w:eastAsia="en-US"/>
              </w:rPr>
            </w:pPr>
            <w:r w:rsidRPr="006F2A2B">
              <w:rPr>
                <w:rFonts w:ascii="Arial" w:eastAsia="Calibri" w:hAnsi="Arial" w:cs="Arial"/>
                <w:sz w:val="22"/>
                <w:szCs w:val="22"/>
                <w:lang w:eastAsia="en-US"/>
              </w:rPr>
              <w:t>Sediul</w:t>
            </w:r>
            <w:r w:rsidR="00DC3009">
              <w:rPr>
                <w:rFonts w:ascii="Arial" w:eastAsia="Calibri" w:hAnsi="Arial" w:cs="Arial"/>
                <w:sz w:val="22"/>
                <w:szCs w:val="22"/>
                <w:lang w:eastAsia="en-US"/>
              </w:rPr>
              <w:t xml:space="preserve"> 1</w:t>
            </w:r>
            <w:r w:rsidRPr="006F2A2B">
              <w:rPr>
                <w:rFonts w:ascii="Arial" w:eastAsia="Calibri" w:hAnsi="Arial" w:cs="Arial"/>
                <w:sz w:val="22"/>
                <w:szCs w:val="22"/>
                <w:lang w:eastAsia="en-US"/>
              </w:rPr>
              <w:t xml:space="preserve"> CONPET: municipiul Ploiești, str. Anul 1848, nr. 1-3, județul Prahova;</w:t>
            </w:r>
          </w:p>
          <w:p w:rsidR="006F2A2B" w:rsidRPr="006F2A2B" w:rsidRDefault="006F2A2B" w:rsidP="00170D7E">
            <w:pPr>
              <w:widowControl/>
              <w:numPr>
                <w:ilvl w:val="0"/>
                <w:numId w:val="24"/>
              </w:numPr>
              <w:autoSpaceDE/>
              <w:autoSpaceDN/>
              <w:adjustRightInd/>
              <w:spacing w:after="200" w:line="276" w:lineRule="auto"/>
              <w:contextualSpacing/>
              <w:jc w:val="both"/>
              <w:rPr>
                <w:rFonts w:ascii="Arial" w:eastAsia="Calibri" w:hAnsi="Arial" w:cs="Arial"/>
                <w:sz w:val="22"/>
                <w:szCs w:val="22"/>
                <w:lang w:eastAsia="en-US"/>
              </w:rPr>
            </w:pPr>
            <w:r w:rsidRPr="006F2A2B">
              <w:rPr>
                <w:rFonts w:ascii="Arial" w:eastAsia="Calibri" w:hAnsi="Arial" w:cs="Arial"/>
                <w:sz w:val="22"/>
                <w:szCs w:val="22"/>
                <w:lang w:eastAsia="en-US"/>
              </w:rPr>
              <w:t>Sediul 2 CONPET: municipiul Ploiești, str. Rezervoarelor, nr. 8, județul Prahova;</w:t>
            </w:r>
          </w:p>
          <w:p w:rsidR="006F2A2B" w:rsidRDefault="006F2A2B" w:rsidP="00170D7E">
            <w:pPr>
              <w:widowControl/>
              <w:numPr>
                <w:ilvl w:val="0"/>
                <w:numId w:val="24"/>
              </w:numPr>
              <w:autoSpaceDE/>
              <w:autoSpaceDN/>
              <w:adjustRightInd/>
              <w:spacing w:after="200" w:line="276" w:lineRule="auto"/>
              <w:contextualSpacing/>
              <w:jc w:val="both"/>
              <w:rPr>
                <w:rFonts w:ascii="Arial" w:eastAsia="Calibri" w:hAnsi="Arial" w:cs="Arial"/>
                <w:sz w:val="22"/>
                <w:szCs w:val="22"/>
                <w:lang w:eastAsia="en-US"/>
              </w:rPr>
            </w:pPr>
            <w:r w:rsidRPr="006F2A2B">
              <w:rPr>
                <w:rFonts w:ascii="Arial" w:eastAsia="Calibri" w:hAnsi="Arial" w:cs="Arial"/>
                <w:sz w:val="22"/>
                <w:szCs w:val="22"/>
                <w:lang w:eastAsia="en-US"/>
              </w:rPr>
              <w:t>56 puncte de lucru cu sediul în 20 de județe.</w:t>
            </w:r>
          </w:p>
          <w:p w:rsidR="002F7F65" w:rsidRPr="006F2A2B" w:rsidRDefault="002F7F65" w:rsidP="002F7F65">
            <w:pPr>
              <w:widowControl/>
              <w:autoSpaceDE/>
              <w:autoSpaceDN/>
              <w:adjustRightInd/>
              <w:spacing w:after="200" w:line="276" w:lineRule="auto"/>
              <w:ind w:left="720"/>
              <w:contextualSpacing/>
              <w:jc w:val="both"/>
              <w:rPr>
                <w:rFonts w:ascii="Arial" w:eastAsia="Calibri" w:hAnsi="Arial" w:cs="Arial"/>
                <w:sz w:val="22"/>
                <w:szCs w:val="22"/>
                <w:lang w:eastAsia="en-US"/>
              </w:rPr>
            </w:pPr>
          </w:p>
          <w:p w:rsidR="006F2A2B" w:rsidRPr="006F2A2B" w:rsidRDefault="002F7F65" w:rsidP="00B7227F">
            <w:pPr>
              <w:jc w:val="both"/>
              <w:rPr>
                <w:rFonts w:ascii="Arial" w:hAnsi="Arial" w:cs="Arial"/>
                <w:sz w:val="22"/>
                <w:szCs w:val="22"/>
              </w:rPr>
            </w:pPr>
            <w:r>
              <w:rPr>
                <w:rFonts w:ascii="Arial" w:hAnsi="Arial" w:cs="Arial"/>
                <w:sz w:val="22"/>
                <w:szCs w:val="22"/>
              </w:rPr>
              <w:t>Activită</w:t>
            </w:r>
            <w:r w:rsidR="006F2A2B" w:rsidRPr="006F2A2B">
              <w:rPr>
                <w:rFonts w:ascii="Arial" w:hAnsi="Arial" w:cs="Arial"/>
                <w:sz w:val="22"/>
                <w:szCs w:val="22"/>
              </w:rPr>
              <w:t>țile oper</w:t>
            </w:r>
            <w:r w:rsidR="00DC3009">
              <w:rPr>
                <w:rFonts w:ascii="Arial" w:hAnsi="Arial" w:cs="Arial"/>
                <w:sz w:val="22"/>
                <w:szCs w:val="22"/>
              </w:rPr>
              <w:t>aționale și administrative desfă</w:t>
            </w:r>
            <w:r w:rsidR="006F2A2B" w:rsidRPr="006F2A2B">
              <w:rPr>
                <w:rFonts w:ascii="Arial" w:hAnsi="Arial" w:cs="Arial"/>
                <w:sz w:val="22"/>
                <w:szCs w:val="22"/>
              </w:rPr>
              <w:t xml:space="preserve">șurate pe rază teritorială a 20 de județe sunt organizate pe divizii, iar în cadrul acestora pe sectoare de activitate, în funcție de dispersia teritorială a lor. </w:t>
            </w:r>
          </w:p>
          <w:p w:rsidR="006F2A2B" w:rsidRPr="006F2A2B" w:rsidRDefault="006F2A2B" w:rsidP="006F2A2B">
            <w:pPr>
              <w:shd w:val="clear" w:color="auto" w:fill="FFFFFF"/>
              <w:rPr>
                <w:rFonts w:ascii="Arial" w:hAnsi="Arial" w:cs="Arial"/>
                <w:b/>
                <w:bCs/>
                <w:color w:val="FF0000"/>
                <w:sz w:val="22"/>
                <w:szCs w:val="22"/>
              </w:rPr>
            </w:pPr>
          </w:p>
          <w:p w:rsidR="006F2A2B" w:rsidRPr="009828D6" w:rsidRDefault="006F2A2B" w:rsidP="006F2A2B">
            <w:pPr>
              <w:shd w:val="clear" w:color="auto" w:fill="FFFFFF"/>
              <w:rPr>
                <w:rFonts w:ascii="Arial" w:hAnsi="Arial" w:cs="Arial"/>
                <w:b/>
                <w:bCs/>
                <w:color w:val="1F4E79" w:themeColor="accent1" w:themeShade="80"/>
                <w:sz w:val="24"/>
                <w:szCs w:val="24"/>
              </w:rPr>
            </w:pPr>
            <w:r w:rsidRPr="009828D6">
              <w:rPr>
                <w:rFonts w:ascii="Arial" w:hAnsi="Arial" w:cs="Arial"/>
                <w:b/>
                <w:bCs/>
                <w:color w:val="1F4E79" w:themeColor="accent1" w:themeShade="80"/>
                <w:sz w:val="24"/>
                <w:szCs w:val="24"/>
              </w:rPr>
              <w:t>1.</w:t>
            </w:r>
            <w:r w:rsidR="00DC3009" w:rsidRPr="009828D6">
              <w:rPr>
                <w:rFonts w:ascii="Arial" w:hAnsi="Arial" w:cs="Arial"/>
                <w:b/>
                <w:bCs/>
                <w:color w:val="1F4E79" w:themeColor="accent1" w:themeShade="80"/>
                <w:sz w:val="24"/>
                <w:szCs w:val="24"/>
              </w:rPr>
              <w:t>6</w:t>
            </w:r>
            <w:r w:rsidRPr="009828D6">
              <w:rPr>
                <w:rFonts w:ascii="Arial" w:hAnsi="Arial" w:cs="Arial"/>
                <w:b/>
                <w:bCs/>
                <w:color w:val="1F4E79" w:themeColor="accent1" w:themeShade="80"/>
                <w:sz w:val="24"/>
                <w:szCs w:val="24"/>
              </w:rPr>
              <w:t xml:space="preserve"> Obiective strategice de dezvoltare</w:t>
            </w:r>
          </w:p>
          <w:p w:rsidR="006F2A2B" w:rsidRPr="006F2A2B" w:rsidRDefault="006F2A2B" w:rsidP="006F2A2B">
            <w:pPr>
              <w:shd w:val="clear" w:color="auto" w:fill="FFFFFF"/>
              <w:rPr>
                <w:rFonts w:ascii="Arial" w:hAnsi="Arial" w:cs="Arial"/>
                <w:b/>
                <w:bCs/>
                <w:color w:val="FF0000"/>
                <w:sz w:val="22"/>
                <w:szCs w:val="22"/>
              </w:rPr>
            </w:pPr>
          </w:p>
          <w:p w:rsidR="006F2A2B" w:rsidRPr="006F2A2B" w:rsidRDefault="006F2A2B" w:rsidP="006F2A2B">
            <w:pPr>
              <w:widowControl/>
              <w:shd w:val="clear" w:color="auto" w:fill="FFFFFF"/>
              <w:autoSpaceDE/>
              <w:autoSpaceDN/>
              <w:adjustRightInd/>
              <w:textAlignment w:val="baseline"/>
              <w:rPr>
                <w:rFonts w:ascii="Arial" w:hAnsi="Arial" w:cs="Arial"/>
                <w:sz w:val="22"/>
                <w:szCs w:val="22"/>
                <w:lang w:val="en-US" w:eastAsia="en-US"/>
              </w:rPr>
            </w:pPr>
            <w:r w:rsidRPr="006F2A2B">
              <w:rPr>
                <w:rFonts w:ascii="Arial" w:hAnsi="Arial" w:cs="Arial"/>
                <w:sz w:val="22"/>
                <w:szCs w:val="22"/>
                <w:lang w:val="en-US" w:eastAsia="en-US"/>
              </w:rPr>
              <w:t>În scopul  consolidării poziției pe piață a companiei și al dezvoltării activităților principale, Consiliul de Administraţie și-a stabilit următoarele obiective strategice:</w:t>
            </w:r>
          </w:p>
          <w:p w:rsidR="006F2A2B" w:rsidRPr="006F2A2B" w:rsidRDefault="006F2A2B" w:rsidP="00170D7E">
            <w:pPr>
              <w:widowControl/>
              <w:numPr>
                <w:ilvl w:val="0"/>
                <w:numId w:val="23"/>
              </w:numPr>
              <w:shd w:val="clear" w:color="auto" w:fill="FFFFFF"/>
              <w:autoSpaceDE/>
              <w:autoSpaceDN/>
              <w:adjustRightInd/>
              <w:spacing w:line="276" w:lineRule="auto"/>
              <w:textAlignment w:val="baseline"/>
              <w:rPr>
                <w:rFonts w:ascii="Arial" w:hAnsi="Arial" w:cs="Arial"/>
                <w:sz w:val="22"/>
                <w:szCs w:val="22"/>
                <w:lang w:val="en-US" w:eastAsia="en-US"/>
              </w:rPr>
            </w:pPr>
            <w:r w:rsidRPr="006F2A2B">
              <w:rPr>
                <w:rFonts w:ascii="Arial" w:hAnsi="Arial" w:cs="Arial"/>
                <w:sz w:val="22"/>
                <w:szCs w:val="22"/>
                <w:lang w:val="en-US" w:eastAsia="en-US"/>
              </w:rPr>
              <w:t>dezvoltarea de noi activităţi conexe celei de bază;</w:t>
            </w:r>
          </w:p>
          <w:p w:rsidR="006F2A2B" w:rsidRPr="006F2A2B" w:rsidRDefault="006F2A2B" w:rsidP="00170D7E">
            <w:pPr>
              <w:widowControl/>
              <w:numPr>
                <w:ilvl w:val="0"/>
                <w:numId w:val="23"/>
              </w:numPr>
              <w:shd w:val="clear" w:color="auto" w:fill="FFFFFF"/>
              <w:autoSpaceDE/>
              <w:autoSpaceDN/>
              <w:adjustRightInd/>
              <w:spacing w:line="276" w:lineRule="auto"/>
              <w:textAlignment w:val="baseline"/>
              <w:rPr>
                <w:rFonts w:ascii="Arial" w:hAnsi="Arial" w:cs="Arial"/>
                <w:sz w:val="22"/>
                <w:szCs w:val="22"/>
                <w:lang w:val="en-US" w:eastAsia="en-US"/>
              </w:rPr>
            </w:pPr>
            <w:r w:rsidRPr="006F2A2B">
              <w:rPr>
                <w:rFonts w:ascii="Arial" w:hAnsi="Arial" w:cs="Arial"/>
                <w:sz w:val="22"/>
                <w:szCs w:val="22"/>
                <w:lang w:val="en-US" w:eastAsia="en-US"/>
              </w:rPr>
              <w:t>definirea Societăţii ca jucător regional;</w:t>
            </w:r>
          </w:p>
          <w:p w:rsidR="006F2A2B" w:rsidRPr="006F2A2B" w:rsidRDefault="006F2A2B" w:rsidP="00170D7E">
            <w:pPr>
              <w:widowControl/>
              <w:numPr>
                <w:ilvl w:val="0"/>
                <w:numId w:val="23"/>
              </w:numPr>
              <w:shd w:val="clear" w:color="auto" w:fill="FFFFFF"/>
              <w:autoSpaceDE/>
              <w:autoSpaceDN/>
              <w:adjustRightInd/>
              <w:spacing w:line="276" w:lineRule="auto"/>
              <w:textAlignment w:val="baseline"/>
              <w:rPr>
                <w:rFonts w:ascii="Arial" w:hAnsi="Arial" w:cs="Arial"/>
                <w:sz w:val="22"/>
                <w:szCs w:val="22"/>
                <w:lang w:val="en-US" w:eastAsia="en-US"/>
              </w:rPr>
            </w:pPr>
            <w:r w:rsidRPr="006F2A2B">
              <w:rPr>
                <w:rFonts w:ascii="Arial" w:hAnsi="Arial" w:cs="Arial"/>
                <w:sz w:val="22"/>
                <w:szCs w:val="22"/>
                <w:lang w:val="en-US" w:eastAsia="en-US"/>
              </w:rPr>
              <w:t>abordarea financiară modernă a afacerii;</w:t>
            </w:r>
          </w:p>
          <w:p w:rsidR="006F2A2B" w:rsidRPr="006F2A2B" w:rsidRDefault="006F2A2B" w:rsidP="00170D7E">
            <w:pPr>
              <w:widowControl/>
              <w:numPr>
                <w:ilvl w:val="0"/>
                <w:numId w:val="23"/>
              </w:numPr>
              <w:shd w:val="clear" w:color="auto" w:fill="FFFFFF"/>
              <w:autoSpaceDE/>
              <w:autoSpaceDN/>
              <w:adjustRightInd/>
              <w:spacing w:after="270" w:line="276" w:lineRule="auto"/>
              <w:textAlignment w:val="baseline"/>
              <w:rPr>
                <w:rFonts w:ascii="Arial" w:hAnsi="Arial" w:cs="Arial"/>
                <w:sz w:val="22"/>
                <w:szCs w:val="22"/>
                <w:lang w:val="en-US" w:eastAsia="en-US"/>
              </w:rPr>
            </w:pPr>
            <w:r w:rsidRPr="006F2A2B">
              <w:rPr>
                <w:rFonts w:ascii="Arial" w:hAnsi="Arial" w:cs="Arial"/>
                <w:sz w:val="22"/>
                <w:szCs w:val="22"/>
                <w:lang w:val="en-US" w:eastAsia="en-US"/>
              </w:rPr>
              <w:t>scăderea cheltuielilor de exploatare.</w:t>
            </w:r>
          </w:p>
          <w:p w:rsidR="006F2A2B" w:rsidRPr="006F2A2B" w:rsidRDefault="006F2A2B" w:rsidP="00DC3009">
            <w:pPr>
              <w:widowControl/>
              <w:shd w:val="clear" w:color="auto" w:fill="FFFFFF"/>
              <w:autoSpaceDE/>
              <w:autoSpaceDN/>
              <w:adjustRightInd/>
              <w:spacing w:line="276" w:lineRule="auto"/>
              <w:textAlignment w:val="baseline"/>
              <w:rPr>
                <w:rFonts w:ascii="Arial" w:hAnsi="Arial" w:cs="Arial"/>
                <w:sz w:val="22"/>
                <w:szCs w:val="22"/>
                <w:lang w:val="en-US" w:eastAsia="en-US"/>
              </w:rPr>
            </w:pPr>
            <w:r w:rsidRPr="006F2A2B">
              <w:rPr>
                <w:rFonts w:ascii="Arial" w:hAnsi="Arial" w:cs="Arial"/>
                <w:sz w:val="22"/>
                <w:szCs w:val="22"/>
                <w:lang w:val="en-US" w:eastAsia="en-US"/>
              </w:rPr>
              <w:t>În acest context, elementele cheie ale strategiei vizează :</w:t>
            </w:r>
          </w:p>
          <w:p w:rsidR="006F2A2B" w:rsidRDefault="006F2A2B" w:rsidP="00170D7E">
            <w:pPr>
              <w:widowControl/>
              <w:numPr>
                <w:ilvl w:val="0"/>
                <w:numId w:val="22"/>
              </w:numPr>
              <w:shd w:val="clear" w:color="auto" w:fill="FFFFFF"/>
              <w:autoSpaceDE/>
              <w:autoSpaceDN/>
              <w:adjustRightInd/>
              <w:spacing w:line="276" w:lineRule="auto"/>
              <w:ind w:left="652" w:hanging="270"/>
              <w:jc w:val="both"/>
              <w:textAlignment w:val="baseline"/>
              <w:rPr>
                <w:rFonts w:ascii="Arial" w:hAnsi="Arial" w:cs="Arial"/>
                <w:sz w:val="22"/>
                <w:szCs w:val="22"/>
                <w:lang w:val="en-US" w:eastAsia="en-US"/>
              </w:rPr>
            </w:pPr>
            <w:r w:rsidRPr="006F2A2B">
              <w:rPr>
                <w:rFonts w:ascii="Arial" w:hAnsi="Arial" w:cs="Arial"/>
                <w:bCs/>
                <w:sz w:val="22"/>
                <w:szCs w:val="22"/>
                <w:lang w:val="en-US" w:eastAsia="en-US"/>
              </w:rPr>
              <w:t>stimularea veniturilor</w:t>
            </w:r>
            <w:r w:rsidRPr="006F2A2B">
              <w:rPr>
                <w:rFonts w:ascii="Arial" w:hAnsi="Arial" w:cs="Arial"/>
                <w:sz w:val="22"/>
                <w:szCs w:val="22"/>
                <w:lang w:val="en-US" w:eastAsia="en-US"/>
              </w:rPr>
              <w:t> prin dezvoltarea unor noi zone de afaceri prin iniţierea de noi activităţi generatoare de venit (ex. închirierea facilităţilor de stocaj şi dezvoltarea de transporturi atipice de ţiţei şi produse petroliere);</w:t>
            </w:r>
          </w:p>
          <w:p w:rsidR="00564B3E" w:rsidRDefault="00564B3E" w:rsidP="00564B3E">
            <w:pPr>
              <w:widowControl/>
              <w:shd w:val="clear" w:color="auto" w:fill="FFFFFF"/>
              <w:autoSpaceDE/>
              <w:autoSpaceDN/>
              <w:adjustRightInd/>
              <w:spacing w:line="276" w:lineRule="auto"/>
              <w:jc w:val="both"/>
              <w:textAlignment w:val="baseline"/>
              <w:rPr>
                <w:rFonts w:ascii="Arial" w:hAnsi="Arial" w:cs="Arial"/>
                <w:sz w:val="22"/>
                <w:szCs w:val="22"/>
                <w:lang w:val="en-US" w:eastAsia="en-US"/>
              </w:rPr>
            </w:pPr>
          </w:p>
          <w:p w:rsidR="00564B3E" w:rsidRDefault="00564B3E" w:rsidP="00564B3E">
            <w:pPr>
              <w:widowControl/>
              <w:shd w:val="clear" w:color="auto" w:fill="FFFFFF"/>
              <w:autoSpaceDE/>
              <w:autoSpaceDN/>
              <w:adjustRightInd/>
              <w:spacing w:line="276" w:lineRule="auto"/>
              <w:jc w:val="both"/>
              <w:textAlignment w:val="baseline"/>
              <w:rPr>
                <w:rFonts w:ascii="Arial" w:hAnsi="Arial" w:cs="Arial"/>
                <w:sz w:val="22"/>
                <w:szCs w:val="22"/>
                <w:lang w:val="en-US" w:eastAsia="en-US"/>
              </w:rPr>
            </w:pPr>
          </w:p>
          <w:p w:rsidR="00564B3E" w:rsidRPr="006F2A2B" w:rsidRDefault="00564B3E" w:rsidP="00564B3E">
            <w:pPr>
              <w:widowControl/>
              <w:shd w:val="clear" w:color="auto" w:fill="FFFFFF"/>
              <w:autoSpaceDE/>
              <w:autoSpaceDN/>
              <w:adjustRightInd/>
              <w:spacing w:line="276" w:lineRule="auto"/>
              <w:jc w:val="both"/>
              <w:textAlignment w:val="baseline"/>
              <w:rPr>
                <w:rFonts w:ascii="Arial" w:hAnsi="Arial" w:cs="Arial"/>
                <w:sz w:val="22"/>
                <w:szCs w:val="22"/>
                <w:lang w:val="en-US" w:eastAsia="en-US"/>
              </w:rPr>
            </w:pPr>
          </w:p>
          <w:p w:rsidR="006F2A2B" w:rsidRPr="00564B3E" w:rsidRDefault="006F2A2B" w:rsidP="00170D7E">
            <w:pPr>
              <w:widowControl/>
              <w:numPr>
                <w:ilvl w:val="0"/>
                <w:numId w:val="22"/>
              </w:numPr>
              <w:shd w:val="clear" w:color="auto" w:fill="FFFFFF"/>
              <w:autoSpaceDE/>
              <w:autoSpaceDN/>
              <w:adjustRightInd/>
              <w:spacing w:line="276" w:lineRule="auto"/>
              <w:ind w:left="652" w:hanging="292"/>
              <w:jc w:val="both"/>
              <w:textAlignment w:val="baseline"/>
              <w:rPr>
                <w:rFonts w:ascii="Arial" w:hAnsi="Arial" w:cs="Arial"/>
                <w:sz w:val="22"/>
                <w:szCs w:val="22"/>
                <w:lang w:val="en-US" w:eastAsia="en-US"/>
              </w:rPr>
            </w:pPr>
            <w:r w:rsidRPr="006F2A2B">
              <w:rPr>
                <w:rFonts w:ascii="Arial" w:hAnsi="Arial" w:cs="Arial"/>
                <w:bCs/>
                <w:sz w:val="22"/>
                <w:szCs w:val="22"/>
                <w:lang w:val="en-US" w:eastAsia="en-US"/>
              </w:rPr>
              <w:lastRenderedPageBreak/>
              <w:t>îmbunătăţirea reţelei naționale de transport</w:t>
            </w:r>
            <w:r w:rsidRPr="006F2A2B">
              <w:rPr>
                <w:rFonts w:ascii="Arial" w:hAnsi="Arial" w:cs="Arial"/>
                <w:sz w:val="22"/>
                <w:szCs w:val="22"/>
                <w:lang w:val="en-US" w:eastAsia="en-US"/>
              </w:rPr>
              <w:t> prin implementarea sistemului de localizare şi detectare de scurgeri, modernizarea sistemului de protecţie catodică și a sistemului de monitorizare,</w:t>
            </w:r>
            <w:r w:rsidR="00564B3E">
              <w:rPr>
                <w:rFonts w:ascii="Arial" w:hAnsi="Arial" w:cs="Arial"/>
                <w:sz w:val="22"/>
                <w:szCs w:val="22"/>
                <w:lang w:val="en-US" w:eastAsia="en-US"/>
              </w:rPr>
              <w:t xml:space="preserve"> </w:t>
            </w:r>
            <w:r w:rsidRPr="00564B3E">
              <w:rPr>
                <w:rFonts w:ascii="Arial" w:hAnsi="Arial" w:cs="Arial"/>
                <w:sz w:val="22"/>
                <w:szCs w:val="22"/>
                <w:lang w:val="en-US" w:eastAsia="en-US"/>
              </w:rPr>
              <w:t>control şi colectare de date, înnoirea rețelei de conducte, derularea unui program de reabilitare și redimensionarea parcului de rezervoare, adaptat la cantităţile transportate;</w:t>
            </w:r>
          </w:p>
          <w:p w:rsidR="006F2A2B" w:rsidRPr="006F2A2B" w:rsidRDefault="006F2A2B" w:rsidP="00170D7E">
            <w:pPr>
              <w:widowControl/>
              <w:numPr>
                <w:ilvl w:val="0"/>
                <w:numId w:val="22"/>
              </w:numPr>
              <w:shd w:val="clear" w:color="auto" w:fill="FFFFFF"/>
              <w:autoSpaceDE/>
              <w:autoSpaceDN/>
              <w:adjustRightInd/>
              <w:spacing w:line="276" w:lineRule="auto"/>
              <w:ind w:left="652" w:hanging="292"/>
              <w:jc w:val="both"/>
              <w:textAlignment w:val="baseline"/>
              <w:rPr>
                <w:rFonts w:ascii="Arial" w:hAnsi="Arial" w:cs="Arial"/>
                <w:sz w:val="22"/>
                <w:szCs w:val="22"/>
                <w:lang w:val="en-US" w:eastAsia="en-US"/>
              </w:rPr>
            </w:pPr>
            <w:r w:rsidRPr="006F2A2B">
              <w:rPr>
                <w:rFonts w:ascii="Arial" w:hAnsi="Arial" w:cs="Arial"/>
                <w:bCs/>
                <w:sz w:val="22"/>
                <w:szCs w:val="22"/>
                <w:lang w:val="en-US" w:eastAsia="en-US"/>
              </w:rPr>
              <w:t>îmbunătăţirea eficienţei activităţii</w:t>
            </w:r>
            <w:r w:rsidRPr="006F2A2B">
              <w:rPr>
                <w:rFonts w:ascii="Arial" w:hAnsi="Arial" w:cs="Arial"/>
                <w:sz w:val="22"/>
                <w:szCs w:val="22"/>
                <w:lang w:val="en-US" w:eastAsia="en-US"/>
              </w:rPr>
              <w:t> prin reducerea consumurilor tehnologice în cadrul proceselor de depozitare și transport, minimizarea consumurilor de energie, combustibili şi lubrifianţi, reducerea costurilor de operare ca urmare a redefinirii necesarului infrastructurii de conducte;</w:t>
            </w:r>
          </w:p>
          <w:p w:rsidR="006F2A2B" w:rsidRPr="006F2A2B" w:rsidRDefault="006F2A2B" w:rsidP="00170D7E">
            <w:pPr>
              <w:widowControl/>
              <w:numPr>
                <w:ilvl w:val="0"/>
                <w:numId w:val="22"/>
              </w:numPr>
              <w:shd w:val="clear" w:color="auto" w:fill="FFFFFF"/>
              <w:autoSpaceDE/>
              <w:autoSpaceDN/>
              <w:adjustRightInd/>
              <w:spacing w:line="276" w:lineRule="auto"/>
              <w:ind w:left="652" w:hanging="292"/>
              <w:jc w:val="both"/>
              <w:textAlignment w:val="baseline"/>
              <w:rPr>
                <w:rFonts w:ascii="Arial" w:hAnsi="Arial" w:cs="Arial"/>
                <w:b/>
                <w:bCs/>
                <w:sz w:val="22"/>
                <w:szCs w:val="22"/>
              </w:rPr>
            </w:pPr>
            <w:r w:rsidRPr="006F2A2B">
              <w:rPr>
                <w:rFonts w:ascii="Arial" w:hAnsi="Arial" w:cs="Arial"/>
                <w:bCs/>
                <w:sz w:val="22"/>
                <w:szCs w:val="22"/>
                <w:lang w:val="en-US" w:eastAsia="en-US"/>
              </w:rPr>
              <w:t>interconectarea Sistemului Naţional de Transport al ţiţeiului</w:t>
            </w:r>
            <w:r w:rsidR="007F2CDD">
              <w:rPr>
                <w:rFonts w:ascii="Arial" w:hAnsi="Arial" w:cs="Arial"/>
                <w:bCs/>
                <w:sz w:val="22"/>
                <w:szCs w:val="22"/>
                <w:lang w:val="en-US" w:eastAsia="en-US"/>
              </w:rPr>
              <w:t xml:space="preserve"> </w:t>
            </w:r>
            <w:r w:rsidRPr="006F2A2B">
              <w:rPr>
                <w:rFonts w:ascii="Arial" w:hAnsi="Arial" w:cs="Arial"/>
                <w:sz w:val="22"/>
                <w:szCs w:val="22"/>
                <w:lang w:val="en-US" w:eastAsia="en-US"/>
              </w:rPr>
              <w:t>la rețelele Regionale și Europene.</w:t>
            </w:r>
          </w:p>
          <w:p w:rsidR="0043743F" w:rsidRPr="00A74CF5" w:rsidRDefault="0043743F" w:rsidP="00BD09E3">
            <w:pPr>
              <w:widowControl/>
              <w:autoSpaceDE/>
              <w:autoSpaceDN/>
              <w:adjustRightInd/>
              <w:rPr>
                <w:rFonts w:ascii="Arial" w:hAnsi="Arial" w:cs="Arial"/>
                <w:b/>
                <w:sz w:val="22"/>
                <w:szCs w:val="22"/>
                <w:lang w:val="en-US" w:eastAsia="en-US"/>
              </w:rPr>
            </w:pPr>
          </w:p>
        </w:tc>
      </w:tr>
    </w:tbl>
    <w:p w:rsidR="00816479" w:rsidRPr="009828D6" w:rsidRDefault="00DC3009" w:rsidP="00DC3009">
      <w:pPr>
        <w:pStyle w:val="ListParagraph"/>
        <w:overflowPunct w:val="0"/>
        <w:ind w:left="0"/>
        <w:jc w:val="both"/>
        <w:textAlignment w:val="baseline"/>
        <w:rPr>
          <w:rFonts w:ascii="Arial" w:hAnsi="Arial" w:cs="Arial"/>
          <w:b/>
          <w:color w:val="1F4E79" w:themeColor="accent1" w:themeShade="80"/>
          <w:sz w:val="28"/>
          <w:szCs w:val="28"/>
          <w:lang w:val="en-US"/>
        </w:rPr>
      </w:pPr>
      <w:r w:rsidRPr="009828D6">
        <w:rPr>
          <w:rFonts w:ascii="Arial" w:hAnsi="Arial" w:cs="Arial"/>
          <w:b/>
          <w:color w:val="1F4E79" w:themeColor="accent1" w:themeShade="80"/>
          <w:sz w:val="28"/>
          <w:szCs w:val="28"/>
          <w:lang w:val="en-US"/>
        </w:rPr>
        <w:lastRenderedPageBreak/>
        <w:t>2.</w:t>
      </w:r>
      <w:r w:rsidR="002A775C" w:rsidRPr="009828D6">
        <w:rPr>
          <w:rFonts w:ascii="Arial" w:hAnsi="Arial" w:cs="Arial"/>
          <w:b/>
          <w:color w:val="1F4E79" w:themeColor="accent1" w:themeShade="80"/>
          <w:sz w:val="28"/>
          <w:szCs w:val="28"/>
          <w:lang w:val="en-US"/>
        </w:rPr>
        <w:t xml:space="preserve"> </w:t>
      </w:r>
      <w:r w:rsidR="00B7227F" w:rsidRPr="009828D6">
        <w:rPr>
          <w:rFonts w:ascii="Arial" w:hAnsi="Arial" w:cs="Arial"/>
          <w:b/>
          <w:color w:val="1F4E79" w:themeColor="accent1" w:themeShade="80"/>
          <w:sz w:val="28"/>
          <w:szCs w:val="28"/>
          <w:lang w:val="en-US"/>
        </w:rPr>
        <w:t>CONPET - SUMAR EXECUTIV</w:t>
      </w:r>
    </w:p>
    <w:p w:rsidR="008A1756" w:rsidRPr="009828D6" w:rsidRDefault="008A1756" w:rsidP="008A1756">
      <w:pPr>
        <w:pStyle w:val="ListParagraph"/>
        <w:overflowPunct w:val="0"/>
        <w:ind w:left="0"/>
        <w:jc w:val="both"/>
        <w:textAlignment w:val="baseline"/>
        <w:rPr>
          <w:rFonts w:ascii="Arial" w:hAnsi="Arial" w:cs="Arial"/>
          <w:b/>
          <w:color w:val="1F4E79" w:themeColor="accent1" w:themeShade="80"/>
          <w:sz w:val="24"/>
          <w:szCs w:val="24"/>
          <w:lang w:val="en-US"/>
        </w:rPr>
      </w:pPr>
    </w:p>
    <w:p w:rsidR="00A70183" w:rsidRPr="009828D6" w:rsidRDefault="002A775C" w:rsidP="00170D7E">
      <w:pPr>
        <w:pStyle w:val="ListParagraph"/>
        <w:numPr>
          <w:ilvl w:val="1"/>
          <w:numId w:val="26"/>
        </w:numPr>
        <w:overflowPunct w:val="0"/>
        <w:jc w:val="both"/>
        <w:textAlignment w:val="baseline"/>
        <w:rPr>
          <w:rFonts w:ascii="Arial" w:hAnsi="Arial" w:cs="Arial"/>
          <w:b/>
          <w:color w:val="1F4E79" w:themeColor="accent1" w:themeShade="80"/>
          <w:sz w:val="24"/>
          <w:szCs w:val="24"/>
          <w:lang w:val="en-US"/>
        </w:rPr>
      </w:pPr>
      <w:r w:rsidRPr="009828D6">
        <w:rPr>
          <w:rFonts w:ascii="Arial" w:hAnsi="Arial" w:cs="Arial"/>
          <w:b/>
          <w:color w:val="1F4E79" w:themeColor="accent1" w:themeShade="80"/>
          <w:sz w:val="24"/>
          <w:szCs w:val="24"/>
          <w:lang w:val="en-US"/>
        </w:rPr>
        <w:t xml:space="preserve"> </w:t>
      </w:r>
      <w:r w:rsidR="00A70183" w:rsidRPr="009828D6">
        <w:rPr>
          <w:rFonts w:ascii="Arial" w:hAnsi="Arial" w:cs="Arial"/>
          <w:b/>
          <w:color w:val="1F4E79" w:themeColor="accent1" w:themeShade="80"/>
          <w:sz w:val="24"/>
          <w:szCs w:val="24"/>
          <w:lang w:val="en-US"/>
        </w:rPr>
        <w:t xml:space="preserve">Indicatori ai activității operaționale </w:t>
      </w:r>
    </w:p>
    <w:p w:rsidR="00A70183" w:rsidRPr="00265255" w:rsidRDefault="00A70183" w:rsidP="00A70183">
      <w:pPr>
        <w:pStyle w:val="ListParagraph"/>
        <w:shd w:val="clear" w:color="auto" w:fill="FFFFFF"/>
        <w:spacing w:after="0"/>
        <w:ind w:left="284"/>
        <w:jc w:val="both"/>
        <w:rPr>
          <w:rFonts w:ascii="Arial" w:hAnsi="Arial" w:cs="Arial"/>
          <w:b/>
          <w:color w:val="5B9BD5" w:themeColor="accent1"/>
          <w:spacing w:val="-10"/>
        </w:rPr>
      </w:pPr>
    </w:p>
    <w:p w:rsidR="00A70183" w:rsidRPr="00DC3009" w:rsidRDefault="00A70183" w:rsidP="00DC3009">
      <w:pPr>
        <w:shd w:val="clear" w:color="auto" w:fill="FFFFFF"/>
        <w:spacing w:line="276" w:lineRule="auto"/>
        <w:jc w:val="both"/>
        <w:rPr>
          <w:rFonts w:ascii="Arial" w:hAnsi="Arial" w:cs="Arial"/>
          <w:spacing w:val="-10"/>
          <w:sz w:val="22"/>
          <w:szCs w:val="22"/>
        </w:rPr>
      </w:pPr>
      <w:r w:rsidRPr="00DC3009">
        <w:rPr>
          <w:rFonts w:ascii="Arial" w:hAnsi="Arial" w:cs="Arial"/>
          <w:spacing w:val="-10"/>
          <w:sz w:val="22"/>
          <w:szCs w:val="22"/>
        </w:rPr>
        <w:t xml:space="preserve">Evoluția cantității de produse (țiței, condensat și gazolină) transportate prin </w:t>
      </w:r>
      <w:r w:rsidR="00DC3009">
        <w:rPr>
          <w:rFonts w:ascii="Arial" w:hAnsi="Arial" w:cs="Arial"/>
          <w:spacing w:val="-10"/>
          <w:sz w:val="22"/>
          <w:szCs w:val="22"/>
        </w:rPr>
        <w:t>S</w:t>
      </w:r>
      <w:r w:rsidRPr="00DC3009">
        <w:rPr>
          <w:rFonts w:ascii="Arial" w:hAnsi="Arial" w:cs="Arial"/>
          <w:spacing w:val="-10"/>
          <w:sz w:val="22"/>
          <w:szCs w:val="22"/>
        </w:rPr>
        <w:t xml:space="preserve">istemul </w:t>
      </w:r>
      <w:r w:rsidR="00DC3009">
        <w:rPr>
          <w:rFonts w:ascii="Arial" w:hAnsi="Arial" w:cs="Arial"/>
          <w:spacing w:val="-10"/>
          <w:sz w:val="22"/>
          <w:szCs w:val="22"/>
        </w:rPr>
        <w:t>N</w:t>
      </w:r>
      <w:r w:rsidRPr="00DC3009">
        <w:rPr>
          <w:rFonts w:ascii="Arial" w:hAnsi="Arial" w:cs="Arial"/>
          <w:spacing w:val="-10"/>
          <w:sz w:val="22"/>
          <w:szCs w:val="22"/>
        </w:rPr>
        <w:t xml:space="preserve">ațional de </w:t>
      </w:r>
      <w:r w:rsidR="00DC3009">
        <w:rPr>
          <w:rFonts w:ascii="Arial" w:hAnsi="Arial" w:cs="Arial"/>
          <w:spacing w:val="-10"/>
          <w:sz w:val="22"/>
          <w:szCs w:val="22"/>
        </w:rPr>
        <w:t>T</w:t>
      </w:r>
      <w:r w:rsidRPr="00DC3009">
        <w:rPr>
          <w:rFonts w:ascii="Arial" w:hAnsi="Arial" w:cs="Arial"/>
          <w:spacing w:val="-10"/>
          <w:sz w:val="22"/>
          <w:szCs w:val="22"/>
        </w:rPr>
        <w:t>ransport (SNT) în perioada ianuarie-iunie 2018, comparativ cu B</w:t>
      </w:r>
      <w:r w:rsidR="00C22A47">
        <w:rPr>
          <w:rFonts w:ascii="Arial" w:hAnsi="Arial" w:cs="Arial"/>
          <w:spacing w:val="-10"/>
          <w:sz w:val="22"/>
          <w:szCs w:val="22"/>
        </w:rPr>
        <w:t>.</w:t>
      </w:r>
      <w:r w:rsidRPr="00DC3009">
        <w:rPr>
          <w:rFonts w:ascii="Arial" w:hAnsi="Arial" w:cs="Arial"/>
          <w:spacing w:val="-10"/>
          <w:sz w:val="22"/>
          <w:szCs w:val="22"/>
        </w:rPr>
        <w:t>V</w:t>
      </w:r>
      <w:r w:rsidR="00C22A47">
        <w:rPr>
          <w:rFonts w:ascii="Arial" w:hAnsi="Arial" w:cs="Arial"/>
          <w:spacing w:val="-10"/>
          <w:sz w:val="22"/>
          <w:szCs w:val="22"/>
        </w:rPr>
        <w:t>.</w:t>
      </w:r>
      <w:r w:rsidRPr="00DC3009">
        <w:rPr>
          <w:rFonts w:ascii="Arial" w:hAnsi="Arial" w:cs="Arial"/>
          <w:spacing w:val="-10"/>
          <w:sz w:val="22"/>
          <w:szCs w:val="22"/>
        </w:rPr>
        <w:t>C</w:t>
      </w:r>
      <w:r w:rsidR="00C22A47">
        <w:rPr>
          <w:rFonts w:ascii="Arial" w:hAnsi="Arial" w:cs="Arial"/>
          <w:spacing w:val="-10"/>
          <w:sz w:val="22"/>
          <w:szCs w:val="22"/>
        </w:rPr>
        <w:t>.</w:t>
      </w:r>
      <w:r w:rsidRPr="00DC3009">
        <w:rPr>
          <w:rFonts w:ascii="Arial" w:hAnsi="Arial" w:cs="Arial"/>
          <w:spacing w:val="-10"/>
          <w:sz w:val="22"/>
          <w:szCs w:val="22"/>
        </w:rPr>
        <w:t xml:space="preserve"> și cu aceeași perioadă a anului 2017, pe subsisteme de transport, este prezentată mai jos:</w:t>
      </w:r>
    </w:p>
    <w:p w:rsidR="00A70183" w:rsidRDefault="00A70183" w:rsidP="00A70183">
      <w:pPr>
        <w:shd w:val="clear" w:color="auto" w:fill="FFFFFF"/>
        <w:jc w:val="both"/>
        <w:rPr>
          <w:spacing w:val="-10"/>
          <w:sz w:val="24"/>
          <w:szCs w:val="24"/>
        </w:rPr>
      </w:pPr>
    </w:p>
    <w:tbl>
      <w:tblPr>
        <w:tblW w:w="9326" w:type="dxa"/>
        <w:tblInd w:w="-10" w:type="dxa"/>
        <w:tblLook w:val="04A0" w:firstRow="1" w:lastRow="0" w:firstColumn="1" w:lastColumn="0" w:noHBand="0" w:noVBand="1"/>
      </w:tblPr>
      <w:tblGrid>
        <w:gridCol w:w="3132"/>
        <w:gridCol w:w="1114"/>
        <w:gridCol w:w="1114"/>
        <w:gridCol w:w="1114"/>
        <w:gridCol w:w="1459"/>
        <w:gridCol w:w="1393"/>
      </w:tblGrid>
      <w:tr w:rsidR="00DC3009" w:rsidRPr="00CD41C3" w:rsidTr="00DC3009">
        <w:trPr>
          <w:trHeight w:val="284"/>
          <w:tblHeader/>
        </w:trPr>
        <w:tc>
          <w:tcPr>
            <w:tcW w:w="3132"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rsidR="00DC3009" w:rsidRDefault="00DC3009" w:rsidP="001D229E">
            <w:pPr>
              <w:widowControl/>
              <w:autoSpaceDE/>
              <w:autoSpaceDN/>
              <w:adjustRightInd/>
              <w:jc w:val="center"/>
              <w:rPr>
                <w:rFonts w:ascii="Arial" w:hAnsi="Arial" w:cs="Arial"/>
                <w:b/>
                <w:bCs/>
                <w:color w:val="000000"/>
                <w:lang w:eastAsia="en-US"/>
              </w:rPr>
            </w:pPr>
            <w:r w:rsidRPr="00CD41C3">
              <w:rPr>
                <w:rFonts w:ascii="Arial" w:hAnsi="Arial" w:cs="Arial"/>
                <w:b/>
                <w:bCs/>
                <w:color w:val="000000"/>
                <w:lang w:eastAsia="en-US"/>
              </w:rPr>
              <w:t>Indicatori</w:t>
            </w:r>
            <w:r>
              <w:rPr>
                <w:rFonts w:ascii="Arial" w:hAnsi="Arial" w:cs="Arial"/>
                <w:b/>
                <w:bCs/>
                <w:color w:val="000000"/>
                <w:lang w:eastAsia="en-US"/>
              </w:rPr>
              <w:t xml:space="preserve"> </w:t>
            </w:r>
          </w:p>
          <w:p w:rsidR="00DC3009" w:rsidRPr="00CD41C3" w:rsidRDefault="00DC3009" w:rsidP="001D229E">
            <w:pPr>
              <w:widowControl/>
              <w:autoSpaceDE/>
              <w:autoSpaceDN/>
              <w:adjustRightInd/>
              <w:jc w:val="center"/>
              <w:rPr>
                <w:rFonts w:ascii="Arial" w:hAnsi="Arial" w:cs="Arial"/>
                <w:b/>
                <w:bCs/>
                <w:color w:val="000000"/>
                <w:lang w:val="en-US" w:eastAsia="en-US"/>
              </w:rPr>
            </w:pPr>
            <w:r>
              <w:rPr>
                <w:rFonts w:ascii="Arial" w:hAnsi="Arial" w:cs="Arial"/>
                <w:b/>
                <w:bCs/>
                <w:color w:val="000000"/>
                <w:lang w:eastAsia="en-US"/>
              </w:rPr>
              <w:t>(mii tone)</w:t>
            </w:r>
          </w:p>
        </w:tc>
        <w:tc>
          <w:tcPr>
            <w:tcW w:w="1114"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rsidR="00DC3009" w:rsidRPr="00CD41C3" w:rsidRDefault="00DC3009" w:rsidP="001D229E">
            <w:pPr>
              <w:widowControl/>
              <w:autoSpaceDE/>
              <w:autoSpaceDN/>
              <w:adjustRightInd/>
              <w:jc w:val="center"/>
              <w:rPr>
                <w:rFonts w:ascii="Arial" w:hAnsi="Arial" w:cs="Arial"/>
                <w:b/>
                <w:bCs/>
                <w:color w:val="000000"/>
                <w:lang w:val="en-US" w:eastAsia="en-US"/>
              </w:rPr>
            </w:pPr>
            <w:r w:rsidRPr="00CD41C3">
              <w:rPr>
                <w:rFonts w:ascii="Arial" w:hAnsi="Arial" w:cs="Arial"/>
                <w:b/>
                <w:bCs/>
                <w:color w:val="000000"/>
                <w:lang w:val="en-US" w:eastAsia="en-US"/>
              </w:rPr>
              <w:t xml:space="preserve">Realizat </w:t>
            </w:r>
            <w:r>
              <w:rPr>
                <w:rFonts w:ascii="Arial" w:hAnsi="Arial" w:cs="Arial"/>
                <w:b/>
                <w:bCs/>
                <w:color w:val="000000"/>
                <w:lang w:val="en-US" w:eastAsia="en-US"/>
              </w:rPr>
              <w:t>Sem.</w:t>
            </w:r>
            <w:r w:rsidRPr="00CD41C3">
              <w:rPr>
                <w:rFonts w:ascii="Arial" w:hAnsi="Arial" w:cs="Arial"/>
                <w:b/>
                <w:bCs/>
                <w:color w:val="000000"/>
                <w:lang w:val="en-US" w:eastAsia="en-US"/>
              </w:rPr>
              <w:t xml:space="preserve"> I 2018</w:t>
            </w:r>
          </w:p>
        </w:tc>
        <w:tc>
          <w:tcPr>
            <w:tcW w:w="1114" w:type="dxa"/>
            <w:vMerge w:val="restart"/>
            <w:tcBorders>
              <w:top w:val="single" w:sz="8" w:space="0" w:color="auto"/>
              <w:left w:val="single" w:sz="8" w:space="0" w:color="auto"/>
              <w:bottom w:val="single" w:sz="8" w:space="0" w:color="000000"/>
              <w:right w:val="single" w:sz="8" w:space="0" w:color="auto"/>
            </w:tcBorders>
            <w:shd w:val="clear" w:color="000000" w:fill="DEEAF6"/>
            <w:noWrap/>
            <w:vAlign w:val="center"/>
            <w:hideMark/>
          </w:tcPr>
          <w:p w:rsidR="00DC3009" w:rsidRPr="00CD41C3" w:rsidRDefault="00DC3009" w:rsidP="001D229E">
            <w:pPr>
              <w:widowControl/>
              <w:autoSpaceDE/>
              <w:autoSpaceDN/>
              <w:adjustRightInd/>
              <w:jc w:val="center"/>
              <w:rPr>
                <w:rFonts w:ascii="Arial" w:hAnsi="Arial" w:cs="Arial"/>
                <w:b/>
                <w:bCs/>
                <w:color w:val="000000"/>
                <w:lang w:val="en-US" w:eastAsia="en-US"/>
              </w:rPr>
            </w:pPr>
            <w:r w:rsidRPr="00CD41C3">
              <w:rPr>
                <w:rFonts w:ascii="Arial" w:hAnsi="Arial" w:cs="Arial"/>
                <w:b/>
                <w:bCs/>
                <w:color w:val="000000"/>
                <w:lang w:val="en-US" w:eastAsia="en-US"/>
              </w:rPr>
              <w:t>B</w:t>
            </w:r>
            <w:r w:rsidR="006617E4">
              <w:rPr>
                <w:rFonts w:ascii="Arial" w:hAnsi="Arial" w:cs="Arial"/>
                <w:b/>
                <w:bCs/>
                <w:color w:val="000000"/>
                <w:lang w:val="en-US" w:eastAsia="en-US"/>
              </w:rPr>
              <w:t>.</w:t>
            </w:r>
            <w:r w:rsidRPr="00CD41C3">
              <w:rPr>
                <w:rFonts w:ascii="Arial" w:hAnsi="Arial" w:cs="Arial"/>
                <w:b/>
                <w:bCs/>
                <w:color w:val="000000"/>
                <w:lang w:val="en-US" w:eastAsia="en-US"/>
              </w:rPr>
              <w:t>V</w:t>
            </w:r>
            <w:r w:rsidR="006617E4">
              <w:rPr>
                <w:rFonts w:ascii="Arial" w:hAnsi="Arial" w:cs="Arial"/>
                <w:b/>
                <w:bCs/>
                <w:color w:val="000000"/>
                <w:lang w:val="en-US" w:eastAsia="en-US"/>
              </w:rPr>
              <w:t>.</w:t>
            </w:r>
            <w:r w:rsidRPr="00CD41C3">
              <w:rPr>
                <w:rFonts w:ascii="Arial" w:hAnsi="Arial" w:cs="Arial"/>
                <w:b/>
                <w:bCs/>
                <w:color w:val="000000"/>
                <w:lang w:val="en-US" w:eastAsia="en-US"/>
              </w:rPr>
              <w:t>C</w:t>
            </w:r>
            <w:r w:rsidR="006617E4">
              <w:rPr>
                <w:rFonts w:ascii="Arial" w:hAnsi="Arial" w:cs="Arial"/>
                <w:b/>
                <w:bCs/>
                <w:color w:val="000000"/>
                <w:lang w:val="en-US" w:eastAsia="en-US"/>
              </w:rPr>
              <w:t>.</w:t>
            </w:r>
            <w:r w:rsidRPr="00CD41C3">
              <w:rPr>
                <w:rFonts w:ascii="Arial" w:hAnsi="Arial" w:cs="Arial"/>
                <w:b/>
                <w:bCs/>
                <w:color w:val="000000"/>
                <w:lang w:val="en-US" w:eastAsia="en-US"/>
              </w:rPr>
              <w:t xml:space="preserve"> </w:t>
            </w:r>
            <w:r>
              <w:rPr>
                <w:rFonts w:ascii="Arial" w:hAnsi="Arial" w:cs="Arial"/>
                <w:b/>
                <w:bCs/>
                <w:color w:val="000000"/>
                <w:lang w:val="en-US" w:eastAsia="en-US"/>
              </w:rPr>
              <w:t>Sem.</w:t>
            </w:r>
            <w:r w:rsidRPr="00CD41C3">
              <w:rPr>
                <w:rFonts w:ascii="Arial" w:hAnsi="Arial" w:cs="Arial"/>
                <w:b/>
                <w:bCs/>
                <w:color w:val="000000"/>
                <w:lang w:val="en-US" w:eastAsia="en-US"/>
              </w:rPr>
              <w:t xml:space="preserve"> I 2018</w:t>
            </w:r>
          </w:p>
        </w:tc>
        <w:tc>
          <w:tcPr>
            <w:tcW w:w="1114" w:type="dxa"/>
            <w:vMerge w:val="restart"/>
            <w:tcBorders>
              <w:top w:val="single" w:sz="8" w:space="0" w:color="auto"/>
              <w:left w:val="single" w:sz="8" w:space="0" w:color="auto"/>
              <w:bottom w:val="single" w:sz="8" w:space="0" w:color="000000"/>
              <w:right w:val="single" w:sz="8" w:space="0" w:color="auto"/>
            </w:tcBorders>
            <w:shd w:val="clear" w:color="000000" w:fill="DEEAF6"/>
            <w:noWrap/>
            <w:vAlign w:val="center"/>
            <w:hideMark/>
          </w:tcPr>
          <w:p w:rsidR="00DC3009" w:rsidRPr="00CD41C3" w:rsidRDefault="00DC3009" w:rsidP="001D229E">
            <w:pPr>
              <w:widowControl/>
              <w:autoSpaceDE/>
              <w:autoSpaceDN/>
              <w:adjustRightInd/>
              <w:jc w:val="center"/>
              <w:rPr>
                <w:rFonts w:ascii="Arial" w:hAnsi="Arial" w:cs="Arial"/>
                <w:b/>
                <w:bCs/>
                <w:color w:val="000000"/>
                <w:lang w:val="en-US" w:eastAsia="en-US"/>
              </w:rPr>
            </w:pPr>
            <w:r w:rsidRPr="00CD41C3">
              <w:rPr>
                <w:rFonts w:ascii="Arial" w:hAnsi="Arial" w:cs="Arial"/>
                <w:b/>
                <w:bCs/>
                <w:color w:val="000000"/>
                <w:lang w:val="en-US" w:eastAsia="en-US"/>
              </w:rPr>
              <w:t xml:space="preserve">Realizat </w:t>
            </w:r>
            <w:r>
              <w:rPr>
                <w:rFonts w:ascii="Arial" w:hAnsi="Arial" w:cs="Arial"/>
                <w:b/>
                <w:bCs/>
                <w:color w:val="000000"/>
                <w:lang w:val="en-US" w:eastAsia="en-US"/>
              </w:rPr>
              <w:t>Sem.</w:t>
            </w:r>
            <w:r w:rsidRPr="00CD41C3">
              <w:rPr>
                <w:rFonts w:ascii="Arial" w:hAnsi="Arial" w:cs="Arial"/>
                <w:b/>
                <w:bCs/>
                <w:color w:val="000000"/>
                <w:lang w:val="en-US" w:eastAsia="en-US"/>
              </w:rPr>
              <w:t xml:space="preserve"> I 2017</w:t>
            </w:r>
          </w:p>
        </w:tc>
        <w:tc>
          <w:tcPr>
            <w:tcW w:w="1459" w:type="dxa"/>
            <w:tcBorders>
              <w:top w:val="single" w:sz="8" w:space="0" w:color="auto"/>
              <w:left w:val="nil"/>
              <w:right w:val="single" w:sz="8" w:space="0" w:color="auto"/>
            </w:tcBorders>
            <w:shd w:val="clear" w:color="000000" w:fill="DEEAF6"/>
            <w:vAlign w:val="center"/>
            <w:hideMark/>
          </w:tcPr>
          <w:p w:rsidR="00DC3009" w:rsidRPr="00CD41C3" w:rsidRDefault="00DC3009" w:rsidP="001D229E">
            <w:pPr>
              <w:widowControl/>
              <w:autoSpaceDE/>
              <w:autoSpaceDN/>
              <w:adjustRightInd/>
              <w:jc w:val="center"/>
              <w:rPr>
                <w:rFonts w:ascii="Arial" w:hAnsi="Arial" w:cs="Arial"/>
                <w:b/>
                <w:bCs/>
                <w:color w:val="000000"/>
                <w:lang w:val="en-US" w:eastAsia="en-US"/>
              </w:rPr>
            </w:pPr>
            <w:r w:rsidRPr="00CD41C3">
              <w:rPr>
                <w:rFonts w:ascii="Arial" w:hAnsi="Arial" w:cs="Arial"/>
                <w:b/>
                <w:bCs/>
                <w:color w:val="000000"/>
                <w:lang w:eastAsia="en-US"/>
              </w:rPr>
              <w:t>Variație %</w:t>
            </w:r>
          </w:p>
        </w:tc>
        <w:tc>
          <w:tcPr>
            <w:tcW w:w="1393" w:type="dxa"/>
            <w:tcBorders>
              <w:top w:val="single" w:sz="8" w:space="0" w:color="auto"/>
              <w:left w:val="nil"/>
              <w:right w:val="single" w:sz="8" w:space="0" w:color="auto"/>
            </w:tcBorders>
            <w:shd w:val="clear" w:color="000000" w:fill="DEEAF6"/>
            <w:vAlign w:val="center"/>
            <w:hideMark/>
          </w:tcPr>
          <w:p w:rsidR="00DC3009" w:rsidRPr="00CD41C3" w:rsidRDefault="00DC3009" w:rsidP="001D229E">
            <w:pPr>
              <w:widowControl/>
              <w:autoSpaceDE/>
              <w:autoSpaceDN/>
              <w:adjustRightInd/>
              <w:jc w:val="center"/>
              <w:rPr>
                <w:rFonts w:ascii="Arial" w:hAnsi="Arial" w:cs="Arial"/>
                <w:b/>
                <w:bCs/>
                <w:color w:val="000000"/>
                <w:lang w:val="en-US" w:eastAsia="en-US"/>
              </w:rPr>
            </w:pPr>
            <w:r w:rsidRPr="00CD41C3">
              <w:rPr>
                <w:rFonts w:ascii="Arial" w:hAnsi="Arial" w:cs="Arial"/>
                <w:b/>
                <w:bCs/>
                <w:color w:val="000000"/>
                <w:lang w:eastAsia="en-US"/>
              </w:rPr>
              <w:t>Variație %</w:t>
            </w:r>
          </w:p>
        </w:tc>
      </w:tr>
      <w:tr w:rsidR="00DC3009" w:rsidRPr="00CD41C3" w:rsidTr="00DC3009">
        <w:trPr>
          <w:trHeight w:val="284"/>
          <w:tblHeader/>
        </w:trPr>
        <w:tc>
          <w:tcPr>
            <w:tcW w:w="3132" w:type="dxa"/>
            <w:vMerge/>
            <w:tcBorders>
              <w:top w:val="single" w:sz="8" w:space="0" w:color="auto"/>
              <w:left w:val="single" w:sz="8" w:space="0" w:color="auto"/>
              <w:bottom w:val="single" w:sz="8" w:space="0" w:color="000000"/>
              <w:right w:val="single" w:sz="8" w:space="0" w:color="auto"/>
            </w:tcBorders>
            <w:vAlign w:val="center"/>
            <w:hideMark/>
          </w:tcPr>
          <w:p w:rsidR="00DC3009" w:rsidRPr="00CD41C3" w:rsidRDefault="00DC3009" w:rsidP="001D229E">
            <w:pPr>
              <w:widowControl/>
              <w:autoSpaceDE/>
              <w:autoSpaceDN/>
              <w:adjustRightInd/>
              <w:rPr>
                <w:rFonts w:ascii="Arial" w:hAnsi="Arial" w:cs="Arial"/>
                <w:b/>
                <w:bCs/>
                <w:color w:val="000000"/>
                <w:lang w:val="en-US" w:eastAsia="en-US"/>
              </w:rPr>
            </w:pPr>
          </w:p>
        </w:tc>
        <w:tc>
          <w:tcPr>
            <w:tcW w:w="1114" w:type="dxa"/>
            <w:vMerge/>
            <w:tcBorders>
              <w:top w:val="single" w:sz="8" w:space="0" w:color="auto"/>
              <w:left w:val="single" w:sz="8" w:space="0" w:color="auto"/>
              <w:bottom w:val="single" w:sz="8" w:space="0" w:color="000000"/>
              <w:right w:val="single" w:sz="8" w:space="0" w:color="auto"/>
            </w:tcBorders>
            <w:vAlign w:val="center"/>
            <w:hideMark/>
          </w:tcPr>
          <w:p w:rsidR="00DC3009" w:rsidRPr="00CD41C3" w:rsidRDefault="00DC3009" w:rsidP="001D229E">
            <w:pPr>
              <w:widowControl/>
              <w:autoSpaceDE/>
              <w:autoSpaceDN/>
              <w:adjustRightInd/>
              <w:rPr>
                <w:rFonts w:ascii="Arial" w:hAnsi="Arial" w:cs="Arial"/>
                <w:b/>
                <w:bCs/>
                <w:color w:val="000000"/>
                <w:lang w:val="en-US" w:eastAsia="en-US"/>
              </w:rPr>
            </w:pPr>
          </w:p>
        </w:tc>
        <w:tc>
          <w:tcPr>
            <w:tcW w:w="1114" w:type="dxa"/>
            <w:vMerge/>
            <w:tcBorders>
              <w:top w:val="single" w:sz="8" w:space="0" w:color="auto"/>
              <w:left w:val="single" w:sz="8" w:space="0" w:color="auto"/>
              <w:bottom w:val="single" w:sz="8" w:space="0" w:color="000000"/>
              <w:right w:val="single" w:sz="8" w:space="0" w:color="auto"/>
            </w:tcBorders>
            <w:vAlign w:val="center"/>
            <w:hideMark/>
          </w:tcPr>
          <w:p w:rsidR="00DC3009" w:rsidRPr="00CD41C3" w:rsidRDefault="00DC3009" w:rsidP="001D229E">
            <w:pPr>
              <w:widowControl/>
              <w:autoSpaceDE/>
              <w:autoSpaceDN/>
              <w:adjustRightInd/>
              <w:rPr>
                <w:rFonts w:ascii="Arial" w:hAnsi="Arial" w:cs="Arial"/>
                <w:b/>
                <w:bCs/>
                <w:color w:val="000000"/>
                <w:lang w:val="en-US" w:eastAsia="en-US"/>
              </w:rPr>
            </w:pPr>
          </w:p>
        </w:tc>
        <w:tc>
          <w:tcPr>
            <w:tcW w:w="1114" w:type="dxa"/>
            <w:vMerge/>
            <w:tcBorders>
              <w:top w:val="single" w:sz="8" w:space="0" w:color="auto"/>
              <w:left w:val="single" w:sz="8" w:space="0" w:color="auto"/>
              <w:bottom w:val="single" w:sz="8" w:space="0" w:color="000000"/>
              <w:right w:val="single" w:sz="8" w:space="0" w:color="auto"/>
            </w:tcBorders>
            <w:vAlign w:val="center"/>
            <w:hideMark/>
          </w:tcPr>
          <w:p w:rsidR="00DC3009" w:rsidRPr="00CD41C3" w:rsidRDefault="00DC3009" w:rsidP="001D229E">
            <w:pPr>
              <w:widowControl/>
              <w:autoSpaceDE/>
              <w:autoSpaceDN/>
              <w:adjustRightInd/>
              <w:rPr>
                <w:rFonts w:ascii="Arial" w:hAnsi="Arial" w:cs="Arial"/>
                <w:b/>
                <w:bCs/>
                <w:color w:val="000000"/>
                <w:lang w:val="en-US" w:eastAsia="en-US"/>
              </w:rPr>
            </w:pPr>
          </w:p>
        </w:tc>
        <w:tc>
          <w:tcPr>
            <w:tcW w:w="1459" w:type="dxa"/>
            <w:tcBorders>
              <w:top w:val="nil"/>
              <w:left w:val="nil"/>
              <w:bottom w:val="single" w:sz="4" w:space="0" w:color="auto"/>
              <w:right w:val="single" w:sz="8" w:space="0" w:color="auto"/>
            </w:tcBorders>
            <w:shd w:val="clear" w:color="000000" w:fill="DEEAF6"/>
            <w:vAlign w:val="center"/>
            <w:hideMark/>
          </w:tcPr>
          <w:p w:rsidR="00DC3009" w:rsidRPr="00CD41C3" w:rsidRDefault="00DC3009" w:rsidP="00AB3FBA">
            <w:pPr>
              <w:widowControl/>
              <w:autoSpaceDE/>
              <w:autoSpaceDN/>
              <w:adjustRightInd/>
              <w:jc w:val="center"/>
              <w:rPr>
                <w:rFonts w:ascii="Arial" w:hAnsi="Arial" w:cs="Arial"/>
                <w:b/>
                <w:bCs/>
                <w:color w:val="000000"/>
                <w:lang w:val="en-US" w:eastAsia="en-US"/>
              </w:rPr>
            </w:pPr>
            <w:r>
              <w:rPr>
                <w:rFonts w:ascii="Arial" w:hAnsi="Arial" w:cs="Arial"/>
                <w:b/>
                <w:bCs/>
                <w:color w:val="000000"/>
                <w:lang w:eastAsia="en-US"/>
              </w:rPr>
              <w:t xml:space="preserve">Realizat </w:t>
            </w:r>
            <w:r w:rsidRPr="00CD41C3">
              <w:rPr>
                <w:rFonts w:ascii="Arial" w:hAnsi="Arial" w:cs="Arial"/>
                <w:b/>
                <w:bCs/>
                <w:color w:val="000000"/>
                <w:lang w:eastAsia="en-US"/>
              </w:rPr>
              <w:t>/ B</w:t>
            </w:r>
            <w:r w:rsidR="006617E4">
              <w:rPr>
                <w:rFonts w:ascii="Arial" w:hAnsi="Arial" w:cs="Arial"/>
                <w:b/>
                <w:bCs/>
                <w:color w:val="000000"/>
                <w:lang w:eastAsia="en-US"/>
              </w:rPr>
              <w:t>.</w:t>
            </w:r>
            <w:r w:rsidRPr="00CD41C3">
              <w:rPr>
                <w:rFonts w:ascii="Arial" w:hAnsi="Arial" w:cs="Arial"/>
                <w:b/>
                <w:bCs/>
                <w:color w:val="000000"/>
                <w:lang w:eastAsia="en-US"/>
              </w:rPr>
              <w:t>V</w:t>
            </w:r>
            <w:r w:rsidR="006617E4">
              <w:rPr>
                <w:rFonts w:ascii="Arial" w:hAnsi="Arial" w:cs="Arial"/>
                <w:b/>
                <w:bCs/>
                <w:color w:val="000000"/>
                <w:lang w:eastAsia="en-US"/>
              </w:rPr>
              <w:t>.</w:t>
            </w:r>
            <w:r w:rsidRPr="00CD41C3">
              <w:rPr>
                <w:rFonts w:ascii="Arial" w:hAnsi="Arial" w:cs="Arial"/>
                <w:b/>
                <w:bCs/>
                <w:color w:val="000000"/>
                <w:lang w:eastAsia="en-US"/>
              </w:rPr>
              <w:t>C</w:t>
            </w:r>
            <w:r w:rsidR="006617E4">
              <w:rPr>
                <w:rFonts w:ascii="Arial" w:hAnsi="Arial" w:cs="Arial"/>
                <w:b/>
                <w:bCs/>
                <w:color w:val="000000"/>
                <w:lang w:eastAsia="en-US"/>
              </w:rPr>
              <w:t>.</w:t>
            </w:r>
            <w:r w:rsidR="00DF7835">
              <w:rPr>
                <w:rFonts w:ascii="Arial" w:hAnsi="Arial" w:cs="Arial"/>
                <w:b/>
                <w:bCs/>
                <w:color w:val="000000"/>
                <w:lang w:eastAsia="en-US"/>
              </w:rPr>
              <w:t xml:space="preserve"> </w:t>
            </w:r>
            <w:r>
              <w:rPr>
                <w:rFonts w:ascii="Arial" w:hAnsi="Arial" w:cs="Arial"/>
                <w:b/>
                <w:bCs/>
                <w:color w:val="000000"/>
                <w:lang w:eastAsia="en-US"/>
              </w:rPr>
              <w:t>2018</w:t>
            </w:r>
          </w:p>
        </w:tc>
        <w:tc>
          <w:tcPr>
            <w:tcW w:w="1393" w:type="dxa"/>
            <w:tcBorders>
              <w:top w:val="nil"/>
              <w:left w:val="nil"/>
              <w:bottom w:val="single" w:sz="4" w:space="0" w:color="auto"/>
              <w:right w:val="single" w:sz="8" w:space="0" w:color="auto"/>
            </w:tcBorders>
            <w:shd w:val="clear" w:color="000000" w:fill="DEEAF6"/>
            <w:vAlign w:val="center"/>
            <w:hideMark/>
          </w:tcPr>
          <w:p w:rsidR="00DC3009" w:rsidRPr="00CD41C3" w:rsidRDefault="00DF7835" w:rsidP="001D229E">
            <w:pPr>
              <w:widowControl/>
              <w:autoSpaceDE/>
              <w:autoSpaceDN/>
              <w:adjustRightInd/>
              <w:jc w:val="center"/>
              <w:rPr>
                <w:rFonts w:ascii="Arial" w:hAnsi="Arial" w:cs="Arial"/>
                <w:b/>
                <w:bCs/>
                <w:color w:val="000000"/>
                <w:lang w:val="en-US" w:eastAsia="en-US"/>
              </w:rPr>
            </w:pPr>
            <w:r>
              <w:rPr>
                <w:rFonts w:ascii="Arial" w:hAnsi="Arial" w:cs="Arial"/>
                <w:b/>
                <w:bCs/>
                <w:color w:val="000000"/>
                <w:lang w:eastAsia="en-US"/>
              </w:rPr>
              <w:t xml:space="preserve"> </w:t>
            </w:r>
            <w:r w:rsidR="00DC3009" w:rsidRPr="00CD41C3">
              <w:rPr>
                <w:rFonts w:ascii="Arial" w:hAnsi="Arial" w:cs="Arial"/>
                <w:b/>
                <w:bCs/>
                <w:color w:val="000000"/>
                <w:lang w:eastAsia="en-US"/>
              </w:rPr>
              <w:t>2018/2017</w:t>
            </w:r>
          </w:p>
        </w:tc>
      </w:tr>
      <w:tr w:rsidR="00DC3009" w:rsidRPr="00CD41C3" w:rsidTr="00DC3009">
        <w:trPr>
          <w:trHeight w:val="612"/>
        </w:trPr>
        <w:tc>
          <w:tcPr>
            <w:tcW w:w="3132" w:type="dxa"/>
            <w:tcBorders>
              <w:top w:val="nil"/>
              <w:left w:val="single" w:sz="8" w:space="0" w:color="auto"/>
              <w:bottom w:val="single" w:sz="8" w:space="0" w:color="auto"/>
              <w:right w:val="single" w:sz="8" w:space="0" w:color="auto"/>
            </w:tcBorders>
            <w:shd w:val="clear" w:color="000000" w:fill="FFFFFF"/>
            <w:vAlign w:val="center"/>
            <w:hideMark/>
          </w:tcPr>
          <w:p w:rsidR="00DC3009" w:rsidRPr="00CD41C3" w:rsidRDefault="00DC3009" w:rsidP="00DC3009">
            <w:pPr>
              <w:widowControl/>
              <w:autoSpaceDE/>
              <w:autoSpaceDN/>
              <w:adjustRightInd/>
              <w:rPr>
                <w:rFonts w:ascii="Arial" w:hAnsi="Arial" w:cs="Arial"/>
                <w:color w:val="000000"/>
                <w:lang w:val="en-US" w:eastAsia="en-US"/>
              </w:rPr>
            </w:pPr>
            <w:r w:rsidRPr="00CD41C3">
              <w:rPr>
                <w:rFonts w:ascii="Arial" w:hAnsi="Arial" w:cs="Arial"/>
                <w:color w:val="000000"/>
                <w:lang w:eastAsia="en-US"/>
              </w:rPr>
              <w:t>Cantități transportate pe subsistemul ț</w:t>
            </w:r>
            <w:r w:rsidRPr="00CD41C3">
              <w:rPr>
                <w:rFonts w:ascii="Arial" w:hAnsi="Arial" w:cs="Arial"/>
                <w:bCs/>
                <w:color w:val="000000"/>
                <w:lang w:eastAsia="en-US"/>
              </w:rPr>
              <w:t xml:space="preserve">ară </w:t>
            </w:r>
          </w:p>
        </w:tc>
        <w:tc>
          <w:tcPr>
            <w:tcW w:w="1114" w:type="dxa"/>
            <w:tcBorders>
              <w:top w:val="nil"/>
              <w:left w:val="nil"/>
              <w:bottom w:val="single" w:sz="8" w:space="0" w:color="auto"/>
              <w:right w:val="single" w:sz="8" w:space="0" w:color="auto"/>
            </w:tcBorders>
            <w:shd w:val="clear" w:color="000000" w:fill="FFFFFF"/>
            <w:vAlign w:val="center"/>
            <w:hideMark/>
          </w:tcPr>
          <w:p w:rsidR="00DC3009" w:rsidRPr="006752DD" w:rsidRDefault="00DC3009" w:rsidP="001D229E">
            <w:pPr>
              <w:widowControl/>
              <w:autoSpaceDE/>
              <w:autoSpaceDN/>
              <w:adjustRightInd/>
              <w:jc w:val="right"/>
              <w:rPr>
                <w:rFonts w:ascii="Arial" w:hAnsi="Arial" w:cs="Arial"/>
                <w:color w:val="000000"/>
              </w:rPr>
            </w:pPr>
            <w:r w:rsidRPr="006752DD">
              <w:rPr>
                <w:rFonts w:ascii="Arial" w:hAnsi="Arial" w:cs="Arial"/>
                <w:color w:val="000000"/>
              </w:rPr>
              <w:t>1.758</w:t>
            </w:r>
          </w:p>
        </w:tc>
        <w:tc>
          <w:tcPr>
            <w:tcW w:w="1114" w:type="dxa"/>
            <w:tcBorders>
              <w:top w:val="nil"/>
              <w:left w:val="nil"/>
              <w:bottom w:val="single" w:sz="8" w:space="0" w:color="auto"/>
              <w:right w:val="single" w:sz="8" w:space="0" w:color="auto"/>
            </w:tcBorders>
            <w:shd w:val="clear" w:color="000000" w:fill="FFFFFF"/>
            <w:noWrap/>
            <w:vAlign w:val="center"/>
          </w:tcPr>
          <w:p w:rsidR="00DC3009" w:rsidRPr="006752DD" w:rsidRDefault="00DC3009" w:rsidP="001D229E">
            <w:pPr>
              <w:jc w:val="right"/>
              <w:rPr>
                <w:rFonts w:ascii="Arial" w:hAnsi="Arial" w:cs="Arial"/>
                <w:color w:val="000000"/>
              </w:rPr>
            </w:pPr>
            <w:r w:rsidRPr="006752DD">
              <w:rPr>
                <w:rFonts w:ascii="Arial" w:hAnsi="Arial" w:cs="Arial"/>
                <w:color w:val="000000"/>
              </w:rPr>
              <w:t>1.70</w:t>
            </w:r>
            <w:r>
              <w:rPr>
                <w:rFonts w:ascii="Arial" w:hAnsi="Arial" w:cs="Arial"/>
                <w:color w:val="000000"/>
              </w:rPr>
              <w:t>3</w:t>
            </w:r>
          </w:p>
        </w:tc>
        <w:tc>
          <w:tcPr>
            <w:tcW w:w="1114" w:type="dxa"/>
            <w:tcBorders>
              <w:top w:val="nil"/>
              <w:left w:val="nil"/>
              <w:bottom w:val="single" w:sz="8" w:space="0" w:color="auto"/>
              <w:right w:val="single" w:sz="8" w:space="0" w:color="auto"/>
            </w:tcBorders>
            <w:shd w:val="clear" w:color="000000" w:fill="FFFFFF"/>
            <w:noWrap/>
            <w:vAlign w:val="center"/>
          </w:tcPr>
          <w:p w:rsidR="00DC3009" w:rsidRPr="006752DD" w:rsidRDefault="00DC3009" w:rsidP="001D229E">
            <w:pPr>
              <w:jc w:val="right"/>
              <w:rPr>
                <w:rFonts w:ascii="Arial" w:hAnsi="Arial" w:cs="Arial"/>
                <w:color w:val="000000"/>
              </w:rPr>
            </w:pPr>
            <w:r w:rsidRPr="006752DD">
              <w:rPr>
                <w:rFonts w:ascii="Arial" w:hAnsi="Arial" w:cs="Arial"/>
                <w:color w:val="000000"/>
              </w:rPr>
              <w:t>1.78</w:t>
            </w:r>
            <w:r>
              <w:rPr>
                <w:rFonts w:ascii="Arial" w:hAnsi="Arial" w:cs="Arial"/>
                <w:color w:val="000000"/>
              </w:rPr>
              <w:t>5</w:t>
            </w:r>
          </w:p>
        </w:tc>
        <w:tc>
          <w:tcPr>
            <w:tcW w:w="1459" w:type="dxa"/>
            <w:tcBorders>
              <w:top w:val="single" w:sz="4" w:space="0" w:color="auto"/>
              <w:left w:val="nil"/>
              <w:bottom w:val="single" w:sz="8" w:space="0" w:color="auto"/>
              <w:right w:val="single" w:sz="8" w:space="0" w:color="auto"/>
            </w:tcBorders>
            <w:shd w:val="clear" w:color="000000" w:fill="FFFFFF"/>
            <w:vAlign w:val="center"/>
            <w:hideMark/>
          </w:tcPr>
          <w:p w:rsidR="00DC3009" w:rsidRPr="006752DD" w:rsidRDefault="00DC3009" w:rsidP="00DC3009">
            <w:pPr>
              <w:jc w:val="right"/>
              <w:rPr>
                <w:rFonts w:ascii="Arial" w:hAnsi="Arial" w:cs="Arial"/>
                <w:color w:val="000000"/>
              </w:rPr>
            </w:pPr>
            <w:r w:rsidRPr="006752DD">
              <w:rPr>
                <w:rFonts w:ascii="Arial" w:hAnsi="Arial" w:cs="Arial"/>
                <w:b/>
                <w:bCs/>
                <w:color w:val="000000"/>
                <w:lang w:val="en-US" w:eastAsia="en-US"/>
              </w:rPr>
              <w:t>▲</w:t>
            </w:r>
            <w:r w:rsidRPr="006752DD">
              <w:rPr>
                <w:rFonts w:ascii="Arial" w:hAnsi="Arial" w:cs="Arial"/>
                <w:color w:val="000000"/>
              </w:rPr>
              <w:t>3,2</w:t>
            </w:r>
            <w:r>
              <w:rPr>
                <w:rFonts w:ascii="Arial" w:hAnsi="Arial" w:cs="Arial"/>
                <w:color w:val="000000"/>
              </w:rPr>
              <w:t>3</w:t>
            </w:r>
            <w:r w:rsidRPr="006752DD">
              <w:rPr>
                <w:rFonts w:ascii="Arial" w:hAnsi="Arial" w:cs="Arial"/>
                <w:color w:val="000000"/>
              </w:rPr>
              <w:t>%</w:t>
            </w:r>
          </w:p>
        </w:tc>
        <w:tc>
          <w:tcPr>
            <w:tcW w:w="1393" w:type="dxa"/>
            <w:tcBorders>
              <w:top w:val="single" w:sz="4" w:space="0" w:color="auto"/>
              <w:left w:val="nil"/>
              <w:bottom w:val="single" w:sz="8" w:space="0" w:color="auto"/>
              <w:right w:val="single" w:sz="8" w:space="0" w:color="auto"/>
            </w:tcBorders>
            <w:shd w:val="clear" w:color="000000" w:fill="FFFFFF"/>
            <w:vAlign w:val="center"/>
            <w:hideMark/>
          </w:tcPr>
          <w:p w:rsidR="00DC3009" w:rsidRPr="006752DD" w:rsidRDefault="00DC3009" w:rsidP="00DC3009">
            <w:pPr>
              <w:jc w:val="right"/>
              <w:rPr>
                <w:rFonts w:ascii="Arial" w:hAnsi="Arial" w:cs="Arial"/>
                <w:color w:val="000000"/>
              </w:rPr>
            </w:pPr>
            <w:r w:rsidRPr="006752DD">
              <w:rPr>
                <w:rFonts w:ascii="Arial" w:hAnsi="Arial" w:cs="Arial"/>
                <w:bCs/>
                <w:color w:val="000000"/>
                <w:lang w:val="en-US" w:eastAsia="en-US"/>
              </w:rPr>
              <w:t>▼1</w:t>
            </w:r>
            <w:r w:rsidRPr="006752DD">
              <w:rPr>
                <w:rFonts w:ascii="Arial" w:hAnsi="Arial" w:cs="Arial"/>
                <w:color w:val="000000"/>
              </w:rPr>
              <w:t>,</w:t>
            </w:r>
            <w:r>
              <w:rPr>
                <w:rFonts w:ascii="Arial" w:hAnsi="Arial" w:cs="Arial"/>
                <w:color w:val="000000"/>
              </w:rPr>
              <w:t>51</w:t>
            </w:r>
            <w:r w:rsidRPr="006752DD">
              <w:rPr>
                <w:rFonts w:ascii="Arial" w:hAnsi="Arial" w:cs="Arial"/>
                <w:color w:val="000000"/>
              </w:rPr>
              <w:t>%</w:t>
            </w:r>
          </w:p>
        </w:tc>
      </w:tr>
      <w:tr w:rsidR="00DC3009" w:rsidRPr="00CD41C3" w:rsidTr="00DC3009">
        <w:trPr>
          <w:trHeight w:val="405"/>
        </w:trPr>
        <w:tc>
          <w:tcPr>
            <w:tcW w:w="3132" w:type="dxa"/>
            <w:tcBorders>
              <w:top w:val="nil"/>
              <w:left w:val="single" w:sz="8" w:space="0" w:color="auto"/>
              <w:bottom w:val="single" w:sz="8" w:space="0" w:color="auto"/>
              <w:right w:val="single" w:sz="8" w:space="0" w:color="auto"/>
            </w:tcBorders>
            <w:shd w:val="clear" w:color="000000" w:fill="FFFFFF"/>
            <w:vAlign w:val="center"/>
            <w:hideMark/>
          </w:tcPr>
          <w:p w:rsidR="00DC3009" w:rsidRPr="00CD41C3" w:rsidRDefault="00DC3009" w:rsidP="001D229E">
            <w:pPr>
              <w:widowControl/>
              <w:autoSpaceDE/>
              <w:autoSpaceDN/>
              <w:adjustRightInd/>
              <w:rPr>
                <w:rFonts w:ascii="Arial" w:hAnsi="Arial" w:cs="Arial"/>
                <w:color w:val="000000"/>
                <w:lang w:val="en-US" w:eastAsia="en-US"/>
              </w:rPr>
            </w:pPr>
            <w:r w:rsidRPr="00CD41C3">
              <w:rPr>
                <w:rFonts w:ascii="Arial" w:hAnsi="Arial" w:cs="Arial"/>
                <w:color w:val="000000"/>
                <w:lang w:eastAsia="en-US"/>
              </w:rPr>
              <w:t>Cantități transportate pe subsistemul i</w:t>
            </w:r>
            <w:r w:rsidRPr="00CD41C3">
              <w:rPr>
                <w:rFonts w:ascii="Arial" w:hAnsi="Arial" w:cs="Arial"/>
                <w:bCs/>
                <w:color w:val="000000"/>
                <w:lang w:eastAsia="en-US"/>
              </w:rPr>
              <w:t xml:space="preserve">mport </w:t>
            </w:r>
          </w:p>
        </w:tc>
        <w:tc>
          <w:tcPr>
            <w:tcW w:w="1114" w:type="dxa"/>
            <w:tcBorders>
              <w:top w:val="nil"/>
              <w:left w:val="nil"/>
              <w:bottom w:val="single" w:sz="8" w:space="0" w:color="auto"/>
              <w:right w:val="single" w:sz="8" w:space="0" w:color="auto"/>
            </w:tcBorders>
            <w:shd w:val="clear" w:color="000000" w:fill="FFFFFF"/>
            <w:vAlign w:val="center"/>
            <w:hideMark/>
          </w:tcPr>
          <w:p w:rsidR="00DC3009" w:rsidRPr="006752DD" w:rsidRDefault="00DC3009" w:rsidP="001D229E">
            <w:pPr>
              <w:jc w:val="right"/>
              <w:rPr>
                <w:rFonts w:ascii="Arial" w:hAnsi="Arial" w:cs="Arial"/>
                <w:color w:val="000000"/>
              </w:rPr>
            </w:pPr>
            <w:r w:rsidRPr="006752DD">
              <w:rPr>
                <w:rFonts w:ascii="Arial" w:hAnsi="Arial" w:cs="Arial"/>
                <w:color w:val="000000"/>
              </w:rPr>
              <w:t>1.5</w:t>
            </w:r>
            <w:r>
              <w:rPr>
                <w:rFonts w:ascii="Arial" w:hAnsi="Arial" w:cs="Arial"/>
                <w:color w:val="000000"/>
              </w:rPr>
              <w:t>40</w:t>
            </w:r>
          </w:p>
        </w:tc>
        <w:tc>
          <w:tcPr>
            <w:tcW w:w="1114" w:type="dxa"/>
            <w:tcBorders>
              <w:top w:val="nil"/>
              <w:left w:val="nil"/>
              <w:bottom w:val="single" w:sz="8" w:space="0" w:color="auto"/>
              <w:right w:val="single" w:sz="8" w:space="0" w:color="auto"/>
            </w:tcBorders>
            <w:shd w:val="clear" w:color="000000" w:fill="FFFFFF"/>
            <w:noWrap/>
            <w:vAlign w:val="center"/>
          </w:tcPr>
          <w:p w:rsidR="00DC3009" w:rsidRPr="006752DD" w:rsidRDefault="00DC3009" w:rsidP="001D229E">
            <w:pPr>
              <w:jc w:val="right"/>
              <w:rPr>
                <w:rFonts w:ascii="Arial" w:hAnsi="Arial" w:cs="Arial"/>
                <w:color w:val="000000"/>
              </w:rPr>
            </w:pPr>
            <w:r w:rsidRPr="006752DD">
              <w:rPr>
                <w:rFonts w:ascii="Arial" w:hAnsi="Arial" w:cs="Arial"/>
                <w:color w:val="000000"/>
              </w:rPr>
              <w:t>1.514</w:t>
            </w:r>
          </w:p>
        </w:tc>
        <w:tc>
          <w:tcPr>
            <w:tcW w:w="1114" w:type="dxa"/>
            <w:tcBorders>
              <w:top w:val="nil"/>
              <w:left w:val="nil"/>
              <w:bottom w:val="single" w:sz="8" w:space="0" w:color="auto"/>
              <w:right w:val="single" w:sz="8" w:space="0" w:color="auto"/>
            </w:tcBorders>
            <w:shd w:val="clear" w:color="000000" w:fill="FFFFFF"/>
            <w:noWrap/>
            <w:vAlign w:val="center"/>
          </w:tcPr>
          <w:p w:rsidR="00DC3009" w:rsidRPr="006752DD" w:rsidRDefault="00DC3009" w:rsidP="001D229E">
            <w:pPr>
              <w:jc w:val="right"/>
              <w:rPr>
                <w:rFonts w:ascii="Arial" w:hAnsi="Arial" w:cs="Arial"/>
                <w:color w:val="000000"/>
              </w:rPr>
            </w:pPr>
            <w:r w:rsidRPr="006752DD">
              <w:rPr>
                <w:rFonts w:ascii="Arial" w:hAnsi="Arial" w:cs="Arial"/>
                <w:color w:val="000000"/>
              </w:rPr>
              <w:t>1.42</w:t>
            </w:r>
            <w:r>
              <w:rPr>
                <w:rFonts w:ascii="Arial" w:hAnsi="Arial" w:cs="Arial"/>
                <w:color w:val="000000"/>
              </w:rPr>
              <w:t>7</w:t>
            </w:r>
          </w:p>
        </w:tc>
        <w:tc>
          <w:tcPr>
            <w:tcW w:w="1459" w:type="dxa"/>
            <w:tcBorders>
              <w:top w:val="nil"/>
              <w:left w:val="nil"/>
              <w:bottom w:val="single" w:sz="8" w:space="0" w:color="auto"/>
              <w:right w:val="single" w:sz="8" w:space="0" w:color="auto"/>
            </w:tcBorders>
            <w:shd w:val="clear" w:color="000000" w:fill="FFFFFF"/>
            <w:vAlign w:val="center"/>
            <w:hideMark/>
          </w:tcPr>
          <w:p w:rsidR="00DC3009" w:rsidRPr="006752DD" w:rsidRDefault="00DC3009" w:rsidP="00DC3009">
            <w:pPr>
              <w:jc w:val="right"/>
              <w:rPr>
                <w:rFonts w:ascii="Arial" w:hAnsi="Arial" w:cs="Arial"/>
                <w:color w:val="000000"/>
              </w:rPr>
            </w:pPr>
            <w:r w:rsidRPr="006752DD">
              <w:rPr>
                <w:rFonts w:ascii="Arial" w:hAnsi="Arial" w:cs="Arial"/>
                <w:b/>
                <w:bCs/>
                <w:color w:val="000000"/>
                <w:lang w:val="en-US" w:eastAsia="en-US"/>
              </w:rPr>
              <w:t>▲</w:t>
            </w:r>
            <w:r w:rsidRPr="006752DD">
              <w:rPr>
                <w:rFonts w:ascii="Arial" w:hAnsi="Arial" w:cs="Arial"/>
                <w:color w:val="000000"/>
              </w:rPr>
              <w:t>1,</w:t>
            </w:r>
            <w:r>
              <w:rPr>
                <w:rFonts w:ascii="Arial" w:hAnsi="Arial" w:cs="Arial"/>
                <w:color w:val="000000"/>
              </w:rPr>
              <w:t>72</w:t>
            </w:r>
            <w:r w:rsidRPr="006752DD">
              <w:rPr>
                <w:rFonts w:ascii="Arial" w:hAnsi="Arial" w:cs="Arial"/>
                <w:color w:val="000000"/>
              </w:rPr>
              <w:t>%</w:t>
            </w:r>
          </w:p>
        </w:tc>
        <w:tc>
          <w:tcPr>
            <w:tcW w:w="1393" w:type="dxa"/>
            <w:tcBorders>
              <w:top w:val="nil"/>
              <w:left w:val="nil"/>
              <w:bottom w:val="single" w:sz="8" w:space="0" w:color="auto"/>
              <w:right w:val="single" w:sz="8" w:space="0" w:color="auto"/>
            </w:tcBorders>
            <w:shd w:val="clear" w:color="000000" w:fill="FFFFFF"/>
            <w:vAlign w:val="center"/>
            <w:hideMark/>
          </w:tcPr>
          <w:p w:rsidR="00DC3009" w:rsidRPr="006752DD" w:rsidRDefault="00DC3009" w:rsidP="001D229E">
            <w:pPr>
              <w:jc w:val="right"/>
              <w:rPr>
                <w:rFonts w:ascii="Arial" w:hAnsi="Arial" w:cs="Arial"/>
                <w:color w:val="000000"/>
              </w:rPr>
            </w:pPr>
            <w:r w:rsidRPr="006752DD">
              <w:rPr>
                <w:rFonts w:ascii="Arial" w:hAnsi="Arial" w:cs="Arial"/>
                <w:b/>
                <w:bCs/>
                <w:color w:val="000000"/>
                <w:lang w:val="en-US" w:eastAsia="en-US"/>
              </w:rPr>
              <w:t>▲</w:t>
            </w:r>
            <w:r w:rsidRPr="006752DD">
              <w:rPr>
                <w:rFonts w:ascii="Arial" w:hAnsi="Arial" w:cs="Arial"/>
                <w:color w:val="000000"/>
              </w:rPr>
              <w:t>7,92%</w:t>
            </w:r>
          </w:p>
        </w:tc>
      </w:tr>
      <w:tr w:rsidR="00DC3009" w:rsidRPr="00CD41C3" w:rsidTr="00DC3009">
        <w:trPr>
          <w:trHeight w:val="327"/>
        </w:trPr>
        <w:tc>
          <w:tcPr>
            <w:tcW w:w="3132" w:type="dxa"/>
            <w:tcBorders>
              <w:top w:val="nil"/>
              <w:left w:val="single" w:sz="8" w:space="0" w:color="auto"/>
              <w:bottom w:val="single" w:sz="8" w:space="0" w:color="auto"/>
              <w:right w:val="single" w:sz="8" w:space="0" w:color="auto"/>
            </w:tcBorders>
            <w:shd w:val="clear" w:color="000000" w:fill="DEEAF6"/>
            <w:vAlign w:val="center"/>
            <w:hideMark/>
          </w:tcPr>
          <w:p w:rsidR="00DC3009" w:rsidRPr="00CD41C3" w:rsidRDefault="00DC3009" w:rsidP="00565349">
            <w:pPr>
              <w:widowControl/>
              <w:autoSpaceDE/>
              <w:autoSpaceDN/>
              <w:adjustRightInd/>
              <w:rPr>
                <w:rFonts w:ascii="Arial" w:hAnsi="Arial" w:cs="Arial"/>
                <w:b/>
                <w:bCs/>
                <w:color w:val="000000"/>
                <w:lang w:val="en-US" w:eastAsia="en-US"/>
              </w:rPr>
            </w:pPr>
            <w:r w:rsidRPr="00CD41C3">
              <w:rPr>
                <w:rFonts w:ascii="Arial" w:hAnsi="Arial" w:cs="Arial"/>
                <w:b/>
                <w:bCs/>
                <w:color w:val="000000"/>
                <w:lang w:eastAsia="en-US"/>
              </w:rPr>
              <w:t xml:space="preserve">Total </w:t>
            </w:r>
          </w:p>
        </w:tc>
        <w:tc>
          <w:tcPr>
            <w:tcW w:w="1114" w:type="dxa"/>
            <w:tcBorders>
              <w:top w:val="nil"/>
              <w:left w:val="nil"/>
              <w:bottom w:val="single" w:sz="8" w:space="0" w:color="auto"/>
              <w:right w:val="single" w:sz="8" w:space="0" w:color="auto"/>
            </w:tcBorders>
            <w:shd w:val="clear" w:color="000000" w:fill="DEEAF6"/>
            <w:vAlign w:val="center"/>
            <w:hideMark/>
          </w:tcPr>
          <w:p w:rsidR="00DC3009" w:rsidRPr="006752DD" w:rsidRDefault="00DC3009" w:rsidP="001D229E">
            <w:pPr>
              <w:jc w:val="right"/>
              <w:rPr>
                <w:rFonts w:ascii="Arial" w:hAnsi="Arial" w:cs="Arial"/>
                <w:b/>
                <w:bCs/>
                <w:color w:val="000000"/>
              </w:rPr>
            </w:pPr>
            <w:r w:rsidRPr="006752DD">
              <w:rPr>
                <w:rFonts w:ascii="Arial" w:hAnsi="Arial" w:cs="Arial"/>
                <w:b/>
                <w:bCs/>
                <w:color w:val="000000"/>
              </w:rPr>
              <w:t>3.298</w:t>
            </w:r>
          </w:p>
        </w:tc>
        <w:tc>
          <w:tcPr>
            <w:tcW w:w="1114" w:type="dxa"/>
            <w:tcBorders>
              <w:top w:val="nil"/>
              <w:left w:val="nil"/>
              <w:bottom w:val="single" w:sz="8" w:space="0" w:color="auto"/>
              <w:right w:val="single" w:sz="8" w:space="0" w:color="auto"/>
            </w:tcBorders>
            <w:shd w:val="clear" w:color="000000" w:fill="DEEAF6"/>
            <w:noWrap/>
            <w:vAlign w:val="center"/>
          </w:tcPr>
          <w:p w:rsidR="00DC3009" w:rsidRPr="006752DD" w:rsidRDefault="00DC3009" w:rsidP="001D229E">
            <w:pPr>
              <w:jc w:val="right"/>
              <w:rPr>
                <w:rFonts w:ascii="Arial" w:hAnsi="Arial" w:cs="Arial"/>
                <w:b/>
                <w:bCs/>
                <w:color w:val="000000"/>
              </w:rPr>
            </w:pPr>
            <w:r w:rsidRPr="006752DD">
              <w:rPr>
                <w:rFonts w:ascii="Arial" w:hAnsi="Arial" w:cs="Arial"/>
                <w:b/>
                <w:bCs/>
                <w:color w:val="000000"/>
              </w:rPr>
              <w:t>3.21</w:t>
            </w:r>
            <w:r>
              <w:rPr>
                <w:rFonts w:ascii="Arial" w:hAnsi="Arial" w:cs="Arial"/>
                <w:b/>
                <w:bCs/>
                <w:color w:val="000000"/>
              </w:rPr>
              <w:t>7</w:t>
            </w:r>
          </w:p>
        </w:tc>
        <w:tc>
          <w:tcPr>
            <w:tcW w:w="1114" w:type="dxa"/>
            <w:tcBorders>
              <w:top w:val="nil"/>
              <w:left w:val="nil"/>
              <w:bottom w:val="single" w:sz="8" w:space="0" w:color="auto"/>
              <w:right w:val="single" w:sz="8" w:space="0" w:color="auto"/>
            </w:tcBorders>
            <w:shd w:val="clear" w:color="000000" w:fill="DEEAF6"/>
            <w:noWrap/>
            <w:vAlign w:val="center"/>
          </w:tcPr>
          <w:p w:rsidR="00DC3009" w:rsidRPr="006752DD" w:rsidRDefault="00DC3009" w:rsidP="001D229E">
            <w:pPr>
              <w:jc w:val="right"/>
              <w:rPr>
                <w:rFonts w:ascii="Arial" w:hAnsi="Arial" w:cs="Arial"/>
                <w:b/>
                <w:bCs/>
                <w:color w:val="000000"/>
              </w:rPr>
            </w:pPr>
            <w:r w:rsidRPr="006752DD">
              <w:rPr>
                <w:rFonts w:ascii="Arial" w:hAnsi="Arial" w:cs="Arial"/>
                <w:b/>
                <w:bCs/>
                <w:color w:val="000000"/>
              </w:rPr>
              <w:t>3.21</w:t>
            </w:r>
            <w:r>
              <w:rPr>
                <w:rFonts w:ascii="Arial" w:hAnsi="Arial" w:cs="Arial"/>
                <w:b/>
                <w:bCs/>
                <w:color w:val="000000"/>
              </w:rPr>
              <w:t>2</w:t>
            </w:r>
          </w:p>
        </w:tc>
        <w:tc>
          <w:tcPr>
            <w:tcW w:w="1459" w:type="dxa"/>
            <w:tcBorders>
              <w:top w:val="nil"/>
              <w:left w:val="nil"/>
              <w:bottom w:val="single" w:sz="8" w:space="0" w:color="auto"/>
              <w:right w:val="single" w:sz="8" w:space="0" w:color="auto"/>
            </w:tcBorders>
            <w:shd w:val="clear" w:color="000000" w:fill="DDEBF7"/>
            <w:vAlign w:val="center"/>
            <w:hideMark/>
          </w:tcPr>
          <w:p w:rsidR="00DC3009" w:rsidRPr="006752DD" w:rsidRDefault="00DC3009" w:rsidP="001D229E">
            <w:pPr>
              <w:jc w:val="right"/>
              <w:rPr>
                <w:rFonts w:ascii="Arial" w:hAnsi="Arial" w:cs="Arial"/>
                <w:b/>
                <w:bCs/>
                <w:color w:val="000000"/>
              </w:rPr>
            </w:pPr>
            <w:r w:rsidRPr="006752DD">
              <w:rPr>
                <w:rFonts w:ascii="Arial" w:hAnsi="Arial" w:cs="Arial"/>
                <w:b/>
                <w:bCs/>
                <w:color w:val="000000"/>
                <w:lang w:val="en-US" w:eastAsia="en-US"/>
              </w:rPr>
              <w:t>▲</w:t>
            </w:r>
            <w:r w:rsidRPr="006752DD">
              <w:rPr>
                <w:rFonts w:ascii="Arial" w:hAnsi="Arial" w:cs="Arial"/>
                <w:b/>
                <w:bCs/>
                <w:color w:val="000000"/>
              </w:rPr>
              <w:t>2,52%</w:t>
            </w:r>
          </w:p>
        </w:tc>
        <w:tc>
          <w:tcPr>
            <w:tcW w:w="1393" w:type="dxa"/>
            <w:tcBorders>
              <w:top w:val="nil"/>
              <w:left w:val="nil"/>
              <w:bottom w:val="single" w:sz="8" w:space="0" w:color="auto"/>
              <w:right w:val="single" w:sz="8" w:space="0" w:color="auto"/>
            </w:tcBorders>
            <w:shd w:val="clear" w:color="000000" w:fill="DDEBF7"/>
            <w:vAlign w:val="center"/>
            <w:hideMark/>
          </w:tcPr>
          <w:p w:rsidR="00DC3009" w:rsidRPr="006752DD" w:rsidRDefault="00DC3009" w:rsidP="00DC3009">
            <w:pPr>
              <w:jc w:val="right"/>
              <w:rPr>
                <w:rFonts w:ascii="Arial" w:hAnsi="Arial" w:cs="Arial"/>
                <w:b/>
                <w:bCs/>
                <w:color w:val="000000"/>
              </w:rPr>
            </w:pPr>
            <w:r w:rsidRPr="006752DD">
              <w:rPr>
                <w:rFonts w:ascii="Arial" w:hAnsi="Arial" w:cs="Arial"/>
                <w:b/>
                <w:bCs/>
                <w:color w:val="000000"/>
                <w:lang w:val="en-US" w:eastAsia="en-US"/>
              </w:rPr>
              <w:t>▲</w:t>
            </w:r>
            <w:r w:rsidRPr="006752DD">
              <w:rPr>
                <w:rFonts w:ascii="Arial" w:hAnsi="Arial" w:cs="Arial"/>
                <w:b/>
                <w:bCs/>
                <w:color w:val="000000"/>
              </w:rPr>
              <w:t>2,</w:t>
            </w:r>
            <w:r>
              <w:rPr>
                <w:rFonts w:ascii="Arial" w:hAnsi="Arial" w:cs="Arial"/>
                <w:b/>
                <w:bCs/>
                <w:color w:val="000000"/>
              </w:rPr>
              <w:t>68</w:t>
            </w:r>
            <w:r w:rsidRPr="006752DD">
              <w:rPr>
                <w:rFonts w:ascii="Arial" w:hAnsi="Arial" w:cs="Arial"/>
                <w:b/>
                <w:bCs/>
                <w:color w:val="000000"/>
              </w:rPr>
              <w:t>%</w:t>
            </w:r>
          </w:p>
        </w:tc>
      </w:tr>
    </w:tbl>
    <w:p w:rsidR="00A70183" w:rsidRDefault="00A70183" w:rsidP="00A70183">
      <w:pPr>
        <w:jc w:val="center"/>
        <w:rPr>
          <w:rFonts w:ascii="Arial" w:hAnsi="Arial" w:cs="Arial"/>
          <w:i/>
          <w:spacing w:val="-10"/>
          <w:sz w:val="18"/>
          <w:szCs w:val="18"/>
        </w:rPr>
      </w:pPr>
    </w:p>
    <w:p w:rsidR="008F5405" w:rsidRPr="00490F6D" w:rsidRDefault="00A70183" w:rsidP="00490F6D">
      <w:pPr>
        <w:jc w:val="center"/>
        <w:rPr>
          <w:rFonts w:ascii="Arial" w:hAnsi="Arial" w:cs="Arial"/>
          <w:sz w:val="16"/>
          <w:szCs w:val="16"/>
        </w:rPr>
      </w:pPr>
      <w:r w:rsidRPr="008F5405">
        <w:rPr>
          <w:rFonts w:ascii="Arial" w:hAnsi="Arial" w:cs="Arial"/>
          <w:spacing w:val="-10"/>
          <w:sz w:val="16"/>
          <w:szCs w:val="16"/>
        </w:rPr>
        <w:t xml:space="preserve">Tabel </w:t>
      </w:r>
      <w:r w:rsidR="008F5405">
        <w:rPr>
          <w:rFonts w:ascii="Arial" w:hAnsi="Arial" w:cs="Arial"/>
          <w:spacing w:val="-10"/>
          <w:sz w:val="16"/>
          <w:szCs w:val="16"/>
        </w:rPr>
        <w:t xml:space="preserve">2 - </w:t>
      </w:r>
      <w:r w:rsidRPr="008F5405">
        <w:rPr>
          <w:rFonts w:ascii="Arial" w:hAnsi="Arial" w:cs="Arial"/>
          <w:spacing w:val="-10"/>
          <w:sz w:val="16"/>
          <w:szCs w:val="16"/>
        </w:rPr>
        <w:t>Evol</w:t>
      </w:r>
      <w:r w:rsidR="00DC3009" w:rsidRPr="008F5405">
        <w:rPr>
          <w:rFonts w:ascii="Arial" w:hAnsi="Arial" w:cs="Arial"/>
          <w:spacing w:val="-10"/>
          <w:sz w:val="16"/>
          <w:szCs w:val="16"/>
        </w:rPr>
        <w:t xml:space="preserve">uția cantităților transportate </w:t>
      </w:r>
      <w:r w:rsidRPr="008F5405">
        <w:rPr>
          <w:rFonts w:ascii="Arial" w:hAnsi="Arial" w:cs="Arial"/>
          <w:spacing w:val="-10"/>
          <w:sz w:val="16"/>
          <w:szCs w:val="16"/>
        </w:rPr>
        <w:t>în</w:t>
      </w:r>
      <w:r w:rsidRPr="008F5405">
        <w:rPr>
          <w:rFonts w:ascii="Arial" w:hAnsi="Arial" w:cs="Arial"/>
          <w:sz w:val="16"/>
          <w:szCs w:val="16"/>
        </w:rPr>
        <w:t xml:space="preserve"> semestrul I 2018 față de B</w:t>
      </w:r>
      <w:r w:rsidR="004533D2">
        <w:rPr>
          <w:rFonts w:ascii="Arial" w:hAnsi="Arial" w:cs="Arial"/>
          <w:sz w:val="16"/>
          <w:szCs w:val="16"/>
        </w:rPr>
        <w:t>.</w:t>
      </w:r>
      <w:r w:rsidRPr="008F5405">
        <w:rPr>
          <w:rFonts w:ascii="Arial" w:hAnsi="Arial" w:cs="Arial"/>
          <w:sz w:val="16"/>
          <w:szCs w:val="16"/>
        </w:rPr>
        <w:t>V</w:t>
      </w:r>
      <w:r w:rsidR="004533D2">
        <w:rPr>
          <w:rFonts w:ascii="Arial" w:hAnsi="Arial" w:cs="Arial"/>
          <w:sz w:val="16"/>
          <w:szCs w:val="16"/>
        </w:rPr>
        <w:t>.</w:t>
      </w:r>
      <w:r w:rsidRPr="008F5405">
        <w:rPr>
          <w:rFonts w:ascii="Arial" w:hAnsi="Arial" w:cs="Arial"/>
          <w:sz w:val="16"/>
          <w:szCs w:val="16"/>
        </w:rPr>
        <w:t>C</w:t>
      </w:r>
      <w:r w:rsidR="004533D2">
        <w:rPr>
          <w:rFonts w:ascii="Arial" w:hAnsi="Arial" w:cs="Arial"/>
          <w:sz w:val="16"/>
          <w:szCs w:val="16"/>
        </w:rPr>
        <w:t>.</w:t>
      </w:r>
      <w:r w:rsidRPr="008F5405">
        <w:rPr>
          <w:rFonts w:ascii="Arial" w:hAnsi="Arial" w:cs="Arial"/>
          <w:sz w:val="16"/>
          <w:szCs w:val="16"/>
        </w:rPr>
        <w:t xml:space="preserve"> 2018 și față de aceeași perioadă a anului 2017</w:t>
      </w:r>
    </w:p>
    <w:p w:rsidR="00A70183" w:rsidRDefault="00A70183" w:rsidP="00A70183"/>
    <w:p w:rsidR="00DC3009" w:rsidRDefault="00490F6D" w:rsidP="00DC3009">
      <w:pPr>
        <w:jc w:val="center"/>
      </w:pPr>
      <w:r>
        <w:rPr>
          <w:noProof/>
          <w:lang w:val="en-US" w:eastAsia="en-US"/>
        </w:rPr>
        <w:drawing>
          <wp:inline distT="0" distB="0" distL="0" distR="0" wp14:anchorId="5047D086" wp14:editId="6A599D44">
            <wp:extent cx="4989600" cy="3211195"/>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5474" cy="3214976"/>
                    </a:xfrm>
                    <a:prstGeom prst="rect">
                      <a:avLst/>
                    </a:prstGeom>
                  </pic:spPr>
                </pic:pic>
              </a:graphicData>
            </a:graphic>
          </wp:inline>
        </w:drawing>
      </w:r>
    </w:p>
    <w:p w:rsidR="00A70183" w:rsidRPr="00A70183" w:rsidRDefault="00A70183" w:rsidP="00A70183">
      <w:pPr>
        <w:shd w:val="clear" w:color="auto" w:fill="FFFFFF"/>
        <w:jc w:val="both"/>
        <w:rPr>
          <w:noProof/>
          <w:lang w:val="en-US"/>
        </w:rPr>
      </w:pPr>
    </w:p>
    <w:p w:rsidR="009435DD" w:rsidRDefault="00A70183" w:rsidP="0061753E">
      <w:pPr>
        <w:shd w:val="clear" w:color="auto" w:fill="FFFFFF"/>
        <w:jc w:val="center"/>
        <w:rPr>
          <w:rFonts w:ascii="Arial" w:hAnsi="Arial" w:cs="Arial"/>
          <w:bCs/>
          <w:kern w:val="24"/>
          <w:sz w:val="16"/>
          <w:szCs w:val="16"/>
        </w:rPr>
      </w:pPr>
      <w:r w:rsidRPr="008F5405">
        <w:rPr>
          <w:rFonts w:ascii="Arial" w:hAnsi="Arial" w:cs="Arial"/>
          <w:bCs/>
          <w:kern w:val="24"/>
          <w:sz w:val="16"/>
          <w:szCs w:val="16"/>
        </w:rPr>
        <w:t>Grafic 1- Evoluția  cantităților  transportate pe subsistemele</w:t>
      </w:r>
      <w:r w:rsidR="00490F6D">
        <w:rPr>
          <w:rFonts w:ascii="Arial" w:hAnsi="Arial" w:cs="Arial"/>
          <w:bCs/>
          <w:kern w:val="24"/>
          <w:sz w:val="16"/>
          <w:szCs w:val="16"/>
        </w:rPr>
        <w:t xml:space="preserve"> </w:t>
      </w:r>
      <w:r w:rsidRPr="008F5405">
        <w:rPr>
          <w:rFonts w:ascii="Arial" w:hAnsi="Arial" w:cs="Arial"/>
          <w:bCs/>
          <w:kern w:val="24"/>
          <w:sz w:val="16"/>
          <w:szCs w:val="16"/>
        </w:rPr>
        <w:t>țară și import (mii tone)</w:t>
      </w:r>
    </w:p>
    <w:p w:rsidR="0061753E" w:rsidRPr="0061753E" w:rsidRDefault="0061753E" w:rsidP="0061753E">
      <w:pPr>
        <w:shd w:val="clear" w:color="auto" w:fill="FFFFFF"/>
        <w:jc w:val="center"/>
        <w:rPr>
          <w:rFonts w:ascii="Arial" w:hAnsi="Arial" w:cs="Arial"/>
          <w:bCs/>
          <w:kern w:val="24"/>
          <w:sz w:val="16"/>
          <w:szCs w:val="16"/>
        </w:rPr>
      </w:pPr>
    </w:p>
    <w:p w:rsidR="00456736" w:rsidRPr="009828D6" w:rsidRDefault="00883D54" w:rsidP="00170D7E">
      <w:pPr>
        <w:pStyle w:val="ListParagraph"/>
        <w:numPr>
          <w:ilvl w:val="1"/>
          <w:numId w:val="26"/>
        </w:numPr>
        <w:overflowPunct w:val="0"/>
        <w:jc w:val="both"/>
        <w:textAlignment w:val="baseline"/>
        <w:rPr>
          <w:rFonts w:ascii="Arial" w:hAnsi="Arial" w:cs="Arial"/>
          <w:b/>
          <w:color w:val="1F4E79" w:themeColor="accent1" w:themeShade="80"/>
          <w:sz w:val="24"/>
          <w:szCs w:val="24"/>
          <w:lang w:val="en-US"/>
        </w:rPr>
      </w:pPr>
      <w:r w:rsidRPr="009828D6">
        <w:rPr>
          <w:rFonts w:ascii="Arial" w:hAnsi="Arial" w:cs="Arial"/>
          <w:b/>
          <w:color w:val="1F4E79" w:themeColor="accent1" w:themeShade="80"/>
          <w:sz w:val="24"/>
          <w:szCs w:val="24"/>
          <w:lang w:val="en-US"/>
        </w:rPr>
        <w:lastRenderedPageBreak/>
        <w:t xml:space="preserve"> </w:t>
      </w:r>
      <w:r w:rsidR="00A70183" w:rsidRPr="009828D6">
        <w:rPr>
          <w:rFonts w:ascii="Arial" w:hAnsi="Arial" w:cs="Arial"/>
          <w:b/>
          <w:color w:val="1F4E79" w:themeColor="accent1" w:themeShade="80"/>
          <w:sz w:val="24"/>
          <w:szCs w:val="24"/>
          <w:lang w:val="en-US"/>
        </w:rPr>
        <w:t>Indicatori economico f</w:t>
      </w:r>
      <w:r w:rsidR="00816479" w:rsidRPr="009828D6">
        <w:rPr>
          <w:rFonts w:ascii="Arial" w:hAnsi="Arial" w:cs="Arial"/>
          <w:b/>
          <w:color w:val="1F4E79" w:themeColor="accent1" w:themeShade="80"/>
          <w:sz w:val="24"/>
          <w:szCs w:val="24"/>
          <w:lang w:val="en-US"/>
        </w:rPr>
        <w:t>inanciar</w:t>
      </w:r>
      <w:r w:rsidR="00A70183" w:rsidRPr="009828D6">
        <w:rPr>
          <w:rFonts w:ascii="Arial" w:hAnsi="Arial" w:cs="Arial"/>
          <w:b/>
          <w:color w:val="1F4E79" w:themeColor="accent1" w:themeShade="80"/>
          <w:sz w:val="24"/>
          <w:szCs w:val="24"/>
          <w:lang w:val="en-US"/>
        </w:rPr>
        <w:t>i</w:t>
      </w:r>
    </w:p>
    <w:p w:rsidR="00456736" w:rsidRDefault="00456736" w:rsidP="00C349EC">
      <w:pPr>
        <w:widowControl/>
        <w:autoSpaceDE/>
        <w:autoSpaceDN/>
        <w:adjustRightInd/>
        <w:spacing w:line="276" w:lineRule="auto"/>
        <w:jc w:val="both"/>
        <w:rPr>
          <w:rFonts w:ascii="Arial" w:hAnsi="Arial" w:cs="Arial"/>
          <w:sz w:val="22"/>
          <w:szCs w:val="22"/>
          <w:lang w:val="it-IT" w:eastAsia="en-US"/>
        </w:rPr>
      </w:pPr>
      <w:r w:rsidRPr="00456736">
        <w:rPr>
          <w:rFonts w:ascii="Arial" w:hAnsi="Arial" w:cs="Arial"/>
          <w:sz w:val="22"/>
          <w:szCs w:val="22"/>
          <w:lang w:val="it-IT" w:eastAsia="en-US"/>
        </w:rPr>
        <w:t xml:space="preserve">Principalii indicatori </w:t>
      </w:r>
      <w:r w:rsidR="00845298">
        <w:rPr>
          <w:rFonts w:ascii="Arial" w:hAnsi="Arial" w:cs="Arial"/>
          <w:sz w:val="22"/>
          <w:szCs w:val="22"/>
          <w:lang w:val="it-IT" w:eastAsia="en-US"/>
        </w:rPr>
        <w:t>economico-financiari</w:t>
      </w:r>
      <w:r w:rsidRPr="00456736">
        <w:rPr>
          <w:rFonts w:ascii="Arial" w:hAnsi="Arial" w:cs="Arial"/>
          <w:sz w:val="22"/>
          <w:szCs w:val="22"/>
          <w:lang w:val="it-IT" w:eastAsia="en-US"/>
        </w:rPr>
        <w:t xml:space="preserve"> ai societăţii</w:t>
      </w:r>
      <w:r w:rsidR="00845298">
        <w:rPr>
          <w:rFonts w:ascii="Arial" w:hAnsi="Arial" w:cs="Arial"/>
          <w:sz w:val="22"/>
          <w:szCs w:val="22"/>
          <w:lang w:val="it-IT" w:eastAsia="en-US"/>
        </w:rPr>
        <w:t xml:space="preserve"> realizați în</w:t>
      </w:r>
      <w:r w:rsidRPr="00456736">
        <w:rPr>
          <w:rFonts w:ascii="Arial" w:hAnsi="Arial" w:cs="Arial"/>
          <w:sz w:val="22"/>
          <w:szCs w:val="22"/>
          <w:lang w:val="it-IT" w:eastAsia="en-US"/>
        </w:rPr>
        <w:t xml:space="preserve"> perioada ianuarie – </w:t>
      </w:r>
      <w:r w:rsidR="00E733E8">
        <w:rPr>
          <w:rFonts w:ascii="Arial" w:hAnsi="Arial" w:cs="Arial"/>
          <w:sz w:val="22"/>
          <w:szCs w:val="22"/>
          <w:lang w:val="it-IT" w:eastAsia="en-US"/>
        </w:rPr>
        <w:t>iunie</w:t>
      </w:r>
      <w:r w:rsidRPr="00456736">
        <w:rPr>
          <w:rFonts w:ascii="Arial" w:hAnsi="Arial" w:cs="Arial"/>
          <w:sz w:val="22"/>
          <w:szCs w:val="22"/>
          <w:lang w:val="it-IT" w:eastAsia="en-US"/>
        </w:rPr>
        <w:t xml:space="preserve"> 2018 comparativ cu cei previzionați prin B.V.C. și cu cei </w:t>
      </w:r>
      <w:r w:rsidR="00845298">
        <w:rPr>
          <w:rFonts w:ascii="Arial" w:hAnsi="Arial" w:cs="Arial"/>
          <w:sz w:val="22"/>
          <w:szCs w:val="22"/>
          <w:lang w:val="it-IT" w:eastAsia="en-US"/>
        </w:rPr>
        <w:t>din</w:t>
      </w:r>
      <w:r w:rsidRPr="00456736">
        <w:rPr>
          <w:rFonts w:ascii="Arial" w:hAnsi="Arial" w:cs="Arial"/>
          <w:sz w:val="22"/>
          <w:szCs w:val="22"/>
          <w:lang w:val="it-IT" w:eastAsia="en-US"/>
        </w:rPr>
        <w:t xml:space="preserve"> perioada similară a anului 2017 sunt prezentați mai jos, după cum urmează:</w:t>
      </w:r>
    </w:p>
    <w:p w:rsidR="005E7DD9" w:rsidRPr="00456736" w:rsidRDefault="005E7DD9" w:rsidP="00456736">
      <w:pPr>
        <w:widowControl/>
        <w:autoSpaceDE/>
        <w:autoSpaceDN/>
        <w:adjustRightInd/>
        <w:jc w:val="both"/>
        <w:rPr>
          <w:rFonts w:ascii="Arial" w:hAnsi="Arial" w:cs="Arial"/>
          <w:sz w:val="22"/>
          <w:szCs w:val="22"/>
          <w:lang w:val="it-IT" w:eastAsia="en-US"/>
        </w:rPr>
      </w:pPr>
    </w:p>
    <w:tbl>
      <w:tblPr>
        <w:tblW w:w="9445" w:type="dxa"/>
        <w:jc w:val="center"/>
        <w:tblLayout w:type="fixed"/>
        <w:tblLook w:val="04A0" w:firstRow="1" w:lastRow="0" w:firstColumn="1" w:lastColumn="0" w:noHBand="0" w:noVBand="1"/>
      </w:tblPr>
      <w:tblGrid>
        <w:gridCol w:w="3685"/>
        <w:gridCol w:w="1170"/>
        <w:gridCol w:w="1080"/>
        <w:gridCol w:w="1260"/>
        <w:gridCol w:w="1043"/>
        <w:gridCol w:w="1207"/>
      </w:tblGrid>
      <w:tr w:rsidR="00456736" w:rsidRPr="00456736" w:rsidTr="002700D6">
        <w:trPr>
          <w:trHeight w:val="456"/>
          <w:tblHeader/>
          <w:jc w:val="center"/>
        </w:trPr>
        <w:tc>
          <w:tcPr>
            <w:tcW w:w="3685" w:type="dxa"/>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noWrap/>
            <w:vAlign w:val="center"/>
            <w:hideMark/>
          </w:tcPr>
          <w:p w:rsidR="00456736" w:rsidRPr="00456736" w:rsidRDefault="00456736" w:rsidP="00456736">
            <w:pPr>
              <w:widowControl/>
              <w:autoSpaceDE/>
              <w:autoSpaceDN/>
              <w:adjustRightInd/>
              <w:jc w:val="center"/>
              <w:rPr>
                <w:rFonts w:ascii="Arial" w:hAnsi="Arial" w:cs="Arial"/>
                <w:b/>
                <w:bCs/>
                <w:color w:val="000000"/>
                <w:lang w:val="en-US" w:eastAsia="en-US"/>
              </w:rPr>
            </w:pPr>
            <w:r w:rsidRPr="00456736">
              <w:rPr>
                <w:rFonts w:ascii="Arial" w:hAnsi="Arial" w:cs="Arial"/>
                <w:b/>
                <w:bCs/>
                <w:color w:val="000000"/>
                <w:lang w:val="en-US" w:eastAsia="en-US"/>
              </w:rPr>
              <w:t>Indicatori</w:t>
            </w:r>
          </w:p>
        </w:tc>
        <w:tc>
          <w:tcPr>
            <w:tcW w:w="3510" w:type="dxa"/>
            <w:gridSpan w:val="3"/>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456736" w:rsidRPr="00456736" w:rsidRDefault="00456736" w:rsidP="007F2CDD">
            <w:pPr>
              <w:widowControl/>
              <w:autoSpaceDE/>
              <w:autoSpaceDN/>
              <w:adjustRightInd/>
              <w:jc w:val="center"/>
              <w:rPr>
                <w:rFonts w:ascii="Arial" w:hAnsi="Arial" w:cs="Arial"/>
                <w:b/>
                <w:bCs/>
                <w:color w:val="000000"/>
                <w:lang w:val="en-US" w:eastAsia="en-US"/>
              </w:rPr>
            </w:pPr>
            <w:r w:rsidRPr="00456736">
              <w:rPr>
                <w:rFonts w:ascii="Arial" w:hAnsi="Arial" w:cs="Arial"/>
                <w:b/>
                <w:bCs/>
                <w:color w:val="000000"/>
                <w:lang w:val="en-US" w:eastAsia="en-US"/>
              </w:rPr>
              <w:t xml:space="preserve"> </w:t>
            </w:r>
            <w:r w:rsidR="00E733E8">
              <w:rPr>
                <w:rFonts w:ascii="Arial" w:hAnsi="Arial" w:cs="Arial"/>
                <w:b/>
                <w:bCs/>
                <w:color w:val="000000"/>
                <w:lang w:val="en-US" w:eastAsia="en-US"/>
              </w:rPr>
              <w:t>Sem</w:t>
            </w:r>
            <w:r w:rsidR="0053792A">
              <w:rPr>
                <w:rFonts w:ascii="Arial" w:hAnsi="Arial" w:cs="Arial"/>
                <w:b/>
                <w:bCs/>
                <w:color w:val="000000"/>
                <w:lang w:val="en-US" w:eastAsia="en-US"/>
              </w:rPr>
              <w:t>.</w:t>
            </w:r>
            <w:r w:rsidR="00845298">
              <w:rPr>
                <w:rFonts w:ascii="Arial" w:hAnsi="Arial" w:cs="Arial"/>
                <w:b/>
                <w:bCs/>
                <w:color w:val="000000"/>
                <w:lang w:val="en-US" w:eastAsia="en-US"/>
              </w:rPr>
              <w:t xml:space="preserve"> I</w:t>
            </w:r>
            <w:r w:rsidRPr="00456736">
              <w:rPr>
                <w:rFonts w:ascii="Arial" w:hAnsi="Arial" w:cs="Arial"/>
                <w:b/>
                <w:bCs/>
                <w:color w:val="000000"/>
                <w:lang w:val="en-US" w:eastAsia="en-US"/>
              </w:rPr>
              <w:t xml:space="preserve"> 2018</w:t>
            </w:r>
          </w:p>
        </w:tc>
        <w:tc>
          <w:tcPr>
            <w:tcW w:w="1043" w:type="dxa"/>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456736" w:rsidRPr="00456736" w:rsidRDefault="00456736" w:rsidP="00845298">
            <w:pPr>
              <w:widowControl/>
              <w:autoSpaceDE/>
              <w:autoSpaceDN/>
              <w:adjustRightInd/>
              <w:jc w:val="center"/>
              <w:rPr>
                <w:rFonts w:ascii="Arial" w:hAnsi="Arial" w:cs="Arial"/>
                <w:b/>
                <w:bCs/>
                <w:color w:val="000000"/>
                <w:lang w:val="en-US" w:eastAsia="en-US"/>
              </w:rPr>
            </w:pPr>
            <w:r w:rsidRPr="00456736">
              <w:rPr>
                <w:rFonts w:ascii="Arial" w:hAnsi="Arial" w:cs="Arial"/>
                <w:b/>
                <w:bCs/>
                <w:color w:val="000000"/>
                <w:lang w:val="en-US" w:eastAsia="en-US"/>
              </w:rPr>
              <w:t xml:space="preserve"> </w:t>
            </w:r>
            <w:r w:rsidR="00D875AB">
              <w:rPr>
                <w:rFonts w:ascii="Arial" w:hAnsi="Arial" w:cs="Arial"/>
                <w:b/>
                <w:bCs/>
                <w:color w:val="000000"/>
                <w:lang w:val="en-US" w:eastAsia="en-US"/>
              </w:rPr>
              <w:t>Realizat</w:t>
            </w:r>
            <w:r w:rsidR="00E733E8">
              <w:rPr>
                <w:rFonts w:ascii="Arial" w:hAnsi="Arial" w:cs="Arial"/>
                <w:b/>
                <w:bCs/>
                <w:color w:val="000000"/>
                <w:lang w:val="en-US" w:eastAsia="en-US"/>
              </w:rPr>
              <w:t>Sem</w:t>
            </w:r>
            <w:r w:rsidR="0053792A">
              <w:rPr>
                <w:rFonts w:ascii="Arial" w:hAnsi="Arial" w:cs="Arial"/>
                <w:b/>
                <w:bCs/>
                <w:color w:val="000000"/>
                <w:lang w:val="en-US" w:eastAsia="en-US"/>
              </w:rPr>
              <w:t>.</w:t>
            </w:r>
            <w:r w:rsidR="00845298">
              <w:rPr>
                <w:rFonts w:ascii="Arial" w:hAnsi="Arial" w:cs="Arial"/>
                <w:b/>
                <w:bCs/>
                <w:color w:val="000000"/>
                <w:lang w:val="en-US" w:eastAsia="en-US"/>
              </w:rPr>
              <w:t xml:space="preserve"> I </w:t>
            </w:r>
            <w:r w:rsidRPr="00456736">
              <w:rPr>
                <w:rFonts w:ascii="Arial" w:hAnsi="Arial" w:cs="Arial"/>
                <w:b/>
                <w:bCs/>
                <w:color w:val="000000"/>
                <w:lang w:val="en-US" w:eastAsia="en-US"/>
              </w:rPr>
              <w:t>2017</w:t>
            </w:r>
          </w:p>
        </w:tc>
        <w:tc>
          <w:tcPr>
            <w:tcW w:w="1207"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456736" w:rsidRPr="00456736" w:rsidRDefault="00322A8C" w:rsidP="007F2CDD">
            <w:pPr>
              <w:widowControl/>
              <w:autoSpaceDE/>
              <w:autoSpaceDN/>
              <w:adjustRightInd/>
              <w:jc w:val="center"/>
              <w:rPr>
                <w:rFonts w:ascii="Arial" w:hAnsi="Arial" w:cs="Arial"/>
                <w:b/>
                <w:bCs/>
                <w:color w:val="000000"/>
                <w:lang w:val="en-US" w:eastAsia="en-US"/>
              </w:rPr>
            </w:pPr>
            <w:r>
              <w:rPr>
                <w:rFonts w:ascii="Arial" w:hAnsi="Arial" w:cs="Arial"/>
                <w:b/>
                <w:bCs/>
                <w:color w:val="000000"/>
                <w:lang w:val="en-US" w:eastAsia="en-US"/>
              </w:rPr>
              <w:t xml:space="preserve">% </w:t>
            </w:r>
            <w:r w:rsidR="007F2CDD">
              <w:rPr>
                <w:rFonts w:ascii="Arial" w:hAnsi="Arial" w:cs="Arial"/>
                <w:b/>
                <w:bCs/>
                <w:color w:val="000000"/>
                <w:lang w:val="en-US" w:eastAsia="en-US"/>
              </w:rPr>
              <w:t>V</w:t>
            </w:r>
            <w:r>
              <w:rPr>
                <w:rFonts w:ascii="Arial" w:hAnsi="Arial" w:cs="Arial"/>
                <w:b/>
                <w:bCs/>
                <w:color w:val="000000"/>
                <w:lang w:val="en-US" w:eastAsia="en-US"/>
              </w:rPr>
              <w:t>ariație</w:t>
            </w:r>
          </w:p>
        </w:tc>
      </w:tr>
      <w:tr w:rsidR="00E20089" w:rsidRPr="00456736" w:rsidTr="002700D6">
        <w:trPr>
          <w:trHeight w:val="536"/>
          <w:tblHeader/>
          <w:jc w:val="center"/>
        </w:trPr>
        <w:tc>
          <w:tcPr>
            <w:tcW w:w="3685" w:type="dxa"/>
            <w:vMerge/>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456736" w:rsidRPr="00456736" w:rsidRDefault="00456736" w:rsidP="00456736">
            <w:pPr>
              <w:widowControl/>
              <w:autoSpaceDE/>
              <w:autoSpaceDN/>
              <w:adjustRightInd/>
              <w:rPr>
                <w:rFonts w:ascii="Arial" w:hAnsi="Arial" w:cs="Arial"/>
                <w:b/>
                <w:bCs/>
                <w:color w:val="000000"/>
                <w:lang w:val="en-US" w:eastAsia="en-US"/>
              </w:rPr>
            </w:pPr>
          </w:p>
        </w:tc>
        <w:tc>
          <w:tcPr>
            <w:tcW w:w="1170" w:type="dxa"/>
            <w:tcBorders>
              <w:top w:val="nil"/>
              <w:left w:val="nil"/>
              <w:bottom w:val="single" w:sz="4" w:space="0" w:color="auto"/>
              <w:right w:val="single" w:sz="4" w:space="0" w:color="auto"/>
            </w:tcBorders>
            <w:shd w:val="clear" w:color="auto" w:fill="DEEAF6" w:themeFill="accent1" w:themeFillTint="33"/>
            <w:vAlign w:val="center"/>
            <w:hideMark/>
          </w:tcPr>
          <w:p w:rsidR="00456736" w:rsidRPr="00E20089" w:rsidRDefault="00456736" w:rsidP="00456736">
            <w:pPr>
              <w:widowControl/>
              <w:autoSpaceDE/>
              <w:autoSpaceDN/>
              <w:adjustRightInd/>
              <w:jc w:val="center"/>
              <w:rPr>
                <w:rFonts w:ascii="Arial" w:hAnsi="Arial" w:cs="Arial"/>
                <w:b/>
                <w:color w:val="000000"/>
                <w:lang w:val="en-US" w:eastAsia="en-US"/>
              </w:rPr>
            </w:pPr>
            <w:r w:rsidRPr="00E20089">
              <w:rPr>
                <w:rFonts w:ascii="Arial" w:hAnsi="Arial" w:cs="Arial"/>
                <w:b/>
                <w:color w:val="000000"/>
                <w:lang w:val="en-US" w:eastAsia="en-US"/>
              </w:rPr>
              <w:t>Realizat</w:t>
            </w:r>
          </w:p>
        </w:tc>
        <w:tc>
          <w:tcPr>
            <w:tcW w:w="1080" w:type="dxa"/>
            <w:tcBorders>
              <w:top w:val="nil"/>
              <w:left w:val="nil"/>
              <w:bottom w:val="single" w:sz="4" w:space="0" w:color="auto"/>
              <w:right w:val="single" w:sz="4" w:space="0" w:color="auto"/>
            </w:tcBorders>
            <w:shd w:val="clear" w:color="auto" w:fill="DEEAF6" w:themeFill="accent1" w:themeFillTint="33"/>
            <w:vAlign w:val="center"/>
            <w:hideMark/>
          </w:tcPr>
          <w:p w:rsidR="00456736" w:rsidRPr="00E20089" w:rsidRDefault="00456736" w:rsidP="00456736">
            <w:pPr>
              <w:widowControl/>
              <w:autoSpaceDE/>
              <w:autoSpaceDN/>
              <w:adjustRightInd/>
              <w:jc w:val="center"/>
              <w:rPr>
                <w:rFonts w:ascii="Arial" w:hAnsi="Arial" w:cs="Arial"/>
                <w:b/>
                <w:color w:val="000000"/>
                <w:lang w:val="en-US" w:eastAsia="en-US"/>
              </w:rPr>
            </w:pPr>
            <w:r w:rsidRPr="00E20089">
              <w:rPr>
                <w:rFonts w:ascii="Arial" w:hAnsi="Arial" w:cs="Arial"/>
                <w:b/>
                <w:color w:val="000000"/>
                <w:lang w:val="en-US" w:eastAsia="en-US"/>
              </w:rPr>
              <w:t>B</w:t>
            </w:r>
            <w:r w:rsidR="00E20089" w:rsidRPr="00E20089">
              <w:rPr>
                <w:rFonts w:ascii="Arial" w:hAnsi="Arial" w:cs="Arial"/>
                <w:b/>
                <w:color w:val="000000"/>
                <w:lang w:val="en-US" w:eastAsia="en-US"/>
              </w:rPr>
              <w:t>.</w:t>
            </w:r>
            <w:r w:rsidRPr="00E20089">
              <w:rPr>
                <w:rFonts w:ascii="Arial" w:hAnsi="Arial" w:cs="Arial"/>
                <w:b/>
                <w:color w:val="000000"/>
                <w:lang w:val="en-US" w:eastAsia="en-US"/>
              </w:rPr>
              <w:t>V</w:t>
            </w:r>
            <w:r w:rsidR="00E20089" w:rsidRPr="00E20089">
              <w:rPr>
                <w:rFonts w:ascii="Arial" w:hAnsi="Arial" w:cs="Arial"/>
                <w:b/>
                <w:color w:val="000000"/>
                <w:lang w:val="en-US" w:eastAsia="en-US"/>
              </w:rPr>
              <w:t>.</w:t>
            </w:r>
            <w:r w:rsidRPr="00E20089">
              <w:rPr>
                <w:rFonts w:ascii="Arial" w:hAnsi="Arial" w:cs="Arial"/>
                <w:b/>
                <w:color w:val="000000"/>
                <w:lang w:val="en-US" w:eastAsia="en-US"/>
              </w:rPr>
              <w:t>C</w:t>
            </w:r>
            <w:r w:rsidR="00E20089" w:rsidRPr="00E20089">
              <w:rPr>
                <w:rFonts w:ascii="Arial" w:hAnsi="Arial" w:cs="Arial"/>
                <w:b/>
                <w:color w:val="000000"/>
                <w:lang w:val="en-US" w:eastAsia="en-US"/>
              </w:rPr>
              <w:t>.</w:t>
            </w:r>
          </w:p>
        </w:tc>
        <w:tc>
          <w:tcPr>
            <w:tcW w:w="1260" w:type="dxa"/>
            <w:tcBorders>
              <w:top w:val="nil"/>
              <w:left w:val="nil"/>
              <w:bottom w:val="single" w:sz="4" w:space="0" w:color="auto"/>
              <w:right w:val="single" w:sz="4" w:space="0" w:color="auto"/>
            </w:tcBorders>
            <w:shd w:val="clear" w:color="auto" w:fill="DEEAF6" w:themeFill="accent1" w:themeFillTint="33"/>
            <w:vAlign w:val="center"/>
            <w:hideMark/>
          </w:tcPr>
          <w:p w:rsidR="00456736" w:rsidRPr="00E20089" w:rsidRDefault="00DA7600" w:rsidP="00DA7600">
            <w:pPr>
              <w:widowControl/>
              <w:autoSpaceDE/>
              <w:autoSpaceDN/>
              <w:adjustRightInd/>
              <w:jc w:val="center"/>
              <w:rPr>
                <w:rFonts w:ascii="Arial" w:hAnsi="Arial" w:cs="Arial"/>
                <w:b/>
                <w:color w:val="000000"/>
                <w:lang w:val="en-US" w:eastAsia="en-US"/>
              </w:rPr>
            </w:pPr>
            <w:r w:rsidRPr="00E20089">
              <w:rPr>
                <w:rFonts w:ascii="Arial" w:hAnsi="Arial" w:cs="Arial"/>
                <w:b/>
                <w:color w:val="000000"/>
                <w:lang w:val="en-US" w:eastAsia="en-US"/>
              </w:rPr>
              <w:t>Variație %    Realizat</w:t>
            </w:r>
            <w:r w:rsidR="00E20089">
              <w:rPr>
                <w:rFonts w:ascii="Arial" w:hAnsi="Arial" w:cs="Arial"/>
                <w:b/>
                <w:color w:val="000000"/>
                <w:lang w:val="en-US" w:eastAsia="en-US"/>
              </w:rPr>
              <w:t xml:space="preserve"> </w:t>
            </w:r>
            <w:r w:rsidRPr="00E20089">
              <w:rPr>
                <w:rFonts w:ascii="Arial" w:hAnsi="Arial" w:cs="Arial"/>
                <w:b/>
                <w:color w:val="000000"/>
                <w:lang w:val="en-US" w:eastAsia="en-US"/>
              </w:rPr>
              <w:t>/</w:t>
            </w:r>
            <w:r w:rsidR="00845298" w:rsidRPr="00E20089">
              <w:rPr>
                <w:rFonts w:ascii="Arial" w:hAnsi="Arial" w:cs="Arial"/>
                <w:b/>
                <w:color w:val="000000"/>
                <w:lang w:val="en-US" w:eastAsia="en-US"/>
              </w:rPr>
              <w:t>B</w:t>
            </w:r>
            <w:r w:rsidR="00E20089" w:rsidRPr="00E20089">
              <w:rPr>
                <w:rFonts w:ascii="Arial" w:hAnsi="Arial" w:cs="Arial"/>
                <w:b/>
                <w:color w:val="000000"/>
                <w:lang w:val="en-US" w:eastAsia="en-US"/>
              </w:rPr>
              <w:t>.</w:t>
            </w:r>
            <w:r w:rsidR="00845298" w:rsidRPr="00E20089">
              <w:rPr>
                <w:rFonts w:ascii="Arial" w:hAnsi="Arial" w:cs="Arial"/>
                <w:b/>
                <w:color w:val="000000"/>
                <w:lang w:val="en-US" w:eastAsia="en-US"/>
              </w:rPr>
              <w:t>V</w:t>
            </w:r>
            <w:r w:rsidR="00E20089" w:rsidRPr="00E20089">
              <w:rPr>
                <w:rFonts w:ascii="Arial" w:hAnsi="Arial" w:cs="Arial"/>
                <w:b/>
                <w:color w:val="000000"/>
                <w:lang w:val="en-US" w:eastAsia="en-US"/>
              </w:rPr>
              <w:t>.</w:t>
            </w:r>
            <w:r w:rsidR="00845298" w:rsidRPr="00E20089">
              <w:rPr>
                <w:rFonts w:ascii="Arial" w:hAnsi="Arial" w:cs="Arial"/>
                <w:b/>
                <w:color w:val="000000"/>
                <w:lang w:val="en-US" w:eastAsia="en-US"/>
              </w:rPr>
              <w:t>C</w:t>
            </w:r>
            <w:r w:rsidR="00E20089" w:rsidRPr="00E20089">
              <w:rPr>
                <w:rFonts w:ascii="Arial" w:hAnsi="Arial" w:cs="Arial"/>
                <w:b/>
                <w:color w:val="000000"/>
                <w:lang w:val="en-US" w:eastAsia="en-US"/>
              </w:rPr>
              <w:t>.</w:t>
            </w:r>
          </w:p>
        </w:tc>
        <w:tc>
          <w:tcPr>
            <w:tcW w:w="1043" w:type="dxa"/>
            <w:vMerge/>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456736" w:rsidRPr="00456736" w:rsidRDefault="00456736" w:rsidP="00456736">
            <w:pPr>
              <w:widowControl/>
              <w:autoSpaceDE/>
              <w:autoSpaceDN/>
              <w:adjustRightInd/>
              <w:rPr>
                <w:rFonts w:ascii="Arial" w:hAnsi="Arial" w:cs="Arial"/>
                <w:b/>
                <w:bCs/>
                <w:color w:val="000000"/>
                <w:lang w:val="en-US" w:eastAsia="en-US"/>
              </w:rPr>
            </w:pPr>
          </w:p>
        </w:tc>
        <w:tc>
          <w:tcPr>
            <w:tcW w:w="1207" w:type="dxa"/>
            <w:tcBorders>
              <w:top w:val="nil"/>
              <w:left w:val="nil"/>
              <w:bottom w:val="single" w:sz="4" w:space="0" w:color="auto"/>
              <w:right w:val="single" w:sz="4" w:space="0" w:color="auto"/>
            </w:tcBorders>
            <w:shd w:val="clear" w:color="auto" w:fill="DEEAF6" w:themeFill="accent1" w:themeFillTint="33"/>
            <w:vAlign w:val="center"/>
            <w:hideMark/>
          </w:tcPr>
          <w:p w:rsidR="00456736" w:rsidRPr="00E20089" w:rsidRDefault="00DA7600" w:rsidP="00E20089">
            <w:pPr>
              <w:widowControl/>
              <w:autoSpaceDE/>
              <w:autoSpaceDN/>
              <w:adjustRightInd/>
              <w:jc w:val="center"/>
              <w:rPr>
                <w:rFonts w:ascii="Arial" w:hAnsi="Arial" w:cs="Arial"/>
                <w:b/>
                <w:color w:val="000000"/>
                <w:lang w:val="en-US" w:eastAsia="en-US"/>
              </w:rPr>
            </w:pPr>
            <w:r w:rsidRPr="00E20089">
              <w:rPr>
                <w:rFonts w:ascii="Arial" w:hAnsi="Arial" w:cs="Arial"/>
                <w:b/>
                <w:color w:val="000000"/>
                <w:lang w:val="en-US" w:eastAsia="en-US"/>
              </w:rPr>
              <w:t>2018/</w:t>
            </w:r>
            <w:r w:rsidR="0053792A" w:rsidRPr="00E20089">
              <w:rPr>
                <w:rFonts w:ascii="Arial" w:hAnsi="Arial" w:cs="Arial"/>
                <w:b/>
                <w:color w:val="000000"/>
                <w:lang w:val="en-US" w:eastAsia="en-US"/>
              </w:rPr>
              <w:t xml:space="preserve"> </w:t>
            </w:r>
            <w:r w:rsidR="00456736" w:rsidRPr="00E20089">
              <w:rPr>
                <w:rFonts w:ascii="Arial" w:hAnsi="Arial" w:cs="Arial"/>
                <w:b/>
                <w:color w:val="000000"/>
                <w:lang w:val="en-US" w:eastAsia="en-US"/>
              </w:rPr>
              <w:t>2017</w:t>
            </w:r>
          </w:p>
        </w:tc>
      </w:tr>
      <w:tr w:rsidR="00E20089" w:rsidRPr="00456736" w:rsidTr="002700D6">
        <w:trPr>
          <w:trHeight w:val="285"/>
          <w:jc w:val="center"/>
        </w:trPr>
        <w:tc>
          <w:tcPr>
            <w:tcW w:w="3685" w:type="dxa"/>
            <w:tcBorders>
              <w:top w:val="nil"/>
              <w:left w:val="single" w:sz="4" w:space="0" w:color="auto"/>
              <w:bottom w:val="single" w:sz="4" w:space="0" w:color="auto"/>
              <w:right w:val="single" w:sz="4" w:space="0" w:color="auto"/>
            </w:tcBorders>
            <w:shd w:val="clear" w:color="auto" w:fill="auto"/>
            <w:vAlign w:val="center"/>
          </w:tcPr>
          <w:p w:rsidR="00026A84" w:rsidRDefault="00026A84" w:rsidP="00026A84">
            <w:pPr>
              <w:widowControl/>
              <w:autoSpaceDE/>
              <w:autoSpaceDN/>
              <w:adjustRightInd/>
              <w:rPr>
                <w:rFonts w:ascii="Arial" w:hAnsi="Arial" w:cs="Arial"/>
                <w:color w:val="000000"/>
              </w:rPr>
            </w:pPr>
            <w:r>
              <w:rPr>
                <w:rFonts w:ascii="Arial" w:hAnsi="Arial" w:cs="Arial"/>
                <w:color w:val="000000"/>
              </w:rPr>
              <w:t xml:space="preserve">Cifra de afaceri </w:t>
            </w:r>
            <w:r w:rsidR="000308DD">
              <w:rPr>
                <w:rFonts w:ascii="Arial" w:hAnsi="Arial" w:cs="Arial"/>
                <w:color w:val="000000"/>
              </w:rPr>
              <w:t>(mii lei)</w:t>
            </w:r>
          </w:p>
        </w:tc>
        <w:tc>
          <w:tcPr>
            <w:tcW w:w="1170" w:type="dxa"/>
            <w:tcBorders>
              <w:top w:val="nil"/>
              <w:left w:val="nil"/>
              <w:bottom w:val="single" w:sz="4" w:space="0" w:color="auto"/>
              <w:right w:val="single" w:sz="4" w:space="0" w:color="auto"/>
            </w:tcBorders>
            <w:shd w:val="clear" w:color="auto" w:fill="auto"/>
            <w:noWrap/>
            <w:vAlign w:val="center"/>
          </w:tcPr>
          <w:p w:rsidR="00026A84" w:rsidRDefault="00026A84" w:rsidP="00026A84">
            <w:pPr>
              <w:jc w:val="right"/>
              <w:rPr>
                <w:rFonts w:ascii="Arial" w:hAnsi="Arial" w:cs="Arial"/>
                <w:color w:val="000000"/>
              </w:rPr>
            </w:pPr>
            <w:r>
              <w:rPr>
                <w:rFonts w:ascii="Arial" w:hAnsi="Arial" w:cs="Arial"/>
                <w:color w:val="000000"/>
              </w:rPr>
              <w:t>184.931</w:t>
            </w:r>
          </w:p>
        </w:tc>
        <w:tc>
          <w:tcPr>
            <w:tcW w:w="1080" w:type="dxa"/>
            <w:tcBorders>
              <w:top w:val="nil"/>
              <w:left w:val="nil"/>
              <w:bottom w:val="single" w:sz="4" w:space="0" w:color="auto"/>
              <w:right w:val="single" w:sz="4" w:space="0" w:color="auto"/>
            </w:tcBorders>
            <w:shd w:val="clear" w:color="auto" w:fill="auto"/>
            <w:noWrap/>
            <w:vAlign w:val="center"/>
          </w:tcPr>
          <w:p w:rsidR="00026A84" w:rsidRDefault="00026A84" w:rsidP="00026A84">
            <w:pPr>
              <w:jc w:val="right"/>
              <w:rPr>
                <w:rFonts w:ascii="Arial" w:hAnsi="Arial" w:cs="Arial"/>
                <w:color w:val="000000"/>
              </w:rPr>
            </w:pPr>
            <w:r>
              <w:rPr>
                <w:rFonts w:ascii="Arial" w:hAnsi="Arial" w:cs="Arial"/>
                <w:color w:val="000000"/>
              </w:rPr>
              <w:t>181.493</w:t>
            </w:r>
          </w:p>
        </w:tc>
        <w:tc>
          <w:tcPr>
            <w:tcW w:w="1260" w:type="dxa"/>
            <w:tcBorders>
              <w:top w:val="nil"/>
              <w:left w:val="nil"/>
              <w:bottom w:val="single" w:sz="4" w:space="0" w:color="auto"/>
              <w:right w:val="single" w:sz="4" w:space="0" w:color="auto"/>
            </w:tcBorders>
            <w:shd w:val="clear" w:color="auto" w:fill="auto"/>
            <w:noWrap/>
            <w:vAlign w:val="center"/>
          </w:tcPr>
          <w:p w:rsidR="00026A84" w:rsidRDefault="00026A84" w:rsidP="00026A84">
            <w:pPr>
              <w:jc w:val="right"/>
              <w:rPr>
                <w:rFonts w:ascii="Arial" w:hAnsi="Arial" w:cs="Arial"/>
                <w:color w:val="000000"/>
              </w:rPr>
            </w:pPr>
            <w:r w:rsidRPr="001C79CF">
              <w:rPr>
                <w:rFonts w:ascii="Arial" w:hAnsi="Arial" w:cs="Arial"/>
                <w:bCs/>
                <w:color w:val="000000"/>
                <w:lang w:val="en-US" w:eastAsia="en-US"/>
              </w:rPr>
              <w:t>▲</w:t>
            </w:r>
            <w:r>
              <w:rPr>
                <w:rFonts w:ascii="Arial" w:hAnsi="Arial" w:cs="Arial"/>
                <w:color w:val="000000"/>
              </w:rPr>
              <w:t>1,89%</w:t>
            </w:r>
          </w:p>
        </w:tc>
        <w:tc>
          <w:tcPr>
            <w:tcW w:w="1043" w:type="dxa"/>
            <w:tcBorders>
              <w:top w:val="nil"/>
              <w:left w:val="nil"/>
              <w:bottom w:val="single" w:sz="4" w:space="0" w:color="auto"/>
              <w:right w:val="single" w:sz="4" w:space="0" w:color="auto"/>
            </w:tcBorders>
            <w:shd w:val="clear" w:color="auto" w:fill="auto"/>
            <w:noWrap/>
            <w:vAlign w:val="center"/>
          </w:tcPr>
          <w:p w:rsidR="00026A84" w:rsidRDefault="00026A84" w:rsidP="00026A84">
            <w:pPr>
              <w:jc w:val="right"/>
              <w:rPr>
                <w:rFonts w:ascii="Arial" w:hAnsi="Arial" w:cs="Arial"/>
                <w:color w:val="000000"/>
              </w:rPr>
            </w:pPr>
            <w:r>
              <w:rPr>
                <w:rFonts w:ascii="Arial" w:hAnsi="Arial" w:cs="Arial"/>
                <w:color w:val="000000"/>
              </w:rPr>
              <w:t>186.314</w:t>
            </w:r>
          </w:p>
        </w:tc>
        <w:tc>
          <w:tcPr>
            <w:tcW w:w="1207" w:type="dxa"/>
            <w:tcBorders>
              <w:top w:val="nil"/>
              <w:left w:val="nil"/>
              <w:bottom w:val="single" w:sz="4" w:space="0" w:color="auto"/>
              <w:right w:val="single" w:sz="4" w:space="0" w:color="auto"/>
            </w:tcBorders>
            <w:shd w:val="clear" w:color="auto" w:fill="auto"/>
            <w:noWrap/>
            <w:vAlign w:val="center"/>
          </w:tcPr>
          <w:p w:rsidR="00026A84" w:rsidRDefault="00026A84" w:rsidP="00515D55">
            <w:pPr>
              <w:jc w:val="center"/>
              <w:rPr>
                <w:rFonts w:ascii="Arial" w:hAnsi="Arial" w:cs="Arial"/>
                <w:b/>
                <w:bCs/>
                <w:color w:val="000000"/>
              </w:rPr>
            </w:pPr>
            <w:r w:rsidRPr="001C79CF">
              <w:rPr>
                <w:rFonts w:ascii="Arial" w:hAnsi="Arial" w:cs="Arial"/>
                <w:bCs/>
                <w:color w:val="000000"/>
                <w:lang w:val="en-US" w:eastAsia="en-US"/>
              </w:rPr>
              <w:t>▼</w:t>
            </w:r>
            <w:r w:rsidRPr="00026A84">
              <w:rPr>
                <w:rFonts w:ascii="Arial" w:hAnsi="Arial" w:cs="Arial"/>
                <w:bCs/>
                <w:color w:val="000000"/>
              </w:rPr>
              <w:t>0,74%</w:t>
            </w:r>
          </w:p>
        </w:tc>
      </w:tr>
      <w:tr w:rsidR="00E20089" w:rsidRPr="00456736" w:rsidTr="002700D6">
        <w:trPr>
          <w:trHeight w:val="285"/>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AD63F5" w:rsidRPr="00456736" w:rsidRDefault="00AD63F5" w:rsidP="00AD63F5">
            <w:pPr>
              <w:widowControl/>
              <w:autoSpaceDE/>
              <w:autoSpaceDN/>
              <w:adjustRightInd/>
              <w:rPr>
                <w:rFonts w:ascii="Arial" w:hAnsi="Arial" w:cs="Arial"/>
                <w:color w:val="000000"/>
                <w:lang w:val="en-US" w:eastAsia="en-US"/>
              </w:rPr>
            </w:pPr>
            <w:r w:rsidRPr="00456736">
              <w:rPr>
                <w:rFonts w:ascii="Arial" w:hAnsi="Arial" w:cs="Arial"/>
                <w:color w:val="000000"/>
                <w:lang w:val="en-US" w:eastAsia="en-US"/>
              </w:rPr>
              <w:t>Ven</w:t>
            </w:r>
            <w:r>
              <w:rPr>
                <w:rFonts w:ascii="Arial" w:hAnsi="Arial" w:cs="Arial"/>
                <w:color w:val="000000"/>
                <w:lang w:val="en-US" w:eastAsia="en-US"/>
              </w:rPr>
              <w:t>ituri din exploatare (mii</w:t>
            </w:r>
            <w:r w:rsidRPr="00456736">
              <w:rPr>
                <w:rFonts w:ascii="Arial" w:hAnsi="Arial" w:cs="Arial"/>
                <w:color w:val="000000"/>
                <w:lang w:val="en-US" w:eastAsia="en-US"/>
              </w:rPr>
              <w:t xml:space="preserve"> lei)</w:t>
            </w:r>
          </w:p>
        </w:tc>
        <w:tc>
          <w:tcPr>
            <w:tcW w:w="1170" w:type="dxa"/>
            <w:tcBorders>
              <w:top w:val="nil"/>
              <w:left w:val="nil"/>
              <w:bottom w:val="single" w:sz="4" w:space="0" w:color="auto"/>
              <w:right w:val="single" w:sz="4" w:space="0" w:color="auto"/>
            </w:tcBorders>
            <w:shd w:val="clear" w:color="auto" w:fill="auto"/>
            <w:noWrap/>
            <w:vAlign w:val="center"/>
            <w:hideMark/>
          </w:tcPr>
          <w:p w:rsidR="00AD63F5" w:rsidRPr="001C79CF" w:rsidRDefault="00AD63F5" w:rsidP="00AD63F5">
            <w:pPr>
              <w:widowControl/>
              <w:autoSpaceDE/>
              <w:autoSpaceDN/>
              <w:adjustRightInd/>
              <w:jc w:val="right"/>
              <w:rPr>
                <w:rFonts w:ascii="Arial" w:hAnsi="Arial" w:cs="Arial"/>
                <w:color w:val="000000"/>
              </w:rPr>
            </w:pPr>
            <w:r w:rsidRPr="001C79CF">
              <w:rPr>
                <w:rFonts w:ascii="Arial" w:hAnsi="Arial" w:cs="Arial"/>
                <w:color w:val="000000"/>
              </w:rPr>
              <w:t>199.977</w:t>
            </w:r>
          </w:p>
        </w:tc>
        <w:tc>
          <w:tcPr>
            <w:tcW w:w="1080" w:type="dxa"/>
            <w:tcBorders>
              <w:top w:val="nil"/>
              <w:left w:val="nil"/>
              <w:bottom w:val="single" w:sz="4" w:space="0" w:color="auto"/>
              <w:right w:val="single" w:sz="4" w:space="0" w:color="auto"/>
            </w:tcBorders>
            <w:shd w:val="clear" w:color="auto" w:fill="auto"/>
            <w:noWrap/>
            <w:vAlign w:val="center"/>
            <w:hideMark/>
          </w:tcPr>
          <w:p w:rsidR="00AD63F5" w:rsidRPr="001C79CF" w:rsidRDefault="00AD63F5" w:rsidP="00AD63F5">
            <w:pPr>
              <w:jc w:val="right"/>
              <w:rPr>
                <w:rFonts w:ascii="Arial" w:hAnsi="Arial" w:cs="Arial"/>
                <w:color w:val="000000"/>
              </w:rPr>
            </w:pPr>
            <w:r w:rsidRPr="001C79CF">
              <w:rPr>
                <w:rFonts w:ascii="Arial" w:hAnsi="Arial" w:cs="Arial"/>
                <w:color w:val="000000"/>
              </w:rPr>
              <w:t>196.905</w:t>
            </w:r>
          </w:p>
        </w:tc>
        <w:tc>
          <w:tcPr>
            <w:tcW w:w="1260" w:type="dxa"/>
            <w:tcBorders>
              <w:top w:val="nil"/>
              <w:left w:val="nil"/>
              <w:bottom w:val="single" w:sz="4" w:space="0" w:color="auto"/>
              <w:right w:val="single" w:sz="4" w:space="0" w:color="auto"/>
            </w:tcBorders>
            <w:shd w:val="clear" w:color="auto" w:fill="auto"/>
            <w:noWrap/>
            <w:vAlign w:val="center"/>
            <w:hideMark/>
          </w:tcPr>
          <w:p w:rsidR="00AD63F5" w:rsidRPr="001C79CF" w:rsidRDefault="005E5BB3" w:rsidP="00AD63F5">
            <w:pPr>
              <w:jc w:val="right"/>
              <w:rPr>
                <w:rFonts w:ascii="Arial" w:hAnsi="Arial" w:cs="Arial"/>
                <w:color w:val="000000"/>
              </w:rPr>
            </w:pPr>
            <w:r w:rsidRPr="001C79CF">
              <w:rPr>
                <w:rFonts w:ascii="Arial" w:hAnsi="Arial" w:cs="Arial"/>
                <w:bCs/>
                <w:color w:val="000000"/>
                <w:lang w:val="en-US" w:eastAsia="en-US"/>
              </w:rPr>
              <w:t>▲</w:t>
            </w:r>
            <w:r w:rsidR="00AD63F5" w:rsidRPr="001C79CF">
              <w:rPr>
                <w:rFonts w:ascii="Arial" w:hAnsi="Arial" w:cs="Arial"/>
                <w:color w:val="000000"/>
              </w:rPr>
              <w:t>1,56%</w:t>
            </w:r>
          </w:p>
        </w:tc>
        <w:tc>
          <w:tcPr>
            <w:tcW w:w="1043" w:type="dxa"/>
            <w:tcBorders>
              <w:top w:val="nil"/>
              <w:left w:val="nil"/>
              <w:bottom w:val="single" w:sz="4" w:space="0" w:color="auto"/>
              <w:right w:val="single" w:sz="4" w:space="0" w:color="auto"/>
            </w:tcBorders>
            <w:shd w:val="clear" w:color="auto" w:fill="auto"/>
            <w:noWrap/>
            <w:vAlign w:val="center"/>
            <w:hideMark/>
          </w:tcPr>
          <w:p w:rsidR="00AD63F5" w:rsidRPr="001C79CF" w:rsidRDefault="00AD63F5" w:rsidP="00883D54">
            <w:pPr>
              <w:jc w:val="right"/>
              <w:rPr>
                <w:rFonts w:ascii="Arial" w:hAnsi="Arial" w:cs="Arial"/>
                <w:color w:val="000000"/>
              </w:rPr>
            </w:pPr>
            <w:r w:rsidRPr="001C79CF">
              <w:rPr>
                <w:rFonts w:ascii="Arial" w:hAnsi="Arial" w:cs="Arial"/>
                <w:color w:val="000000"/>
              </w:rPr>
              <w:t>202.60</w:t>
            </w:r>
            <w:r w:rsidR="00883D54">
              <w:rPr>
                <w:rFonts w:ascii="Arial" w:hAnsi="Arial" w:cs="Arial"/>
                <w:color w:val="000000"/>
              </w:rPr>
              <w:t>3</w:t>
            </w:r>
          </w:p>
        </w:tc>
        <w:tc>
          <w:tcPr>
            <w:tcW w:w="1207" w:type="dxa"/>
            <w:tcBorders>
              <w:top w:val="nil"/>
              <w:left w:val="nil"/>
              <w:bottom w:val="single" w:sz="4" w:space="0" w:color="auto"/>
              <w:right w:val="single" w:sz="4" w:space="0" w:color="auto"/>
            </w:tcBorders>
            <w:shd w:val="clear" w:color="auto" w:fill="auto"/>
            <w:noWrap/>
            <w:vAlign w:val="center"/>
            <w:hideMark/>
          </w:tcPr>
          <w:p w:rsidR="00AD63F5" w:rsidRPr="001C79CF" w:rsidRDefault="001375CD" w:rsidP="00515D55">
            <w:pPr>
              <w:jc w:val="center"/>
              <w:rPr>
                <w:rFonts w:ascii="Arial" w:hAnsi="Arial" w:cs="Arial"/>
                <w:bCs/>
                <w:color w:val="000000"/>
              </w:rPr>
            </w:pPr>
            <w:r w:rsidRPr="001C79CF">
              <w:rPr>
                <w:rFonts w:ascii="Arial" w:hAnsi="Arial" w:cs="Arial"/>
                <w:bCs/>
                <w:color w:val="000000"/>
                <w:lang w:val="en-US" w:eastAsia="en-US"/>
              </w:rPr>
              <w:t>▼</w:t>
            </w:r>
            <w:r w:rsidRPr="001C79CF">
              <w:rPr>
                <w:rFonts w:ascii="Arial" w:hAnsi="Arial" w:cs="Arial"/>
                <w:bCs/>
                <w:color w:val="000000"/>
              </w:rPr>
              <w:t>1,3</w:t>
            </w:r>
            <w:r w:rsidR="00265255" w:rsidRPr="001C79CF">
              <w:rPr>
                <w:rFonts w:ascii="Arial" w:hAnsi="Arial" w:cs="Arial"/>
                <w:bCs/>
                <w:color w:val="000000"/>
              </w:rPr>
              <w:t>0</w:t>
            </w:r>
            <w:r w:rsidR="00AD63F5" w:rsidRPr="001C79CF">
              <w:rPr>
                <w:rFonts w:ascii="Arial" w:hAnsi="Arial" w:cs="Arial"/>
                <w:bCs/>
                <w:color w:val="000000"/>
              </w:rPr>
              <w:t>%</w:t>
            </w:r>
          </w:p>
        </w:tc>
      </w:tr>
      <w:tr w:rsidR="00E20089" w:rsidRPr="00456736" w:rsidTr="002700D6">
        <w:trPr>
          <w:trHeight w:val="285"/>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AD63F5" w:rsidRPr="00456736" w:rsidRDefault="00AD63F5" w:rsidP="00AD63F5">
            <w:pPr>
              <w:widowControl/>
              <w:autoSpaceDE/>
              <w:autoSpaceDN/>
              <w:adjustRightInd/>
              <w:rPr>
                <w:rFonts w:ascii="Arial" w:hAnsi="Arial" w:cs="Arial"/>
                <w:color w:val="000000"/>
                <w:lang w:val="en-US" w:eastAsia="en-US"/>
              </w:rPr>
            </w:pPr>
            <w:r w:rsidRPr="00456736">
              <w:rPr>
                <w:rFonts w:ascii="Arial" w:hAnsi="Arial" w:cs="Arial"/>
                <w:color w:val="000000"/>
                <w:lang w:val="en-US" w:eastAsia="en-US"/>
              </w:rPr>
              <w:t>Cheltuieli din exploatare (mi</w:t>
            </w:r>
            <w:r>
              <w:rPr>
                <w:rFonts w:ascii="Arial" w:hAnsi="Arial" w:cs="Arial"/>
                <w:color w:val="000000"/>
                <w:lang w:val="en-US" w:eastAsia="en-US"/>
              </w:rPr>
              <w:t>i</w:t>
            </w:r>
            <w:r w:rsidRPr="00456736">
              <w:rPr>
                <w:rFonts w:ascii="Arial" w:hAnsi="Arial" w:cs="Arial"/>
                <w:color w:val="000000"/>
                <w:lang w:val="en-US" w:eastAsia="en-US"/>
              </w:rPr>
              <w:t>. lei)</w:t>
            </w:r>
          </w:p>
        </w:tc>
        <w:tc>
          <w:tcPr>
            <w:tcW w:w="1170" w:type="dxa"/>
            <w:tcBorders>
              <w:top w:val="nil"/>
              <w:left w:val="nil"/>
              <w:bottom w:val="single" w:sz="4" w:space="0" w:color="auto"/>
              <w:right w:val="single" w:sz="4" w:space="0" w:color="auto"/>
            </w:tcBorders>
            <w:shd w:val="clear" w:color="auto" w:fill="auto"/>
            <w:noWrap/>
            <w:vAlign w:val="center"/>
            <w:hideMark/>
          </w:tcPr>
          <w:p w:rsidR="00AD63F5" w:rsidRPr="001C79CF" w:rsidRDefault="00AD63F5" w:rsidP="00AD63F5">
            <w:pPr>
              <w:jc w:val="right"/>
              <w:rPr>
                <w:rFonts w:ascii="Arial" w:hAnsi="Arial" w:cs="Arial"/>
                <w:color w:val="000000"/>
              </w:rPr>
            </w:pPr>
            <w:r w:rsidRPr="001C79CF">
              <w:rPr>
                <w:rFonts w:ascii="Arial" w:hAnsi="Arial" w:cs="Arial"/>
                <w:color w:val="000000"/>
              </w:rPr>
              <w:t>176.722</w:t>
            </w:r>
          </w:p>
        </w:tc>
        <w:tc>
          <w:tcPr>
            <w:tcW w:w="1080" w:type="dxa"/>
            <w:tcBorders>
              <w:top w:val="nil"/>
              <w:left w:val="nil"/>
              <w:bottom w:val="single" w:sz="4" w:space="0" w:color="auto"/>
              <w:right w:val="single" w:sz="4" w:space="0" w:color="auto"/>
            </w:tcBorders>
            <w:shd w:val="clear" w:color="auto" w:fill="auto"/>
            <w:noWrap/>
            <w:vAlign w:val="center"/>
            <w:hideMark/>
          </w:tcPr>
          <w:p w:rsidR="00AD63F5" w:rsidRPr="001C79CF" w:rsidRDefault="00AD63F5" w:rsidP="00AD63F5">
            <w:pPr>
              <w:jc w:val="right"/>
              <w:rPr>
                <w:rFonts w:ascii="Arial" w:hAnsi="Arial" w:cs="Arial"/>
                <w:color w:val="000000"/>
              </w:rPr>
            </w:pPr>
            <w:r w:rsidRPr="001C79CF">
              <w:rPr>
                <w:rFonts w:ascii="Arial" w:hAnsi="Arial" w:cs="Arial"/>
                <w:color w:val="000000"/>
              </w:rPr>
              <w:t>173.039</w:t>
            </w:r>
          </w:p>
        </w:tc>
        <w:tc>
          <w:tcPr>
            <w:tcW w:w="1260" w:type="dxa"/>
            <w:tcBorders>
              <w:top w:val="nil"/>
              <w:left w:val="nil"/>
              <w:bottom w:val="single" w:sz="4" w:space="0" w:color="auto"/>
              <w:right w:val="single" w:sz="4" w:space="0" w:color="auto"/>
            </w:tcBorders>
            <w:shd w:val="clear" w:color="auto" w:fill="auto"/>
            <w:noWrap/>
            <w:vAlign w:val="center"/>
            <w:hideMark/>
          </w:tcPr>
          <w:p w:rsidR="00AD63F5" w:rsidRPr="001C79CF" w:rsidRDefault="005E5BB3" w:rsidP="00AD63F5">
            <w:pPr>
              <w:jc w:val="right"/>
              <w:rPr>
                <w:rFonts w:ascii="Arial" w:hAnsi="Arial" w:cs="Arial"/>
                <w:color w:val="000000"/>
              </w:rPr>
            </w:pPr>
            <w:r w:rsidRPr="001C79CF">
              <w:rPr>
                <w:rFonts w:ascii="Arial" w:hAnsi="Arial" w:cs="Arial"/>
                <w:bCs/>
                <w:color w:val="000000"/>
                <w:lang w:val="en-US" w:eastAsia="en-US"/>
              </w:rPr>
              <w:t>▲</w:t>
            </w:r>
            <w:r w:rsidR="00AD63F5" w:rsidRPr="001C79CF">
              <w:rPr>
                <w:rFonts w:ascii="Arial" w:hAnsi="Arial" w:cs="Arial"/>
                <w:color w:val="000000"/>
              </w:rPr>
              <w:t>2,13%</w:t>
            </w:r>
          </w:p>
        </w:tc>
        <w:tc>
          <w:tcPr>
            <w:tcW w:w="1043" w:type="dxa"/>
            <w:tcBorders>
              <w:top w:val="nil"/>
              <w:left w:val="nil"/>
              <w:bottom w:val="single" w:sz="4" w:space="0" w:color="auto"/>
              <w:right w:val="single" w:sz="4" w:space="0" w:color="auto"/>
            </w:tcBorders>
            <w:shd w:val="clear" w:color="auto" w:fill="auto"/>
            <w:noWrap/>
            <w:vAlign w:val="center"/>
            <w:hideMark/>
          </w:tcPr>
          <w:p w:rsidR="00AD63F5" w:rsidRPr="001C79CF" w:rsidRDefault="00AD63F5" w:rsidP="00933AF1">
            <w:pPr>
              <w:jc w:val="right"/>
              <w:rPr>
                <w:rFonts w:ascii="Arial" w:hAnsi="Arial" w:cs="Arial"/>
                <w:color w:val="000000"/>
              </w:rPr>
            </w:pPr>
            <w:r w:rsidRPr="001C79CF">
              <w:rPr>
                <w:rFonts w:ascii="Arial" w:hAnsi="Arial" w:cs="Arial"/>
                <w:color w:val="000000"/>
              </w:rPr>
              <w:t>16</w:t>
            </w:r>
            <w:r w:rsidR="00933AF1">
              <w:rPr>
                <w:rFonts w:ascii="Arial" w:hAnsi="Arial" w:cs="Arial"/>
                <w:color w:val="000000"/>
              </w:rPr>
              <w:t>2</w:t>
            </w:r>
            <w:r w:rsidRPr="001C79CF">
              <w:rPr>
                <w:rFonts w:ascii="Arial" w:hAnsi="Arial" w:cs="Arial"/>
                <w:color w:val="000000"/>
              </w:rPr>
              <w:t>.</w:t>
            </w:r>
            <w:r w:rsidR="00933AF1">
              <w:rPr>
                <w:rFonts w:ascii="Arial" w:hAnsi="Arial" w:cs="Arial"/>
                <w:color w:val="000000"/>
              </w:rPr>
              <w:t>1</w:t>
            </w:r>
            <w:r w:rsidRPr="001C79CF">
              <w:rPr>
                <w:rFonts w:ascii="Arial" w:hAnsi="Arial" w:cs="Arial"/>
                <w:color w:val="000000"/>
              </w:rPr>
              <w:t>7</w:t>
            </w:r>
            <w:r w:rsidR="00933AF1">
              <w:rPr>
                <w:rFonts w:ascii="Arial" w:hAnsi="Arial" w:cs="Arial"/>
                <w:color w:val="000000"/>
              </w:rPr>
              <w:t>5</w:t>
            </w:r>
          </w:p>
        </w:tc>
        <w:tc>
          <w:tcPr>
            <w:tcW w:w="1207" w:type="dxa"/>
            <w:tcBorders>
              <w:top w:val="nil"/>
              <w:left w:val="nil"/>
              <w:bottom w:val="single" w:sz="4" w:space="0" w:color="auto"/>
              <w:right w:val="single" w:sz="4" w:space="0" w:color="auto"/>
            </w:tcBorders>
            <w:shd w:val="clear" w:color="auto" w:fill="auto"/>
            <w:noWrap/>
            <w:vAlign w:val="center"/>
            <w:hideMark/>
          </w:tcPr>
          <w:p w:rsidR="00AD63F5" w:rsidRPr="001C79CF" w:rsidRDefault="005E5BB3">
            <w:pPr>
              <w:jc w:val="center"/>
              <w:rPr>
                <w:rFonts w:ascii="Arial" w:hAnsi="Arial" w:cs="Arial"/>
                <w:bCs/>
                <w:color w:val="000000"/>
              </w:rPr>
            </w:pPr>
            <w:r w:rsidRPr="001C79CF">
              <w:rPr>
                <w:rFonts w:ascii="Arial" w:hAnsi="Arial" w:cs="Arial"/>
                <w:bCs/>
                <w:color w:val="000000"/>
                <w:lang w:val="en-US" w:eastAsia="en-US"/>
              </w:rPr>
              <w:t>▲</w:t>
            </w:r>
            <w:r w:rsidR="00933AF1">
              <w:rPr>
                <w:rFonts w:ascii="Arial" w:hAnsi="Arial" w:cs="Arial"/>
                <w:bCs/>
                <w:color w:val="000000"/>
              </w:rPr>
              <w:t>8</w:t>
            </w:r>
            <w:r w:rsidR="00AD63F5" w:rsidRPr="001C79CF">
              <w:rPr>
                <w:rFonts w:ascii="Arial" w:hAnsi="Arial" w:cs="Arial"/>
                <w:bCs/>
                <w:color w:val="000000"/>
              </w:rPr>
              <w:t>,</w:t>
            </w:r>
            <w:r w:rsidR="00933AF1">
              <w:rPr>
                <w:rFonts w:ascii="Arial" w:hAnsi="Arial" w:cs="Arial"/>
                <w:bCs/>
                <w:color w:val="000000"/>
              </w:rPr>
              <w:t>97</w:t>
            </w:r>
            <w:r w:rsidR="00AD63F5" w:rsidRPr="001C79CF">
              <w:rPr>
                <w:rFonts w:ascii="Arial" w:hAnsi="Arial" w:cs="Arial"/>
                <w:bCs/>
                <w:color w:val="000000"/>
              </w:rPr>
              <w:t>%</w:t>
            </w:r>
          </w:p>
        </w:tc>
      </w:tr>
      <w:tr w:rsidR="00E20089" w:rsidRPr="00456736" w:rsidTr="002700D6">
        <w:trPr>
          <w:trHeight w:val="285"/>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AD63F5" w:rsidRPr="00456736" w:rsidRDefault="00AD63F5" w:rsidP="00883D54">
            <w:pPr>
              <w:widowControl/>
              <w:autoSpaceDE/>
              <w:autoSpaceDN/>
              <w:adjustRightInd/>
              <w:rPr>
                <w:rFonts w:ascii="Arial" w:hAnsi="Arial" w:cs="Arial"/>
                <w:color w:val="000000"/>
                <w:lang w:val="en-US" w:eastAsia="en-US"/>
              </w:rPr>
            </w:pPr>
            <w:r w:rsidRPr="00456736">
              <w:rPr>
                <w:rFonts w:ascii="Arial" w:hAnsi="Arial" w:cs="Arial"/>
                <w:color w:val="000000"/>
                <w:lang w:val="en-US" w:eastAsia="en-US"/>
              </w:rPr>
              <w:t>Profit din exploatare - EBIT (mi</w:t>
            </w:r>
            <w:r>
              <w:rPr>
                <w:rFonts w:ascii="Arial" w:hAnsi="Arial" w:cs="Arial"/>
                <w:color w:val="000000"/>
                <w:lang w:val="en-US" w:eastAsia="en-US"/>
              </w:rPr>
              <w:t>i</w:t>
            </w:r>
            <w:r w:rsidRPr="00456736">
              <w:rPr>
                <w:rFonts w:ascii="Arial" w:hAnsi="Arial" w:cs="Arial"/>
                <w:color w:val="000000"/>
                <w:lang w:val="en-US" w:eastAsia="en-US"/>
              </w:rPr>
              <w:t>. lei)</w:t>
            </w:r>
          </w:p>
        </w:tc>
        <w:tc>
          <w:tcPr>
            <w:tcW w:w="1170" w:type="dxa"/>
            <w:tcBorders>
              <w:top w:val="nil"/>
              <w:left w:val="nil"/>
              <w:bottom w:val="single" w:sz="4" w:space="0" w:color="auto"/>
              <w:right w:val="single" w:sz="4" w:space="0" w:color="auto"/>
            </w:tcBorders>
            <w:shd w:val="clear" w:color="auto" w:fill="auto"/>
            <w:noWrap/>
            <w:vAlign w:val="center"/>
            <w:hideMark/>
          </w:tcPr>
          <w:p w:rsidR="00AD63F5" w:rsidRPr="001C79CF" w:rsidRDefault="00AD63F5" w:rsidP="00AD63F5">
            <w:pPr>
              <w:jc w:val="right"/>
              <w:rPr>
                <w:rFonts w:ascii="Arial" w:hAnsi="Arial" w:cs="Arial"/>
                <w:bCs/>
                <w:color w:val="000000"/>
              </w:rPr>
            </w:pPr>
            <w:r w:rsidRPr="001C79CF">
              <w:rPr>
                <w:rFonts w:ascii="Arial" w:hAnsi="Arial" w:cs="Arial"/>
                <w:bCs/>
                <w:color w:val="000000"/>
              </w:rPr>
              <w:t>23.255</w:t>
            </w:r>
          </w:p>
        </w:tc>
        <w:tc>
          <w:tcPr>
            <w:tcW w:w="1080" w:type="dxa"/>
            <w:tcBorders>
              <w:top w:val="nil"/>
              <w:left w:val="nil"/>
              <w:bottom w:val="single" w:sz="4" w:space="0" w:color="auto"/>
              <w:right w:val="single" w:sz="4" w:space="0" w:color="auto"/>
            </w:tcBorders>
            <w:shd w:val="clear" w:color="auto" w:fill="auto"/>
            <w:noWrap/>
            <w:vAlign w:val="center"/>
            <w:hideMark/>
          </w:tcPr>
          <w:p w:rsidR="00AD63F5" w:rsidRPr="001C79CF" w:rsidRDefault="00AD63F5" w:rsidP="00AD63F5">
            <w:pPr>
              <w:jc w:val="right"/>
              <w:rPr>
                <w:rFonts w:ascii="Arial" w:hAnsi="Arial" w:cs="Arial"/>
                <w:bCs/>
                <w:color w:val="000000"/>
              </w:rPr>
            </w:pPr>
            <w:r w:rsidRPr="001C79CF">
              <w:rPr>
                <w:rFonts w:ascii="Arial" w:hAnsi="Arial" w:cs="Arial"/>
                <w:bCs/>
                <w:color w:val="000000"/>
              </w:rPr>
              <w:t>23.866</w:t>
            </w:r>
          </w:p>
        </w:tc>
        <w:tc>
          <w:tcPr>
            <w:tcW w:w="1260" w:type="dxa"/>
            <w:tcBorders>
              <w:top w:val="nil"/>
              <w:left w:val="nil"/>
              <w:bottom w:val="single" w:sz="4" w:space="0" w:color="auto"/>
              <w:right w:val="single" w:sz="4" w:space="0" w:color="auto"/>
            </w:tcBorders>
            <w:shd w:val="clear" w:color="auto" w:fill="auto"/>
            <w:noWrap/>
            <w:vAlign w:val="center"/>
            <w:hideMark/>
          </w:tcPr>
          <w:p w:rsidR="00AD63F5" w:rsidRPr="001C79CF" w:rsidRDefault="00FD3300" w:rsidP="00FD3300">
            <w:pPr>
              <w:jc w:val="right"/>
              <w:rPr>
                <w:rFonts w:ascii="Arial" w:hAnsi="Arial" w:cs="Arial"/>
                <w:bCs/>
                <w:color w:val="000000"/>
              </w:rPr>
            </w:pPr>
            <w:r w:rsidRPr="001C79CF">
              <w:rPr>
                <w:rFonts w:ascii="Arial" w:hAnsi="Arial" w:cs="Arial"/>
                <w:bCs/>
                <w:color w:val="000000"/>
                <w:lang w:val="en-US" w:eastAsia="en-US"/>
              </w:rPr>
              <w:t>▼2</w:t>
            </w:r>
            <w:r w:rsidR="00AD63F5" w:rsidRPr="001C79CF">
              <w:rPr>
                <w:rFonts w:ascii="Arial" w:hAnsi="Arial" w:cs="Arial"/>
                <w:bCs/>
                <w:color w:val="000000"/>
              </w:rPr>
              <w:t>,</w:t>
            </w:r>
            <w:r w:rsidRPr="001C79CF">
              <w:rPr>
                <w:rFonts w:ascii="Arial" w:hAnsi="Arial" w:cs="Arial"/>
                <w:bCs/>
                <w:color w:val="000000"/>
              </w:rPr>
              <w:t>56</w:t>
            </w:r>
            <w:r w:rsidR="00AD63F5" w:rsidRPr="001C79CF">
              <w:rPr>
                <w:rFonts w:ascii="Arial" w:hAnsi="Arial" w:cs="Arial"/>
                <w:bCs/>
                <w:color w:val="000000"/>
              </w:rPr>
              <w:t>%</w:t>
            </w:r>
          </w:p>
        </w:tc>
        <w:tc>
          <w:tcPr>
            <w:tcW w:w="1043" w:type="dxa"/>
            <w:tcBorders>
              <w:top w:val="nil"/>
              <w:left w:val="nil"/>
              <w:bottom w:val="single" w:sz="4" w:space="0" w:color="auto"/>
              <w:right w:val="single" w:sz="4" w:space="0" w:color="auto"/>
            </w:tcBorders>
            <w:shd w:val="clear" w:color="auto" w:fill="auto"/>
            <w:noWrap/>
            <w:vAlign w:val="center"/>
            <w:hideMark/>
          </w:tcPr>
          <w:p w:rsidR="00AD63F5" w:rsidRPr="001C79CF" w:rsidRDefault="00AD63F5" w:rsidP="00883D54">
            <w:pPr>
              <w:jc w:val="right"/>
              <w:rPr>
                <w:rFonts w:ascii="Arial" w:hAnsi="Arial" w:cs="Arial"/>
                <w:bCs/>
                <w:color w:val="000000"/>
              </w:rPr>
            </w:pPr>
            <w:r w:rsidRPr="001C79CF">
              <w:rPr>
                <w:rFonts w:ascii="Arial" w:hAnsi="Arial" w:cs="Arial"/>
                <w:bCs/>
                <w:color w:val="000000"/>
              </w:rPr>
              <w:t>4</w:t>
            </w:r>
            <w:r w:rsidR="00EA4348">
              <w:rPr>
                <w:rFonts w:ascii="Arial" w:hAnsi="Arial" w:cs="Arial"/>
                <w:bCs/>
                <w:color w:val="000000"/>
              </w:rPr>
              <w:t>0.42</w:t>
            </w:r>
            <w:r w:rsidR="00883D54">
              <w:rPr>
                <w:rFonts w:ascii="Arial" w:hAnsi="Arial" w:cs="Arial"/>
                <w:bCs/>
                <w:color w:val="000000"/>
              </w:rPr>
              <w:t>8</w:t>
            </w:r>
          </w:p>
        </w:tc>
        <w:tc>
          <w:tcPr>
            <w:tcW w:w="1207" w:type="dxa"/>
            <w:tcBorders>
              <w:top w:val="nil"/>
              <w:left w:val="nil"/>
              <w:bottom w:val="single" w:sz="4" w:space="0" w:color="auto"/>
              <w:right w:val="single" w:sz="4" w:space="0" w:color="auto"/>
            </w:tcBorders>
            <w:shd w:val="clear" w:color="auto" w:fill="auto"/>
            <w:noWrap/>
            <w:vAlign w:val="center"/>
            <w:hideMark/>
          </w:tcPr>
          <w:p w:rsidR="00AD63F5" w:rsidRPr="001C79CF" w:rsidRDefault="00B15487">
            <w:pPr>
              <w:jc w:val="center"/>
              <w:rPr>
                <w:rFonts w:ascii="Arial" w:hAnsi="Arial" w:cs="Arial"/>
                <w:bCs/>
                <w:color w:val="000000"/>
              </w:rPr>
            </w:pPr>
            <w:r w:rsidRPr="001C79CF">
              <w:rPr>
                <w:rFonts w:ascii="Arial" w:hAnsi="Arial" w:cs="Arial"/>
                <w:bCs/>
                <w:color w:val="000000"/>
                <w:lang w:val="en-US" w:eastAsia="en-US"/>
              </w:rPr>
              <w:t>▼</w:t>
            </w:r>
            <w:r w:rsidRPr="001C79CF">
              <w:rPr>
                <w:rFonts w:ascii="Arial" w:hAnsi="Arial" w:cs="Arial"/>
                <w:bCs/>
                <w:color w:val="000000"/>
              </w:rPr>
              <w:t>4</w:t>
            </w:r>
            <w:r w:rsidR="00933AF1">
              <w:rPr>
                <w:rFonts w:ascii="Arial" w:hAnsi="Arial" w:cs="Arial"/>
                <w:bCs/>
                <w:color w:val="000000"/>
              </w:rPr>
              <w:t>2</w:t>
            </w:r>
            <w:r w:rsidRPr="001C79CF">
              <w:rPr>
                <w:rFonts w:ascii="Arial" w:hAnsi="Arial" w:cs="Arial"/>
                <w:bCs/>
                <w:color w:val="000000"/>
              </w:rPr>
              <w:t>,</w:t>
            </w:r>
            <w:r w:rsidR="00933AF1">
              <w:rPr>
                <w:rFonts w:ascii="Arial" w:hAnsi="Arial" w:cs="Arial"/>
                <w:bCs/>
                <w:color w:val="000000"/>
              </w:rPr>
              <w:t>4</w:t>
            </w:r>
            <w:r w:rsidRPr="001C79CF">
              <w:rPr>
                <w:rFonts w:ascii="Arial" w:hAnsi="Arial" w:cs="Arial"/>
                <w:bCs/>
                <w:color w:val="000000"/>
              </w:rPr>
              <w:t>8</w:t>
            </w:r>
            <w:r w:rsidR="00AD63F5" w:rsidRPr="001C79CF">
              <w:rPr>
                <w:rFonts w:ascii="Arial" w:hAnsi="Arial" w:cs="Arial"/>
                <w:bCs/>
                <w:color w:val="000000"/>
              </w:rPr>
              <w:t>%</w:t>
            </w:r>
          </w:p>
        </w:tc>
      </w:tr>
      <w:tr w:rsidR="00E20089" w:rsidRPr="00456736" w:rsidTr="002700D6">
        <w:trPr>
          <w:trHeight w:val="285"/>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AD63F5" w:rsidRPr="00456736" w:rsidRDefault="00AD63F5" w:rsidP="00AD63F5">
            <w:pPr>
              <w:widowControl/>
              <w:autoSpaceDE/>
              <w:autoSpaceDN/>
              <w:adjustRightInd/>
              <w:rPr>
                <w:rFonts w:ascii="Arial" w:hAnsi="Arial" w:cs="Arial"/>
                <w:color w:val="000000"/>
                <w:lang w:val="en-US" w:eastAsia="en-US"/>
              </w:rPr>
            </w:pPr>
            <w:r w:rsidRPr="00456736">
              <w:rPr>
                <w:rFonts w:ascii="Arial" w:hAnsi="Arial" w:cs="Arial"/>
                <w:color w:val="000000"/>
                <w:lang w:val="en-US" w:eastAsia="en-US"/>
              </w:rPr>
              <w:t>Marja profit exploatare (%venit exploatare)</w:t>
            </w:r>
          </w:p>
        </w:tc>
        <w:tc>
          <w:tcPr>
            <w:tcW w:w="1170" w:type="dxa"/>
            <w:tcBorders>
              <w:top w:val="nil"/>
              <w:left w:val="nil"/>
              <w:bottom w:val="single" w:sz="4" w:space="0" w:color="auto"/>
              <w:right w:val="single" w:sz="4" w:space="0" w:color="auto"/>
            </w:tcBorders>
            <w:shd w:val="clear" w:color="auto" w:fill="auto"/>
            <w:noWrap/>
            <w:vAlign w:val="center"/>
            <w:hideMark/>
          </w:tcPr>
          <w:p w:rsidR="00AD63F5" w:rsidRPr="001C79CF" w:rsidRDefault="00AD63F5" w:rsidP="00AD63F5">
            <w:pPr>
              <w:jc w:val="right"/>
              <w:rPr>
                <w:rFonts w:ascii="Arial" w:hAnsi="Arial" w:cs="Arial"/>
                <w:bCs/>
                <w:color w:val="000000"/>
              </w:rPr>
            </w:pPr>
            <w:r w:rsidRPr="001C79CF">
              <w:rPr>
                <w:rFonts w:ascii="Arial" w:hAnsi="Arial" w:cs="Arial"/>
                <w:bCs/>
                <w:color w:val="000000"/>
              </w:rPr>
              <w:t>11,63%</w:t>
            </w:r>
          </w:p>
        </w:tc>
        <w:tc>
          <w:tcPr>
            <w:tcW w:w="1080" w:type="dxa"/>
            <w:tcBorders>
              <w:top w:val="nil"/>
              <w:left w:val="nil"/>
              <w:bottom w:val="single" w:sz="4" w:space="0" w:color="auto"/>
              <w:right w:val="single" w:sz="4" w:space="0" w:color="auto"/>
            </w:tcBorders>
            <w:shd w:val="clear" w:color="auto" w:fill="auto"/>
            <w:noWrap/>
            <w:vAlign w:val="center"/>
            <w:hideMark/>
          </w:tcPr>
          <w:p w:rsidR="00AD63F5" w:rsidRPr="001C79CF" w:rsidRDefault="00AD63F5" w:rsidP="00AD63F5">
            <w:pPr>
              <w:jc w:val="right"/>
              <w:rPr>
                <w:rFonts w:ascii="Arial" w:hAnsi="Arial" w:cs="Arial"/>
                <w:bCs/>
                <w:color w:val="000000"/>
              </w:rPr>
            </w:pPr>
            <w:r w:rsidRPr="001C79CF">
              <w:rPr>
                <w:rFonts w:ascii="Arial" w:hAnsi="Arial" w:cs="Arial"/>
                <w:bCs/>
                <w:color w:val="000000"/>
              </w:rPr>
              <w:t>12,12%</w:t>
            </w:r>
          </w:p>
        </w:tc>
        <w:tc>
          <w:tcPr>
            <w:tcW w:w="1260" w:type="dxa"/>
            <w:tcBorders>
              <w:top w:val="nil"/>
              <w:left w:val="nil"/>
              <w:bottom w:val="single" w:sz="4" w:space="0" w:color="auto"/>
              <w:right w:val="single" w:sz="4" w:space="0" w:color="auto"/>
            </w:tcBorders>
            <w:shd w:val="clear" w:color="auto" w:fill="auto"/>
            <w:noWrap/>
            <w:vAlign w:val="center"/>
            <w:hideMark/>
          </w:tcPr>
          <w:p w:rsidR="00AD63F5" w:rsidRPr="001C79CF" w:rsidRDefault="00FD3300" w:rsidP="006A2331">
            <w:pPr>
              <w:jc w:val="right"/>
              <w:rPr>
                <w:rFonts w:ascii="Arial" w:hAnsi="Arial" w:cs="Arial"/>
                <w:color w:val="000000"/>
              </w:rPr>
            </w:pPr>
            <w:r w:rsidRPr="001C79CF">
              <w:rPr>
                <w:rFonts w:ascii="Arial" w:hAnsi="Arial" w:cs="Arial"/>
                <w:bCs/>
                <w:color w:val="000000"/>
                <w:lang w:val="en-US" w:eastAsia="en-US"/>
              </w:rPr>
              <w:t>▼</w:t>
            </w:r>
            <w:r w:rsidR="006A2331" w:rsidRPr="001C79CF">
              <w:rPr>
                <w:rFonts w:ascii="Arial" w:hAnsi="Arial" w:cs="Arial"/>
                <w:color w:val="000000"/>
              </w:rPr>
              <w:t>0</w:t>
            </w:r>
            <w:r w:rsidR="00AD63F5" w:rsidRPr="001C79CF">
              <w:rPr>
                <w:rFonts w:ascii="Arial" w:hAnsi="Arial" w:cs="Arial"/>
                <w:color w:val="000000"/>
              </w:rPr>
              <w:t>,</w:t>
            </w:r>
            <w:r w:rsidR="006A2331" w:rsidRPr="001C79CF">
              <w:rPr>
                <w:rFonts w:ascii="Arial" w:hAnsi="Arial" w:cs="Arial"/>
                <w:color w:val="000000"/>
              </w:rPr>
              <w:t>49p</w:t>
            </w:r>
            <w:r w:rsidR="00490517">
              <w:rPr>
                <w:rFonts w:ascii="Arial" w:hAnsi="Arial" w:cs="Arial"/>
                <w:color w:val="000000"/>
              </w:rPr>
              <w:t>.</w:t>
            </w:r>
            <w:r w:rsidR="006A2331" w:rsidRPr="001C79CF">
              <w:rPr>
                <w:rFonts w:ascii="Arial" w:hAnsi="Arial" w:cs="Arial"/>
                <w:color w:val="000000"/>
              </w:rPr>
              <w:t>p</w:t>
            </w:r>
            <w:r w:rsidR="00490517">
              <w:rPr>
                <w:rFonts w:ascii="Arial" w:hAnsi="Arial" w:cs="Arial"/>
                <w:color w:val="000000"/>
              </w:rPr>
              <w:t>.</w:t>
            </w:r>
          </w:p>
        </w:tc>
        <w:tc>
          <w:tcPr>
            <w:tcW w:w="1043" w:type="dxa"/>
            <w:tcBorders>
              <w:top w:val="nil"/>
              <w:left w:val="nil"/>
              <w:bottom w:val="single" w:sz="4" w:space="0" w:color="auto"/>
              <w:right w:val="single" w:sz="4" w:space="0" w:color="auto"/>
            </w:tcBorders>
            <w:shd w:val="clear" w:color="auto" w:fill="auto"/>
            <w:noWrap/>
            <w:vAlign w:val="center"/>
            <w:hideMark/>
          </w:tcPr>
          <w:p w:rsidR="00AD63F5" w:rsidRPr="001C79CF" w:rsidRDefault="00292569">
            <w:pPr>
              <w:jc w:val="right"/>
              <w:rPr>
                <w:rFonts w:ascii="Arial" w:hAnsi="Arial" w:cs="Arial"/>
                <w:bCs/>
                <w:color w:val="000000"/>
              </w:rPr>
            </w:pPr>
            <w:r>
              <w:rPr>
                <w:rFonts w:ascii="Arial" w:hAnsi="Arial" w:cs="Arial"/>
                <w:bCs/>
                <w:color w:val="000000"/>
              </w:rPr>
              <w:t>19</w:t>
            </w:r>
            <w:r w:rsidR="00AD63F5" w:rsidRPr="001C79CF">
              <w:rPr>
                <w:rFonts w:ascii="Arial" w:hAnsi="Arial" w:cs="Arial"/>
                <w:bCs/>
                <w:color w:val="000000"/>
              </w:rPr>
              <w:t>,</w:t>
            </w:r>
            <w:r>
              <w:rPr>
                <w:rFonts w:ascii="Arial" w:hAnsi="Arial" w:cs="Arial"/>
                <w:bCs/>
                <w:color w:val="000000"/>
              </w:rPr>
              <w:t>95</w:t>
            </w:r>
            <w:r w:rsidR="00AD63F5" w:rsidRPr="001C79CF">
              <w:rPr>
                <w:rFonts w:ascii="Arial" w:hAnsi="Arial" w:cs="Arial"/>
                <w:bCs/>
                <w:color w:val="000000"/>
              </w:rPr>
              <w:t>%</w:t>
            </w:r>
          </w:p>
        </w:tc>
        <w:tc>
          <w:tcPr>
            <w:tcW w:w="1207" w:type="dxa"/>
            <w:tcBorders>
              <w:top w:val="nil"/>
              <w:left w:val="nil"/>
              <w:bottom w:val="single" w:sz="4" w:space="0" w:color="auto"/>
              <w:right w:val="single" w:sz="4" w:space="0" w:color="auto"/>
            </w:tcBorders>
            <w:shd w:val="clear" w:color="auto" w:fill="auto"/>
            <w:noWrap/>
            <w:vAlign w:val="center"/>
            <w:hideMark/>
          </w:tcPr>
          <w:p w:rsidR="00AD63F5" w:rsidRPr="001C79CF" w:rsidRDefault="001375CD">
            <w:pPr>
              <w:jc w:val="center"/>
              <w:rPr>
                <w:rFonts w:ascii="Arial" w:hAnsi="Arial" w:cs="Arial"/>
                <w:bCs/>
                <w:color w:val="000000"/>
              </w:rPr>
            </w:pPr>
            <w:r w:rsidRPr="001C79CF">
              <w:rPr>
                <w:rFonts w:ascii="Arial" w:hAnsi="Arial" w:cs="Arial"/>
                <w:bCs/>
                <w:color w:val="000000"/>
                <w:lang w:val="en-US" w:eastAsia="en-US"/>
              </w:rPr>
              <w:t>▼</w:t>
            </w:r>
            <w:r w:rsidR="00292569">
              <w:rPr>
                <w:rFonts w:ascii="Arial" w:hAnsi="Arial" w:cs="Arial"/>
                <w:bCs/>
                <w:color w:val="000000"/>
                <w:lang w:val="en-US" w:eastAsia="en-US"/>
              </w:rPr>
              <w:t>8</w:t>
            </w:r>
            <w:r w:rsidRPr="001C79CF">
              <w:rPr>
                <w:rFonts w:ascii="Arial" w:hAnsi="Arial" w:cs="Arial"/>
                <w:bCs/>
                <w:color w:val="000000"/>
                <w:lang w:val="en-US" w:eastAsia="en-US"/>
              </w:rPr>
              <w:t>,</w:t>
            </w:r>
            <w:r w:rsidR="00292569">
              <w:rPr>
                <w:rFonts w:ascii="Arial" w:hAnsi="Arial" w:cs="Arial"/>
                <w:bCs/>
                <w:color w:val="000000"/>
                <w:lang w:val="en-US" w:eastAsia="en-US"/>
              </w:rPr>
              <w:t>32</w:t>
            </w:r>
            <w:r w:rsidRPr="001C79CF">
              <w:rPr>
                <w:rFonts w:ascii="Arial" w:hAnsi="Arial" w:cs="Arial"/>
                <w:bCs/>
                <w:color w:val="000000"/>
                <w:lang w:val="en-US" w:eastAsia="en-US"/>
              </w:rPr>
              <w:t>p</w:t>
            </w:r>
            <w:r w:rsidR="004E0E2A">
              <w:rPr>
                <w:rFonts w:ascii="Arial" w:hAnsi="Arial" w:cs="Arial"/>
                <w:bCs/>
                <w:color w:val="000000"/>
                <w:lang w:val="en-US" w:eastAsia="en-US"/>
              </w:rPr>
              <w:t>.</w:t>
            </w:r>
            <w:r w:rsidRPr="001C79CF">
              <w:rPr>
                <w:rFonts w:ascii="Arial" w:hAnsi="Arial" w:cs="Arial"/>
                <w:bCs/>
                <w:color w:val="000000"/>
                <w:lang w:val="en-US" w:eastAsia="en-US"/>
              </w:rPr>
              <w:t>p</w:t>
            </w:r>
            <w:r w:rsidR="004E0E2A">
              <w:rPr>
                <w:rFonts w:ascii="Arial" w:hAnsi="Arial" w:cs="Arial"/>
                <w:bCs/>
                <w:color w:val="000000"/>
                <w:lang w:val="en-US" w:eastAsia="en-US"/>
              </w:rPr>
              <w:t>.</w:t>
            </w:r>
          </w:p>
        </w:tc>
      </w:tr>
      <w:tr w:rsidR="00E20089" w:rsidRPr="00456736" w:rsidTr="002700D6">
        <w:trPr>
          <w:trHeight w:val="285"/>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2F5162" w:rsidRPr="00456736" w:rsidRDefault="002F5162" w:rsidP="002F5162">
            <w:pPr>
              <w:widowControl/>
              <w:autoSpaceDE/>
              <w:autoSpaceDN/>
              <w:adjustRightInd/>
              <w:rPr>
                <w:rFonts w:ascii="Arial" w:hAnsi="Arial" w:cs="Arial"/>
                <w:color w:val="000000"/>
                <w:lang w:val="en-US" w:eastAsia="en-US"/>
              </w:rPr>
            </w:pPr>
            <w:r>
              <w:rPr>
                <w:rFonts w:ascii="Arial" w:hAnsi="Arial" w:cs="Arial"/>
                <w:color w:val="000000"/>
                <w:lang w:val="en-US" w:eastAsia="en-US"/>
              </w:rPr>
              <w:t>EBITDA (mii</w:t>
            </w:r>
            <w:r w:rsidRPr="00456736">
              <w:rPr>
                <w:rFonts w:ascii="Arial" w:hAnsi="Arial" w:cs="Arial"/>
                <w:color w:val="000000"/>
                <w:lang w:val="en-US" w:eastAsia="en-US"/>
              </w:rPr>
              <w:t xml:space="preserve"> lei)</w:t>
            </w:r>
          </w:p>
        </w:tc>
        <w:tc>
          <w:tcPr>
            <w:tcW w:w="1170" w:type="dxa"/>
            <w:tcBorders>
              <w:top w:val="nil"/>
              <w:left w:val="nil"/>
              <w:bottom w:val="single" w:sz="4" w:space="0" w:color="auto"/>
              <w:right w:val="single" w:sz="4" w:space="0" w:color="auto"/>
            </w:tcBorders>
            <w:shd w:val="clear" w:color="auto" w:fill="auto"/>
            <w:noWrap/>
            <w:vAlign w:val="center"/>
            <w:hideMark/>
          </w:tcPr>
          <w:p w:rsidR="002F5162" w:rsidRPr="001C79CF" w:rsidRDefault="002F5162" w:rsidP="002F5162">
            <w:pPr>
              <w:jc w:val="right"/>
              <w:rPr>
                <w:rFonts w:ascii="Arial" w:hAnsi="Arial" w:cs="Arial"/>
                <w:bCs/>
                <w:color w:val="000000"/>
              </w:rPr>
            </w:pPr>
            <w:r w:rsidRPr="001C79CF">
              <w:rPr>
                <w:rFonts w:ascii="Arial" w:hAnsi="Arial" w:cs="Arial"/>
                <w:bCs/>
                <w:color w:val="000000"/>
              </w:rPr>
              <w:t>45.497</w:t>
            </w:r>
          </w:p>
        </w:tc>
        <w:tc>
          <w:tcPr>
            <w:tcW w:w="1080" w:type="dxa"/>
            <w:tcBorders>
              <w:top w:val="nil"/>
              <w:left w:val="nil"/>
              <w:bottom w:val="single" w:sz="4" w:space="0" w:color="auto"/>
              <w:right w:val="single" w:sz="4" w:space="0" w:color="auto"/>
            </w:tcBorders>
            <w:shd w:val="clear" w:color="auto" w:fill="auto"/>
            <w:noWrap/>
            <w:vAlign w:val="center"/>
            <w:hideMark/>
          </w:tcPr>
          <w:p w:rsidR="002F5162" w:rsidRPr="001C79CF" w:rsidRDefault="002F5162" w:rsidP="009A1042">
            <w:pPr>
              <w:jc w:val="right"/>
              <w:rPr>
                <w:rFonts w:ascii="Arial" w:hAnsi="Arial" w:cs="Arial"/>
                <w:bCs/>
                <w:color w:val="000000"/>
              </w:rPr>
            </w:pPr>
            <w:r w:rsidRPr="001C79CF">
              <w:rPr>
                <w:rFonts w:ascii="Arial" w:hAnsi="Arial" w:cs="Arial"/>
                <w:bCs/>
                <w:color w:val="000000"/>
              </w:rPr>
              <w:t>46.20</w:t>
            </w:r>
            <w:r w:rsidR="009A1042">
              <w:rPr>
                <w:rFonts w:ascii="Arial" w:hAnsi="Arial" w:cs="Arial"/>
                <w:bCs/>
                <w:color w:val="000000"/>
              </w:rPr>
              <w:t>5</w:t>
            </w:r>
          </w:p>
        </w:tc>
        <w:tc>
          <w:tcPr>
            <w:tcW w:w="1260" w:type="dxa"/>
            <w:tcBorders>
              <w:top w:val="nil"/>
              <w:left w:val="nil"/>
              <w:bottom w:val="single" w:sz="4" w:space="0" w:color="auto"/>
              <w:right w:val="single" w:sz="4" w:space="0" w:color="auto"/>
            </w:tcBorders>
            <w:shd w:val="clear" w:color="auto" w:fill="auto"/>
            <w:noWrap/>
            <w:vAlign w:val="center"/>
            <w:hideMark/>
          </w:tcPr>
          <w:p w:rsidR="002F5162" w:rsidRPr="001C79CF" w:rsidRDefault="002F5162" w:rsidP="002F5162">
            <w:pPr>
              <w:jc w:val="right"/>
              <w:rPr>
                <w:rFonts w:ascii="Arial" w:hAnsi="Arial" w:cs="Arial"/>
                <w:color w:val="000000"/>
              </w:rPr>
            </w:pPr>
            <w:r w:rsidRPr="001C79CF">
              <w:rPr>
                <w:rFonts w:ascii="Arial" w:hAnsi="Arial" w:cs="Arial"/>
                <w:bCs/>
                <w:color w:val="000000"/>
                <w:lang w:val="en-US" w:eastAsia="en-US"/>
              </w:rPr>
              <w:t>▼</w:t>
            </w:r>
            <w:r w:rsidRPr="001C79CF">
              <w:rPr>
                <w:rFonts w:ascii="Arial" w:hAnsi="Arial" w:cs="Arial"/>
                <w:color w:val="000000"/>
              </w:rPr>
              <w:t>1,53%</w:t>
            </w:r>
          </w:p>
        </w:tc>
        <w:tc>
          <w:tcPr>
            <w:tcW w:w="1043" w:type="dxa"/>
            <w:tcBorders>
              <w:top w:val="nil"/>
              <w:left w:val="nil"/>
              <w:bottom w:val="single" w:sz="4" w:space="0" w:color="auto"/>
              <w:right w:val="single" w:sz="4" w:space="0" w:color="auto"/>
            </w:tcBorders>
            <w:shd w:val="clear" w:color="auto" w:fill="auto"/>
            <w:noWrap/>
            <w:vAlign w:val="center"/>
            <w:hideMark/>
          </w:tcPr>
          <w:p w:rsidR="002F5162" w:rsidRPr="002F5162" w:rsidRDefault="002F5162" w:rsidP="00883D54">
            <w:pPr>
              <w:widowControl/>
              <w:autoSpaceDE/>
              <w:autoSpaceDN/>
              <w:adjustRightInd/>
              <w:jc w:val="right"/>
              <w:rPr>
                <w:rFonts w:ascii="Arial" w:hAnsi="Arial" w:cs="Arial"/>
                <w:bCs/>
                <w:color w:val="000000"/>
              </w:rPr>
            </w:pPr>
            <w:r w:rsidRPr="002F5162">
              <w:rPr>
                <w:rFonts w:ascii="Arial" w:hAnsi="Arial" w:cs="Arial"/>
                <w:bCs/>
                <w:color w:val="000000"/>
              </w:rPr>
              <w:t>6</w:t>
            </w:r>
            <w:r w:rsidR="0087768F">
              <w:rPr>
                <w:rFonts w:ascii="Arial" w:hAnsi="Arial" w:cs="Arial"/>
                <w:bCs/>
                <w:color w:val="000000"/>
              </w:rPr>
              <w:t>2</w:t>
            </w:r>
            <w:r w:rsidRPr="002F5162">
              <w:rPr>
                <w:rFonts w:ascii="Arial" w:hAnsi="Arial" w:cs="Arial"/>
                <w:bCs/>
                <w:color w:val="000000"/>
              </w:rPr>
              <w:t>.7</w:t>
            </w:r>
            <w:r w:rsidR="0087768F">
              <w:rPr>
                <w:rFonts w:ascii="Arial" w:hAnsi="Arial" w:cs="Arial"/>
                <w:bCs/>
                <w:color w:val="000000"/>
              </w:rPr>
              <w:t>0</w:t>
            </w:r>
            <w:r w:rsidR="00883D54">
              <w:rPr>
                <w:rFonts w:ascii="Arial" w:hAnsi="Arial" w:cs="Arial"/>
                <w:bCs/>
                <w:color w:val="000000"/>
              </w:rPr>
              <w:t>8</w:t>
            </w:r>
          </w:p>
        </w:tc>
        <w:tc>
          <w:tcPr>
            <w:tcW w:w="1207" w:type="dxa"/>
            <w:tcBorders>
              <w:top w:val="nil"/>
              <w:left w:val="nil"/>
              <w:bottom w:val="single" w:sz="4" w:space="0" w:color="auto"/>
              <w:right w:val="single" w:sz="4" w:space="0" w:color="auto"/>
            </w:tcBorders>
            <w:shd w:val="clear" w:color="auto" w:fill="auto"/>
            <w:noWrap/>
            <w:vAlign w:val="center"/>
            <w:hideMark/>
          </w:tcPr>
          <w:p w:rsidR="002F5162" w:rsidRPr="002F5162" w:rsidRDefault="002F5162" w:rsidP="00515D55">
            <w:pPr>
              <w:jc w:val="center"/>
              <w:rPr>
                <w:rFonts w:ascii="Arial" w:hAnsi="Arial" w:cs="Arial"/>
                <w:bCs/>
                <w:color w:val="000000"/>
              </w:rPr>
            </w:pPr>
            <w:r w:rsidRPr="001C79CF">
              <w:rPr>
                <w:rFonts w:ascii="Arial" w:hAnsi="Arial" w:cs="Arial"/>
                <w:bCs/>
                <w:color w:val="000000"/>
                <w:lang w:val="en-US" w:eastAsia="en-US"/>
              </w:rPr>
              <w:t>▼</w:t>
            </w:r>
            <w:r w:rsidR="0087768F">
              <w:rPr>
                <w:rFonts w:ascii="Arial" w:hAnsi="Arial" w:cs="Arial"/>
                <w:bCs/>
                <w:color w:val="000000"/>
                <w:lang w:val="en-US" w:eastAsia="en-US"/>
              </w:rPr>
              <w:t>27</w:t>
            </w:r>
            <w:r w:rsidRPr="002F5162">
              <w:rPr>
                <w:rFonts w:ascii="Arial" w:hAnsi="Arial" w:cs="Arial"/>
                <w:bCs/>
                <w:color w:val="000000"/>
              </w:rPr>
              <w:t>,</w:t>
            </w:r>
            <w:r w:rsidR="0087768F">
              <w:rPr>
                <w:rFonts w:ascii="Arial" w:hAnsi="Arial" w:cs="Arial"/>
                <w:bCs/>
                <w:color w:val="000000"/>
              </w:rPr>
              <w:t>45</w:t>
            </w:r>
            <w:r w:rsidRPr="002F5162">
              <w:rPr>
                <w:rFonts w:ascii="Arial" w:hAnsi="Arial" w:cs="Arial"/>
                <w:bCs/>
                <w:color w:val="000000"/>
              </w:rPr>
              <w:t>%</w:t>
            </w:r>
          </w:p>
        </w:tc>
      </w:tr>
      <w:tr w:rsidR="00E20089" w:rsidRPr="00456736" w:rsidTr="002700D6">
        <w:trPr>
          <w:trHeight w:val="285"/>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AD63F5" w:rsidRPr="00456736" w:rsidRDefault="00AD63F5" w:rsidP="00AD63F5">
            <w:pPr>
              <w:widowControl/>
              <w:autoSpaceDE/>
              <w:autoSpaceDN/>
              <w:adjustRightInd/>
              <w:rPr>
                <w:rFonts w:ascii="Arial" w:hAnsi="Arial" w:cs="Arial"/>
                <w:color w:val="000000"/>
                <w:lang w:val="en-US" w:eastAsia="en-US"/>
              </w:rPr>
            </w:pPr>
            <w:r w:rsidRPr="00456736">
              <w:rPr>
                <w:rFonts w:ascii="Arial" w:hAnsi="Arial" w:cs="Arial"/>
                <w:color w:val="000000"/>
                <w:lang w:val="en-US" w:eastAsia="en-US"/>
              </w:rPr>
              <w:t xml:space="preserve">Cheltuieli </w:t>
            </w:r>
            <w:r w:rsidR="00883D54">
              <w:rPr>
                <w:rFonts w:ascii="Arial" w:hAnsi="Arial" w:cs="Arial"/>
                <w:color w:val="000000"/>
                <w:lang w:val="en-US" w:eastAsia="en-US"/>
              </w:rPr>
              <w:t xml:space="preserve">de </w:t>
            </w:r>
            <w:r w:rsidRPr="00456736">
              <w:rPr>
                <w:rFonts w:ascii="Arial" w:hAnsi="Arial" w:cs="Arial"/>
                <w:color w:val="000000"/>
                <w:lang w:val="en-US" w:eastAsia="en-US"/>
              </w:rPr>
              <w:t>exploatare (%Cifra de afaceri)</w:t>
            </w:r>
          </w:p>
        </w:tc>
        <w:tc>
          <w:tcPr>
            <w:tcW w:w="1170" w:type="dxa"/>
            <w:tcBorders>
              <w:top w:val="nil"/>
              <w:left w:val="nil"/>
              <w:bottom w:val="single" w:sz="4" w:space="0" w:color="auto"/>
              <w:right w:val="single" w:sz="4" w:space="0" w:color="auto"/>
            </w:tcBorders>
            <w:shd w:val="clear" w:color="auto" w:fill="auto"/>
            <w:noWrap/>
            <w:vAlign w:val="center"/>
            <w:hideMark/>
          </w:tcPr>
          <w:p w:rsidR="00AD63F5" w:rsidRPr="001C79CF" w:rsidRDefault="00AD63F5" w:rsidP="00AD63F5">
            <w:pPr>
              <w:jc w:val="right"/>
              <w:rPr>
                <w:rFonts w:ascii="Arial" w:hAnsi="Arial" w:cs="Arial"/>
                <w:color w:val="000000"/>
              </w:rPr>
            </w:pPr>
            <w:r w:rsidRPr="001C79CF">
              <w:rPr>
                <w:rFonts w:ascii="Arial" w:hAnsi="Arial" w:cs="Arial"/>
                <w:color w:val="000000"/>
              </w:rPr>
              <w:t>95,56%</w:t>
            </w:r>
          </w:p>
        </w:tc>
        <w:tc>
          <w:tcPr>
            <w:tcW w:w="1080" w:type="dxa"/>
            <w:tcBorders>
              <w:top w:val="nil"/>
              <w:left w:val="nil"/>
              <w:bottom w:val="single" w:sz="4" w:space="0" w:color="auto"/>
              <w:right w:val="single" w:sz="4" w:space="0" w:color="auto"/>
            </w:tcBorders>
            <w:shd w:val="clear" w:color="auto" w:fill="auto"/>
            <w:noWrap/>
            <w:vAlign w:val="center"/>
            <w:hideMark/>
          </w:tcPr>
          <w:p w:rsidR="00AD63F5" w:rsidRPr="001C79CF" w:rsidRDefault="00AD63F5" w:rsidP="00AD63F5">
            <w:pPr>
              <w:jc w:val="right"/>
              <w:rPr>
                <w:rFonts w:ascii="Arial" w:hAnsi="Arial" w:cs="Arial"/>
                <w:color w:val="000000"/>
              </w:rPr>
            </w:pPr>
            <w:r w:rsidRPr="001C79CF">
              <w:rPr>
                <w:rFonts w:ascii="Arial" w:hAnsi="Arial" w:cs="Arial"/>
                <w:color w:val="000000"/>
              </w:rPr>
              <w:t>95,34%</w:t>
            </w:r>
          </w:p>
        </w:tc>
        <w:tc>
          <w:tcPr>
            <w:tcW w:w="1260" w:type="dxa"/>
            <w:tcBorders>
              <w:top w:val="nil"/>
              <w:left w:val="nil"/>
              <w:bottom w:val="single" w:sz="4" w:space="0" w:color="auto"/>
              <w:right w:val="single" w:sz="4" w:space="0" w:color="auto"/>
            </w:tcBorders>
            <w:shd w:val="clear" w:color="auto" w:fill="auto"/>
            <w:noWrap/>
            <w:vAlign w:val="center"/>
            <w:hideMark/>
          </w:tcPr>
          <w:p w:rsidR="00AD63F5" w:rsidRPr="001C79CF" w:rsidRDefault="005E5BB3" w:rsidP="00052CF5">
            <w:pPr>
              <w:jc w:val="right"/>
              <w:rPr>
                <w:rFonts w:ascii="Arial" w:hAnsi="Arial" w:cs="Arial"/>
                <w:color w:val="000000"/>
              </w:rPr>
            </w:pPr>
            <w:r w:rsidRPr="001C79CF">
              <w:rPr>
                <w:rFonts w:ascii="Arial" w:hAnsi="Arial" w:cs="Arial"/>
                <w:bCs/>
                <w:color w:val="000000"/>
                <w:lang w:val="en-US" w:eastAsia="en-US"/>
              </w:rPr>
              <w:t>▲</w:t>
            </w:r>
            <w:r w:rsidR="00AD63F5" w:rsidRPr="001C79CF">
              <w:rPr>
                <w:rFonts w:ascii="Arial" w:hAnsi="Arial" w:cs="Arial"/>
                <w:color w:val="000000"/>
              </w:rPr>
              <w:t>0,2</w:t>
            </w:r>
            <w:r w:rsidR="00052CF5">
              <w:rPr>
                <w:rFonts w:ascii="Arial" w:hAnsi="Arial" w:cs="Arial"/>
                <w:color w:val="000000"/>
              </w:rPr>
              <w:t>2p</w:t>
            </w:r>
            <w:r w:rsidR="00490517">
              <w:rPr>
                <w:rFonts w:ascii="Arial" w:hAnsi="Arial" w:cs="Arial"/>
                <w:color w:val="000000"/>
              </w:rPr>
              <w:t>.</w:t>
            </w:r>
            <w:r w:rsidR="00052CF5">
              <w:rPr>
                <w:rFonts w:ascii="Arial" w:hAnsi="Arial" w:cs="Arial"/>
                <w:color w:val="000000"/>
              </w:rPr>
              <w:t>p</w:t>
            </w:r>
            <w:r w:rsidR="00490517">
              <w:rPr>
                <w:rFonts w:ascii="Arial" w:hAnsi="Arial" w:cs="Arial"/>
                <w:color w:val="000000"/>
              </w:rPr>
              <w:t>.</w:t>
            </w:r>
          </w:p>
        </w:tc>
        <w:tc>
          <w:tcPr>
            <w:tcW w:w="1043" w:type="dxa"/>
            <w:tcBorders>
              <w:top w:val="nil"/>
              <w:left w:val="nil"/>
              <w:bottom w:val="single" w:sz="4" w:space="0" w:color="auto"/>
              <w:right w:val="single" w:sz="4" w:space="0" w:color="auto"/>
            </w:tcBorders>
            <w:shd w:val="clear" w:color="auto" w:fill="auto"/>
            <w:noWrap/>
            <w:vAlign w:val="center"/>
            <w:hideMark/>
          </w:tcPr>
          <w:p w:rsidR="00AD63F5" w:rsidRPr="001C79CF" w:rsidRDefault="00AD63F5">
            <w:pPr>
              <w:jc w:val="right"/>
              <w:rPr>
                <w:rFonts w:ascii="Arial" w:hAnsi="Arial" w:cs="Arial"/>
                <w:color w:val="000000"/>
              </w:rPr>
            </w:pPr>
            <w:r w:rsidRPr="001C79CF">
              <w:rPr>
                <w:rFonts w:ascii="Arial" w:hAnsi="Arial" w:cs="Arial"/>
                <w:color w:val="000000"/>
              </w:rPr>
              <w:t>8</w:t>
            </w:r>
            <w:r w:rsidR="002A4AFC">
              <w:rPr>
                <w:rFonts w:ascii="Arial" w:hAnsi="Arial" w:cs="Arial"/>
                <w:color w:val="000000"/>
              </w:rPr>
              <w:t>7</w:t>
            </w:r>
            <w:r w:rsidRPr="001C79CF">
              <w:rPr>
                <w:rFonts w:ascii="Arial" w:hAnsi="Arial" w:cs="Arial"/>
                <w:color w:val="000000"/>
              </w:rPr>
              <w:t>,0</w:t>
            </w:r>
            <w:r w:rsidR="002A4AFC">
              <w:rPr>
                <w:rFonts w:ascii="Arial" w:hAnsi="Arial" w:cs="Arial"/>
                <w:color w:val="000000"/>
              </w:rPr>
              <w:t>4</w:t>
            </w:r>
            <w:r w:rsidRPr="001C79CF">
              <w:rPr>
                <w:rFonts w:ascii="Arial" w:hAnsi="Arial" w:cs="Arial"/>
                <w:color w:val="000000"/>
              </w:rPr>
              <w:t>%</w:t>
            </w:r>
          </w:p>
        </w:tc>
        <w:tc>
          <w:tcPr>
            <w:tcW w:w="1207" w:type="dxa"/>
            <w:tcBorders>
              <w:top w:val="nil"/>
              <w:left w:val="nil"/>
              <w:bottom w:val="single" w:sz="4" w:space="0" w:color="auto"/>
              <w:right w:val="single" w:sz="4" w:space="0" w:color="auto"/>
            </w:tcBorders>
            <w:shd w:val="clear" w:color="auto" w:fill="auto"/>
            <w:noWrap/>
            <w:vAlign w:val="center"/>
            <w:hideMark/>
          </w:tcPr>
          <w:p w:rsidR="00AD63F5" w:rsidRPr="001C79CF" w:rsidRDefault="005E5BB3" w:rsidP="00515D55">
            <w:pPr>
              <w:jc w:val="center"/>
              <w:rPr>
                <w:rFonts w:ascii="Arial" w:hAnsi="Arial" w:cs="Arial"/>
                <w:bCs/>
                <w:color w:val="000000"/>
              </w:rPr>
            </w:pPr>
            <w:r w:rsidRPr="001C79CF">
              <w:rPr>
                <w:rFonts w:ascii="Arial" w:hAnsi="Arial" w:cs="Arial"/>
                <w:bCs/>
                <w:color w:val="000000"/>
                <w:lang w:val="en-US" w:eastAsia="en-US"/>
              </w:rPr>
              <w:t>▲</w:t>
            </w:r>
            <w:r w:rsidR="002A4AFC">
              <w:rPr>
                <w:rFonts w:ascii="Arial" w:hAnsi="Arial" w:cs="Arial"/>
                <w:bCs/>
                <w:color w:val="000000"/>
              </w:rPr>
              <w:t>8</w:t>
            </w:r>
            <w:r w:rsidR="00AD63F5" w:rsidRPr="001C79CF">
              <w:rPr>
                <w:rFonts w:ascii="Arial" w:hAnsi="Arial" w:cs="Arial"/>
                <w:bCs/>
                <w:color w:val="000000"/>
              </w:rPr>
              <w:t>,</w:t>
            </w:r>
            <w:r w:rsidR="002A4AFC">
              <w:rPr>
                <w:rFonts w:ascii="Arial" w:hAnsi="Arial" w:cs="Arial"/>
                <w:bCs/>
                <w:color w:val="000000"/>
              </w:rPr>
              <w:t>52</w:t>
            </w:r>
            <w:r w:rsidR="00052CF5">
              <w:rPr>
                <w:rFonts w:ascii="Arial" w:hAnsi="Arial" w:cs="Arial"/>
                <w:bCs/>
                <w:color w:val="000000"/>
              </w:rPr>
              <w:t>p</w:t>
            </w:r>
            <w:r w:rsidR="00490517">
              <w:rPr>
                <w:rFonts w:ascii="Arial" w:hAnsi="Arial" w:cs="Arial"/>
                <w:bCs/>
                <w:color w:val="000000"/>
              </w:rPr>
              <w:t>.</w:t>
            </w:r>
            <w:r w:rsidR="00052CF5">
              <w:rPr>
                <w:rFonts w:ascii="Arial" w:hAnsi="Arial" w:cs="Arial"/>
                <w:bCs/>
                <w:color w:val="000000"/>
              </w:rPr>
              <w:t>p</w:t>
            </w:r>
            <w:r w:rsidR="00490517">
              <w:rPr>
                <w:rFonts w:ascii="Arial" w:hAnsi="Arial" w:cs="Arial"/>
                <w:bCs/>
                <w:color w:val="000000"/>
              </w:rPr>
              <w:t>.</w:t>
            </w:r>
          </w:p>
        </w:tc>
      </w:tr>
      <w:tr w:rsidR="00B86E9B" w:rsidRPr="00456736" w:rsidTr="002700D6">
        <w:trPr>
          <w:trHeight w:val="285"/>
          <w:jc w:val="center"/>
        </w:trPr>
        <w:tc>
          <w:tcPr>
            <w:tcW w:w="3685" w:type="dxa"/>
            <w:tcBorders>
              <w:top w:val="nil"/>
              <w:left w:val="single" w:sz="4" w:space="0" w:color="auto"/>
              <w:bottom w:val="single" w:sz="4" w:space="0" w:color="auto"/>
              <w:right w:val="single" w:sz="4" w:space="0" w:color="auto"/>
            </w:tcBorders>
            <w:shd w:val="clear" w:color="auto" w:fill="auto"/>
            <w:vAlign w:val="center"/>
          </w:tcPr>
          <w:p w:rsidR="00B86E9B" w:rsidRPr="00456736" w:rsidRDefault="00B86E9B" w:rsidP="00AD63F5">
            <w:pPr>
              <w:widowControl/>
              <w:autoSpaceDE/>
              <w:autoSpaceDN/>
              <w:adjustRightInd/>
              <w:rPr>
                <w:rFonts w:ascii="Arial" w:hAnsi="Arial" w:cs="Arial"/>
                <w:color w:val="000000"/>
                <w:lang w:val="en-US" w:eastAsia="en-US"/>
              </w:rPr>
            </w:pPr>
            <w:r>
              <w:rPr>
                <w:rFonts w:ascii="Arial" w:hAnsi="Arial" w:cs="Arial"/>
                <w:color w:val="000000"/>
                <w:lang w:val="en-US" w:eastAsia="en-US"/>
              </w:rPr>
              <w:t>Venituri totale</w:t>
            </w:r>
            <w:r w:rsidR="00A13C1C">
              <w:rPr>
                <w:rFonts w:ascii="Arial" w:hAnsi="Arial" w:cs="Arial"/>
                <w:color w:val="000000"/>
                <w:lang w:val="en-US" w:eastAsia="en-US"/>
              </w:rPr>
              <w:t xml:space="preserve"> (mii lei)</w:t>
            </w:r>
          </w:p>
        </w:tc>
        <w:tc>
          <w:tcPr>
            <w:tcW w:w="1170" w:type="dxa"/>
            <w:tcBorders>
              <w:top w:val="nil"/>
              <w:left w:val="nil"/>
              <w:bottom w:val="single" w:sz="4" w:space="0" w:color="auto"/>
              <w:right w:val="single" w:sz="4" w:space="0" w:color="auto"/>
            </w:tcBorders>
            <w:shd w:val="clear" w:color="auto" w:fill="auto"/>
            <w:noWrap/>
            <w:vAlign w:val="center"/>
          </w:tcPr>
          <w:p w:rsidR="00B86E9B" w:rsidRPr="001C79CF" w:rsidRDefault="0033363A" w:rsidP="00AD63F5">
            <w:pPr>
              <w:jc w:val="right"/>
              <w:rPr>
                <w:rFonts w:ascii="Arial" w:hAnsi="Arial" w:cs="Arial"/>
                <w:color w:val="000000"/>
              </w:rPr>
            </w:pPr>
            <w:r>
              <w:rPr>
                <w:rFonts w:ascii="Arial" w:hAnsi="Arial" w:cs="Arial"/>
                <w:color w:val="000000"/>
              </w:rPr>
              <w:t>202.350</w:t>
            </w:r>
          </w:p>
        </w:tc>
        <w:tc>
          <w:tcPr>
            <w:tcW w:w="1080" w:type="dxa"/>
            <w:tcBorders>
              <w:top w:val="nil"/>
              <w:left w:val="nil"/>
              <w:bottom w:val="single" w:sz="4" w:space="0" w:color="auto"/>
              <w:right w:val="single" w:sz="4" w:space="0" w:color="auto"/>
            </w:tcBorders>
            <w:shd w:val="clear" w:color="auto" w:fill="auto"/>
            <w:noWrap/>
            <w:vAlign w:val="center"/>
          </w:tcPr>
          <w:p w:rsidR="00B86E9B" w:rsidRPr="001C79CF" w:rsidRDefault="0033363A" w:rsidP="0033363A">
            <w:pPr>
              <w:jc w:val="right"/>
              <w:rPr>
                <w:rFonts w:ascii="Arial" w:hAnsi="Arial" w:cs="Arial"/>
                <w:color w:val="000000"/>
              </w:rPr>
            </w:pPr>
            <w:r>
              <w:rPr>
                <w:rFonts w:ascii="Arial" w:hAnsi="Arial" w:cs="Arial"/>
                <w:color w:val="000000"/>
              </w:rPr>
              <w:t>197.714</w:t>
            </w:r>
          </w:p>
        </w:tc>
        <w:tc>
          <w:tcPr>
            <w:tcW w:w="1260" w:type="dxa"/>
            <w:tcBorders>
              <w:top w:val="nil"/>
              <w:left w:val="nil"/>
              <w:bottom w:val="single" w:sz="4" w:space="0" w:color="auto"/>
              <w:right w:val="single" w:sz="4" w:space="0" w:color="auto"/>
            </w:tcBorders>
            <w:shd w:val="clear" w:color="auto" w:fill="auto"/>
            <w:noWrap/>
            <w:vAlign w:val="center"/>
          </w:tcPr>
          <w:p w:rsidR="00B86E9B" w:rsidRPr="001C79CF" w:rsidRDefault="0033363A" w:rsidP="00052CF5">
            <w:pPr>
              <w:jc w:val="right"/>
              <w:rPr>
                <w:rFonts w:ascii="Arial" w:hAnsi="Arial" w:cs="Arial"/>
                <w:bCs/>
                <w:color w:val="000000"/>
                <w:lang w:val="en-US" w:eastAsia="en-US"/>
              </w:rPr>
            </w:pPr>
            <w:r w:rsidRPr="001C79CF">
              <w:rPr>
                <w:rFonts w:ascii="Arial" w:hAnsi="Arial" w:cs="Arial"/>
                <w:bCs/>
                <w:color w:val="000000"/>
                <w:lang w:val="en-US" w:eastAsia="en-US"/>
              </w:rPr>
              <w:t>▲</w:t>
            </w:r>
            <w:r>
              <w:rPr>
                <w:rFonts w:ascii="Arial" w:hAnsi="Arial" w:cs="Arial"/>
                <w:bCs/>
                <w:color w:val="000000"/>
                <w:lang w:val="en-US" w:eastAsia="en-US"/>
              </w:rPr>
              <w:t>2,34%</w:t>
            </w:r>
          </w:p>
        </w:tc>
        <w:tc>
          <w:tcPr>
            <w:tcW w:w="1043" w:type="dxa"/>
            <w:tcBorders>
              <w:top w:val="nil"/>
              <w:left w:val="nil"/>
              <w:bottom w:val="single" w:sz="4" w:space="0" w:color="auto"/>
              <w:right w:val="single" w:sz="4" w:space="0" w:color="auto"/>
            </w:tcBorders>
            <w:shd w:val="clear" w:color="auto" w:fill="auto"/>
            <w:noWrap/>
            <w:vAlign w:val="center"/>
          </w:tcPr>
          <w:p w:rsidR="00B86E9B" w:rsidRPr="001C79CF" w:rsidRDefault="0033363A">
            <w:pPr>
              <w:jc w:val="right"/>
              <w:rPr>
                <w:rFonts w:ascii="Arial" w:hAnsi="Arial" w:cs="Arial"/>
                <w:color w:val="000000"/>
              </w:rPr>
            </w:pPr>
            <w:r>
              <w:rPr>
                <w:rFonts w:ascii="Arial" w:hAnsi="Arial" w:cs="Arial"/>
                <w:color w:val="000000"/>
              </w:rPr>
              <w:t>204.524</w:t>
            </w:r>
          </w:p>
        </w:tc>
        <w:tc>
          <w:tcPr>
            <w:tcW w:w="1207" w:type="dxa"/>
            <w:tcBorders>
              <w:top w:val="nil"/>
              <w:left w:val="nil"/>
              <w:bottom w:val="single" w:sz="4" w:space="0" w:color="auto"/>
              <w:right w:val="single" w:sz="4" w:space="0" w:color="auto"/>
            </w:tcBorders>
            <w:shd w:val="clear" w:color="auto" w:fill="auto"/>
            <w:noWrap/>
            <w:vAlign w:val="center"/>
          </w:tcPr>
          <w:p w:rsidR="00B86E9B" w:rsidRPr="001C79CF" w:rsidRDefault="0033363A" w:rsidP="00801E9E">
            <w:pPr>
              <w:jc w:val="center"/>
              <w:rPr>
                <w:rFonts w:ascii="Arial" w:hAnsi="Arial" w:cs="Arial"/>
                <w:bCs/>
                <w:color w:val="000000"/>
                <w:lang w:val="en-US" w:eastAsia="en-US"/>
              </w:rPr>
            </w:pPr>
            <w:r w:rsidRPr="001C79CF">
              <w:rPr>
                <w:rFonts w:ascii="Arial" w:hAnsi="Arial" w:cs="Arial"/>
                <w:bCs/>
                <w:color w:val="000000"/>
                <w:lang w:val="en-US" w:eastAsia="en-US"/>
              </w:rPr>
              <w:t>▼</w:t>
            </w:r>
            <w:r w:rsidR="00801E9E">
              <w:rPr>
                <w:rFonts w:ascii="Arial" w:hAnsi="Arial" w:cs="Arial"/>
                <w:bCs/>
                <w:color w:val="000000"/>
                <w:lang w:val="en-US" w:eastAsia="en-US"/>
              </w:rPr>
              <w:t>1,06</w:t>
            </w:r>
            <w:r>
              <w:rPr>
                <w:rFonts w:ascii="Arial" w:hAnsi="Arial" w:cs="Arial"/>
                <w:bCs/>
                <w:color w:val="000000"/>
                <w:lang w:val="en-US" w:eastAsia="en-US"/>
              </w:rPr>
              <w:t>%</w:t>
            </w:r>
          </w:p>
        </w:tc>
      </w:tr>
      <w:tr w:rsidR="00B86E9B" w:rsidRPr="00456736" w:rsidTr="002700D6">
        <w:trPr>
          <w:trHeight w:val="285"/>
          <w:jc w:val="center"/>
        </w:trPr>
        <w:tc>
          <w:tcPr>
            <w:tcW w:w="3685" w:type="dxa"/>
            <w:tcBorders>
              <w:top w:val="nil"/>
              <w:left w:val="single" w:sz="4" w:space="0" w:color="auto"/>
              <w:bottom w:val="single" w:sz="4" w:space="0" w:color="auto"/>
              <w:right w:val="single" w:sz="4" w:space="0" w:color="auto"/>
            </w:tcBorders>
            <w:shd w:val="clear" w:color="auto" w:fill="auto"/>
            <w:vAlign w:val="center"/>
          </w:tcPr>
          <w:p w:rsidR="00B86E9B" w:rsidRPr="00456736" w:rsidRDefault="00A13C1C" w:rsidP="00AD63F5">
            <w:pPr>
              <w:widowControl/>
              <w:autoSpaceDE/>
              <w:autoSpaceDN/>
              <w:adjustRightInd/>
              <w:rPr>
                <w:rFonts w:ascii="Arial" w:hAnsi="Arial" w:cs="Arial"/>
                <w:color w:val="000000"/>
                <w:lang w:val="en-US" w:eastAsia="en-US"/>
              </w:rPr>
            </w:pPr>
            <w:r>
              <w:rPr>
                <w:rFonts w:ascii="Arial" w:hAnsi="Arial" w:cs="Arial"/>
                <w:color w:val="000000"/>
                <w:lang w:val="en-US" w:eastAsia="en-US"/>
              </w:rPr>
              <w:t>Cheltuieli totale (mii lei)</w:t>
            </w:r>
          </w:p>
        </w:tc>
        <w:tc>
          <w:tcPr>
            <w:tcW w:w="1170" w:type="dxa"/>
            <w:tcBorders>
              <w:top w:val="nil"/>
              <w:left w:val="nil"/>
              <w:bottom w:val="single" w:sz="4" w:space="0" w:color="auto"/>
              <w:right w:val="single" w:sz="4" w:space="0" w:color="auto"/>
            </w:tcBorders>
            <w:shd w:val="clear" w:color="auto" w:fill="auto"/>
            <w:noWrap/>
            <w:vAlign w:val="center"/>
          </w:tcPr>
          <w:p w:rsidR="00B86E9B" w:rsidRPr="001C79CF" w:rsidRDefault="0033363A" w:rsidP="00AD63F5">
            <w:pPr>
              <w:jc w:val="right"/>
              <w:rPr>
                <w:rFonts w:ascii="Arial" w:hAnsi="Arial" w:cs="Arial"/>
                <w:color w:val="000000"/>
              </w:rPr>
            </w:pPr>
            <w:r>
              <w:rPr>
                <w:rFonts w:ascii="Arial" w:hAnsi="Arial" w:cs="Arial"/>
                <w:color w:val="000000"/>
              </w:rPr>
              <w:t>176.726</w:t>
            </w:r>
          </w:p>
        </w:tc>
        <w:tc>
          <w:tcPr>
            <w:tcW w:w="1080" w:type="dxa"/>
            <w:tcBorders>
              <w:top w:val="nil"/>
              <w:left w:val="nil"/>
              <w:bottom w:val="single" w:sz="4" w:space="0" w:color="auto"/>
              <w:right w:val="single" w:sz="4" w:space="0" w:color="auto"/>
            </w:tcBorders>
            <w:shd w:val="clear" w:color="auto" w:fill="auto"/>
            <w:noWrap/>
            <w:vAlign w:val="center"/>
          </w:tcPr>
          <w:p w:rsidR="00B86E9B" w:rsidRPr="001C79CF" w:rsidRDefault="0033363A" w:rsidP="00AD63F5">
            <w:pPr>
              <w:jc w:val="right"/>
              <w:rPr>
                <w:rFonts w:ascii="Arial" w:hAnsi="Arial" w:cs="Arial"/>
                <w:color w:val="000000"/>
              </w:rPr>
            </w:pPr>
            <w:r>
              <w:rPr>
                <w:rFonts w:ascii="Arial" w:hAnsi="Arial" w:cs="Arial"/>
                <w:color w:val="000000"/>
              </w:rPr>
              <w:t>173.089</w:t>
            </w:r>
          </w:p>
        </w:tc>
        <w:tc>
          <w:tcPr>
            <w:tcW w:w="1260" w:type="dxa"/>
            <w:tcBorders>
              <w:top w:val="nil"/>
              <w:left w:val="nil"/>
              <w:bottom w:val="single" w:sz="4" w:space="0" w:color="auto"/>
              <w:right w:val="single" w:sz="4" w:space="0" w:color="auto"/>
            </w:tcBorders>
            <w:shd w:val="clear" w:color="auto" w:fill="auto"/>
            <w:noWrap/>
            <w:vAlign w:val="center"/>
          </w:tcPr>
          <w:p w:rsidR="00B86E9B" w:rsidRPr="001C79CF" w:rsidRDefault="0033363A" w:rsidP="00052CF5">
            <w:pPr>
              <w:jc w:val="right"/>
              <w:rPr>
                <w:rFonts w:ascii="Arial" w:hAnsi="Arial" w:cs="Arial"/>
                <w:bCs/>
                <w:color w:val="000000"/>
                <w:lang w:val="en-US" w:eastAsia="en-US"/>
              </w:rPr>
            </w:pPr>
            <w:r w:rsidRPr="001C79CF">
              <w:rPr>
                <w:rFonts w:ascii="Arial" w:hAnsi="Arial" w:cs="Arial"/>
                <w:bCs/>
                <w:color w:val="000000"/>
                <w:lang w:val="en-US" w:eastAsia="en-US"/>
              </w:rPr>
              <w:t>▲</w:t>
            </w:r>
            <w:r>
              <w:rPr>
                <w:rFonts w:ascii="Arial" w:hAnsi="Arial" w:cs="Arial"/>
                <w:bCs/>
                <w:color w:val="000000"/>
                <w:lang w:val="en-US" w:eastAsia="en-US"/>
              </w:rPr>
              <w:t>2,10%</w:t>
            </w:r>
          </w:p>
        </w:tc>
        <w:tc>
          <w:tcPr>
            <w:tcW w:w="1043" w:type="dxa"/>
            <w:tcBorders>
              <w:top w:val="nil"/>
              <w:left w:val="nil"/>
              <w:bottom w:val="single" w:sz="4" w:space="0" w:color="auto"/>
              <w:right w:val="single" w:sz="4" w:space="0" w:color="auto"/>
            </w:tcBorders>
            <w:shd w:val="clear" w:color="auto" w:fill="auto"/>
            <w:noWrap/>
            <w:vAlign w:val="center"/>
          </w:tcPr>
          <w:p w:rsidR="00B86E9B" w:rsidRPr="001C79CF" w:rsidRDefault="0033363A">
            <w:pPr>
              <w:jc w:val="right"/>
              <w:rPr>
                <w:rFonts w:ascii="Arial" w:hAnsi="Arial" w:cs="Arial"/>
                <w:color w:val="000000"/>
              </w:rPr>
            </w:pPr>
            <w:r>
              <w:rPr>
                <w:rFonts w:ascii="Arial" w:hAnsi="Arial" w:cs="Arial"/>
                <w:color w:val="000000"/>
              </w:rPr>
              <w:t>162.195</w:t>
            </w:r>
          </w:p>
        </w:tc>
        <w:tc>
          <w:tcPr>
            <w:tcW w:w="1207" w:type="dxa"/>
            <w:tcBorders>
              <w:top w:val="nil"/>
              <w:left w:val="nil"/>
              <w:bottom w:val="single" w:sz="4" w:space="0" w:color="auto"/>
              <w:right w:val="single" w:sz="4" w:space="0" w:color="auto"/>
            </w:tcBorders>
            <w:shd w:val="clear" w:color="auto" w:fill="auto"/>
            <w:noWrap/>
            <w:vAlign w:val="center"/>
          </w:tcPr>
          <w:p w:rsidR="00B86E9B" w:rsidRPr="001C79CF" w:rsidRDefault="0033363A" w:rsidP="00515D55">
            <w:pPr>
              <w:jc w:val="center"/>
              <w:rPr>
                <w:rFonts w:ascii="Arial" w:hAnsi="Arial" w:cs="Arial"/>
                <w:bCs/>
                <w:color w:val="000000"/>
                <w:lang w:val="en-US" w:eastAsia="en-US"/>
              </w:rPr>
            </w:pPr>
            <w:r w:rsidRPr="001C79CF">
              <w:rPr>
                <w:rFonts w:ascii="Arial" w:hAnsi="Arial" w:cs="Arial"/>
                <w:bCs/>
                <w:color w:val="000000"/>
                <w:lang w:val="en-US" w:eastAsia="en-US"/>
              </w:rPr>
              <w:t>▲</w:t>
            </w:r>
            <w:r w:rsidR="00801E9E">
              <w:rPr>
                <w:rFonts w:ascii="Arial" w:hAnsi="Arial" w:cs="Arial"/>
                <w:bCs/>
                <w:color w:val="000000"/>
                <w:lang w:val="en-US" w:eastAsia="en-US"/>
              </w:rPr>
              <w:t>8,96%</w:t>
            </w:r>
          </w:p>
        </w:tc>
      </w:tr>
      <w:tr w:rsidR="00B86E9B" w:rsidRPr="00456736" w:rsidTr="002700D6">
        <w:trPr>
          <w:trHeight w:val="285"/>
          <w:jc w:val="center"/>
        </w:trPr>
        <w:tc>
          <w:tcPr>
            <w:tcW w:w="3685" w:type="dxa"/>
            <w:tcBorders>
              <w:top w:val="nil"/>
              <w:left w:val="single" w:sz="4" w:space="0" w:color="auto"/>
              <w:bottom w:val="single" w:sz="4" w:space="0" w:color="auto"/>
              <w:right w:val="single" w:sz="4" w:space="0" w:color="auto"/>
            </w:tcBorders>
            <w:shd w:val="clear" w:color="auto" w:fill="auto"/>
            <w:vAlign w:val="center"/>
          </w:tcPr>
          <w:p w:rsidR="00B86E9B" w:rsidRPr="00456736" w:rsidRDefault="00A13C1C" w:rsidP="00AD63F5">
            <w:pPr>
              <w:widowControl/>
              <w:autoSpaceDE/>
              <w:autoSpaceDN/>
              <w:adjustRightInd/>
              <w:rPr>
                <w:rFonts w:ascii="Arial" w:hAnsi="Arial" w:cs="Arial"/>
                <w:color w:val="000000"/>
                <w:lang w:val="en-US" w:eastAsia="en-US"/>
              </w:rPr>
            </w:pPr>
            <w:r>
              <w:rPr>
                <w:rFonts w:ascii="Arial" w:hAnsi="Arial" w:cs="Arial"/>
                <w:color w:val="000000"/>
                <w:lang w:val="en-US" w:eastAsia="en-US"/>
              </w:rPr>
              <w:t>Profit brut (mii lei)</w:t>
            </w:r>
          </w:p>
        </w:tc>
        <w:tc>
          <w:tcPr>
            <w:tcW w:w="1170" w:type="dxa"/>
            <w:tcBorders>
              <w:top w:val="nil"/>
              <w:left w:val="nil"/>
              <w:bottom w:val="single" w:sz="4" w:space="0" w:color="auto"/>
              <w:right w:val="single" w:sz="4" w:space="0" w:color="auto"/>
            </w:tcBorders>
            <w:shd w:val="clear" w:color="auto" w:fill="auto"/>
            <w:noWrap/>
            <w:vAlign w:val="center"/>
          </w:tcPr>
          <w:p w:rsidR="00B86E9B" w:rsidRPr="001C79CF" w:rsidRDefault="0033363A" w:rsidP="00AD63F5">
            <w:pPr>
              <w:jc w:val="right"/>
              <w:rPr>
                <w:rFonts w:ascii="Arial" w:hAnsi="Arial" w:cs="Arial"/>
                <w:color w:val="000000"/>
              </w:rPr>
            </w:pPr>
            <w:r>
              <w:rPr>
                <w:rFonts w:ascii="Arial" w:hAnsi="Arial" w:cs="Arial"/>
                <w:color w:val="000000"/>
              </w:rPr>
              <w:t>25.624</w:t>
            </w:r>
          </w:p>
        </w:tc>
        <w:tc>
          <w:tcPr>
            <w:tcW w:w="1080" w:type="dxa"/>
            <w:tcBorders>
              <w:top w:val="nil"/>
              <w:left w:val="nil"/>
              <w:bottom w:val="single" w:sz="4" w:space="0" w:color="auto"/>
              <w:right w:val="single" w:sz="4" w:space="0" w:color="auto"/>
            </w:tcBorders>
            <w:shd w:val="clear" w:color="auto" w:fill="auto"/>
            <w:noWrap/>
            <w:vAlign w:val="center"/>
          </w:tcPr>
          <w:p w:rsidR="00B86E9B" w:rsidRPr="001C79CF" w:rsidRDefault="0033363A" w:rsidP="00AD63F5">
            <w:pPr>
              <w:jc w:val="right"/>
              <w:rPr>
                <w:rFonts w:ascii="Arial" w:hAnsi="Arial" w:cs="Arial"/>
                <w:color w:val="000000"/>
              </w:rPr>
            </w:pPr>
            <w:r>
              <w:rPr>
                <w:rFonts w:ascii="Arial" w:hAnsi="Arial" w:cs="Arial"/>
                <w:color w:val="000000"/>
              </w:rPr>
              <w:t>24.625</w:t>
            </w:r>
          </w:p>
        </w:tc>
        <w:tc>
          <w:tcPr>
            <w:tcW w:w="1260" w:type="dxa"/>
            <w:tcBorders>
              <w:top w:val="nil"/>
              <w:left w:val="nil"/>
              <w:bottom w:val="single" w:sz="4" w:space="0" w:color="auto"/>
              <w:right w:val="single" w:sz="4" w:space="0" w:color="auto"/>
            </w:tcBorders>
            <w:shd w:val="clear" w:color="auto" w:fill="auto"/>
            <w:noWrap/>
            <w:vAlign w:val="center"/>
          </w:tcPr>
          <w:p w:rsidR="00B86E9B" w:rsidRPr="001C79CF" w:rsidRDefault="0033363A" w:rsidP="00052CF5">
            <w:pPr>
              <w:jc w:val="right"/>
              <w:rPr>
                <w:rFonts w:ascii="Arial" w:hAnsi="Arial" w:cs="Arial"/>
                <w:bCs/>
                <w:color w:val="000000"/>
                <w:lang w:val="en-US" w:eastAsia="en-US"/>
              </w:rPr>
            </w:pPr>
            <w:r w:rsidRPr="001C79CF">
              <w:rPr>
                <w:rFonts w:ascii="Arial" w:hAnsi="Arial" w:cs="Arial"/>
                <w:bCs/>
                <w:color w:val="000000"/>
                <w:lang w:val="en-US" w:eastAsia="en-US"/>
              </w:rPr>
              <w:t>▲</w:t>
            </w:r>
            <w:r>
              <w:rPr>
                <w:rFonts w:ascii="Arial" w:hAnsi="Arial" w:cs="Arial"/>
                <w:bCs/>
                <w:color w:val="000000"/>
                <w:lang w:val="en-US" w:eastAsia="en-US"/>
              </w:rPr>
              <w:t>4,06%</w:t>
            </w:r>
          </w:p>
        </w:tc>
        <w:tc>
          <w:tcPr>
            <w:tcW w:w="1043" w:type="dxa"/>
            <w:tcBorders>
              <w:top w:val="nil"/>
              <w:left w:val="nil"/>
              <w:bottom w:val="single" w:sz="4" w:space="0" w:color="auto"/>
              <w:right w:val="single" w:sz="4" w:space="0" w:color="auto"/>
            </w:tcBorders>
            <w:shd w:val="clear" w:color="auto" w:fill="auto"/>
            <w:noWrap/>
            <w:vAlign w:val="center"/>
          </w:tcPr>
          <w:p w:rsidR="00B86E9B" w:rsidRPr="001C79CF" w:rsidRDefault="0033363A">
            <w:pPr>
              <w:jc w:val="right"/>
              <w:rPr>
                <w:rFonts w:ascii="Arial" w:hAnsi="Arial" w:cs="Arial"/>
                <w:color w:val="000000"/>
              </w:rPr>
            </w:pPr>
            <w:r>
              <w:rPr>
                <w:rFonts w:ascii="Arial" w:hAnsi="Arial" w:cs="Arial"/>
                <w:color w:val="000000"/>
              </w:rPr>
              <w:t>42.329</w:t>
            </w:r>
          </w:p>
        </w:tc>
        <w:tc>
          <w:tcPr>
            <w:tcW w:w="1207" w:type="dxa"/>
            <w:tcBorders>
              <w:top w:val="nil"/>
              <w:left w:val="nil"/>
              <w:bottom w:val="single" w:sz="4" w:space="0" w:color="auto"/>
              <w:right w:val="single" w:sz="4" w:space="0" w:color="auto"/>
            </w:tcBorders>
            <w:shd w:val="clear" w:color="auto" w:fill="auto"/>
            <w:noWrap/>
            <w:vAlign w:val="center"/>
          </w:tcPr>
          <w:p w:rsidR="00B86E9B" w:rsidRPr="001C79CF" w:rsidRDefault="00801E9E" w:rsidP="00515D55">
            <w:pPr>
              <w:jc w:val="center"/>
              <w:rPr>
                <w:rFonts w:ascii="Arial" w:hAnsi="Arial" w:cs="Arial"/>
                <w:bCs/>
                <w:color w:val="000000"/>
                <w:lang w:val="en-US" w:eastAsia="en-US"/>
              </w:rPr>
            </w:pPr>
            <w:r w:rsidRPr="003C2FBC">
              <w:rPr>
                <w:rFonts w:ascii="Arial" w:hAnsi="Arial" w:cs="Arial"/>
                <w:bCs/>
                <w:color w:val="000000"/>
                <w:lang w:val="en-US" w:eastAsia="en-US"/>
              </w:rPr>
              <w:t>▼</w:t>
            </w:r>
            <w:r>
              <w:rPr>
                <w:rFonts w:ascii="Arial" w:hAnsi="Arial" w:cs="Arial"/>
                <w:bCs/>
                <w:color w:val="000000"/>
                <w:lang w:val="en-US" w:eastAsia="en-US"/>
              </w:rPr>
              <w:t>39,46%</w:t>
            </w:r>
          </w:p>
        </w:tc>
      </w:tr>
      <w:tr w:rsidR="00B86E9B" w:rsidRPr="00456736" w:rsidTr="002700D6">
        <w:trPr>
          <w:trHeight w:val="285"/>
          <w:jc w:val="center"/>
        </w:trPr>
        <w:tc>
          <w:tcPr>
            <w:tcW w:w="3685" w:type="dxa"/>
            <w:tcBorders>
              <w:top w:val="nil"/>
              <w:left w:val="single" w:sz="4" w:space="0" w:color="auto"/>
              <w:bottom w:val="single" w:sz="4" w:space="0" w:color="auto"/>
              <w:right w:val="single" w:sz="4" w:space="0" w:color="auto"/>
            </w:tcBorders>
            <w:shd w:val="clear" w:color="auto" w:fill="auto"/>
            <w:vAlign w:val="center"/>
          </w:tcPr>
          <w:p w:rsidR="00B86E9B" w:rsidRPr="00456736" w:rsidRDefault="00A13C1C" w:rsidP="00AD63F5">
            <w:pPr>
              <w:widowControl/>
              <w:autoSpaceDE/>
              <w:autoSpaceDN/>
              <w:adjustRightInd/>
              <w:rPr>
                <w:rFonts w:ascii="Arial" w:hAnsi="Arial" w:cs="Arial"/>
                <w:color w:val="000000"/>
                <w:lang w:val="en-US" w:eastAsia="en-US"/>
              </w:rPr>
            </w:pPr>
            <w:r>
              <w:rPr>
                <w:rFonts w:ascii="Arial" w:hAnsi="Arial" w:cs="Arial"/>
                <w:color w:val="000000"/>
                <w:lang w:val="en-US" w:eastAsia="en-US"/>
              </w:rPr>
              <w:t>Profit net (mii lei)</w:t>
            </w:r>
          </w:p>
        </w:tc>
        <w:tc>
          <w:tcPr>
            <w:tcW w:w="1170" w:type="dxa"/>
            <w:tcBorders>
              <w:top w:val="nil"/>
              <w:left w:val="nil"/>
              <w:bottom w:val="single" w:sz="4" w:space="0" w:color="auto"/>
              <w:right w:val="single" w:sz="4" w:space="0" w:color="auto"/>
            </w:tcBorders>
            <w:shd w:val="clear" w:color="auto" w:fill="auto"/>
            <w:noWrap/>
            <w:vAlign w:val="center"/>
          </w:tcPr>
          <w:p w:rsidR="00B86E9B" w:rsidRPr="001C79CF" w:rsidRDefault="0033363A" w:rsidP="00AD63F5">
            <w:pPr>
              <w:jc w:val="right"/>
              <w:rPr>
                <w:rFonts w:ascii="Arial" w:hAnsi="Arial" w:cs="Arial"/>
                <w:color w:val="000000"/>
              </w:rPr>
            </w:pPr>
            <w:r>
              <w:rPr>
                <w:rFonts w:ascii="Arial" w:hAnsi="Arial" w:cs="Arial"/>
                <w:color w:val="000000"/>
              </w:rPr>
              <w:t>21.626</w:t>
            </w:r>
          </w:p>
        </w:tc>
        <w:tc>
          <w:tcPr>
            <w:tcW w:w="1080" w:type="dxa"/>
            <w:tcBorders>
              <w:top w:val="nil"/>
              <w:left w:val="nil"/>
              <w:bottom w:val="single" w:sz="4" w:space="0" w:color="auto"/>
              <w:right w:val="single" w:sz="4" w:space="0" w:color="auto"/>
            </w:tcBorders>
            <w:shd w:val="clear" w:color="auto" w:fill="auto"/>
            <w:noWrap/>
            <w:vAlign w:val="center"/>
          </w:tcPr>
          <w:p w:rsidR="00B86E9B" w:rsidRPr="001C79CF" w:rsidRDefault="0033363A" w:rsidP="00AD63F5">
            <w:pPr>
              <w:jc w:val="right"/>
              <w:rPr>
                <w:rFonts w:ascii="Arial" w:hAnsi="Arial" w:cs="Arial"/>
                <w:color w:val="000000"/>
              </w:rPr>
            </w:pPr>
            <w:r>
              <w:rPr>
                <w:rFonts w:ascii="Arial" w:hAnsi="Arial" w:cs="Arial"/>
                <w:color w:val="000000"/>
              </w:rPr>
              <w:t>20.521</w:t>
            </w:r>
          </w:p>
        </w:tc>
        <w:tc>
          <w:tcPr>
            <w:tcW w:w="1260" w:type="dxa"/>
            <w:tcBorders>
              <w:top w:val="nil"/>
              <w:left w:val="nil"/>
              <w:bottom w:val="single" w:sz="4" w:space="0" w:color="auto"/>
              <w:right w:val="single" w:sz="4" w:space="0" w:color="auto"/>
            </w:tcBorders>
            <w:shd w:val="clear" w:color="auto" w:fill="auto"/>
            <w:noWrap/>
            <w:vAlign w:val="center"/>
          </w:tcPr>
          <w:p w:rsidR="00B86E9B" w:rsidRPr="001C79CF" w:rsidRDefault="0033363A" w:rsidP="00052CF5">
            <w:pPr>
              <w:jc w:val="right"/>
              <w:rPr>
                <w:rFonts w:ascii="Arial" w:hAnsi="Arial" w:cs="Arial"/>
                <w:bCs/>
                <w:color w:val="000000"/>
                <w:lang w:val="en-US" w:eastAsia="en-US"/>
              </w:rPr>
            </w:pPr>
            <w:r w:rsidRPr="001C79CF">
              <w:rPr>
                <w:rFonts w:ascii="Arial" w:hAnsi="Arial" w:cs="Arial"/>
                <w:bCs/>
                <w:color w:val="000000"/>
                <w:lang w:val="en-US" w:eastAsia="en-US"/>
              </w:rPr>
              <w:t>▲</w:t>
            </w:r>
            <w:r>
              <w:rPr>
                <w:rFonts w:ascii="Arial" w:hAnsi="Arial" w:cs="Arial"/>
                <w:bCs/>
                <w:color w:val="000000"/>
                <w:lang w:val="en-US" w:eastAsia="en-US"/>
              </w:rPr>
              <w:t>5,38%</w:t>
            </w:r>
          </w:p>
        </w:tc>
        <w:tc>
          <w:tcPr>
            <w:tcW w:w="1043" w:type="dxa"/>
            <w:tcBorders>
              <w:top w:val="nil"/>
              <w:left w:val="nil"/>
              <w:bottom w:val="single" w:sz="4" w:space="0" w:color="auto"/>
              <w:right w:val="single" w:sz="4" w:space="0" w:color="auto"/>
            </w:tcBorders>
            <w:shd w:val="clear" w:color="auto" w:fill="auto"/>
            <w:noWrap/>
            <w:vAlign w:val="center"/>
          </w:tcPr>
          <w:p w:rsidR="00B86E9B" w:rsidRPr="001C79CF" w:rsidRDefault="0033363A">
            <w:pPr>
              <w:jc w:val="right"/>
              <w:rPr>
                <w:rFonts w:ascii="Arial" w:hAnsi="Arial" w:cs="Arial"/>
                <w:color w:val="000000"/>
              </w:rPr>
            </w:pPr>
            <w:r>
              <w:rPr>
                <w:rFonts w:ascii="Arial" w:hAnsi="Arial" w:cs="Arial"/>
                <w:color w:val="000000"/>
              </w:rPr>
              <w:t>35.767</w:t>
            </w:r>
          </w:p>
        </w:tc>
        <w:tc>
          <w:tcPr>
            <w:tcW w:w="1207" w:type="dxa"/>
            <w:tcBorders>
              <w:top w:val="nil"/>
              <w:left w:val="nil"/>
              <w:bottom w:val="single" w:sz="4" w:space="0" w:color="auto"/>
              <w:right w:val="single" w:sz="4" w:space="0" w:color="auto"/>
            </w:tcBorders>
            <w:shd w:val="clear" w:color="auto" w:fill="auto"/>
            <w:noWrap/>
            <w:vAlign w:val="center"/>
          </w:tcPr>
          <w:p w:rsidR="00B86E9B" w:rsidRPr="001C79CF" w:rsidRDefault="00801E9E" w:rsidP="00515D55">
            <w:pPr>
              <w:jc w:val="center"/>
              <w:rPr>
                <w:rFonts w:ascii="Arial" w:hAnsi="Arial" w:cs="Arial"/>
                <w:bCs/>
                <w:color w:val="000000"/>
                <w:lang w:val="en-US" w:eastAsia="en-US"/>
              </w:rPr>
            </w:pPr>
            <w:r w:rsidRPr="003C2FBC">
              <w:rPr>
                <w:rFonts w:ascii="Arial" w:hAnsi="Arial" w:cs="Arial"/>
                <w:bCs/>
                <w:color w:val="000000"/>
                <w:lang w:val="en-US" w:eastAsia="en-US"/>
              </w:rPr>
              <w:t>▼</w:t>
            </w:r>
            <w:r>
              <w:rPr>
                <w:rFonts w:ascii="Arial" w:hAnsi="Arial" w:cs="Arial"/>
                <w:bCs/>
                <w:color w:val="000000"/>
                <w:lang w:val="en-US" w:eastAsia="en-US"/>
              </w:rPr>
              <w:t>39,54%</w:t>
            </w:r>
          </w:p>
        </w:tc>
      </w:tr>
      <w:tr w:rsidR="00E20089" w:rsidRPr="00456736" w:rsidTr="002700D6">
        <w:trPr>
          <w:trHeight w:val="285"/>
          <w:jc w:val="center"/>
        </w:trPr>
        <w:tc>
          <w:tcPr>
            <w:tcW w:w="3685" w:type="dxa"/>
            <w:tcBorders>
              <w:top w:val="nil"/>
              <w:left w:val="single" w:sz="4" w:space="0" w:color="auto"/>
              <w:bottom w:val="single" w:sz="4" w:space="0" w:color="auto"/>
              <w:right w:val="single" w:sz="4" w:space="0" w:color="auto"/>
            </w:tcBorders>
            <w:shd w:val="clear" w:color="auto" w:fill="auto"/>
            <w:vAlign w:val="center"/>
          </w:tcPr>
          <w:p w:rsidR="00026A84" w:rsidRPr="003C2FBC" w:rsidRDefault="00026A84" w:rsidP="00026A84">
            <w:pPr>
              <w:widowControl/>
              <w:autoSpaceDE/>
              <w:autoSpaceDN/>
              <w:adjustRightInd/>
              <w:rPr>
                <w:rFonts w:ascii="Arial" w:hAnsi="Arial" w:cs="Arial"/>
                <w:color w:val="000000"/>
              </w:rPr>
            </w:pPr>
            <w:r w:rsidRPr="003C2FBC">
              <w:rPr>
                <w:rFonts w:ascii="Arial" w:hAnsi="Arial" w:cs="Arial"/>
                <w:color w:val="000000"/>
              </w:rPr>
              <w:t>Număr mediu de salariați</w:t>
            </w:r>
          </w:p>
        </w:tc>
        <w:tc>
          <w:tcPr>
            <w:tcW w:w="1170" w:type="dxa"/>
            <w:tcBorders>
              <w:top w:val="nil"/>
              <w:left w:val="nil"/>
              <w:bottom w:val="single" w:sz="4" w:space="0" w:color="auto"/>
              <w:right w:val="single" w:sz="4" w:space="0" w:color="auto"/>
            </w:tcBorders>
            <w:shd w:val="clear" w:color="auto" w:fill="auto"/>
            <w:noWrap/>
            <w:vAlign w:val="center"/>
          </w:tcPr>
          <w:p w:rsidR="00026A84" w:rsidRPr="003C2FBC" w:rsidRDefault="00026A84" w:rsidP="00026A84">
            <w:pPr>
              <w:jc w:val="right"/>
              <w:rPr>
                <w:rFonts w:ascii="Arial" w:hAnsi="Arial" w:cs="Arial"/>
                <w:color w:val="000000"/>
              </w:rPr>
            </w:pPr>
            <w:r w:rsidRPr="003C2FBC">
              <w:rPr>
                <w:rFonts w:ascii="Arial" w:hAnsi="Arial" w:cs="Arial"/>
                <w:color w:val="000000"/>
              </w:rPr>
              <w:t>1.660</w:t>
            </w:r>
          </w:p>
        </w:tc>
        <w:tc>
          <w:tcPr>
            <w:tcW w:w="1080" w:type="dxa"/>
            <w:tcBorders>
              <w:top w:val="nil"/>
              <w:left w:val="nil"/>
              <w:bottom w:val="single" w:sz="4" w:space="0" w:color="auto"/>
              <w:right w:val="single" w:sz="4" w:space="0" w:color="auto"/>
            </w:tcBorders>
            <w:shd w:val="clear" w:color="auto" w:fill="auto"/>
            <w:noWrap/>
            <w:vAlign w:val="center"/>
          </w:tcPr>
          <w:p w:rsidR="00026A84" w:rsidRPr="003C2FBC" w:rsidRDefault="00026A84" w:rsidP="00026A84">
            <w:pPr>
              <w:jc w:val="right"/>
              <w:rPr>
                <w:rFonts w:ascii="Arial" w:hAnsi="Arial" w:cs="Arial"/>
                <w:color w:val="000000"/>
              </w:rPr>
            </w:pPr>
            <w:r w:rsidRPr="003C2FBC">
              <w:rPr>
                <w:rFonts w:ascii="Arial" w:hAnsi="Arial" w:cs="Arial"/>
                <w:color w:val="000000"/>
              </w:rPr>
              <w:t>1.670</w:t>
            </w:r>
          </w:p>
        </w:tc>
        <w:tc>
          <w:tcPr>
            <w:tcW w:w="1260" w:type="dxa"/>
            <w:tcBorders>
              <w:top w:val="nil"/>
              <w:left w:val="nil"/>
              <w:bottom w:val="single" w:sz="4" w:space="0" w:color="auto"/>
              <w:right w:val="single" w:sz="4" w:space="0" w:color="auto"/>
            </w:tcBorders>
            <w:shd w:val="clear" w:color="auto" w:fill="auto"/>
            <w:noWrap/>
            <w:vAlign w:val="center"/>
          </w:tcPr>
          <w:p w:rsidR="00026A84" w:rsidRPr="003C2FBC" w:rsidRDefault="00026A84" w:rsidP="00026A84">
            <w:pPr>
              <w:jc w:val="right"/>
              <w:rPr>
                <w:rFonts w:ascii="Arial" w:hAnsi="Arial" w:cs="Arial"/>
                <w:color w:val="000000"/>
              </w:rPr>
            </w:pPr>
            <w:r w:rsidRPr="003C2FBC">
              <w:rPr>
                <w:rFonts w:ascii="Arial" w:hAnsi="Arial" w:cs="Arial"/>
                <w:bCs/>
                <w:color w:val="000000"/>
                <w:lang w:val="en-US" w:eastAsia="en-US"/>
              </w:rPr>
              <w:t>▼</w:t>
            </w:r>
            <w:r w:rsidRPr="003C2FBC">
              <w:rPr>
                <w:rFonts w:ascii="Arial" w:hAnsi="Arial" w:cs="Arial"/>
                <w:color w:val="000000"/>
              </w:rPr>
              <w:t>0,60%</w:t>
            </w:r>
          </w:p>
        </w:tc>
        <w:tc>
          <w:tcPr>
            <w:tcW w:w="1043" w:type="dxa"/>
            <w:tcBorders>
              <w:top w:val="nil"/>
              <w:left w:val="nil"/>
              <w:bottom w:val="single" w:sz="4" w:space="0" w:color="auto"/>
              <w:right w:val="single" w:sz="4" w:space="0" w:color="auto"/>
            </w:tcBorders>
            <w:shd w:val="clear" w:color="auto" w:fill="auto"/>
            <w:noWrap/>
            <w:vAlign w:val="center"/>
          </w:tcPr>
          <w:p w:rsidR="00026A84" w:rsidRPr="003C2FBC" w:rsidRDefault="00026A84" w:rsidP="00026A84">
            <w:pPr>
              <w:jc w:val="right"/>
              <w:rPr>
                <w:rFonts w:ascii="Arial" w:hAnsi="Arial" w:cs="Arial"/>
                <w:color w:val="000000"/>
              </w:rPr>
            </w:pPr>
            <w:r w:rsidRPr="003C2FBC">
              <w:rPr>
                <w:rFonts w:ascii="Arial" w:hAnsi="Arial" w:cs="Arial"/>
                <w:color w:val="000000"/>
              </w:rPr>
              <w:t>1.671</w:t>
            </w:r>
          </w:p>
        </w:tc>
        <w:tc>
          <w:tcPr>
            <w:tcW w:w="1207" w:type="dxa"/>
            <w:tcBorders>
              <w:top w:val="nil"/>
              <w:left w:val="nil"/>
              <w:bottom w:val="single" w:sz="4" w:space="0" w:color="auto"/>
              <w:right w:val="single" w:sz="4" w:space="0" w:color="auto"/>
            </w:tcBorders>
            <w:shd w:val="clear" w:color="auto" w:fill="auto"/>
            <w:noWrap/>
            <w:vAlign w:val="center"/>
          </w:tcPr>
          <w:p w:rsidR="00026A84" w:rsidRPr="003C2FBC" w:rsidRDefault="00026A84" w:rsidP="00515D55">
            <w:pPr>
              <w:jc w:val="center"/>
              <w:rPr>
                <w:rFonts w:ascii="Arial" w:hAnsi="Arial" w:cs="Arial"/>
                <w:b/>
                <w:bCs/>
                <w:color w:val="000000"/>
              </w:rPr>
            </w:pPr>
            <w:r w:rsidRPr="003C2FBC">
              <w:rPr>
                <w:rFonts w:ascii="Arial" w:hAnsi="Arial" w:cs="Arial"/>
                <w:bCs/>
                <w:color w:val="000000"/>
                <w:lang w:val="en-US" w:eastAsia="en-US"/>
              </w:rPr>
              <w:t>▼0</w:t>
            </w:r>
            <w:r w:rsidRPr="003C2FBC">
              <w:rPr>
                <w:rFonts w:ascii="Arial" w:hAnsi="Arial" w:cs="Arial"/>
                <w:bCs/>
                <w:color w:val="000000"/>
              </w:rPr>
              <w:t>,66%</w:t>
            </w:r>
          </w:p>
        </w:tc>
      </w:tr>
      <w:tr w:rsidR="00E20089" w:rsidRPr="00456736" w:rsidTr="002700D6">
        <w:trPr>
          <w:trHeight w:val="285"/>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AD63F5" w:rsidRPr="003C2FBC" w:rsidRDefault="00AD63F5" w:rsidP="00AD63F5">
            <w:pPr>
              <w:widowControl/>
              <w:autoSpaceDE/>
              <w:autoSpaceDN/>
              <w:adjustRightInd/>
              <w:rPr>
                <w:rFonts w:ascii="Arial" w:hAnsi="Arial" w:cs="Arial"/>
                <w:color w:val="000000"/>
                <w:lang w:val="en-US" w:eastAsia="en-US"/>
              </w:rPr>
            </w:pPr>
            <w:r w:rsidRPr="003C2FBC">
              <w:rPr>
                <w:rFonts w:ascii="Arial" w:hAnsi="Arial" w:cs="Arial"/>
                <w:color w:val="000000"/>
                <w:lang w:val="en-US" w:eastAsia="en-US"/>
              </w:rPr>
              <w:t>Productivitate (lei/salariat)</w:t>
            </w:r>
          </w:p>
        </w:tc>
        <w:tc>
          <w:tcPr>
            <w:tcW w:w="1170" w:type="dxa"/>
            <w:tcBorders>
              <w:top w:val="nil"/>
              <w:left w:val="nil"/>
              <w:bottom w:val="single" w:sz="4" w:space="0" w:color="auto"/>
              <w:right w:val="single" w:sz="4" w:space="0" w:color="auto"/>
            </w:tcBorders>
            <w:shd w:val="clear" w:color="auto" w:fill="auto"/>
            <w:noWrap/>
            <w:vAlign w:val="center"/>
            <w:hideMark/>
          </w:tcPr>
          <w:p w:rsidR="00AD63F5" w:rsidRPr="003C2FBC" w:rsidRDefault="00AD63F5" w:rsidP="00AD63F5">
            <w:pPr>
              <w:jc w:val="right"/>
              <w:rPr>
                <w:rFonts w:ascii="Arial" w:hAnsi="Arial" w:cs="Arial"/>
                <w:color w:val="000000"/>
              </w:rPr>
            </w:pPr>
            <w:r w:rsidRPr="003C2FBC">
              <w:rPr>
                <w:rFonts w:ascii="Arial" w:hAnsi="Arial" w:cs="Arial"/>
                <w:color w:val="000000"/>
              </w:rPr>
              <w:t>120.468</w:t>
            </w:r>
          </w:p>
        </w:tc>
        <w:tc>
          <w:tcPr>
            <w:tcW w:w="1080" w:type="dxa"/>
            <w:tcBorders>
              <w:top w:val="nil"/>
              <w:left w:val="nil"/>
              <w:bottom w:val="single" w:sz="4" w:space="0" w:color="auto"/>
              <w:right w:val="single" w:sz="4" w:space="0" w:color="auto"/>
            </w:tcBorders>
            <w:shd w:val="clear" w:color="auto" w:fill="auto"/>
            <w:noWrap/>
            <w:vAlign w:val="center"/>
            <w:hideMark/>
          </w:tcPr>
          <w:p w:rsidR="00AD63F5" w:rsidRPr="003C2FBC" w:rsidRDefault="00AD63F5" w:rsidP="00AD63F5">
            <w:pPr>
              <w:jc w:val="right"/>
              <w:rPr>
                <w:rFonts w:ascii="Arial" w:hAnsi="Arial" w:cs="Arial"/>
                <w:color w:val="000000"/>
              </w:rPr>
            </w:pPr>
            <w:r w:rsidRPr="003C2FBC">
              <w:rPr>
                <w:rFonts w:ascii="Arial" w:hAnsi="Arial" w:cs="Arial"/>
                <w:color w:val="000000"/>
              </w:rPr>
              <w:t>117.907</w:t>
            </w:r>
          </w:p>
        </w:tc>
        <w:tc>
          <w:tcPr>
            <w:tcW w:w="1260" w:type="dxa"/>
            <w:tcBorders>
              <w:top w:val="nil"/>
              <w:left w:val="nil"/>
              <w:bottom w:val="single" w:sz="4" w:space="0" w:color="auto"/>
              <w:right w:val="single" w:sz="4" w:space="0" w:color="auto"/>
            </w:tcBorders>
            <w:shd w:val="clear" w:color="auto" w:fill="auto"/>
            <w:noWrap/>
            <w:vAlign w:val="center"/>
            <w:hideMark/>
          </w:tcPr>
          <w:p w:rsidR="00AD63F5" w:rsidRPr="003C2FBC" w:rsidRDefault="005E5BB3" w:rsidP="00AD63F5">
            <w:pPr>
              <w:jc w:val="right"/>
              <w:rPr>
                <w:rFonts w:ascii="Arial" w:hAnsi="Arial" w:cs="Arial"/>
                <w:color w:val="000000"/>
              </w:rPr>
            </w:pPr>
            <w:r w:rsidRPr="003C2FBC">
              <w:rPr>
                <w:rFonts w:ascii="Arial" w:hAnsi="Arial" w:cs="Arial"/>
                <w:bCs/>
                <w:color w:val="000000"/>
                <w:lang w:val="en-US" w:eastAsia="en-US"/>
              </w:rPr>
              <w:t>▲</w:t>
            </w:r>
            <w:r w:rsidR="00AD63F5" w:rsidRPr="003C2FBC">
              <w:rPr>
                <w:rFonts w:ascii="Arial" w:hAnsi="Arial" w:cs="Arial"/>
                <w:color w:val="000000"/>
              </w:rPr>
              <w:t>2,17%</w:t>
            </w:r>
          </w:p>
        </w:tc>
        <w:tc>
          <w:tcPr>
            <w:tcW w:w="1043" w:type="dxa"/>
            <w:tcBorders>
              <w:top w:val="nil"/>
              <w:left w:val="nil"/>
              <w:bottom w:val="single" w:sz="4" w:space="0" w:color="auto"/>
              <w:right w:val="single" w:sz="4" w:space="0" w:color="auto"/>
            </w:tcBorders>
            <w:shd w:val="clear" w:color="auto" w:fill="auto"/>
            <w:noWrap/>
            <w:vAlign w:val="center"/>
            <w:hideMark/>
          </w:tcPr>
          <w:p w:rsidR="00AD63F5" w:rsidRPr="003C2FBC" w:rsidRDefault="00AD63F5" w:rsidP="00AD63F5">
            <w:pPr>
              <w:jc w:val="right"/>
              <w:rPr>
                <w:rFonts w:ascii="Arial" w:hAnsi="Arial" w:cs="Arial"/>
                <w:color w:val="000000"/>
              </w:rPr>
            </w:pPr>
            <w:r w:rsidRPr="003C2FBC">
              <w:rPr>
                <w:rFonts w:ascii="Arial" w:hAnsi="Arial" w:cs="Arial"/>
                <w:color w:val="000000"/>
              </w:rPr>
              <w:t>121.247</w:t>
            </w:r>
          </w:p>
        </w:tc>
        <w:tc>
          <w:tcPr>
            <w:tcW w:w="1207" w:type="dxa"/>
            <w:tcBorders>
              <w:top w:val="nil"/>
              <w:left w:val="nil"/>
              <w:bottom w:val="single" w:sz="4" w:space="0" w:color="auto"/>
              <w:right w:val="single" w:sz="4" w:space="0" w:color="auto"/>
            </w:tcBorders>
            <w:shd w:val="clear" w:color="auto" w:fill="auto"/>
            <w:noWrap/>
            <w:vAlign w:val="center"/>
            <w:hideMark/>
          </w:tcPr>
          <w:p w:rsidR="00AD63F5" w:rsidRPr="003C2FBC" w:rsidRDefault="00A52523" w:rsidP="00515D55">
            <w:pPr>
              <w:jc w:val="center"/>
              <w:rPr>
                <w:rFonts w:ascii="Arial" w:hAnsi="Arial" w:cs="Arial"/>
                <w:bCs/>
                <w:color w:val="000000"/>
              </w:rPr>
            </w:pPr>
            <w:r w:rsidRPr="003C2FBC">
              <w:rPr>
                <w:rFonts w:ascii="Arial" w:hAnsi="Arial" w:cs="Arial"/>
                <w:bCs/>
                <w:color w:val="000000"/>
                <w:lang w:val="en-US" w:eastAsia="en-US"/>
              </w:rPr>
              <w:t>▼</w:t>
            </w:r>
            <w:r w:rsidRPr="003C2FBC">
              <w:rPr>
                <w:rFonts w:ascii="Arial" w:hAnsi="Arial" w:cs="Arial"/>
                <w:bCs/>
                <w:color w:val="000000"/>
              </w:rPr>
              <w:t>0,</w:t>
            </w:r>
            <w:r w:rsidR="00AD63F5" w:rsidRPr="003C2FBC">
              <w:rPr>
                <w:rFonts w:ascii="Arial" w:hAnsi="Arial" w:cs="Arial"/>
                <w:bCs/>
                <w:color w:val="000000"/>
              </w:rPr>
              <w:t>6</w:t>
            </w:r>
            <w:r w:rsidRPr="003C2FBC">
              <w:rPr>
                <w:rFonts w:ascii="Arial" w:hAnsi="Arial" w:cs="Arial"/>
                <w:bCs/>
                <w:color w:val="000000"/>
              </w:rPr>
              <w:t>4</w:t>
            </w:r>
            <w:r w:rsidR="00AD63F5" w:rsidRPr="003C2FBC">
              <w:rPr>
                <w:rFonts w:ascii="Arial" w:hAnsi="Arial" w:cs="Arial"/>
                <w:bCs/>
                <w:color w:val="000000"/>
              </w:rPr>
              <w:t>%</w:t>
            </w:r>
          </w:p>
        </w:tc>
      </w:tr>
    </w:tbl>
    <w:p w:rsidR="00456736" w:rsidRPr="00456736" w:rsidRDefault="00456736" w:rsidP="00456736">
      <w:pPr>
        <w:widowControl/>
        <w:tabs>
          <w:tab w:val="left" w:pos="284"/>
          <w:tab w:val="right" w:pos="8640"/>
        </w:tabs>
        <w:autoSpaceDE/>
        <w:autoSpaceDN/>
        <w:adjustRightInd/>
        <w:jc w:val="center"/>
        <w:rPr>
          <w:rFonts w:ascii="Arial" w:hAnsi="Arial" w:cs="Arial"/>
          <w:i/>
          <w:sz w:val="18"/>
          <w:szCs w:val="18"/>
          <w:lang w:val="en-US" w:eastAsia="en-US"/>
        </w:rPr>
      </w:pPr>
    </w:p>
    <w:p w:rsidR="00456736" w:rsidRPr="008F5405" w:rsidRDefault="007239FA" w:rsidP="008F5405">
      <w:pPr>
        <w:widowControl/>
        <w:tabs>
          <w:tab w:val="left" w:pos="284"/>
          <w:tab w:val="right" w:pos="8640"/>
        </w:tabs>
        <w:autoSpaceDE/>
        <w:autoSpaceDN/>
        <w:adjustRightInd/>
        <w:jc w:val="center"/>
        <w:rPr>
          <w:rFonts w:ascii="Arial" w:hAnsi="Arial" w:cs="Arial"/>
          <w:caps/>
          <w:sz w:val="16"/>
          <w:szCs w:val="16"/>
          <w:lang w:val="en-US" w:eastAsia="en-US"/>
        </w:rPr>
      </w:pPr>
      <w:r w:rsidRPr="008F5405">
        <w:rPr>
          <w:rFonts w:ascii="Arial" w:hAnsi="Arial" w:cs="Arial"/>
          <w:sz w:val="16"/>
          <w:szCs w:val="16"/>
          <w:lang w:val="en-US" w:eastAsia="en-US"/>
        </w:rPr>
        <w:t>Tabel 3</w:t>
      </w:r>
      <w:r w:rsidR="00456736" w:rsidRPr="008F5405">
        <w:rPr>
          <w:rFonts w:ascii="Arial" w:hAnsi="Arial" w:cs="Arial"/>
          <w:sz w:val="16"/>
          <w:szCs w:val="16"/>
          <w:lang w:val="en-US" w:eastAsia="en-US"/>
        </w:rPr>
        <w:t xml:space="preserve"> – Principalii indicator</w:t>
      </w:r>
      <w:r w:rsidR="008A1756" w:rsidRPr="008F5405">
        <w:rPr>
          <w:rFonts w:ascii="Arial" w:hAnsi="Arial" w:cs="Arial"/>
          <w:sz w:val="16"/>
          <w:szCs w:val="16"/>
          <w:lang w:val="en-US" w:eastAsia="en-US"/>
        </w:rPr>
        <w:t>i economico financiari</w:t>
      </w:r>
      <w:r w:rsidR="00456736" w:rsidRPr="008F5405">
        <w:rPr>
          <w:rFonts w:ascii="Arial" w:hAnsi="Arial" w:cs="Arial"/>
          <w:sz w:val="16"/>
          <w:szCs w:val="16"/>
          <w:lang w:val="en-US" w:eastAsia="en-US"/>
        </w:rPr>
        <w:t xml:space="preserve"> realizați în </w:t>
      </w:r>
      <w:r w:rsidR="00E733E8" w:rsidRPr="008F5405">
        <w:rPr>
          <w:rFonts w:ascii="Arial" w:hAnsi="Arial" w:cs="Arial"/>
          <w:sz w:val="16"/>
          <w:szCs w:val="16"/>
          <w:lang w:val="en-US" w:eastAsia="en-US"/>
        </w:rPr>
        <w:t>Sem</w:t>
      </w:r>
      <w:r w:rsidR="00456736" w:rsidRPr="008F5405">
        <w:rPr>
          <w:rFonts w:ascii="Arial" w:hAnsi="Arial" w:cs="Arial"/>
          <w:sz w:val="16"/>
          <w:szCs w:val="16"/>
          <w:lang w:val="en-US" w:eastAsia="en-US"/>
        </w:rPr>
        <w:t>estrul I 2018 comparativ cu B</w:t>
      </w:r>
      <w:r w:rsidR="00103111">
        <w:rPr>
          <w:rFonts w:ascii="Arial" w:hAnsi="Arial" w:cs="Arial"/>
          <w:sz w:val="16"/>
          <w:szCs w:val="16"/>
          <w:lang w:val="en-US" w:eastAsia="en-US"/>
        </w:rPr>
        <w:t>.</w:t>
      </w:r>
      <w:r w:rsidR="00456736" w:rsidRPr="008F5405">
        <w:rPr>
          <w:rFonts w:ascii="Arial" w:hAnsi="Arial" w:cs="Arial"/>
          <w:sz w:val="16"/>
          <w:szCs w:val="16"/>
          <w:lang w:val="en-US" w:eastAsia="en-US"/>
        </w:rPr>
        <w:t>V</w:t>
      </w:r>
      <w:r w:rsidR="00103111">
        <w:rPr>
          <w:rFonts w:ascii="Arial" w:hAnsi="Arial" w:cs="Arial"/>
          <w:sz w:val="16"/>
          <w:szCs w:val="16"/>
          <w:lang w:val="en-US" w:eastAsia="en-US"/>
        </w:rPr>
        <w:t>.</w:t>
      </w:r>
      <w:r w:rsidR="00456736" w:rsidRPr="008F5405">
        <w:rPr>
          <w:rFonts w:ascii="Arial" w:hAnsi="Arial" w:cs="Arial"/>
          <w:sz w:val="16"/>
          <w:szCs w:val="16"/>
          <w:lang w:val="en-US" w:eastAsia="en-US"/>
        </w:rPr>
        <w:t>C</w:t>
      </w:r>
      <w:r w:rsidR="00103111">
        <w:rPr>
          <w:rFonts w:ascii="Arial" w:hAnsi="Arial" w:cs="Arial"/>
          <w:sz w:val="16"/>
          <w:szCs w:val="16"/>
          <w:lang w:val="en-US" w:eastAsia="en-US"/>
        </w:rPr>
        <w:t>.</w:t>
      </w:r>
      <w:r w:rsidR="00456736" w:rsidRPr="008F5405">
        <w:rPr>
          <w:rFonts w:ascii="Arial" w:hAnsi="Arial" w:cs="Arial"/>
          <w:sz w:val="16"/>
          <w:szCs w:val="16"/>
          <w:lang w:val="en-US" w:eastAsia="en-US"/>
        </w:rPr>
        <w:t xml:space="preserve"> și cu ce</w:t>
      </w:r>
      <w:r w:rsidR="000C06A4" w:rsidRPr="008F5405">
        <w:rPr>
          <w:rFonts w:ascii="Arial" w:hAnsi="Arial" w:cs="Arial"/>
          <w:sz w:val="16"/>
          <w:szCs w:val="16"/>
          <w:lang w:val="en-US" w:eastAsia="en-US"/>
        </w:rPr>
        <w:t>i realizați în aceeași perioadă</w:t>
      </w:r>
      <w:r w:rsidR="00456736" w:rsidRPr="008F5405">
        <w:rPr>
          <w:rFonts w:ascii="Arial" w:hAnsi="Arial" w:cs="Arial"/>
          <w:sz w:val="16"/>
          <w:szCs w:val="16"/>
          <w:lang w:val="en-US" w:eastAsia="en-US"/>
        </w:rPr>
        <w:t xml:space="preserve"> a anului 2017</w:t>
      </w:r>
    </w:p>
    <w:p w:rsidR="00845298" w:rsidRDefault="00845298" w:rsidP="008F5405">
      <w:pPr>
        <w:shd w:val="clear" w:color="auto" w:fill="FFFFFF"/>
        <w:jc w:val="center"/>
        <w:rPr>
          <w:rFonts w:ascii="Arial" w:hAnsi="Arial" w:cs="Arial"/>
          <w:b/>
          <w:color w:val="5B9BD5" w:themeColor="accent1"/>
          <w:spacing w:val="-10"/>
          <w:sz w:val="16"/>
          <w:szCs w:val="16"/>
        </w:rPr>
      </w:pPr>
    </w:p>
    <w:p w:rsidR="008F5405" w:rsidRPr="008F5405" w:rsidRDefault="008F5405" w:rsidP="008F5405">
      <w:pPr>
        <w:shd w:val="clear" w:color="auto" w:fill="FFFFFF"/>
        <w:jc w:val="center"/>
        <w:rPr>
          <w:rFonts w:ascii="Arial" w:hAnsi="Arial" w:cs="Arial"/>
          <w:b/>
          <w:color w:val="5B9BD5" w:themeColor="accent1"/>
          <w:spacing w:val="-10"/>
          <w:sz w:val="16"/>
          <w:szCs w:val="16"/>
        </w:rPr>
      </w:pPr>
    </w:p>
    <w:p w:rsidR="005E7DD9" w:rsidRPr="009828D6" w:rsidRDefault="00883D54" w:rsidP="00170D7E">
      <w:pPr>
        <w:pStyle w:val="ListParagraph"/>
        <w:numPr>
          <w:ilvl w:val="1"/>
          <w:numId w:val="26"/>
        </w:numPr>
        <w:shd w:val="clear" w:color="auto" w:fill="FFFFFF"/>
        <w:jc w:val="both"/>
        <w:rPr>
          <w:color w:val="1F4E79" w:themeColor="accent1" w:themeShade="80"/>
          <w:sz w:val="24"/>
          <w:szCs w:val="24"/>
        </w:rPr>
      </w:pPr>
      <w:r w:rsidRPr="009828D6">
        <w:rPr>
          <w:rFonts w:ascii="Arial" w:hAnsi="Arial" w:cs="Arial"/>
          <w:b/>
          <w:bCs/>
          <w:color w:val="1F4E79" w:themeColor="accent1" w:themeShade="80"/>
          <w:sz w:val="24"/>
          <w:szCs w:val="24"/>
        </w:rPr>
        <w:t xml:space="preserve"> </w:t>
      </w:r>
      <w:r w:rsidR="002A6388" w:rsidRPr="009828D6">
        <w:rPr>
          <w:rFonts w:ascii="Arial" w:hAnsi="Arial" w:cs="Arial"/>
          <w:b/>
          <w:bCs/>
          <w:color w:val="1F4E79" w:themeColor="accent1" w:themeShade="80"/>
          <w:sz w:val="24"/>
          <w:szCs w:val="24"/>
        </w:rPr>
        <w:t>Investiții</w:t>
      </w:r>
      <w:r w:rsidR="00AF7555" w:rsidRPr="009828D6">
        <w:rPr>
          <w:rFonts w:ascii="Arial" w:hAnsi="Arial" w:cs="Arial"/>
          <w:b/>
          <w:bCs/>
          <w:color w:val="1F4E79" w:themeColor="accent1" w:themeShade="80"/>
          <w:sz w:val="24"/>
          <w:szCs w:val="24"/>
        </w:rPr>
        <w:t xml:space="preserve"> </w:t>
      </w:r>
    </w:p>
    <w:p w:rsidR="005E7DD9" w:rsidRPr="00304A20" w:rsidRDefault="002A6388" w:rsidP="00304A20">
      <w:pPr>
        <w:shd w:val="clear" w:color="auto" w:fill="FFFFFF"/>
        <w:spacing w:line="276" w:lineRule="auto"/>
        <w:jc w:val="both"/>
        <w:rPr>
          <w:rFonts w:ascii="Arial" w:hAnsi="Arial" w:cs="Arial"/>
          <w:sz w:val="22"/>
          <w:szCs w:val="22"/>
        </w:rPr>
      </w:pPr>
      <w:r w:rsidRPr="00304A20">
        <w:rPr>
          <w:rFonts w:ascii="Arial" w:hAnsi="Arial" w:cs="Arial"/>
          <w:sz w:val="22"/>
          <w:szCs w:val="22"/>
          <w:lang w:val="fr-FR"/>
        </w:rPr>
        <w:t xml:space="preserve">Programul de investiții </w:t>
      </w:r>
      <w:r w:rsidR="00C84D54" w:rsidRPr="00304A20">
        <w:rPr>
          <w:rFonts w:ascii="Arial" w:hAnsi="Arial" w:cs="Arial"/>
          <w:sz w:val="22"/>
          <w:szCs w:val="22"/>
          <w:lang w:val="fr-FR"/>
        </w:rPr>
        <w:t xml:space="preserve">pentru anul </w:t>
      </w:r>
      <w:r w:rsidR="00DF2C30" w:rsidRPr="00304A20">
        <w:rPr>
          <w:rFonts w:ascii="Arial" w:hAnsi="Arial" w:cs="Arial"/>
          <w:sz w:val="22"/>
          <w:szCs w:val="22"/>
          <w:lang w:val="fr-FR"/>
        </w:rPr>
        <w:t>2018</w:t>
      </w:r>
      <w:r w:rsidR="00C84D54" w:rsidRPr="00304A20">
        <w:rPr>
          <w:rFonts w:ascii="Arial" w:hAnsi="Arial" w:cs="Arial"/>
          <w:sz w:val="22"/>
          <w:szCs w:val="22"/>
          <w:lang w:val="fr-FR"/>
        </w:rPr>
        <w:t xml:space="preserve"> </w:t>
      </w:r>
      <w:r w:rsidR="005E7DD9" w:rsidRPr="00304A20">
        <w:rPr>
          <w:rFonts w:ascii="Arial" w:hAnsi="Arial" w:cs="Arial"/>
          <w:sz w:val="22"/>
          <w:szCs w:val="22"/>
          <w:lang w:val="fr-FR"/>
        </w:rPr>
        <w:t xml:space="preserve">a avut în vedere continuarea lucrărilor pentru reabilitarea conductelor magistrale pentru transport țiței și gazolină, precum și </w:t>
      </w:r>
      <w:r w:rsidR="005E7DD9" w:rsidRPr="00304A20">
        <w:rPr>
          <w:rFonts w:ascii="Arial" w:hAnsi="Arial" w:cs="Arial"/>
          <w:sz w:val="22"/>
          <w:szCs w:val="22"/>
        </w:rPr>
        <w:t>lucrări de investiții asupra instalațiilor, echipamentelor și dotărilor aferente Sistemului Național de Transport al Petrolului.</w:t>
      </w:r>
    </w:p>
    <w:p w:rsidR="005E7DD9" w:rsidRPr="00304A20" w:rsidRDefault="005E7DD9" w:rsidP="00304A20">
      <w:pPr>
        <w:spacing w:line="276" w:lineRule="auto"/>
        <w:jc w:val="both"/>
        <w:rPr>
          <w:rFonts w:ascii="Arial" w:hAnsi="Arial" w:cs="Arial"/>
          <w:sz w:val="22"/>
          <w:szCs w:val="22"/>
        </w:rPr>
      </w:pPr>
    </w:p>
    <w:p w:rsidR="002A6388" w:rsidRDefault="002A6388" w:rsidP="00304A20">
      <w:pPr>
        <w:spacing w:line="276" w:lineRule="auto"/>
        <w:jc w:val="both"/>
        <w:rPr>
          <w:rFonts w:ascii="Arial" w:hAnsi="Arial" w:cs="Arial"/>
          <w:sz w:val="22"/>
          <w:szCs w:val="22"/>
        </w:rPr>
      </w:pPr>
      <w:r w:rsidRPr="00304A20">
        <w:rPr>
          <w:rFonts w:ascii="Arial" w:hAnsi="Arial" w:cs="Arial"/>
          <w:sz w:val="22"/>
          <w:szCs w:val="22"/>
        </w:rPr>
        <w:t xml:space="preserve">În </w:t>
      </w:r>
      <w:r w:rsidR="0062462D" w:rsidRPr="00304A20">
        <w:rPr>
          <w:rFonts w:ascii="Arial" w:hAnsi="Arial" w:cs="Arial"/>
          <w:sz w:val="22"/>
          <w:szCs w:val="22"/>
        </w:rPr>
        <w:t xml:space="preserve">perioada </w:t>
      </w:r>
      <w:r w:rsidR="002F50C6" w:rsidRPr="00304A20">
        <w:rPr>
          <w:rFonts w:ascii="Arial" w:hAnsi="Arial" w:cs="Arial"/>
          <w:spacing w:val="-10"/>
          <w:sz w:val="22"/>
          <w:szCs w:val="22"/>
        </w:rPr>
        <w:t xml:space="preserve">de </w:t>
      </w:r>
      <w:r w:rsidR="008A0908" w:rsidRPr="00304A20">
        <w:rPr>
          <w:rFonts w:ascii="Arial" w:hAnsi="Arial" w:cs="Arial"/>
          <w:spacing w:val="-10"/>
          <w:sz w:val="22"/>
          <w:szCs w:val="22"/>
        </w:rPr>
        <w:t xml:space="preserve">șase </w:t>
      </w:r>
      <w:r w:rsidR="004728C7" w:rsidRPr="00304A20">
        <w:rPr>
          <w:rFonts w:ascii="Arial" w:hAnsi="Arial" w:cs="Arial"/>
          <w:spacing w:val="-10"/>
          <w:sz w:val="22"/>
          <w:szCs w:val="22"/>
        </w:rPr>
        <w:t>luni î</w:t>
      </w:r>
      <w:r w:rsidR="002F50C6" w:rsidRPr="00304A20">
        <w:rPr>
          <w:rFonts w:ascii="Arial" w:hAnsi="Arial" w:cs="Arial"/>
          <w:spacing w:val="-10"/>
          <w:sz w:val="22"/>
          <w:szCs w:val="22"/>
        </w:rPr>
        <w:t xml:space="preserve">ncheiată la </w:t>
      </w:r>
      <w:r w:rsidR="00C526CF" w:rsidRPr="00304A20">
        <w:rPr>
          <w:rFonts w:ascii="Arial" w:hAnsi="Arial" w:cs="Arial"/>
          <w:spacing w:val="-10"/>
          <w:sz w:val="22"/>
          <w:szCs w:val="22"/>
        </w:rPr>
        <w:t>30 iunie</w:t>
      </w:r>
      <w:r w:rsidR="002F50C6" w:rsidRPr="00304A20">
        <w:rPr>
          <w:rFonts w:ascii="Arial" w:hAnsi="Arial" w:cs="Arial"/>
          <w:spacing w:val="-10"/>
          <w:sz w:val="22"/>
          <w:szCs w:val="22"/>
        </w:rPr>
        <w:t xml:space="preserve"> </w:t>
      </w:r>
      <w:r w:rsidR="00DF2C30" w:rsidRPr="00304A20">
        <w:rPr>
          <w:rFonts w:ascii="Arial" w:hAnsi="Arial" w:cs="Arial"/>
          <w:spacing w:val="-10"/>
          <w:sz w:val="22"/>
          <w:szCs w:val="22"/>
        </w:rPr>
        <w:t>2018</w:t>
      </w:r>
      <w:r w:rsidR="006306CE" w:rsidRPr="00304A20">
        <w:rPr>
          <w:rFonts w:ascii="Arial" w:hAnsi="Arial" w:cs="Arial"/>
          <w:sz w:val="22"/>
          <w:szCs w:val="22"/>
        </w:rPr>
        <w:t>,</w:t>
      </w:r>
      <w:r w:rsidRPr="00304A20">
        <w:rPr>
          <w:rFonts w:ascii="Arial" w:hAnsi="Arial" w:cs="Arial"/>
          <w:sz w:val="22"/>
          <w:szCs w:val="22"/>
        </w:rPr>
        <w:t xml:space="preserve"> CONPET</w:t>
      </w:r>
      <w:r w:rsidR="002309D4">
        <w:rPr>
          <w:rFonts w:ascii="Arial" w:hAnsi="Arial" w:cs="Arial"/>
          <w:sz w:val="22"/>
          <w:szCs w:val="22"/>
        </w:rPr>
        <w:t xml:space="preserve"> S.A.</w:t>
      </w:r>
      <w:r w:rsidRPr="00304A20">
        <w:rPr>
          <w:rFonts w:ascii="Arial" w:hAnsi="Arial" w:cs="Arial"/>
          <w:sz w:val="22"/>
          <w:szCs w:val="22"/>
        </w:rPr>
        <w:t xml:space="preserve"> a realizat investiții în valoare de </w:t>
      </w:r>
      <w:r w:rsidR="00E92036" w:rsidRPr="00304A20">
        <w:rPr>
          <w:rFonts w:ascii="Arial" w:hAnsi="Arial" w:cs="Arial"/>
          <w:sz w:val="22"/>
          <w:szCs w:val="22"/>
        </w:rPr>
        <w:t>3</w:t>
      </w:r>
      <w:r w:rsidR="00B97D16" w:rsidRPr="00304A20">
        <w:rPr>
          <w:rFonts w:ascii="Arial" w:hAnsi="Arial" w:cs="Arial"/>
          <w:sz w:val="22"/>
          <w:szCs w:val="22"/>
        </w:rPr>
        <w:t>2.</w:t>
      </w:r>
      <w:r w:rsidR="00E92036" w:rsidRPr="00304A20">
        <w:rPr>
          <w:rFonts w:ascii="Arial" w:hAnsi="Arial" w:cs="Arial"/>
          <w:sz w:val="22"/>
          <w:szCs w:val="22"/>
        </w:rPr>
        <w:t>317</w:t>
      </w:r>
      <w:r w:rsidR="00B97D16" w:rsidRPr="00304A20">
        <w:rPr>
          <w:rFonts w:ascii="Arial" w:hAnsi="Arial" w:cs="Arial"/>
          <w:sz w:val="22"/>
          <w:szCs w:val="22"/>
        </w:rPr>
        <w:t xml:space="preserve"> mii</w:t>
      </w:r>
      <w:r w:rsidR="00D80FA8" w:rsidRPr="00304A20">
        <w:rPr>
          <w:rFonts w:ascii="Arial" w:hAnsi="Arial" w:cs="Arial"/>
          <w:sz w:val="22"/>
          <w:szCs w:val="22"/>
        </w:rPr>
        <w:t xml:space="preserve"> lei</w:t>
      </w:r>
      <w:r w:rsidRPr="00304A20">
        <w:rPr>
          <w:rFonts w:ascii="Arial" w:hAnsi="Arial" w:cs="Arial"/>
          <w:sz w:val="22"/>
          <w:szCs w:val="22"/>
        </w:rPr>
        <w:t>.</w:t>
      </w:r>
    </w:p>
    <w:p w:rsidR="00304A20" w:rsidRPr="00304A20" w:rsidRDefault="00304A20" w:rsidP="00304A20">
      <w:pPr>
        <w:spacing w:line="276" w:lineRule="auto"/>
        <w:jc w:val="both"/>
        <w:rPr>
          <w:rFonts w:ascii="Arial" w:hAnsi="Arial" w:cs="Arial"/>
          <w:sz w:val="22"/>
          <w:szCs w:val="22"/>
        </w:rPr>
      </w:pPr>
    </w:p>
    <w:tbl>
      <w:tblPr>
        <w:tblW w:w="9431" w:type="dxa"/>
        <w:tblLayout w:type="fixed"/>
        <w:tblLook w:val="04A0" w:firstRow="1" w:lastRow="0" w:firstColumn="1" w:lastColumn="0" w:noHBand="0" w:noVBand="1"/>
      </w:tblPr>
      <w:tblGrid>
        <w:gridCol w:w="1255"/>
        <w:gridCol w:w="1269"/>
        <w:gridCol w:w="1084"/>
        <w:gridCol w:w="1065"/>
        <w:gridCol w:w="1134"/>
        <w:gridCol w:w="1216"/>
        <w:gridCol w:w="1168"/>
        <w:gridCol w:w="1240"/>
      </w:tblGrid>
      <w:tr w:rsidR="00196A86" w:rsidRPr="00CD41C3" w:rsidTr="00334C39">
        <w:trPr>
          <w:trHeight w:val="228"/>
        </w:trPr>
        <w:tc>
          <w:tcPr>
            <w:tcW w:w="125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96A86" w:rsidRPr="00CD41C3" w:rsidRDefault="00196A86" w:rsidP="00117C4A">
            <w:pPr>
              <w:widowControl/>
              <w:autoSpaceDE/>
              <w:autoSpaceDN/>
              <w:adjustRightInd/>
              <w:jc w:val="center"/>
              <w:rPr>
                <w:rFonts w:ascii="Arial" w:hAnsi="Arial" w:cs="Arial"/>
                <w:b/>
                <w:bCs/>
                <w:color w:val="000000"/>
                <w:lang w:val="en-US" w:eastAsia="en-US"/>
              </w:rPr>
            </w:pPr>
            <w:r w:rsidRPr="00CD41C3">
              <w:rPr>
                <w:rFonts w:ascii="Arial" w:hAnsi="Arial" w:cs="Arial"/>
                <w:b/>
                <w:bCs/>
                <w:color w:val="000000"/>
                <w:lang w:val="en-US" w:eastAsia="en-US"/>
              </w:rPr>
              <w:t>Investiții (mii lei)</w:t>
            </w:r>
          </w:p>
        </w:tc>
        <w:tc>
          <w:tcPr>
            <w:tcW w:w="1269" w:type="dxa"/>
            <w:vMerge w:val="restart"/>
            <w:tcBorders>
              <w:top w:val="single" w:sz="4" w:space="0" w:color="auto"/>
              <w:left w:val="nil"/>
              <w:right w:val="single" w:sz="4" w:space="0" w:color="auto"/>
            </w:tcBorders>
            <w:shd w:val="clear" w:color="auto" w:fill="DEEAF6" w:themeFill="accent1" w:themeFillTint="33"/>
          </w:tcPr>
          <w:p w:rsidR="00196A86" w:rsidRPr="00CD41C3" w:rsidRDefault="00196A86" w:rsidP="00117C4A">
            <w:pPr>
              <w:widowControl/>
              <w:autoSpaceDE/>
              <w:autoSpaceDN/>
              <w:adjustRightInd/>
              <w:jc w:val="center"/>
              <w:rPr>
                <w:rFonts w:ascii="Arial" w:hAnsi="Arial" w:cs="Arial"/>
                <w:b/>
                <w:bCs/>
                <w:color w:val="000000"/>
                <w:lang w:val="en-US" w:eastAsia="en-US"/>
              </w:rPr>
            </w:pPr>
          </w:p>
          <w:p w:rsidR="00196A86" w:rsidRPr="00CD41C3" w:rsidRDefault="00196A86" w:rsidP="00117C4A">
            <w:pPr>
              <w:widowControl/>
              <w:autoSpaceDE/>
              <w:autoSpaceDN/>
              <w:adjustRightInd/>
              <w:jc w:val="center"/>
              <w:rPr>
                <w:rFonts w:ascii="Arial" w:hAnsi="Arial" w:cs="Arial"/>
                <w:b/>
                <w:bCs/>
                <w:color w:val="000000"/>
                <w:lang w:val="en-US" w:eastAsia="en-US"/>
              </w:rPr>
            </w:pPr>
            <w:r w:rsidRPr="00CD41C3">
              <w:rPr>
                <w:rFonts w:ascii="Arial" w:hAnsi="Arial" w:cs="Arial"/>
                <w:b/>
                <w:bCs/>
                <w:color w:val="000000"/>
                <w:lang w:val="en-US" w:eastAsia="en-US"/>
              </w:rPr>
              <w:t xml:space="preserve"> B</w:t>
            </w:r>
            <w:r w:rsidR="00561BBA">
              <w:rPr>
                <w:rFonts w:ascii="Arial" w:hAnsi="Arial" w:cs="Arial"/>
                <w:b/>
                <w:bCs/>
                <w:color w:val="000000"/>
                <w:lang w:val="en-US" w:eastAsia="en-US"/>
              </w:rPr>
              <w:t>.</w:t>
            </w:r>
            <w:r w:rsidRPr="00CD41C3">
              <w:rPr>
                <w:rFonts w:ascii="Arial" w:hAnsi="Arial" w:cs="Arial"/>
                <w:b/>
                <w:bCs/>
                <w:color w:val="000000"/>
                <w:lang w:val="en-US" w:eastAsia="en-US"/>
              </w:rPr>
              <w:t>V</w:t>
            </w:r>
            <w:r w:rsidR="00561BBA">
              <w:rPr>
                <w:rFonts w:ascii="Arial" w:hAnsi="Arial" w:cs="Arial"/>
                <w:b/>
                <w:bCs/>
                <w:color w:val="000000"/>
                <w:lang w:val="en-US" w:eastAsia="en-US"/>
              </w:rPr>
              <w:t>.C.</w:t>
            </w:r>
            <w:r w:rsidRPr="00CD41C3">
              <w:rPr>
                <w:rFonts w:ascii="Arial" w:hAnsi="Arial" w:cs="Arial"/>
                <w:b/>
                <w:bCs/>
                <w:color w:val="000000"/>
                <w:lang w:val="en-US" w:eastAsia="en-US"/>
              </w:rPr>
              <w:t xml:space="preserve"> </w:t>
            </w:r>
          </w:p>
          <w:p w:rsidR="00196A86" w:rsidRPr="00CD41C3" w:rsidRDefault="00196A86" w:rsidP="00117C4A">
            <w:pPr>
              <w:widowControl/>
              <w:autoSpaceDE/>
              <w:autoSpaceDN/>
              <w:adjustRightInd/>
              <w:jc w:val="center"/>
              <w:rPr>
                <w:rFonts w:ascii="Arial" w:hAnsi="Arial" w:cs="Arial"/>
                <w:b/>
                <w:bCs/>
                <w:color w:val="000000"/>
                <w:lang w:val="en-US" w:eastAsia="en-US"/>
              </w:rPr>
            </w:pPr>
            <w:r w:rsidRPr="00CD41C3">
              <w:rPr>
                <w:rFonts w:ascii="Arial" w:hAnsi="Arial" w:cs="Arial"/>
                <w:b/>
                <w:bCs/>
                <w:color w:val="000000"/>
                <w:lang w:val="en-US" w:eastAsia="en-US"/>
              </w:rPr>
              <w:t>AN 2018</w:t>
            </w:r>
          </w:p>
        </w:tc>
        <w:tc>
          <w:tcPr>
            <w:tcW w:w="3283"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96A86" w:rsidRPr="00CD41C3" w:rsidRDefault="00196A86" w:rsidP="00117C4A">
            <w:pPr>
              <w:widowControl/>
              <w:autoSpaceDE/>
              <w:autoSpaceDN/>
              <w:adjustRightInd/>
              <w:jc w:val="center"/>
              <w:rPr>
                <w:rFonts w:ascii="Arial" w:hAnsi="Arial" w:cs="Arial"/>
                <w:b/>
                <w:bCs/>
                <w:color w:val="000000"/>
                <w:lang w:val="en-US" w:eastAsia="en-US"/>
              </w:rPr>
            </w:pPr>
            <w:r w:rsidRPr="00CD41C3">
              <w:rPr>
                <w:rFonts w:ascii="Arial" w:hAnsi="Arial" w:cs="Arial"/>
                <w:b/>
                <w:bCs/>
                <w:color w:val="000000"/>
                <w:lang w:val="en-US" w:eastAsia="en-US"/>
              </w:rPr>
              <w:t xml:space="preserve"> </w:t>
            </w:r>
            <w:r>
              <w:rPr>
                <w:rFonts w:ascii="Arial" w:hAnsi="Arial" w:cs="Arial"/>
                <w:b/>
                <w:bCs/>
                <w:color w:val="000000"/>
                <w:lang w:val="en-US" w:eastAsia="en-US"/>
              </w:rPr>
              <w:t>Sem</w:t>
            </w:r>
            <w:r w:rsidR="00561BBA">
              <w:rPr>
                <w:rFonts w:ascii="Arial" w:hAnsi="Arial" w:cs="Arial"/>
                <w:b/>
                <w:bCs/>
                <w:color w:val="000000"/>
                <w:lang w:val="en-US" w:eastAsia="en-US"/>
              </w:rPr>
              <w:t>.</w:t>
            </w:r>
            <w:r w:rsidRPr="00CD41C3">
              <w:rPr>
                <w:rFonts w:ascii="Arial" w:hAnsi="Arial" w:cs="Arial"/>
                <w:b/>
                <w:bCs/>
                <w:color w:val="000000"/>
                <w:lang w:val="en-US" w:eastAsia="en-US"/>
              </w:rPr>
              <w:t xml:space="preserve"> I 2018</w:t>
            </w:r>
          </w:p>
        </w:tc>
        <w:tc>
          <w:tcPr>
            <w:tcW w:w="3624" w:type="dxa"/>
            <w:gridSpan w:val="3"/>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196A86" w:rsidRPr="00CD41C3" w:rsidRDefault="00196A86" w:rsidP="00117C4A">
            <w:pPr>
              <w:widowControl/>
              <w:autoSpaceDE/>
              <w:autoSpaceDN/>
              <w:adjustRightInd/>
              <w:jc w:val="center"/>
              <w:rPr>
                <w:rFonts w:ascii="Arial" w:hAnsi="Arial" w:cs="Arial"/>
                <w:b/>
                <w:bCs/>
                <w:color w:val="000000"/>
                <w:lang w:val="en-US" w:eastAsia="en-US"/>
              </w:rPr>
            </w:pPr>
            <w:r>
              <w:rPr>
                <w:rFonts w:ascii="Arial" w:hAnsi="Arial" w:cs="Arial"/>
                <w:b/>
                <w:bCs/>
                <w:color w:val="000000"/>
                <w:lang w:val="en-US" w:eastAsia="en-US"/>
              </w:rPr>
              <w:t>Sem</w:t>
            </w:r>
            <w:r w:rsidR="00561BBA">
              <w:rPr>
                <w:rFonts w:ascii="Arial" w:hAnsi="Arial" w:cs="Arial"/>
                <w:b/>
                <w:bCs/>
                <w:color w:val="000000"/>
                <w:lang w:val="en-US" w:eastAsia="en-US"/>
              </w:rPr>
              <w:t>.</w:t>
            </w:r>
            <w:r w:rsidRPr="00CD41C3">
              <w:rPr>
                <w:rFonts w:ascii="Arial" w:hAnsi="Arial" w:cs="Arial"/>
                <w:b/>
                <w:bCs/>
                <w:color w:val="000000"/>
                <w:lang w:val="en-US" w:eastAsia="en-US"/>
              </w:rPr>
              <w:t xml:space="preserve"> I 2017</w:t>
            </w:r>
          </w:p>
        </w:tc>
      </w:tr>
      <w:tr w:rsidR="00196A86" w:rsidRPr="00CD41C3" w:rsidTr="00334C39">
        <w:trPr>
          <w:trHeight w:val="228"/>
        </w:trPr>
        <w:tc>
          <w:tcPr>
            <w:tcW w:w="125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96A86" w:rsidRPr="00CD41C3" w:rsidRDefault="00196A86" w:rsidP="00196A86">
            <w:pPr>
              <w:widowControl/>
              <w:autoSpaceDE/>
              <w:autoSpaceDN/>
              <w:adjustRightInd/>
              <w:rPr>
                <w:rFonts w:ascii="Arial" w:hAnsi="Arial" w:cs="Arial"/>
                <w:b/>
                <w:bCs/>
                <w:color w:val="000000"/>
                <w:lang w:val="en-US" w:eastAsia="en-US"/>
              </w:rPr>
            </w:pPr>
          </w:p>
        </w:tc>
        <w:tc>
          <w:tcPr>
            <w:tcW w:w="1269" w:type="dxa"/>
            <w:vMerge/>
            <w:tcBorders>
              <w:left w:val="nil"/>
              <w:bottom w:val="single" w:sz="4" w:space="0" w:color="auto"/>
              <w:right w:val="single" w:sz="4" w:space="0" w:color="auto"/>
            </w:tcBorders>
            <w:shd w:val="clear" w:color="auto" w:fill="DEEAF6" w:themeFill="accent1" w:themeFillTint="33"/>
          </w:tcPr>
          <w:p w:rsidR="00196A86" w:rsidRPr="00CD41C3" w:rsidRDefault="00196A86" w:rsidP="00196A86">
            <w:pPr>
              <w:widowControl/>
              <w:autoSpaceDE/>
              <w:autoSpaceDN/>
              <w:adjustRightInd/>
              <w:jc w:val="center"/>
              <w:rPr>
                <w:rFonts w:ascii="Arial" w:hAnsi="Arial" w:cs="Arial"/>
                <w:b/>
                <w:bCs/>
                <w:color w:val="000000"/>
                <w:lang w:val="en-US" w:eastAsia="en-US"/>
              </w:rPr>
            </w:pPr>
          </w:p>
        </w:tc>
        <w:tc>
          <w:tcPr>
            <w:tcW w:w="1084" w:type="dxa"/>
            <w:tcBorders>
              <w:top w:val="nil"/>
              <w:left w:val="nil"/>
              <w:bottom w:val="single" w:sz="4" w:space="0" w:color="auto"/>
              <w:right w:val="single" w:sz="4" w:space="0" w:color="auto"/>
            </w:tcBorders>
            <w:shd w:val="clear" w:color="auto" w:fill="DEEAF6" w:themeFill="accent1" w:themeFillTint="33"/>
            <w:vAlign w:val="center"/>
            <w:hideMark/>
          </w:tcPr>
          <w:p w:rsidR="00196A86" w:rsidRPr="00CD41C3" w:rsidRDefault="00196A86" w:rsidP="00196A86">
            <w:pPr>
              <w:widowControl/>
              <w:autoSpaceDE/>
              <w:autoSpaceDN/>
              <w:adjustRightInd/>
              <w:jc w:val="center"/>
              <w:rPr>
                <w:rFonts w:ascii="Arial" w:hAnsi="Arial" w:cs="Arial"/>
                <w:b/>
                <w:bCs/>
                <w:color w:val="000000"/>
                <w:lang w:val="en-US" w:eastAsia="en-US"/>
              </w:rPr>
            </w:pPr>
            <w:r w:rsidRPr="00CD41C3">
              <w:rPr>
                <w:rFonts w:ascii="Arial" w:hAnsi="Arial" w:cs="Arial"/>
                <w:b/>
                <w:bCs/>
                <w:color w:val="000000"/>
                <w:lang w:val="en-US" w:eastAsia="en-US"/>
              </w:rPr>
              <w:t>Realizat</w:t>
            </w:r>
          </w:p>
        </w:tc>
        <w:tc>
          <w:tcPr>
            <w:tcW w:w="1065"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196A86" w:rsidRPr="00CD41C3" w:rsidRDefault="00196A86" w:rsidP="00196A86">
            <w:pPr>
              <w:widowControl/>
              <w:autoSpaceDE/>
              <w:autoSpaceDN/>
              <w:adjustRightInd/>
              <w:jc w:val="center"/>
              <w:rPr>
                <w:rFonts w:ascii="Arial" w:hAnsi="Arial" w:cs="Arial"/>
                <w:b/>
                <w:bCs/>
                <w:color w:val="000000"/>
                <w:lang w:val="en-US" w:eastAsia="en-US"/>
              </w:rPr>
            </w:pPr>
            <w:r w:rsidRPr="00CD41C3">
              <w:rPr>
                <w:rFonts w:ascii="Arial" w:hAnsi="Arial" w:cs="Arial"/>
                <w:b/>
                <w:bCs/>
                <w:color w:val="000000"/>
                <w:lang w:val="en-US" w:eastAsia="en-US"/>
              </w:rPr>
              <w:t>Program</w:t>
            </w:r>
          </w:p>
        </w:tc>
        <w:tc>
          <w:tcPr>
            <w:tcW w:w="1134" w:type="dxa"/>
            <w:tcBorders>
              <w:top w:val="nil"/>
              <w:left w:val="nil"/>
              <w:bottom w:val="single" w:sz="4" w:space="0" w:color="auto"/>
              <w:right w:val="single" w:sz="4" w:space="0" w:color="auto"/>
            </w:tcBorders>
            <w:shd w:val="clear" w:color="auto" w:fill="DEEAF6" w:themeFill="accent1" w:themeFillTint="33"/>
            <w:vAlign w:val="center"/>
            <w:hideMark/>
          </w:tcPr>
          <w:p w:rsidR="00196A86" w:rsidRPr="00CD41C3" w:rsidRDefault="00196A86" w:rsidP="00196A86">
            <w:pPr>
              <w:widowControl/>
              <w:autoSpaceDE/>
              <w:autoSpaceDN/>
              <w:adjustRightInd/>
              <w:jc w:val="center"/>
              <w:rPr>
                <w:rFonts w:ascii="Arial" w:hAnsi="Arial" w:cs="Arial"/>
                <w:b/>
                <w:bCs/>
                <w:color w:val="000000"/>
                <w:lang w:val="en-US" w:eastAsia="en-US"/>
              </w:rPr>
            </w:pPr>
            <w:r w:rsidRPr="00CD41C3">
              <w:rPr>
                <w:rFonts w:ascii="Arial" w:hAnsi="Arial" w:cs="Arial"/>
                <w:b/>
                <w:bCs/>
                <w:color w:val="000000"/>
                <w:lang w:val="en-US" w:eastAsia="en-US"/>
              </w:rPr>
              <w:t>Grad de realizare</w:t>
            </w:r>
          </w:p>
          <w:p w:rsidR="00196A86" w:rsidRPr="00CD41C3" w:rsidRDefault="00196A86" w:rsidP="00196A86">
            <w:pPr>
              <w:widowControl/>
              <w:autoSpaceDE/>
              <w:autoSpaceDN/>
              <w:adjustRightInd/>
              <w:jc w:val="center"/>
              <w:rPr>
                <w:rFonts w:ascii="Arial" w:hAnsi="Arial" w:cs="Arial"/>
                <w:b/>
                <w:bCs/>
                <w:color w:val="000000"/>
                <w:lang w:val="en-US" w:eastAsia="en-US"/>
              </w:rPr>
            </w:pPr>
            <w:r w:rsidRPr="00CD41C3">
              <w:rPr>
                <w:rFonts w:ascii="Arial" w:hAnsi="Arial" w:cs="Arial"/>
                <w:b/>
                <w:bCs/>
                <w:color w:val="000000"/>
                <w:lang w:val="en-US" w:eastAsia="en-US"/>
              </w:rPr>
              <w:t>%</w:t>
            </w:r>
          </w:p>
        </w:tc>
        <w:tc>
          <w:tcPr>
            <w:tcW w:w="1216" w:type="dxa"/>
            <w:tcBorders>
              <w:top w:val="nil"/>
              <w:left w:val="nil"/>
              <w:bottom w:val="single" w:sz="4" w:space="0" w:color="auto"/>
              <w:right w:val="single" w:sz="4" w:space="0" w:color="auto"/>
            </w:tcBorders>
            <w:shd w:val="clear" w:color="auto" w:fill="DEEAF6" w:themeFill="accent1" w:themeFillTint="33"/>
            <w:vAlign w:val="center"/>
            <w:hideMark/>
          </w:tcPr>
          <w:p w:rsidR="00196A86" w:rsidRPr="00CD41C3" w:rsidRDefault="00196A86" w:rsidP="00196A86">
            <w:pPr>
              <w:widowControl/>
              <w:autoSpaceDE/>
              <w:autoSpaceDN/>
              <w:adjustRightInd/>
              <w:jc w:val="center"/>
              <w:rPr>
                <w:rFonts w:ascii="Arial" w:hAnsi="Arial" w:cs="Arial"/>
                <w:b/>
                <w:bCs/>
                <w:color w:val="000000"/>
                <w:lang w:val="en-US" w:eastAsia="en-US"/>
              </w:rPr>
            </w:pPr>
            <w:r w:rsidRPr="00CD41C3">
              <w:rPr>
                <w:rFonts w:ascii="Arial" w:hAnsi="Arial" w:cs="Arial"/>
                <w:b/>
                <w:bCs/>
                <w:color w:val="000000"/>
                <w:lang w:val="en-US" w:eastAsia="en-US"/>
              </w:rPr>
              <w:t>Realizat</w:t>
            </w:r>
          </w:p>
        </w:tc>
        <w:tc>
          <w:tcPr>
            <w:tcW w:w="1168" w:type="dxa"/>
            <w:tcBorders>
              <w:top w:val="nil"/>
              <w:left w:val="nil"/>
              <w:bottom w:val="single" w:sz="4" w:space="0" w:color="auto"/>
              <w:right w:val="single" w:sz="4" w:space="0" w:color="auto"/>
            </w:tcBorders>
            <w:shd w:val="clear" w:color="auto" w:fill="DEEAF6" w:themeFill="accent1" w:themeFillTint="33"/>
            <w:vAlign w:val="center"/>
            <w:hideMark/>
          </w:tcPr>
          <w:p w:rsidR="00196A86" w:rsidRPr="00CD41C3" w:rsidRDefault="00196A86" w:rsidP="00196A86">
            <w:pPr>
              <w:widowControl/>
              <w:autoSpaceDE/>
              <w:autoSpaceDN/>
              <w:adjustRightInd/>
              <w:jc w:val="center"/>
              <w:rPr>
                <w:rFonts w:ascii="Arial" w:hAnsi="Arial" w:cs="Arial"/>
                <w:b/>
                <w:bCs/>
                <w:color w:val="000000"/>
                <w:lang w:val="en-US" w:eastAsia="en-US"/>
              </w:rPr>
            </w:pPr>
            <w:r w:rsidRPr="00CD41C3">
              <w:rPr>
                <w:rFonts w:ascii="Arial" w:hAnsi="Arial" w:cs="Arial"/>
                <w:b/>
                <w:bCs/>
                <w:color w:val="000000"/>
                <w:lang w:val="en-US" w:eastAsia="en-US"/>
              </w:rPr>
              <w:t>Program</w:t>
            </w:r>
          </w:p>
        </w:tc>
        <w:tc>
          <w:tcPr>
            <w:tcW w:w="1240" w:type="dxa"/>
            <w:tcBorders>
              <w:top w:val="nil"/>
              <w:left w:val="nil"/>
              <w:bottom w:val="single" w:sz="4" w:space="0" w:color="auto"/>
              <w:right w:val="single" w:sz="4" w:space="0" w:color="auto"/>
            </w:tcBorders>
            <w:shd w:val="clear" w:color="auto" w:fill="DEEAF6" w:themeFill="accent1" w:themeFillTint="33"/>
            <w:vAlign w:val="center"/>
            <w:hideMark/>
          </w:tcPr>
          <w:p w:rsidR="00196A86" w:rsidRPr="00CD41C3" w:rsidRDefault="00196A86" w:rsidP="00196A86">
            <w:pPr>
              <w:widowControl/>
              <w:autoSpaceDE/>
              <w:autoSpaceDN/>
              <w:adjustRightInd/>
              <w:jc w:val="center"/>
              <w:rPr>
                <w:rFonts w:ascii="Arial" w:hAnsi="Arial" w:cs="Arial"/>
                <w:b/>
                <w:bCs/>
                <w:color w:val="000000"/>
                <w:lang w:val="en-US" w:eastAsia="en-US"/>
              </w:rPr>
            </w:pPr>
            <w:r w:rsidRPr="00CD41C3">
              <w:rPr>
                <w:rFonts w:ascii="Arial" w:hAnsi="Arial" w:cs="Arial"/>
                <w:b/>
                <w:bCs/>
                <w:color w:val="000000"/>
                <w:lang w:val="en-US" w:eastAsia="en-US"/>
              </w:rPr>
              <w:t>Grad de realizare</w:t>
            </w:r>
          </w:p>
          <w:p w:rsidR="00196A86" w:rsidRPr="00CD41C3" w:rsidRDefault="00196A86" w:rsidP="00196A86">
            <w:pPr>
              <w:widowControl/>
              <w:autoSpaceDE/>
              <w:autoSpaceDN/>
              <w:adjustRightInd/>
              <w:jc w:val="center"/>
              <w:rPr>
                <w:rFonts w:ascii="Arial" w:hAnsi="Arial" w:cs="Arial"/>
                <w:b/>
                <w:bCs/>
                <w:color w:val="000000"/>
                <w:lang w:val="en-US" w:eastAsia="en-US"/>
              </w:rPr>
            </w:pPr>
            <w:r w:rsidRPr="00CD41C3">
              <w:rPr>
                <w:rFonts w:ascii="Arial" w:hAnsi="Arial" w:cs="Arial"/>
                <w:b/>
                <w:bCs/>
                <w:color w:val="000000"/>
                <w:lang w:val="en-US" w:eastAsia="en-US"/>
              </w:rPr>
              <w:t>%</w:t>
            </w:r>
          </w:p>
        </w:tc>
      </w:tr>
      <w:tr w:rsidR="00196A86" w:rsidRPr="00CD41C3" w:rsidTr="00334C39">
        <w:trPr>
          <w:trHeight w:val="258"/>
        </w:trPr>
        <w:tc>
          <w:tcPr>
            <w:tcW w:w="1255" w:type="dxa"/>
            <w:tcBorders>
              <w:top w:val="nil"/>
              <w:left w:val="single" w:sz="4" w:space="0" w:color="auto"/>
              <w:bottom w:val="single" w:sz="4" w:space="0" w:color="auto"/>
              <w:right w:val="single" w:sz="4" w:space="0" w:color="auto"/>
            </w:tcBorders>
            <w:shd w:val="clear" w:color="auto" w:fill="auto"/>
            <w:vAlign w:val="center"/>
            <w:hideMark/>
          </w:tcPr>
          <w:p w:rsidR="00196A86" w:rsidRPr="00CD41C3" w:rsidRDefault="00196A86" w:rsidP="00196A86">
            <w:pPr>
              <w:widowControl/>
              <w:autoSpaceDE/>
              <w:autoSpaceDN/>
              <w:adjustRightInd/>
              <w:jc w:val="both"/>
              <w:rPr>
                <w:rFonts w:ascii="Arial" w:hAnsi="Arial" w:cs="Arial"/>
                <w:b/>
                <w:bCs/>
                <w:color w:val="000000"/>
                <w:lang w:val="en-US" w:eastAsia="en-US"/>
              </w:rPr>
            </w:pPr>
            <w:r w:rsidRPr="00CD41C3">
              <w:rPr>
                <w:rFonts w:ascii="Arial" w:hAnsi="Arial" w:cs="Arial"/>
                <w:b/>
                <w:bCs/>
                <w:color w:val="000000"/>
                <w:lang w:val="en-US" w:eastAsia="en-US"/>
              </w:rPr>
              <w:t>Total investiții, din care:</w:t>
            </w:r>
          </w:p>
        </w:tc>
        <w:tc>
          <w:tcPr>
            <w:tcW w:w="1269" w:type="dxa"/>
            <w:tcBorders>
              <w:top w:val="single" w:sz="4" w:space="0" w:color="auto"/>
              <w:left w:val="nil"/>
              <w:bottom w:val="single" w:sz="4" w:space="0" w:color="auto"/>
              <w:right w:val="single" w:sz="4" w:space="0" w:color="auto"/>
            </w:tcBorders>
          </w:tcPr>
          <w:p w:rsidR="00196A86" w:rsidRPr="00304A20" w:rsidRDefault="00196A86" w:rsidP="00196A86">
            <w:pPr>
              <w:widowControl/>
              <w:autoSpaceDE/>
              <w:autoSpaceDN/>
              <w:adjustRightInd/>
              <w:jc w:val="center"/>
              <w:rPr>
                <w:rFonts w:ascii="Arial" w:hAnsi="Arial" w:cs="Arial"/>
                <w:b/>
                <w:bCs/>
                <w:color w:val="000000"/>
                <w:lang w:val="en-US" w:eastAsia="en-US"/>
              </w:rPr>
            </w:pPr>
          </w:p>
          <w:p w:rsidR="00196A86" w:rsidRPr="00304A20" w:rsidRDefault="00196A86" w:rsidP="00196A86">
            <w:pPr>
              <w:widowControl/>
              <w:autoSpaceDE/>
              <w:autoSpaceDN/>
              <w:adjustRightInd/>
              <w:jc w:val="center"/>
              <w:rPr>
                <w:rFonts w:ascii="Arial" w:hAnsi="Arial" w:cs="Arial"/>
                <w:b/>
                <w:bCs/>
                <w:color w:val="000000"/>
                <w:lang w:val="en-US" w:eastAsia="en-US"/>
              </w:rPr>
            </w:pPr>
            <w:r w:rsidRPr="00304A20">
              <w:rPr>
                <w:rFonts w:ascii="Arial" w:hAnsi="Arial" w:cs="Arial"/>
                <w:b/>
                <w:bCs/>
                <w:color w:val="000000"/>
                <w:lang w:val="en-US" w:eastAsia="en-US"/>
              </w:rPr>
              <w:t>76.625</w:t>
            </w:r>
          </w:p>
        </w:tc>
        <w:tc>
          <w:tcPr>
            <w:tcW w:w="1084" w:type="dxa"/>
            <w:tcBorders>
              <w:top w:val="nil"/>
              <w:left w:val="nil"/>
              <w:bottom w:val="single" w:sz="4" w:space="0" w:color="auto"/>
              <w:right w:val="single" w:sz="4" w:space="0" w:color="auto"/>
            </w:tcBorders>
            <w:shd w:val="clear" w:color="auto" w:fill="auto"/>
            <w:vAlign w:val="center"/>
          </w:tcPr>
          <w:p w:rsidR="00196A86" w:rsidRPr="00304A20" w:rsidRDefault="00196A86" w:rsidP="00196A86">
            <w:pPr>
              <w:jc w:val="center"/>
              <w:rPr>
                <w:rFonts w:ascii="Arial" w:hAnsi="Arial" w:cs="Arial"/>
                <w:b/>
                <w:bCs/>
                <w:color w:val="000000"/>
              </w:rPr>
            </w:pPr>
            <w:r w:rsidRPr="00304A20">
              <w:rPr>
                <w:rFonts w:ascii="Arial" w:hAnsi="Arial" w:cs="Arial"/>
                <w:b/>
                <w:bCs/>
                <w:color w:val="000000"/>
              </w:rPr>
              <w:t>32.317</w:t>
            </w:r>
          </w:p>
        </w:tc>
        <w:tc>
          <w:tcPr>
            <w:tcW w:w="1065" w:type="dxa"/>
            <w:tcBorders>
              <w:top w:val="nil"/>
              <w:left w:val="single" w:sz="4" w:space="0" w:color="auto"/>
              <w:bottom w:val="single" w:sz="4" w:space="0" w:color="auto"/>
              <w:right w:val="single" w:sz="4" w:space="0" w:color="auto"/>
            </w:tcBorders>
            <w:shd w:val="clear" w:color="auto" w:fill="auto"/>
            <w:vAlign w:val="center"/>
          </w:tcPr>
          <w:p w:rsidR="00196A86" w:rsidRPr="00304A20" w:rsidRDefault="00196A86" w:rsidP="00196A86">
            <w:pPr>
              <w:widowControl/>
              <w:autoSpaceDE/>
              <w:autoSpaceDN/>
              <w:adjustRightInd/>
              <w:jc w:val="center"/>
              <w:rPr>
                <w:rFonts w:ascii="Arial" w:hAnsi="Arial" w:cs="Arial"/>
                <w:b/>
                <w:bCs/>
                <w:color w:val="000000"/>
              </w:rPr>
            </w:pPr>
            <w:r w:rsidRPr="00304A20">
              <w:rPr>
                <w:rFonts w:ascii="Arial" w:hAnsi="Arial" w:cs="Arial"/>
                <w:b/>
                <w:bCs/>
                <w:color w:val="000000"/>
              </w:rPr>
              <w:t>35.495</w:t>
            </w:r>
          </w:p>
        </w:tc>
        <w:tc>
          <w:tcPr>
            <w:tcW w:w="1134" w:type="dxa"/>
            <w:tcBorders>
              <w:top w:val="nil"/>
              <w:left w:val="nil"/>
              <w:bottom w:val="single" w:sz="4" w:space="0" w:color="auto"/>
              <w:right w:val="single" w:sz="4" w:space="0" w:color="auto"/>
            </w:tcBorders>
            <w:shd w:val="clear" w:color="auto" w:fill="auto"/>
            <w:vAlign w:val="center"/>
          </w:tcPr>
          <w:p w:rsidR="00196A86" w:rsidRPr="00304A20" w:rsidRDefault="00196A86" w:rsidP="00196A86">
            <w:pPr>
              <w:widowControl/>
              <w:autoSpaceDE/>
              <w:autoSpaceDN/>
              <w:adjustRightInd/>
              <w:jc w:val="center"/>
              <w:rPr>
                <w:rFonts w:ascii="Arial" w:hAnsi="Arial" w:cs="Arial"/>
                <w:b/>
                <w:color w:val="000000"/>
              </w:rPr>
            </w:pPr>
            <w:r w:rsidRPr="00304A20">
              <w:rPr>
                <w:rFonts w:ascii="Arial" w:hAnsi="Arial" w:cs="Arial"/>
                <w:b/>
                <w:color w:val="000000"/>
              </w:rPr>
              <w:t>91%</w:t>
            </w:r>
          </w:p>
        </w:tc>
        <w:tc>
          <w:tcPr>
            <w:tcW w:w="1216" w:type="dxa"/>
            <w:tcBorders>
              <w:top w:val="nil"/>
              <w:left w:val="nil"/>
              <w:bottom w:val="single" w:sz="4" w:space="0" w:color="auto"/>
              <w:right w:val="single" w:sz="4" w:space="0" w:color="auto"/>
            </w:tcBorders>
            <w:shd w:val="clear" w:color="auto" w:fill="auto"/>
            <w:vAlign w:val="center"/>
          </w:tcPr>
          <w:p w:rsidR="00196A86" w:rsidRPr="00304A20" w:rsidRDefault="00196A86" w:rsidP="00196A86">
            <w:pPr>
              <w:jc w:val="center"/>
              <w:rPr>
                <w:rFonts w:ascii="Arial" w:hAnsi="Arial" w:cs="Arial"/>
                <w:b/>
                <w:bCs/>
                <w:color w:val="000000"/>
              </w:rPr>
            </w:pPr>
            <w:r w:rsidRPr="00304A20">
              <w:rPr>
                <w:rFonts w:ascii="Arial" w:hAnsi="Arial" w:cs="Arial"/>
                <w:b/>
                <w:bCs/>
                <w:color w:val="000000"/>
              </w:rPr>
              <w:t>14.719</w:t>
            </w:r>
          </w:p>
        </w:tc>
        <w:tc>
          <w:tcPr>
            <w:tcW w:w="1168" w:type="dxa"/>
            <w:tcBorders>
              <w:top w:val="nil"/>
              <w:left w:val="nil"/>
              <w:bottom w:val="single" w:sz="4" w:space="0" w:color="auto"/>
              <w:right w:val="single" w:sz="4" w:space="0" w:color="auto"/>
            </w:tcBorders>
            <w:shd w:val="clear" w:color="auto" w:fill="auto"/>
            <w:vAlign w:val="center"/>
          </w:tcPr>
          <w:p w:rsidR="00196A86" w:rsidRPr="00304A20" w:rsidRDefault="00196A86" w:rsidP="00196A86">
            <w:pPr>
              <w:jc w:val="center"/>
              <w:rPr>
                <w:rFonts w:ascii="Arial" w:hAnsi="Arial" w:cs="Arial"/>
                <w:b/>
                <w:bCs/>
                <w:color w:val="000000"/>
              </w:rPr>
            </w:pPr>
            <w:r w:rsidRPr="00304A20">
              <w:rPr>
                <w:rFonts w:ascii="Arial" w:hAnsi="Arial" w:cs="Arial"/>
                <w:b/>
                <w:bCs/>
                <w:color w:val="000000"/>
              </w:rPr>
              <w:t>19.108</w:t>
            </w:r>
          </w:p>
        </w:tc>
        <w:tc>
          <w:tcPr>
            <w:tcW w:w="1240" w:type="dxa"/>
            <w:tcBorders>
              <w:top w:val="nil"/>
              <w:left w:val="nil"/>
              <w:bottom w:val="single" w:sz="4" w:space="0" w:color="auto"/>
              <w:right w:val="single" w:sz="4" w:space="0" w:color="auto"/>
            </w:tcBorders>
            <w:shd w:val="clear" w:color="auto" w:fill="auto"/>
            <w:vAlign w:val="center"/>
          </w:tcPr>
          <w:p w:rsidR="00196A86" w:rsidRPr="00304A20" w:rsidRDefault="00196A86" w:rsidP="00196A86">
            <w:pPr>
              <w:widowControl/>
              <w:autoSpaceDE/>
              <w:autoSpaceDN/>
              <w:adjustRightInd/>
              <w:jc w:val="center"/>
              <w:rPr>
                <w:rFonts w:ascii="Arial" w:hAnsi="Arial" w:cs="Arial"/>
                <w:b/>
                <w:color w:val="000000"/>
              </w:rPr>
            </w:pPr>
            <w:r w:rsidRPr="00304A20">
              <w:rPr>
                <w:rFonts w:ascii="Arial" w:hAnsi="Arial" w:cs="Arial"/>
                <w:b/>
                <w:color w:val="000000"/>
              </w:rPr>
              <w:t>77%</w:t>
            </w:r>
          </w:p>
        </w:tc>
      </w:tr>
      <w:tr w:rsidR="00196A86" w:rsidRPr="00CD41C3" w:rsidTr="00334C39">
        <w:trPr>
          <w:trHeight w:val="550"/>
        </w:trPr>
        <w:tc>
          <w:tcPr>
            <w:tcW w:w="1255" w:type="dxa"/>
            <w:tcBorders>
              <w:top w:val="nil"/>
              <w:left w:val="single" w:sz="4" w:space="0" w:color="auto"/>
              <w:bottom w:val="single" w:sz="4" w:space="0" w:color="auto"/>
              <w:right w:val="single" w:sz="4" w:space="0" w:color="auto"/>
            </w:tcBorders>
            <w:shd w:val="clear" w:color="auto" w:fill="auto"/>
            <w:vAlign w:val="center"/>
            <w:hideMark/>
          </w:tcPr>
          <w:p w:rsidR="00196A86" w:rsidRPr="00CD41C3" w:rsidRDefault="00196A86" w:rsidP="00196A86">
            <w:pPr>
              <w:widowControl/>
              <w:autoSpaceDE/>
              <w:autoSpaceDN/>
              <w:adjustRightInd/>
              <w:jc w:val="both"/>
              <w:rPr>
                <w:rFonts w:ascii="Arial" w:hAnsi="Arial" w:cs="Arial"/>
                <w:color w:val="000000"/>
                <w:lang w:val="en-US" w:eastAsia="en-US"/>
              </w:rPr>
            </w:pPr>
            <w:r w:rsidRPr="00CD41C3">
              <w:rPr>
                <w:rFonts w:ascii="Arial" w:hAnsi="Arial" w:cs="Arial"/>
                <w:color w:val="000000"/>
                <w:lang w:val="en-US" w:eastAsia="en-US"/>
              </w:rPr>
              <w:t>Domeniul public</w:t>
            </w:r>
          </w:p>
        </w:tc>
        <w:tc>
          <w:tcPr>
            <w:tcW w:w="1269" w:type="dxa"/>
            <w:tcBorders>
              <w:top w:val="single" w:sz="4" w:space="0" w:color="auto"/>
              <w:left w:val="nil"/>
              <w:bottom w:val="single" w:sz="4" w:space="0" w:color="auto"/>
              <w:right w:val="single" w:sz="4" w:space="0" w:color="auto"/>
            </w:tcBorders>
            <w:vAlign w:val="center"/>
          </w:tcPr>
          <w:p w:rsidR="00196A86" w:rsidRPr="00CD41C3" w:rsidRDefault="00196A86" w:rsidP="00196A86">
            <w:pPr>
              <w:widowControl/>
              <w:autoSpaceDE/>
              <w:autoSpaceDN/>
              <w:adjustRightInd/>
              <w:jc w:val="center"/>
              <w:rPr>
                <w:rFonts w:ascii="Arial" w:hAnsi="Arial" w:cs="Arial"/>
                <w:color w:val="000000"/>
                <w:lang w:val="en-US" w:eastAsia="en-US"/>
              </w:rPr>
            </w:pPr>
            <w:r w:rsidRPr="00CD41C3">
              <w:rPr>
                <w:rFonts w:ascii="Arial" w:hAnsi="Arial" w:cs="Arial"/>
                <w:color w:val="000000"/>
                <w:lang w:val="en-US" w:eastAsia="en-US"/>
              </w:rPr>
              <w:t>64.521</w:t>
            </w:r>
          </w:p>
        </w:tc>
        <w:tc>
          <w:tcPr>
            <w:tcW w:w="1084" w:type="dxa"/>
            <w:tcBorders>
              <w:top w:val="nil"/>
              <w:left w:val="nil"/>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sidRPr="00C12418">
              <w:rPr>
                <w:rFonts w:ascii="Arial" w:hAnsi="Arial" w:cs="Arial"/>
                <w:color w:val="000000"/>
              </w:rPr>
              <w:t>30.121</w:t>
            </w:r>
          </w:p>
        </w:tc>
        <w:tc>
          <w:tcPr>
            <w:tcW w:w="1065" w:type="dxa"/>
            <w:tcBorders>
              <w:top w:val="nil"/>
              <w:left w:val="single" w:sz="4" w:space="0" w:color="auto"/>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sidRPr="00C12418">
              <w:rPr>
                <w:rFonts w:ascii="Arial" w:hAnsi="Arial" w:cs="Arial"/>
                <w:color w:val="000000"/>
              </w:rPr>
              <w:t>32.902</w:t>
            </w:r>
          </w:p>
        </w:tc>
        <w:tc>
          <w:tcPr>
            <w:tcW w:w="1134" w:type="dxa"/>
            <w:tcBorders>
              <w:top w:val="nil"/>
              <w:left w:val="nil"/>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sidRPr="00C12418">
              <w:rPr>
                <w:rFonts w:ascii="Arial" w:hAnsi="Arial" w:cs="Arial"/>
                <w:color w:val="000000"/>
              </w:rPr>
              <w:t>92%</w:t>
            </w:r>
          </w:p>
        </w:tc>
        <w:tc>
          <w:tcPr>
            <w:tcW w:w="1216" w:type="dxa"/>
            <w:tcBorders>
              <w:top w:val="nil"/>
              <w:left w:val="nil"/>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sidRPr="00C12418">
              <w:rPr>
                <w:rFonts w:ascii="Arial" w:hAnsi="Arial" w:cs="Arial"/>
                <w:color w:val="000000"/>
              </w:rPr>
              <w:t>11.695</w:t>
            </w:r>
          </w:p>
        </w:tc>
        <w:tc>
          <w:tcPr>
            <w:tcW w:w="1168" w:type="dxa"/>
            <w:tcBorders>
              <w:top w:val="nil"/>
              <w:left w:val="nil"/>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sidRPr="00C12418">
              <w:rPr>
                <w:rFonts w:ascii="Arial" w:hAnsi="Arial" w:cs="Arial"/>
                <w:color w:val="000000"/>
              </w:rPr>
              <w:t>16.834</w:t>
            </w:r>
          </w:p>
        </w:tc>
        <w:tc>
          <w:tcPr>
            <w:tcW w:w="1240" w:type="dxa"/>
            <w:tcBorders>
              <w:top w:val="nil"/>
              <w:left w:val="nil"/>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sidRPr="00C12418">
              <w:rPr>
                <w:rFonts w:ascii="Arial" w:hAnsi="Arial" w:cs="Arial"/>
                <w:color w:val="000000"/>
              </w:rPr>
              <w:t>69%</w:t>
            </w:r>
          </w:p>
        </w:tc>
      </w:tr>
      <w:tr w:rsidR="00196A86" w:rsidRPr="00CD41C3" w:rsidTr="00334C39">
        <w:trPr>
          <w:trHeight w:val="613"/>
        </w:trPr>
        <w:tc>
          <w:tcPr>
            <w:tcW w:w="1255" w:type="dxa"/>
            <w:tcBorders>
              <w:top w:val="nil"/>
              <w:left w:val="single" w:sz="4" w:space="0" w:color="auto"/>
              <w:bottom w:val="single" w:sz="4" w:space="0" w:color="auto"/>
              <w:right w:val="single" w:sz="4" w:space="0" w:color="auto"/>
            </w:tcBorders>
            <w:shd w:val="clear" w:color="auto" w:fill="auto"/>
            <w:vAlign w:val="center"/>
            <w:hideMark/>
          </w:tcPr>
          <w:p w:rsidR="00196A86" w:rsidRPr="00CD41C3" w:rsidRDefault="00196A86" w:rsidP="00196A86">
            <w:pPr>
              <w:widowControl/>
              <w:autoSpaceDE/>
              <w:autoSpaceDN/>
              <w:adjustRightInd/>
              <w:jc w:val="both"/>
              <w:rPr>
                <w:rFonts w:ascii="Arial" w:hAnsi="Arial" w:cs="Arial"/>
                <w:color w:val="000000"/>
                <w:lang w:val="en-US" w:eastAsia="en-US"/>
              </w:rPr>
            </w:pPr>
            <w:r w:rsidRPr="00CD41C3">
              <w:rPr>
                <w:rFonts w:ascii="Arial" w:hAnsi="Arial" w:cs="Arial"/>
                <w:color w:val="000000"/>
                <w:lang w:val="en-US" w:eastAsia="en-US"/>
              </w:rPr>
              <w:t>Domeniul operator</w:t>
            </w:r>
          </w:p>
        </w:tc>
        <w:tc>
          <w:tcPr>
            <w:tcW w:w="1269" w:type="dxa"/>
            <w:tcBorders>
              <w:top w:val="single" w:sz="4" w:space="0" w:color="auto"/>
              <w:left w:val="nil"/>
              <w:bottom w:val="single" w:sz="4" w:space="0" w:color="auto"/>
              <w:right w:val="single" w:sz="4" w:space="0" w:color="auto"/>
            </w:tcBorders>
            <w:vAlign w:val="center"/>
          </w:tcPr>
          <w:p w:rsidR="00196A86" w:rsidRPr="00CD41C3" w:rsidRDefault="00196A86" w:rsidP="00196A86">
            <w:pPr>
              <w:widowControl/>
              <w:autoSpaceDE/>
              <w:autoSpaceDN/>
              <w:adjustRightInd/>
              <w:jc w:val="center"/>
              <w:rPr>
                <w:rFonts w:ascii="Arial" w:hAnsi="Arial" w:cs="Arial"/>
                <w:color w:val="000000"/>
                <w:lang w:val="en-US" w:eastAsia="en-US"/>
              </w:rPr>
            </w:pPr>
            <w:r w:rsidRPr="00CD41C3">
              <w:rPr>
                <w:rFonts w:ascii="Arial" w:hAnsi="Arial" w:cs="Arial"/>
                <w:color w:val="000000"/>
                <w:lang w:val="en-US" w:eastAsia="en-US"/>
              </w:rPr>
              <w:t>12.104</w:t>
            </w:r>
          </w:p>
        </w:tc>
        <w:tc>
          <w:tcPr>
            <w:tcW w:w="1084" w:type="dxa"/>
            <w:tcBorders>
              <w:top w:val="nil"/>
              <w:left w:val="nil"/>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sidRPr="00C12418">
              <w:rPr>
                <w:rFonts w:ascii="Arial" w:hAnsi="Arial" w:cs="Arial"/>
                <w:color w:val="000000"/>
              </w:rPr>
              <w:t>2.196</w:t>
            </w:r>
          </w:p>
        </w:tc>
        <w:tc>
          <w:tcPr>
            <w:tcW w:w="1065" w:type="dxa"/>
            <w:tcBorders>
              <w:top w:val="nil"/>
              <w:left w:val="single" w:sz="4" w:space="0" w:color="auto"/>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sidRPr="00C12418">
              <w:rPr>
                <w:rFonts w:ascii="Arial" w:hAnsi="Arial" w:cs="Arial"/>
                <w:color w:val="000000"/>
              </w:rPr>
              <w:t>2.593</w:t>
            </w:r>
          </w:p>
        </w:tc>
        <w:tc>
          <w:tcPr>
            <w:tcW w:w="1134" w:type="dxa"/>
            <w:tcBorders>
              <w:top w:val="nil"/>
              <w:left w:val="nil"/>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sidRPr="00C12418">
              <w:rPr>
                <w:rFonts w:ascii="Arial" w:hAnsi="Arial" w:cs="Arial"/>
                <w:color w:val="000000"/>
              </w:rPr>
              <w:t>85%</w:t>
            </w:r>
          </w:p>
        </w:tc>
        <w:tc>
          <w:tcPr>
            <w:tcW w:w="1216" w:type="dxa"/>
            <w:tcBorders>
              <w:top w:val="nil"/>
              <w:left w:val="nil"/>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sidRPr="00C12418">
              <w:rPr>
                <w:rFonts w:ascii="Arial" w:hAnsi="Arial" w:cs="Arial"/>
                <w:color w:val="000000"/>
              </w:rPr>
              <w:t>3.024</w:t>
            </w:r>
          </w:p>
        </w:tc>
        <w:tc>
          <w:tcPr>
            <w:tcW w:w="1168" w:type="dxa"/>
            <w:tcBorders>
              <w:top w:val="nil"/>
              <w:left w:val="nil"/>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sidRPr="00C12418">
              <w:rPr>
                <w:rFonts w:ascii="Arial" w:hAnsi="Arial" w:cs="Arial"/>
                <w:color w:val="000000"/>
              </w:rPr>
              <w:t>2.274</w:t>
            </w:r>
          </w:p>
        </w:tc>
        <w:tc>
          <w:tcPr>
            <w:tcW w:w="1240" w:type="dxa"/>
            <w:tcBorders>
              <w:top w:val="nil"/>
              <w:left w:val="nil"/>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sidRPr="00C12418">
              <w:rPr>
                <w:rFonts w:ascii="Arial" w:hAnsi="Arial" w:cs="Arial"/>
                <w:color w:val="000000"/>
              </w:rPr>
              <w:t>133%</w:t>
            </w:r>
          </w:p>
        </w:tc>
      </w:tr>
    </w:tbl>
    <w:p w:rsidR="008D6716" w:rsidRDefault="008D6716" w:rsidP="00196A86">
      <w:pPr>
        <w:rPr>
          <w:rFonts w:ascii="Arial" w:hAnsi="Arial" w:cs="Arial"/>
          <w:i/>
          <w:sz w:val="18"/>
          <w:szCs w:val="18"/>
        </w:rPr>
      </w:pPr>
    </w:p>
    <w:p w:rsidR="005E7DD9" w:rsidRPr="008F5405" w:rsidRDefault="005E7DD9" w:rsidP="008F5405">
      <w:pPr>
        <w:ind w:firstLine="720"/>
        <w:jc w:val="center"/>
        <w:rPr>
          <w:rFonts w:ascii="Arial" w:hAnsi="Arial" w:cs="Arial"/>
          <w:sz w:val="16"/>
          <w:szCs w:val="16"/>
        </w:rPr>
      </w:pPr>
      <w:r w:rsidRPr="008F5405">
        <w:rPr>
          <w:rFonts w:ascii="Arial" w:hAnsi="Arial" w:cs="Arial"/>
          <w:sz w:val="16"/>
          <w:szCs w:val="16"/>
        </w:rPr>
        <w:t xml:space="preserve">Tabel </w:t>
      </w:r>
      <w:r w:rsidR="007239FA" w:rsidRPr="008F5405">
        <w:rPr>
          <w:rFonts w:ascii="Arial" w:hAnsi="Arial" w:cs="Arial"/>
          <w:sz w:val="16"/>
          <w:szCs w:val="16"/>
        </w:rPr>
        <w:t>4</w:t>
      </w:r>
      <w:r w:rsidRPr="008F5405">
        <w:rPr>
          <w:rFonts w:ascii="Arial" w:hAnsi="Arial" w:cs="Arial"/>
          <w:sz w:val="16"/>
          <w:szCs w:val="16"/>
        </w:rPr>
        <w:t xml:space="preserve"> – Evoluția investițiilor realizate </w:t>
      </w:r>
      <w:r w:rsidR="002309D4">
        <w:rPr>
          <w:rFonts w:ascii="Arial" w:hAnsi="Arial" w:cs="Arial"/>
          <w:sz w:val="16"/>
          <w:szCs w:val="16"/>
        </w:rPr>
        <w:t xml:space="preserve">în </w:t>
      </w:r>
      <w:r w:rsidR="00E733E8" w:rsidRPr="008F5405">
        <w:rPr>
          <w:rFonts w:ascii="Arial" w:hAnsi="Arial" w:cs="Arial"/>
          <w:sz w:val="16"/>
          <w:szCs w:val="16"/>
        </w:rPr>
        <w:t>Sem</w:t>
      </w:r>
      <w:r w:rsidR="00B97D16" w:rsidRPr="008F5405">
        <w:rPr>
          <w:rFonts w:ascii="Arial" w:hAnsi="Arial" w:cs="Arial"/>
          <w:sz w:val="16"/>
          <w:szCs w:val="16"/>
        </w:rPr>
        <w:t xml:space="preserve">estrul </w:t>
      </w:r>
      <w:r w:rsidRPr="008F5405">
        <w:rPr>
          <w:rFonts w:ascii="Arial" w:hAnsi="Arial" w:cs="Arial"/>
          <w:sz w:val="16"/>
          <w:szCs w:val="16"/>
        </w:rPr>
        <w:t xml:space="preserve"> I 2018 față de program </w:t>
      </w:r>
      <w:r w:rsidR="00B97D16" w:rsidRPr="008F5405">
        <w:rPr>
          <w:rFonts w:ascii="Arial" w:hAnsi="Arial" w:cs="Arial"/>
          <w:sz w:val="16"/>
          <w:szCs w:val="16"/>
        </w:rPr>
        <w:t>ș</w:t>
      </w:r>
      <w:r w:rsidRPr="008F5405">
        <w:rPr>
          <w:rFonts w:ascii="Arial" w:hAnsi="Arial" w:cs="Arial"/>
          <w:sz w:val="16"/>
          <w:szCs w:val="16"/>
        </w:rPr>
        <w:t>i aceea</w:t>
      </w:r>
      <w:r w:rsidR="00B97D16" w:rsidRPr="008F5405">
        <w:rPr>
          <w:rFonts w:ascii="Arial" w:hAnsi="Arial" w:cs="Arial"/>
          <w:sz w:val="16"/>
          <w:szCs w:val="16"/>
        </w:rPr>
        <w:t>și perioadă</w:t>
      </w:r>
      <w:r w:rsidRPr="008F5405">
        <w:rPr>
          <w:rFonts w:ascii="Arial" w:hAnsi="Arial" w:cs="Arial"/>
          <w:sz w:val="16"/>
          <w:szCs w:val="16"/>
        </w:rPr>
        <w:t xml:space="preserve"> a anului 2017</w:t>
      </w:r>
    </w:p>
    <w:p w:rsidR="008A1756" w:rsidRDefault="008A1756" w:rsidP="005E7DD9">
      <w:pPr>
        <w:ind w:firstLine="720"/>
        <w:jc w:val="center"/>
        <w:rPr>
          <w:rFonts w:ascii="Arial" w:hAnsi="Arial" w:cs="Arial"/>
          <w:i/>
          <w:sz w:val="18"/>
          <w:szCs w:val="18"/>
        </w:rPr>
      </w:pPr>
    </w:p>
    <w:p w:rsidR="008D6716" w:rsidRDefault="008D6716" w:rsidP="005E7DD9">
      <w:pPr>
        <w:ind w:firstLine="720"/>
        <w:jc w:val="center"/>
        <w:rPr>
          <w:rFonts w:ascii="Arial" w:hAnsi="Arial" w:cs="Arial"/>
          <w:i/>
          <w:sz w:val="18"/>
          <w:szCs w:val="18"/>
        </w:rPr>
      </w:pPr>
    </w:p>
    <w:p w:rsidR="009435DD" w:rsidRDefault="009435DD" w:rsidP="00927FAB">
      <w:pPr>
        <w:rPr>
          <w:rFonts w:ascii="Arial" w:hAnsi="Arial" w:cs="Arial"/>
          <w:i/>
          <w:sz w:val="18"/>
          <w:szCs w:val="18"/>
        </w:rPr>
      </w:pPr>
    </w:p>
    <w:p w:rsidR="009435DD" w:rsidRDefault="009435DD" w:rsidP="00927FAB">
      <w:pPr>
        <w:rPr>
          <w:rFonts w:ascii="Arial" w:hAnsi="Arial" w:cs="Arial"/>
          <w:i/>
          <w:sz w:val="18"/>
          <w:szCs w:val="18"/>
        </w:rPr>
      </w:pPr>
    </w:p>
    <w:p w:rsidR="00A533C9" w:rsidRDefault="009435DD" w:rsidP="00A533C9">
      <w:pPr>
        <w:jc w:val="center"/>
        <w:rPr>
          <w:noProof/>
          <w:lang w:val="en-US" w:eastAsia="en-US"/>
        </w:rPr>
      </w:pPr>
      <w:r>
        <w:rPr>
          <w:noProof/>
          <w:lang w:val="en-US" w:eastAsia="en-US"/>
        </w:rPr>
        <w:t xml:space="preserve">                </w:t>
      </w:r>
      <w:r>
        <w:rPr>
          <w:noProof/>
          <w:lang w:val="en-US" w:eastAsia="en-US"/>
        </w:rPr>
        <w:drawing>
          <wp:inline distT="0" distB="0" distL="0" distR="0" wp14:anchorId="1EF1D09C" wp14:editId="2A9E36D8">
            <wp:extent cx="2856865" cy="1805962"/>
            <wp:effectExtent l="0" t="0" r="63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4178" cy="1810585"/>
                    </a:xfrm>
                    <a:prstGeom prst="rect">
                      <a:avLst/>
                    </a:prstGeom>
                  </pic:spPr>
                </pic:pic>
              </a:graphicData>
            </a:graphic>
          </wp:inline>
        </w:drawing>
      </w:r>
    </w:p>
    <w:p w:rsidR="009435DD" w:rsidRPr="00E963DB" w:rsidRDefault="00A533C9" w:rsidP="00A533C9">
      <w:pPr>
        <w:rPr>
          <w:rFonts w:ascii="Arial" w:hAnsi="Arial" w:cs="Arial"/>
          <w:sz w:val="16"/>
          <w:szCs w:val="16"/>
        </w:rPr>
      </w:pPr>
      <w:r>
        <w:rPr>
          <w:rFonts w:ascii="Arial" w:hAnsi="Arial" w:cs="Arial"/>
          <w:sz w:val="16"/>
          <w:szCs w:val="16"/>
        </w:rPr>
        <w:t xml:space="preserve">                                                       </w:t>
      </w:r>
      <w:r w:rsidRPr="008F5405">
        <w:rPr>
          <w:rFonts w:ascii="Arial" w:hAnsi="Arial" w:cs="Arial"/>
          <w:sz w:val="16"/>
          <w:szCs w:val="16"/>
        </w:rPr>
        <w:t>Grafic-2 – Evoluția investițiilor totale realizate</w:t>
      </w:r>
      <w:r>
        <w:rPr>
          <w:rFonts w:ascii="Arial" w:hAnsi="Arial" w:cs="Arial"/>
          <w:sz w:val="16"/>
          <w:szCs w:val="16"/>
        </w:rPr>
        <w:t xml:space="preserve"> </w:t>
      </w:r>
      <w:r w:rsidRPr="008F5405">
        <w:rPr>
          <w:rFonts w:ascii="Arial" w:hAnsi="Arial" w:cs="Arial"/>
          <w:sz w:val="16"/>
          <w:szCs w:val="16"/>
        </w:rPr>
        <w:t>față de program Sem.I 2018</w:t>
      </w:r>
    </w:p>
    <w:p w:rsidR="00A533C9" w:rsidRDefault="00A533C9" w:rsidP="00494DDD">
      <w:pPr>
        <w:rPr>
          <w:noProof/>
          <w:lang w:val="en-US" w:eastAsia="en-US"/>
        </w:rPr>
      </w:pPr>
      <w:r>
        <w:rPr>
          <w:noProof/>
          <w:lang w:val="en-US" w:eastAsia="en-US"/>
        </w:rPr>
        <w:t xml:space="preserve">             </w:t>
      </w:r>
      <w:r w:rsidR="009435DD">
        <w:rPr>
          <w:noProof/>
          <w:lang w:val="en-US" w:eastAsia="en-US"/>
        </w:rPr>
        <w:drawing>
          <wp:inline distT="0" distB="0" distL="0" distR="0" wp14:anchorId="3B9A80E9" wp14:editId="33FD279D">
            <wp:extent cx="2512695" cy="18504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18579" cy="1854733"/>
                    </a:xfrm>
                    <a:prstGeom prst="rect">
                      <a:avLst/>
                    </a:prstGeom>
                  </pic:spPr>
                </pic:pic>
              </a:graphicData>
            </a:graphic>
          </wp:inline>
        </w:drawing>
      </w:r>
      <w:r>
        <w:rPr>
          <w:noProof/>
          <w:lang w:val="en-US" w:eastAsia="en-US"/>
        </w:rPr>
        <w:t xml:space="preserve">     </w:t>
      </w:r>
      <w:r w:rsidR="007E5557">
        <w:rPr>
          <w:noProof/>
          <w:lang w:val="en-US" w:eastAsia="en-US"/>
        </w:rPr>
        <w:t xml:space="preserve">      </w:t>
      </w:r>
      <w:r>
        <w:rPr>
          <w:noProof/>
          <w:lang w:val="en-US" w:eastAsia="en-US"/>
        </w:rPr>
        <w:t xml:space="preserve"> </w:t>
      </w:r>
      <w:r w:rsidR="000C38BF">
        <w:rPr>
          <w:noProof/>
          <w:lang w:val="en-US" w:eastAsia="en-US"/>
        </w:rPr>
        <w:drawing>
          <wp:inline distT="0" distB="0" distL="0" distR="0" wp14:anchorId="3855E8BC" wp14:editId="7932B10C">
            <wp:extent cx="2540635" cy="1951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8705" cy="1965077"/>
                    </a:xfrm>
                    <a:prstGeom prst="rect">
                      <a:avLst/>
                    </a:prstGeom>
                  </pic:spPr>
                </pic:pic>
              </a:graphicData>
            </a:graphic>
          </wp:inline>
        </w:drawing>
      </w:r>
    </w:p>
    <w:p w:rsidR="00494DDD" w:rsidRPr="00A533C9" w:rsidRDefault="00A533C9" w:rsidP="007E5557">
      <w:pPr>
        <w:rPr>
          <w:noProof/>
          <w:lang w:val="en-US" w:eastAsia="en-US"/>
        </w:rPr>
      </w:pPr>
      <w:r>
        <w:rPr>
          <w:noProof/>
          <w:lang w:val="en-US" w:eastAsia="en-US"/>
        </w:rPr>
        <w:t xml:space="preserve">           </w:t>
      </w:r>
      <w:r w:rsidR="000C38BF">
        <w:rPr>
          <w:noProof/>
          <w:lang w:val="en-US" w:eastAsia="en-US"/>
        </w:rPr>
        <w:t xml:space="preserve"> </w:t>
      </w:r>
      <w:r w:rsidR="00494DDD" w:rsidRPr="008F5405">
        <w:rPr>
          <w:rFonts w:ascii="Arial" w:hAnsi="Arial" w:cs="Arial"/>
          <w:sz w:val="16"/>
          <w:szCs w:val="16"/>
        </w:rPr>
        <w:t>Grafic-3 – Evoluția investițiilor în domeniul public realizate</w:t>
      </w:r>
      <w:r w:rsidR="007E5557">
        <w:rPr>
          <w:rFonts w:ascii="Arial" w:hAnsi="Arial" w:cs="Arial"/>
          <w:sz w:val="16"/>
          <w:szCs w:val="16"/>
        </w:rPr>
        <w:t xml:space="preserve">          </w:t>
      </w:r>
      <w:r w:rsidR="007E5557" w:rsidRPr="008F5405">
        <w:rPr>
          <w:rFonts w:ascii="Arial" w:hAnsi="Arial" w:cs="Arial"/>
          <w:sz w:val="16"/>
          <w:szCs w:val="16"/>
        </w:rPr>
        <w:t>Grafic 4 – Evoluția investițiilor în domeniul operator</w:t>
      </w:r>
    </w:p>
    <w:p w:rsidR="00304A20" w:rsidRPr="00E6246F" w:rsidRDefault="00A533C9" w:rsidP="00E6246F">
      <w:r>
        <w:rPr>
          <w:rFonts w:ascii="Arial" w:hAnsi="Arial" w:cs="Arial"/>
          <w:sz w:val="16"/>
          <w:szCs w:val="16"/>
        </w:rPr>
        <w:t xml:space="preserve">            </w:t>
      </w:r>
      <w:r w:rsidR="000C38BF">
        <w:rPr>
          <w:rFonts w:ascii="Arial" w:hAnsi="Arial" w:cs="Arial"/>
          <w:sz w:val="16"/>
          <w:szCs w:val="16"/>
        </w:rPr>
        <w:t xml:space="preserve">                         </w:t>
      </w:r>
      <w:r>
        <w:rPr>
          <w:rFonts w:ascii="Arial" w:hAnsi="Arial" w:cs="Arial"/>
          <w:sz w:val="16"/>
          <w:szCs w:val="16"/>
        </w:rPr>
        <w:t xml:space="preserve"> </w:t>
      </w:r>
      <w:r w:rsidR="00494DDD" w:rsidRPr="008F5405">
        <w:rPr>
          <w:rFonts w:ascii="Arial" w:hAnsi="Arial" w:cs="Arial"/>
          <w:sz w:val="16"/>
          <w:szCs w:val="16"/>
        </w:rPr>
        <w:t xml:space="preserve">față de program </w:t>
      </w:r>
      <w:r w:rsidR="00304A20" w:rsidRPr="008F5405">
        <w:rPr>
          <w:rFonts w:ascii="Arial" w:hAnsi="Arial" w:cs="Arial"/>
          <w:sz w:val="16"/>
          <w:szCs w:val="16"/>
        </w:rPr>
        <w:t>Sem</w:t>
      </w:r>
      <w:r w:rsidR="007E5557">
        <w:rPr>
          <w:rFonts w:ascii="Arial" w:hAnsi="Arial" w:cs="Arial"/>
          <w:sz w:val="16"/>
          <w:szCs w:val="16"/>
        </w:rPr>
        <w:t>.</w:t>
      </w:r>
      <w:r w:rsidR="00304A20" w:rsidRPr="008F5405">
        <w:rPr>
          <w:rFonts w:ascii="Arial" w:hAnsi="Arial" w:cs="Arial"/>
          <w:sz w:val="16"/>
          <w:szCs w:val="16"/>
        </w:rPr>
        <w:t xml:space="preserve"> I</w:t>
      </w:r>
      <w:r w:rsidR="00494DDD" w:rsidRPr="008F5405">
        <w:rPr>
          <w:rFonts w:ascii="Arial" w:hAnsi="Arial" w:cs="Arial"/>
          <w:sz w:val="16"/>
          <w:szCs w:val="16"/>
        </w:rPr>
        <w:t xml:space="preserve"> 2018</w:t>
      </w:r>
      <w:r w:rsidR="007E5557">
        <w:rPr>
          <w:rFonts w:ascii="Arial" w:hAnsi="Arial" w:cs="Arial"/>
          <w:sz w:val="16"/>
          <w:szCs w:val="16"/>
        </w:rPr>
        <w:t xml:space="preserve">                                         </w:t>
      </w:r>
      <w:r w:rsidR="007E5557" w:rsidRPr="008F5405">
        <w:rPr>
          <w:rFonts w:ascii="Arial" w:hAnsi="Arial" w:cs="Arial"/>
          <w:sz w:val="16"/>
          <w:szCs w:val="16"/>
        </w:rPr>
        <w:t>realizate</w:t>
      </w:r>
      <w:r w:rsidR="007E5557">
        <w:rPr>
          <w:rFonts w:ascii="Arial" w:hAnsi="Arial" w:cs="Arial"/>
          <w:sz w:val="16"/>
          <w:szCs w:val="16"/>
        </w:rPr>
        <w:t xml:space="preserve"> în Sem. I 2018</w:t>
      </w:r>
      <w:r w:rsidR="007E5557" w:rsidRPr="008F5405">
        <w:rPr>
          <w:rFonts w:ascii="Arial" w:hAnsi="Arial" w:cs="Arial"/>
          <w:sz w:val="16"/>
          <w:szCs w:val="16"/>
        </w:rPr>
        <w:t xml:space="preserve"> față de Sem.I  2017</w:t>
      </w:r>
    </w:p>
    <w:p w:rsidR="00146570" w:rsidRDefault="00146570" w:rsidP="00146570">
      <w:pPr>
        <w:ind w:firstLine="720"/>
        <w:jc w:val="center"/>
        <w:rPr>
          <w:rFonts w:ascii="Arial" w:hAnsi="Arial" w:cs="Arial"/>
          <w:i/>
          <w:sz w:val="18"/>
          <w:szCs w:val="18"/>
        </w:rPr>
      </w:pPr>
    </w:p>
    <w:p w:rsidR="00561116" w:rsidRPr="00146570" w:rsidRDefault="00A533C9" w:rsidP="00146570">
      <w:pPr>
        <w:ind w:firstLine="720"/>
        <w:jc w:val="center"/>
        <w:rPr>
          <w:rFonts w:ascii="Arial" w:hAnsi="Arial" w:cs="Arial"/>
          <w:i/>
          <w:sz w:val="18"/>
          <w:szCs w:val="18"/>
        </w:rPr>
      </w:pPr>
      <w:r>
        <w:rPr>
          <w:rFonts w:ascii="Arial" w:hAnsi="Arial" w:cs="Arial"/>
          <w:i/>
          <w:sz w:val="18"/>
          <w:szCs w:val="18"/>
        </w:rPr>
        <w:t xml:space="preserve">                                         </w:t>
      </w:r>
      <w:r w:rsidR="00E6246F">
        <w:rPr>
          <w:rFonts w:ascii="Arial" w:hAnsi="Arial" w:cs="Arial"/>
          <w:i/>
          <w:sz w:val="18"/>
          <w:szCs w:val="18"/>
        </w:rPr>
        <w:t xml:space="preserve">                 </w:t>
      </w:r>
    </w:p>
    <w:p w:rsidR="002A6388" w:rsidRPr="009828D6" w:rsidRDefault="00304A20" w:rsidP="00170D7E">
      <w:pPr>
        <w:pStyle w:val="ListParagraph"/>
        <w:numPr>
          <w:ilvl w:val="1"/>
          <w:numId w:val="26"/>
        </w:numPr>
        <w:jc w:val="both"/>
        <w:rPr>
          <w:rFonts w:ascii="Arial" w:hAnsi="Arial" w:cs="Arial"/>
          <w:b/>
          <w:color w:val="1F4E79" w:themeColor="accent1" w:themeShade="80"/>
          <w:sz w:val="24"/>
          <w:szCs w:val="24"/>
          <w:lang w:val="en-US"/>
        </w:rPr>
      </w:pPr>
      <w:r w:rsidRPr="009828D6">
        <w:rPr>
          <w:rFonts w:ascii="Arial" w:hAnsi="Arial" w:cs="Arial"/>
          <w:b/>
          <w:color w:val="1F4E79" w:themeColor="accent1" w:themeShade="80"/>
          <w:sz w:val="24"/>
          <w:szCs w:val="24"/>
          <w:lang w:val="en-US"/>
        </w:rPr>
        <w:t xml:space="preserve"> </w:t>
      </w:r>
      <w:r w:rsidR="00F03ACD" w:rsidRPr="009828D6">
        <w:rPr>
          <w:rFonts w:ascii="Arial" w:hAnsi="Arial" w:cs="Arial"/>
          <w:b/>
          <w:color w:val="1F4E79" w:themeColor="accent1" w:themeShade="80"/>
          <w:sz w:val="24"/>
          <w:szCs w:val="24"/>
          <w:lang w:val="en-US"/>
        </w:rPr>
        <w:t>Indicatori bursieri ai so</w:t>
      </w:r>
      <w:r w:rsidR="00494DDD" w:rsidRPr="009828D6">
        <w:rPr>
          <w:rFonts w:ascii="Arial" w:hAnsi="Arial" w:cs="Arial"/>
          <w:b/>
          <w:color w:val="1F4E79" w:themeColor="accent1" w:themeShade="80"/>
          <w:sz w:val="24"/>
          <w:szCs w:val="24"/>
          <w:lang w:val="en-US"/>
        </w:rPr>
        <w:t>cietății</w:t>
      </w:r>
      <w:r w:rsidR="00AF7555" w:rsidRPr="009828D6">
        <w:rPr>
          <w:rFonts w:ascii="Arial" w:hAnsi="Arial" w:cs="Arial"/>
          <w:b/>
          <w:color w:val="1F4E79" w:themeColor="accent1" w:themeShade="80"/>
          <w:sz w:val="24"/>
          <w:szCs w:val="24"/>
          <w:lang w:val="en-US"/>
        </w:rPr>
        <w:t xml:space="preserve"> </w:t>
      </w:r>
    </w:p>
    <w:p w:rsidR="00D167B7" w:rsidRPr="00D167B7" w:rsidRDefault="00D167B7" w:rsidP="00D167B7">
      <w:pPr>
        <w:tabs>
          <w:tab w:val="left" w:pos="450"/>
        </w:tabs>
        <w:jc w:val="both"/>
        <w:rPr>
          <w:rFonts w:ascii="Arial" w:hAnsi="Arial" w:cs="Arial"/>
          <w:sz w:val="22"/>
          <w:szCs w:val="22"/>
        </w:rPr>
      </w:pPr>
      <w:r w:rsidRPr="00D167B7">
        <w:rPr>
          <w:rFonts w:ascii="Arial" w:hAnsi="Arial" w:cs="Arial"/>
          <w:sz w:val="22"/>
          <w:szCs w:val="22"/>
        </w:rPr>
        <w:t>La data de 30.06.2018, CONPET S.A. avea o capitalizare bursieră de 779,18 mil lei (167,16 mil euro), ocupând poziţia 18 în “Top 25 al emitenţilor după capitalizare”.</w:t>
      </w:r>
    </w:p>
    <w:p w:rsidR="00D167B7" w:rsidRDefault="00D167B7" w:rsidP="00494DDD">
      <w:pPr>
        <w:tabs>
          <w:tab w:val="left" w:pos="450"/>
        </w:tabs>
        <w:jc w:val="both"/>
        <w:rPr>
          <w:rFonts w:ascii="Arial" w:hAnsi="Arial" w:cs="Arial"/>
          <w:sz w:val="22"/>
          <w:szCs w:val="22"/>
        </w:rPr>
      </w:pPr>
    </w:p>
    <w:p w:rsidR="00494DDD" w:rsidRPr="00494DDD" w:rsidRDefault="00494DDD" w:rsidP="00494DDD">
      <w:pPr>
        <w:tabs>
          <w:tab w:val="left" w:pos="450"/>
        </w:tabs>
        <w:jc w:val="both"/>
        <w:rPr>
          <w:rFonts w:ascii="Arial" w:hAnsi="Arial" w:cs="Arial"/>
          <w:sz w:val="22"/>
          <w:szCs w:val="22"/>
        </w:rPr>
      </w:pPr>
      <w:r w:rsidRPr="00494DDD">
        <w:rPr>
          <w:rFonts w:ascii="Arial" w:hAnsi="Arial" w:cs="Arial"/>
          <w:sz w:val="22"/>
          <w:szCs w:val="22"/>
        </w:rPr>
        <w:t xml:space="preserve">În prezent, societatea CONPET S.A. este inclusă în 7 indici din totalul de 9, respectiv </w:t>
      </w:r>
      <w:r w:rsidRPr="00494DDD">
        <w:rPr>
          <w:rFonts w:ascii="Arial" w:hAnsi="Arial" w:cs="Arial"/>
          <w:b/>
          <w:i/>
          <w:sz w:val="22"/>
          <w:szCs w:val="22"/>
        </w:rPr>
        <w:t>BET, BET-TR, BET-XT, BET-XT-TR, BET-BK, BET-NG și BET Plus</w:t>
      </w:r>
      <w:r w:rsidRPr="00494DDD">
        <w:rPr>
          <w:rFonts w:ascii="Arial" w:hAnsi="Arial" w:cs="Arial"/>
          <w:sz w:val="22"/>
          <w:szCs w:val="22"/>
        </w:rPr>
        <w:t>. Această realizare a companiei indică performanță, stabilitate economico-financiară, transparență, vizibilitate sporită și un interes crescut al investitorilor.</w:t>
      </w:r>
    </w:p>
    <w:p w:rsidR="00494DDD" w:rsidRDefault="00494DDD" w:rsidP="00494DDD">
      <w:pPr>
        <w:tabs>
          <w:tab w:val="left" w:pos="450"/>
        </w:tabs>
        <w:jc w:val="both"/>
        <w:rPr>
          <w:rFonts w:ascii="Arial" w:hAnsi="Arial" w:cs="Arial"/>
        </w:rPr>
      </w:pPr>
    </w:p>
    <w:p w:rsidR="00D167B7" w:rsidRDefault="00D167B7" w:rsidP="00D167B7">
      <w:pPr>
        <w:spacing w:line="276" w:lineRule="auto"/>
        <w:jc w:val="both"/>
        <w:rPr>
          <w:rFonts w:ascii="Arial" w:hAnsi="Arial" w:cs="Arial"/>
          <w:color w:val="0F0F0F"/>
          <w:sz w:val="22"/>
          <w:szCs w:val="22"/>
          <w:shd w:val="clear" w:color="auto" w:fill="FFFFFF"/>
        </w:rPr>
      </w:pPr>
      <w:r w:rsidRPr="006A2E17">
        <w:rPr>
          <w:rFonts w:ascii="Arial" w:hAnsi="Arial" w:cs="Arial"/>
          <w:sz w:val="22"/>
          <w:szCs w:val="22"/>
        </w:rPr>
        <w:t>În data de 20.06.2018, c</w:t>
      </w:r>
      <w:r w:rsidRPr="006A2E17">
        <w:rPr>
          <w:rFonts w:ascii="Arial" w:hAnsi="Arial" w:cs="Arial"/>
          <w:color w:val="0F0F0F"/>
          <w:sz w:val="22"/>
          <w:szCs w:val="22"/>
          <w:shd w:val="clear" w:color="auto" w:fill="FFFFFF"/>
        </w:rPr>
        <w:t>ompania</w:t>
      </w:r>
      <w:r w:rsidRPr="006A2E17">
        <w:rPr>
          <w:rFonts w:ascii="Arial" w:hAnsi="Arial" w:cs="Arial"/>
          <w:color w:val="000000"/>
          <w:sz w:val="22"/>
          <w:szCs w:val="22"/>
          <w:shd w:val="clear" w:color="auto" w:fill="FFFFFF"/>
        </w:rPr>
        <w:t xml:space="preserve"> FTSE </w:t>
      </w:r>
      <w:r w:rsidRPr="006A2E17">
        <w:rPr>
          <w:rFonts w:ascii="Arial" w:hAnsi="Arial" w:cs="Arial"/>
          <w:sz w:val="22"/>
          <w:szCs w:val="22"/>
        </w:rPr>
        <w:t>Russell</w:t>
      </w:r>
      <w:r w:rsidRPr="006A2E17">
        <w:rPr>
          <w:rFonts w:ascii="Arial" w:hAnsi="Arial" w:cs="Arial"/>
          <w:color w:val="0F0F0F"/>
          <w:sz w:val="22"/>
          <w:szCs w:val="22"/>
          <w:shd w:val="clear" w:color="auto" w:fill="FFFFFF"/>
        </w:rPr>
        <w:t xml:space="preserve"> a decis includerea în indicele </w:t>
      </w:r>
      <w:r w:rsidRPr="006A2E17">
        <w:rPr>
          <w:rFonts w:ascii="Arial" w:hAnsi="Arial" w:cs="Arial"/>
          <w:sz w:val="22"/>
          <w:szCs w:val="22"/>
        </w:rPr>
        <w:t>FTSE Frontier Markets</w:t>
      </w:r>
      <w:r w:rsidRPr="006A2E17">
        <w:rPr>
          <w:rFonts w:ascii="Arial" w:hAnsi="Arial" w:cs="Arial"/>
          <w:color w:val="0F0F0F"/>
          <w:sz w:val="22"/>
          <w:szCs w:val="22"/>
          <w:shd w:val="clear" w:color="auto" w:fill="FFFFFF"/>
        </w:rPr>
        <w:t xml:space="preserve"> a societății CONPET S.A..</w:t>
      </w:r>
    </w:p>
    <w:p w:rsidR="00D167B7" w:rsidRDefault="00D167B7" w:rsidP="00D167B7">
      <w:pPr>
        <w:spacing w:line="276" w:lineRule="auto"/>
        <w:jc w:val="both"/>
        <w:rPr>
          <w:rFonts w:ascii="Arial" w:hAnsi="Arial" w:cs="Arial"/>
          <w:color w:val="000000"/>
          <w:sz w:val="22"/>
          <w:szCs w:val="22"/>
          <w:shd w:val="clear" w:color="auto" w:fill="FFFFFF"/>
        </w:rPr>
      </w:pPr>
    </w:p>
    <w:p w:rsidR="008F5405" w:rsidRDefault="00D167B7" w:rsidP="00D167B7">
      <w:pPr>
        <w:spacing w:line="276" w:lineRule="auto"/>
        <w:jc w:val="both"/>
        <w:rPr>
          <w:rFonts w:ascii="Arial" w:hAnsi="Arial" w:cs="Arial"/>
          <w:b/>
          <w:i/>
          <w:sz w:val="22"/>
          <w:szCs w:val="22"/>
        </w:rPr>
      </w:pPr>
      <w:r w:rsidRPr="006A2E17">
        <w:rPr>
          <w:rFonts w:ascii="Arial" w:hAnsi="Arial" w:cs="Arial"/>
          <w:color w:val="000000"/>
          <w:sz w:val="22"/>
          <w:szCs w:val="22"/>
          <w:shd w:val="clear" w:color="auto" w:fill="FFFFFF"/>
        </w:rPr>
        <w:t xml:space="preserve">FTSE </w:t>
      </w:r>
      <w:r w:rsidRPr="006A2E17">
        <w:rPr>
          <w:rFonts w:ascii="Arial" w:hAnsi="Arial" w:cs="Arial"/>
          <w:sz w:val="22"/>
          <w:szCs w:val="22"/>
        </w:rPr>
        <w:t>Russell</w:t>
      </w:r>
      <w:r w:rsidRPr="006A2E17">
        <w:rPr>
          <w:rFonts w:ascii="Arial" w:hAnsi="Arial" w:cs="Arial"/>
          <w:color w:val="000000"/>
          <w:sz w:val="22"/>
          <w:szCs w:val="22"/>
          <w:shd w:val="clear" w:color="auto" w:fill="FFFFFF"/>
        </w:rPr>
        <w:t xml:space="preserve"> reprezintă </w:t>
      </w:r>
      <w:r w:rsidRPr="006A2E17">
        <w:rPr>
          <w:rFonts w:ascii="Arial" w:hAnsi="Arial" w:cs="Arial"/>
          <w:color w:val="0F0F0F"/>
          <w:sz w:val="22"/>
          <w:szCs w:val="22"/>
          <w:shd w:val="clear" w:color="auto" w:fill="FFFFFF"/>
        </w:rPr>
        <w:t xml:space="preserve">una dintre cele mai mari agenţii de evaluare financiară la nivel mondial. Aceasta furnizează date financiare pentru investitorii internaționali, realizează și </w:t>
      </w:r>
      <w:r w:rsidRPr="006A2E17">
        <w:rPr>
          <w:rFonts w:ascii="Arial" w:hAnsi="Arial" w:cs="Arial"/>
          <w:color w:val="000000"/>
          <w:sz w:val="22"/>
          <w:szCs w:val="22"/>
          <w:shd w:val="clear" w:color="auto" w:fill="FFFFFF"/>
        </w:rPr>
        <w:t>revizuieşte anual clasificarea ţărilor, din punct de vedere a piețelor de capital, în cele patru categorii - pieţe de capital dezvoltate, pieţe de capital emergente avansate, pieţe de capital emergente secundare şi pieţe de capital de frontieră, prin analizarea a 21 de criterii care urmăresc cadrul de reglementare, custodia şi decontarea, cadrul de tranzacţionare și operaţiunile cu derivative.</w:t>
      </w:r>
      <w:r w:rsidRPr="006A2E17">
        <w:rPr>
          <w:rFonts w:ascii="Arial" w:hAnsi="Arial" w:cs="Arial"/>
          <w:b/>
          <w:i/>
          <w:sz w:val="22"/>
          <w:szCs w:val="22"/>
        </w:rPr>
        <w:t xml:space="preserve"> </w:t>
      </w:r>
    </w:p>
    <w:p w:rsidR="000E4247" w:rsidRDefault="000E4247" w:rsidP="00D167B7">
      <w:pPr>
        <w:spacing w:line="276" w:lineRule="auto"/>
        <w:jc w:val="both"/>
        <w:rPr>
          <w:rFonts w:ascii="Arial" w:hAnsi="Arial" w:cs="Arial"/>
          <w:b/>
          <w:i/>
          <w:sz w:val="22"/>
          <w:szCs w:val="22"/>
        </w:rPr>
      </w:pPr>
    </w:p>
    <w:p w:rsidR="00D167B7" w:rsidRPr="006A2E17" w:rsidRDefault="00D167B7" w:rsidP="00D167B7">
      <w:pPr>
        <w:spacing w:line="276" w:lineRule="auto"/>
        <w:jc w:val="both"/>
        <w:rPr>
          <w:rFonts w:ascii="Arial" w:hAnsi="Arial" w:cs="Arial"/>
          <w:sz w:val="22"/>
          <w:szCs w:val="22"/>
        </w:rPr>
      </w:pPr>
      <w:r w:rsidRPr="006A2E17">
        <w:rPr>
          <w:rFonts w:ascii="Arial" w:hAnsi="Arial" w:cs="Arial"/>
          <w:b/>
          <w:i/>
          <w:sz w:val="22"/>
          <w:szCs w:val="22"/>
        </w:rPr>
        <w:t>Indicele FTSE Frontier Markets</w:t>
      </w:r>
      <w:r w:rsidRPr="006A2E17">
        <w:rPr>
          <w:rFonts w:ascii="Arial" w:hAnsi="Arial" w:cs="Arial"/>
          <w:sz w:val="22"/>
          <w:szCs w:val="22"/>
        </w:rPr>
        <w:t xml:space="preserve"> urmărește evoluția piețelor de frontieră și este alcătuit din aproximativ 400 de companii. FTSE Frontier a înregistrat un randament de aproximativ 21% în ultimii 5 ani. Orice modificare intervenită în structura indicelui este </w:t>
      </w:r>
      <w:r w:rsidR="005064A9">
        <w:rPr>
          <w:rFonts w:ascii="Arial" w:hAnsi="Arial" w:cs="Arial"/>
          <w:sz w:val="22"/>
          <w:szCs w:val="22"/>
        </w:rPr>
        <w:t>atent urmă</w:t>
      </w:r>
      <w:r w:rsidRPr="006A2E17">
        <w:rPr>
          <w:rFonts w:ascii="Arial" w:hAnsi="Arial" w:cs="Arial"/>
          <w:sz w:val="22"/>
          <w:szCs w:val="22"/>
        </w:rPr>
        <w:t>rită de managerii internaționali de fonduri de investiții, care își aliniază portofoliile la indice.</w:t>
      </w:r>
    </w:p>
    <w:p w:rsidR="00556136" w:rsidRDefault="00D167B7" w:rsidP="005064A9">
      <w:pPr>
        <w:shd w:val="clear" w:color="auto" w:fill="FFFFFF"/>
        <w:spacing w:before="115" w:line="276" w:lineRule="auto"/>
        <w:jc w:val="both"/>
        <w:rPr>
          <w:rFonts w:ascii="Arial" w:hAnsi="Arial" w:cs="Arial"/>
          <w:sz w:val="22"/>
          <w:szCs w:val="22"/>
        </w:rPr>
      </w:pPr>
      <w:r w:rsidRPr="006A2E17">
        <w:rPr>
          <w:rFonts w:ascii="Arial" w:hAnsi="Arial" w:cs="Arial"/>
          <w:sz w:val="22"/>
          <w:szCs w:val="22"/>
        </w:rPr>
        <w:t xml:space="preserve">Includerea în componența indicelui FTSE Frontier Markets este benefică pentru companie prin </w:t>
      </w:r>
      <w:r w:rsidR="00E963DB">
        <w:rPr>
          <w:rFonts w:ascii="Arial" w:hAnsi="Arial" w:cs="Arial"/>
          <w:sz w:val="22"/>
          <w:szCs w:val="22"/>
        </w:rPr>
        <w:t xml:space="preserve"> </w:t>
      </w:r>
      <w:r w:rsidRPr="006A2E17">
        <w:rPr>
          <w:rFonts w:ascii="Arial" w:hAnsi="Arial" w:cs="Arial"/>
          <w:sz w:val="22"/>
          <w:szCs w:val="22"/>
        </w:rPr>
        <w:lastRenderedPageBreak/>
        <w:t>faptul că o parte din investitorii instituționali urmăresc replicarea structurii indicilor ca strategie de</w:t>
      </w:r>
    </w:p>
    <w:p w:rsidR="00561116" w:rsidRDefault="00D167B7" w:rsidP="005064A9">
      <w:pPr>
        <w:shd w:val="clear" w:color="auto" w:fill="FFFFFF"/>
        <w:spacing w:before="115" w:line="276" w:lineRule="auto"/>
        <w:jc w:val="both"/>
        <w:rPr>
          <w:rFonts w:ascii="Arial" w:hAnsi="Arial" w:cs="Arial"/>
          <w:sz w:val="22"/>
          <w:szCs w:val="22"/>
        </w:rPr>
      </w:pPr>
      <w:r w:rsidRPr="006A2E17">
        <w:rPr>
          <w:rFonts w:ascii="Arial" w:hAnsi="Arial" w:cs="Arial"/>
          <w:sz w:val="22"/>
          <w:szCs w:val="22"/>
        </w:rPr>
        <w:t>investiție. Desigur, aceasta conduce la creșterea încrederii investitorilor în CONPET S.A., societatea putând fi considerată un etalon pe piața de capital românească</w:t>
      </w:r>
      <w:r w:rsidR="000E4247">
        <w:rPr>
          <w:rFonts w:ascii="Arial" w:hAnsi="Arial" w:cs="Arial"/>
          <w:sz w:val="22"/>
          <w:szCs w:val="22"/>
        </w:rPr>
        <w:t>.</w:t>
      </w:r>
    </w:p>
    <w:p w:rsidR="009E37D7" w:rsidRDefault="009E37D7" w:rsidP="005064A9">
      <w:pPr>
        <w:shd w:val="clear" w:color="auto" w:fill="FFFFFF"/>
        <w:spacing w:before="115" w:line="276" w:lineRule="auto"/>
        <w:jc w:val="both"/>
        <w:rPr>
          <w:rFonts w:ascii="Arial" w:hAnsi="Arial" w:cs="Arial"/>
          <w:b/>
          <w:sz w:val="22"/>
          <w:szCs w:val="22"/>
        </w:rPr>
      </w:pPr>
    </w:p>
    <w:p w:rsidR="00D167B7" w:rsidRPr="009828D6" w:rsidRDefault="00F03ACD" w:rsidP="00170D7E">
      <w:pPr>
        <w:pStyle w:val="ListParagraph"/>
        <w:numPr>
          <w:ilvl w:val="4"/>
          <w:numId w:val="23"/>
        </w:numPr>
        <w:shd w:val="clear" w:color="auto" w:fill="FFFFFF"/>
        <w:spacing w:before="115"/>
        <w:ind w:left="284" w:hanging="284"/>
        <w:rPr>
          <w:rFonts w:ascii="Arial" w:hAnsi="Arial" w:cs="Arial"/>
          <w:b/>
          <w:color w:val="1F4E79" w:themeColor="accent1" w:themeShade="80"/>
          <w:sz w:val="28"/>
          <w:szCs w:val="28"/>
        </w:rPr>
      </w:pPr>
      <w:r w:rsidRPr="009828D6">
        <w:rPr>
          <w:rFonts w:ascii="Arial" w:hAnsi="Arial" w:cs="Arial"/>
          <w:b/>
          <w:color w:val="1F4E79" w:themeColor="accent1" w:themeShade="80"/>
          <w:sz w:val="28"/>
          <w:szCs w:val="28"/>
        </w:rPr>
        <w:t>ANALIZA ACTIVITĂȚII SOCIETĂȚII</w:t>
      </w:r>
    </w:p>
    <w:p w:rsidR="00D167B7" w:rsidRPr="009828D6" w:rsidRDefault="007774D5" w:rsidP="000B5D50">
      <w:pPr>
        <w:shd w:val="clear" w:color="auto" w:fill="FFFFFF"/>
        <w:spacing w:before="115"/>
        <w:rPr>
          <w:rFonts w:ascii="Arial" w:hAnsi="Arial" w:cs="Arial"/>
          <w:b/>
          <w:color w:val="1F4E79" w:themeColor="accent1" w:themeShade="80"/>
          <w:sz w:val="24"/>
          <w:szCs w:val="24"/>
        </w:rPr>
      </w:pPr>
      <w:r w:rsidRPr="009828D6">
        <w:rPr>
          <w:rFonts w:ascii="Arial" w:hAnsi="Arial" w:cs="Arial"/>
          <w:b/>
          <w:color w:val="1F4E79" w:themeColor="accent1" w:themeShade="80"/>
          <w:sz w:val="24"/>
          <w:szCs w:val="24"/>
        </w:rPr>
        <w:t>3.1 Analiza activit</w:t>
      </w:r>
      <w:r w:rsidR="00934797" w:rsidRPr="009828D6">
        <w:rPr>
          <w:rFonts w:ascii="Arial" w:hAnsi="Arial" w:cs="Arial"/>
          <w:b/>
          <w:color w:val="1F4E79" w:themeColor="accent1" w:themeShade="80"/>
          <w:sz w:val="24"/>
          <w:szCs w:val="24"/>
        </w:rPr>
        <w:t>ăț</w:t>
      </w:r>
      <w:r w:rsidRPr="009828D6">
        <w:rPr>
          <w:rFonts w:ascii="Arial" w:hAnsi="Arial" w:cs="Arial"/>
          <w:b/>
          <w:color w:val="1F4E79" w:themeColor="accent1" w:themeShade="80"/>
          <w:sz w:val="24"/>
          <w:szCs w:val="24"/>
        </w:rPr>
        <w:t>ii opera</w:t>
      </w:r>
      <w:r w:rsidR="00934797" w:rsidRPr="009828D6">
        <w:rPr>
          <w:rFonts w:ascii="Arial" w:hAnsi="Arial" w:cs="Arial"/>
          <w:b/>
          <w:color w:val="1F4E79" w:themeColor="accent1" w:themeShade="80"/>
          <w:sz w:val="24"/>
          <w:szCs w:val="24"/>
        </w:rPr>
        <w:t>ț</w:t>
      </w:r>
      <w:r w:rsidRPr="009828D6">
        <w:rPr>
          <w:rFonts w:ascii="Arial" w:hAnsi="Arial" w:cs="Arial"/>
          <w:b/>
          <w:color w:val="1F4E79" w:themeColor="accent1" w:themeShade="80"/>
          <w:sz w:val="24"/>
          <w:szCs w:val="24"/>
        </w:rPr>
        <w:t xml:space="preserve">ionale </w:t>
      </w:r>
    </w:p>
    <w:p w:rsidR="004279F6" w:rsidRPr="009828D6" w:rsidRDefault="004279F6" w:rsidP="004279F6">
      <w:pPr>
        <w:widowControl/>
        <w:overflowPunct w:val="0"/>
        <w:jc w:val="both"/>
        <w:textAlignment w:val="baseline"/>
        <w:rPr>
          <w:b/>
          <w:bCs/>
          <w:color w:val="1F4E79" w:themeColor="accent1" w:themeShade="80"/>
          <w:sz w:val="28"/>
          <w:szCs w:val="28"/>
          <w:lang w:eastAsia="en-US"/>
        </w:rPr>
      </w:pPr>
    </w:p>
    <w:p w:rsidR="004279F6" w:rsidRPr="009828D6" w:rsidRDefault="005064A9" w:rsidP="004279F6">
      <w:pPr>
        <w:widowControl/>
        <w:overflowPunct w:val="0"/>
        <w:jc w:val="both"/>
        <w:textAlignment w:val="baseline"/>
        <w:rPr>
          <w:rFonts w:ascii="Arial" w:hAnsi="Arial" w:cs="Arial"/>
          <w:b/>
          <w:bCs/>
          <w:color w:val="1F4E79" w:themeColor="accent1" w:themeShade="80"/>
          <w:sz w:val="24"/>
          <w:szCs w:val="24"/>
          <w:lang w:eastAsia="en-US"/>
        </w:rPr>
      </w:pPr>
      <w:r w:rsidRPr="009828D6">
        <w:rPr>
          <w:rFonts w:ascii="Arial" w:hAnsi="Arial" w:cs="Arial"/>
          <w:b/>
          <w:bCs/>
          <w:color w:val="1F4E79" w:themeColor="accent1" w:themeShade="80"/>
          <w:sz w:val="24"/>
          <w:szCs w:val="24"/>
          <w:lang w:eastAsia="en-US"/>
        </w:rPr>
        <w:t>3.1.1</w:t>
      </w:r>
      <w:r w:rsidR="004279F6" w:rsidRPr="009828D6">
        <w:rPr>
          <w:rFonts w:ascii="Arial" w:hAnsi="Arial" w:cs="Arial"/>
          <w:b/>
          <w:bCs/>
          <w:color w:val="1F4E79" w:themeColor="accent1" w:themeShade="80"/>
          <w:sz w:val="24"/>
          <w:szCs w:val="24"/>
          <w:lang w:eastAsia="en-US"/>
        </w:rPr>
        <w:t xml:space="preserve"> Cadrul de reglementare </w:t>
      </w:r>
    </w:p>
    <w:p w:rsidR="004279F6" w:rsidRPr="007440B2" w:rsidRDefault="004279F6" w:rsidP="004279F6">
      <w:pPr>
        <w:widowControl/>
        <w:overflowPunct w:val="0"/>
        <w:spacing w:line="276" w:lineRule="auto"/>
        <w:jc w:val="both"/>
        <w:textAlignment w:val="baseline"/>
        <w:rPr>
          <w:rFonts w:ascii="Arial" w:hAnsi="Arial" w:cs="Arial"/>
          <w:sz w:val="24"/>
          <w:szCs w:val="24"/>
          <w:lang w:eastAsia="en-US"/>
        </w:rPr>
      </w:pPr>
    </w:p>
    <w:p w:rsidR="004279F6" w:rsidRPr="004279F6" w:rsidRDefault="004279F6" w:rsidP="004279F6">
      <w:pPr>
        <w:widowControl/>
        <w:overflowPunct w:val="0"/>
        <w:spacing w:line="276" w:lineRule="auto"/>
        <w:jc w:val="both"/>
        <w:textAlignment w:val="baseline"/>
        <w:rPr>
          <w:rFonts w:ascii="Arial" w:hAnsi="Arial" w:cs="Arial"/>
          <w:sz w:val="22"/>
          <w:szCs w:val="22"/>
          <w:lang w:eastAsia="en-US"/>
        </w:rPr>
      </w:pPr>
      <w:r w:rsidRPr="004279F6">
        <w:rPr>
          <w:rFonts w:ascii="Arial" w:hAnsi="Arial" w:cs="Arial"/>
          <w:sz w:val="22"/>
          <w:szCs w:val="22"/>
          <w:lang w:eastAsia="en-US"/>
        </w:rPr>
        <w:t>Obiectul principal de activitate al CONPET se încadrează în codul CA</w:t>
      </w:r>
      <w:r w:rsidR="005064A9">
        <w:rPr>
          <w:rFonts w:ascii="Arial" w:hAnsi="Arial" w:cs="Arial"/>
          <w:sz w:val="22"/>
          <w:szCs w:val="22"/>
          <w:lang w:eastAsia="en-US"/>
        </w:rPr>
        <w:t>EN 4950 – Transporturi prin cond</w:t>
      </w:r>
      <w:r w:rsidRPr="004279F6">
        <w:rPr>
          <w:rFonts w:ascii="Arial" w:hAnsi="Arial" w:cs="Arial"/>
          <w:sz w:val="22"/>
          <w:szCs w:val="22"/>
          <w:lang w:eastAsia="en-US"/>
        </w:rPr>
        <w:t>ucte, activitate definită de lege ca fiind ansamblul activităților pentru operarea conductelor magistrale sau a unor porțiuni din acestea, precum și preluarea, manipularea, dispecerizarea, depozitarea, selecționarea, transmisia și livrarea petrolului la consumatori finali, la distribuitori, la export sau în tranzit.</w:t>
      </w:r>
    </w:p>
    <w:p w:rsidR="004279F6" w:rsidRPr="004279F6" w:rsidRDefault="004279F6" w:rsidP="004279F6">
      <w:pPr>
        <w:widowControl/>
        <w:overflowPunct w:val="0"/>
        <w:spacing w:line="276" w:lineRule="auto"/>
        <w:jc w:val="both"/>
        <w:textAlignment w:val="baseline"/>
        <w:rPr>
          <w:rFonts w:ascii="Arial" w:hAnsi="Arial" w:cs="Arial"/>
          <w:sz w:val="22"/>
          <w:szCs w:val="22"/>
          <w:lang w:eastAsia="en-US"/>
        </w:rPr>
      </w:pPr>
    </w:p>
    <w:p w:rsidR="004279F6" w:rsidRPr="004279F6" w:rsidRDefault="004279F6" w:rsidP="004279F6">
      <w:pPr>
        <w:widowControl/>
        <w:overflowPunct w:val="0"/>
        <w:spacing w:line="276" w:lineRule="auto"/>
        <w:jc w:val="both"/>
        <w:textAlignment w:val="baseline"/>
        <w:rPr>
          <w:rFonts w:ascii="Arial" w:hAnsi="Arial" w:cs="Arial"/>
          <w:sz w:val="22"/>
          <w:szCs w:val="22"/>
          <w:lang w:eastAsia="en-US"/>
        </w:rPr>
      </w:pPr>
      <w:r w:rsidRPr="004279F6">
        <w:rPr>
          <w:rFonts w:ascii="Arial" w:hAnsi="Arial" w:cs="Arial"/>
          <w:sz w:val="22"/>
          <w:szCs w:val="22"/>
        </w:rPr>
        <w:t xml:space="preserve">CONPET este operatorul Sistemului Național de Transport al țițeiului, gazolinei, condensatului și etanului (SNT) în baza </w:t>
      </w:r>
      <w:r w:rsidRPr="004279F6">
        <w:rPr>
          <w:rFonts w:ascii="Arial" w:hAnsi="Arial" w:cs="Arial"/>
          <w:sz w:val="22"/>
          <w:szCs w:val="22"/>
          <w:lang w:eastAsia="en-US"/>
        </w:rPr>
        <w:t xml:space="preserve">Acordului Petrolier de concesiune încheiat cu Agenția Națională pentru Resurse Minerale, aprobat prin H.G. nr. 793/2002. </w:t>
      </w:r>
    </w:p>
    <w:p w:rsidR="004279F6" w:rsidRPr="004279F6" w:rsidRDefault="004279F6" w:rsidP="004279F6">
      <w:pPr>
        <w:widowControl/>
        <w:overflowPunct w:val="0"/>
        <w:spacing w:line="276" w:lineRule="auto"/>
        <w:jc w:val="both"/>
        <w:textAlignment w:val="baseline"/>
        <w:rPr>
          <w:rFonts w:ascii="Arial" w:hAnsi="Arial" w:cs="Arial"/>
          <w:sz w:val="22"/>
          <w:szCs w:val="22"/>
          <w:lang w:eastAsia="en-US"/>
        </w:rPr>
      </w:pPr>
    </w:p>
    <w:p w:rsidR="004279F6" w:rsidRPr="004279F6" w:rsidRDefault="004279F6" w:rsidP="004279F6">
      <w:pPr>
        <w:widowControl/>
        <w:overflowPunct w:val="0"/>
        <w:spacing w:line="276" w:lineRule="auto"/>
        <w:jc w:val="both"/>
        <w:textAlignment w:val="baseline"/>
        <w:rPr>
          <w:rFonts w:ascii="Arial" w:hAnsi="Arial" w:cs="Arial"/>
          <w:sz w:val="22"/>
          <w:szCs w:val="22"/>
          <w:lang w:eastAsia="en-US"/>
        </w:rPr>
      </w:pPr>
      <w:r w:rsidRPr="004279F6">
        <w:rPr>
          <w:rFonts w:ascii="Arial" w:hAnsi="Arial" w:cs="Arial"/>
          <w:sz w:val="22"/>
          <w:szCs w:val="22"/>
        </w:rPr>
        <w:t>Sistemului Național de Transport al țițeiului, gazolinei, condensatului și etanului (SNT), este definit și reglementat prin Legea nr. 238 din 7 iunie 2004 – Legea Petrolului și  Normele metodologice pentru aplicarea Legii Petrolului aprobate prin HG nr. 2075/2004</w:t>
      </w:r>
    </w:p>
    <w:p w:rsidR="004279F6" w:rsidRPr="004279F6" w:rsidRDefault="004279F6" w:rsidP="004279F6">
      <w:pPr>
        <w:widowControl/>
        <w:overflowPunct w:val="0"/>
        <w:spacing w:line="276" w:lineRule="auto"/>
        <w:jc w:val="both"/>
        <w:textAlignment w:val="baseline"/>
        <w:rPr>
          <w:rFonts w:ascii="Arial" w:hAnsi="Arial" w:cs="Arial"/>
          <w:sz w:val="22"/>
          <w:szCs w:val="22"/>
          <w:lang w:eastAsia="en-US"/>
        </w:rPr>
      </w:pPr>
    </w:p>
    <w:p w:rsidR="004279F6" w:rsidRPr="005C09C0" w:rsidRDefault="004279F6" w:rsidP="004279F6">
      <w:pPr>
        <w:widowControl/>
        <w:overflowPunct w:val="0"/>
        <w:spacing w:line="276" w:lineRule="auto"/>
        <w:jc w:val="both"/>
        <w:textAlignment w:val="baseline"/>
        <w:rPr>
          <w:rFonts w:ascii="Arial" w:hAnsi="Arial" w:cs="Arial"/>
          <w:sz w:val="22"/>
          <w:szCs w:val="22"/>
          <w:shd w:val="clear" w:color="auto" w:fill="FFFFFF"/>
        </w:rPr>
      </w:pPr>
      <w:r w:rsidRPr="005C09C0">
        <w:rPr>
          <w:rFonts w:ascii="Arial" w:hAnsi="Arial" w:cs="Arial"/>
          <w:sz w:val="22"/>
          <w:szCs w:val="22"/>
          <w:shd w:val="clear" w:color="auto" w:fill="FFFFFF"/>
        </w:rPr>
        <w:t xml:space="preserve">Activitatea de transport al petrolului prin </w:t>
      </w:r>
      <w:r w:rsidR="005064A9" w:rsidRPr="005C09C0">
        <w:rPr>
          <w:rFonts w:ascii="Arial" w:hAnsi="Arial" w:cs="Arial"/>
          <w:sz w:val="22"/>
          <w:szCs w:val="22"/>
          <w:shd w:val="clear" w:color="auto" w:fill="FFFFFF"/>
        </w:rPr>
        <w:t>S</w:t>
      </w:r>
      <w:r w:rsidRPr="005C09C0">
        <w:rPr>
          <w:rFonts w:ascii="Arial" w:hAnsi="Arial" w:cs="Arial"/>
          <w:sz w:val="22"/>
          <w:szCs w:val="22"/>
          <w:shd w:val="clear" w:color="auto" w:fill="FFFFFF"/>
        </w:rPr>
        <w:t xml:space="preserve">istemul </w:t>
      </w:r>
      <w:r w:rsidR="005064A9" w:rsidRPr="005C09C0">
        <w:rPr>
          <w:rFonts w:ascii="Arial" w:hAnsi="Arial" w:cs="Arial"/>
          <w:sz w:val="22"/>
          <w:szCs w:val="22"/>
          <w:shd w:val="clear" w:color="auto" w:fill="FFFFFF"/>
        </w:rPr>
        <w:t>N</w:t>
      </w:r>
      <w:r w:rsidRPr="005C09C0">
        <w:rPr>
          <w:rFonts w:ascii="Arial" w:hAnsi="Arial" w:cs="Arial"/>
          <w:sz w:val="22"/>
          <w:szCs w:val="22"/>
          <w:shd w:val="clear" w:color="auto" w:fill="FFFFFF"/>
        </w:rPr>
        <w:t xml:space="preserve">ațional de </w:t>
      </w:r>
      <w:r w:rsidR="005064A9" w:rsidRPr="005C09C0">
        <w:rPr>
          <w:rFonts w:ascii="Arial" w:hAnsi="Arial" w:cs="Arial"/>
          <w:sz w:val="22"/>
          <w:szCs w:val="22"/>
          <w:shd w:val="clear" w:color="auto" w:fill="FFFFFF"/>
        </w:rPr>
        <w:t>T</w:t>
      </w:r>
      <w:r w:rsidRPr="005C09C0">
        <w:rPr>
          <w:rFonts w:ascii="Arial" w:hAnsi="Arial" w:cs="Arial"/>
          <w:sz w:val="22"/>
          <w:szCs w:val="22"/>
          <w:shd w:val="clear" w:color="auto" w:fill="FFFFFF"/>
        </w:rPr>
        <w:t xml:space="preserve">ransport constituie un serviciu public de interes național și importanță strategică, fiind inclusă în segmentul reglementat al pieței interne de petrol. Serviciul de transport este prestat în regim de monopol natural pe bază </w:t>
      </w:r>
      <w:r w:rsidR="005064A9" w:rsidRPr="005C09C0">
        <w:rPr>
          <w:rFonts w:ascii="Arial" w:hAnsi="Arial" w:cs="Arial"/>
          <w:sz w:val="22"/>
          <w:szCs w:val="22"/>
          <w:shd w:val="clear" w:color="auto" w:fill="FFFFFF"/>
        </w:rPr>
        <w:t>de tarif stabilit de către A</w:t>
      </w:r>
      <w:r w:rsidR="00672567">
        <w:rPr>
          <w:rFonts w:ascii="Arial" w:hAnsi="Arial" w:cs="Arial"/>
          <w:sz w:val="22"/>
          <w:szCs w:val="22"/>
          <w:shd w:val="clear" w:color="auto" w:fill="FFFFFF"/>
        </w:rPr>
        <w:t>.</w:t>
      </w:r>
      <w:r w:rsidR="005064A9" w:rsidRPr="005C09C0">
        <w:rPr>
          <w:rFonts w:ascii="Arial" w:hAnsi="Arial" w:cs="Arial"/>
          <w:sz w:val="22"/>
          <w:szCs w:val="22"/>
          <w:shd w:val="clear" w:color="auto" w:fill="FFFFFF"/>
        </w:rPr>
        <w:t>N</w:t>
      </w:r>
      <w:r w:rsidR="00672567">
        <w:rPr>
          <w:rFonts w:ascii="Arial" w:hAnsi="Arial" w:cs="Arial"/>
          <w:sz w:val="22"/>
          <w:szCs w:val="22"/>
          <w:shd w:val="clear" w:color="auto" w:fill="FFFFFF"/>
        </w:rPr>
        <w:t>.</w:t>
      </w:r>
      <w:r w:rsidR="005064A9" w:rsidRPr="005C09C0">
        <w:rPr>
          <w:rFonts w:ascii="Arial" w:hAnsi="Arial" w:cs="Arial"/>
          <w:sz w:val="22"/>
          <w:szCs w:val="22"/>
          <w:shd w:val="clear" w:color="auto" w:fill="FFFFFF"/>
        </w:rPr>
        <w:t>R</w:t>
      </w:r>
      <w:r w:rsidR="00672567">
        <w:rPr>
          <w:rFonts w:ascii="Arial" w:hAnsi="Arial" w:cs="Arial"/>
          <w:sz w:val="22"/>
          <w:szCs w:val="22"/>
          <w:shd w:val="clear" w:color="auto" w:fill="FFFFFF"/>
        </w:rPr>
        <w:t>.</w:t>
      </w:r>
      <w:r w:rsidR="005064A9" w:rsidRPr="005C09C0">
        <w:rPr>
          <w:rFonts w:ascii="Arial" w:hAnsi="Arial" w:cs="Arial"/>
          <w:sz w:val="22"/>
          <w:szCs w:val="22"/>
          <w:shd w:val="clear" w:color="auto" w:fill="FFFFFF"/>
        </w:rPr>
        <w:t>M</w:t>
      </w:r>
      <w:r w:rsidR="00672567">
        <w:rPr>
          <w:rFonts w:ascii="Arial" w:hAnsi="Arial" w:cs="Arial"/>
          <w:sz w:val="22"/>
          <w:szCs w:val="22"/>
          <w:shd w:val="clear" w:color="auto" w:fill="FFFFFF"/>
        </w:rPr>
        <w:t>.</w:t>
      </w:r>
      <w:r w:rsidR="005064A9" w:rsidRPr="005C09C0">
        <w:rPr>
          <w:rFonts w:ascii="Arial" w:hAnsi="Arial" w:cs="Arial"/>
          <w:sz w:val="22"/>
          <w:szCs w:val="22"/>
          <w:shd w:val="clear" w:color="auto" w:fill="FFFFFF"/>
        </w:rPr>
        <w:t xml:space="preserve"> (Agenția Națională de Resurse Minerale).</w:t>
      </w:r>
    </w:p>
    <w:p w:rsidR="004279F6" w:rsidRPr="004279F6" w:rsidRDefault="004279F6" w:rsidP="004279F6">
      <w:pPr>
        <w:widowControl/>
        <w:overflowPunct w:val="0"/>
        <w:spacing w:line="276" w:lineRule="auto"/>
        <w:jc w:val="both"/>
        <w:textAlignment w:val="baseline"/>
        <w:rPr>
          <w:rFonts w:ascii="Arial" w:hAnsi="Arial" w:cs="Arial"/>
          <w:color w:val="444444"/>
          <w:sz w:val="22"/>
          <w:szCs w:val="22"/>
          <w:shd w:val="clear" w:color="auto" w:fill="FFFFFF"/>
        </w:rPr>
      </w:pPr>
    </w:p>
    <w:p w:rsidR="005064A9" w:rsidRPr="009828D6" w:rsidRDefault="007440B2" w:rsidP="004279F6">
      <w:pPr>
        <w:widowControl/>
        <w:overflowPunct w:val="0"/>
        <w:spacing w:line="276" w:lineRule="auto"/>
        <w:jc w:val="both"/>
        <w:textAlignment w:val="baseline"/>
        <w:rPr>
          <w:rFonts w:ascii="Arial" w:hAnsi="Arial" w:cs="Arial"/>
          <w:b/>
          <w:color w:val="1F4E79" w:themeColor="accent1" w:themeShade="80"/>
          <w:sz w:val="24"/>
          <w:szCs w:val="24"/>
          <w:lang w:eastAsia="en-US"/>
        </w:rPr>
      </w:pPr>
      <w:r w:rsidRPr="009828D6">
        <w:rPr>
          <w:rFonts w:ascii="Arial" w:hAnsi="Arial" w:cs="Arial"/>
          <w:b/>
          <w:color w:val="1F4E79" w:themeColor="accent1" w:themeShade="80"/>
          <w:sz w:val="24"/>
          <w:szCs w:val="24"/>
          <w:lang w:eastAsia="en-US"/>
        </w:rPr>
        <w:t>3</w:t>
      </w:r>
      <w:r w:rsidR="004279F6" w:rsidRPr="009828D6">
        <w:rPr>
          <w:rFonts w:ascii="Arial" w:hAnsi="Arial" w:cs="Arial"/>
          <w:b/>
          <w:color w:val="1F4E79" w:themeColor="accent1" w:themeShade="80"/>
          <w:sz w:val="24"/>
          <w:szCs w:val="24"/>
          <w:lang w:eastAsia="en-US"/>
        </w:rPr>
        <w:t>.1.2 Activitate</w:t>
      </w:r>
      <w:r w:rsidR="005064A9" w:rsidRPr="009828D6">
        <w:rPr>
          <w:rFonts w:ascii="Arial" w:hAnsi="Arial" w:cs="Arial"/>
          <w:b/>
          <w:color w:val="1F4E79" w:themeColor="accent1" w:themeShade="80"/>
          <w:sz w:val="24"/>
          <w:szCs w:val="24"/>
          <w:lang w:eastAsia="en-US"/>
        </w:rPr>
        <w:t>a de transport țitei, condensat și</w:t>
      </w:r>
      <w:r w:rsidR="004279F6" w:rsidRPr="009828D6">
        <w:rPr>
          <w:rFonts w:ascii="Arial" w:hAnsi="Arial" w:cs="Arial"/>
          <w:b/>
          <w:color w:val="1F4E79" w:themeColor="accent1" w:themeShade="80"/>
          <w:sz w:val="24"/>
          <w:szCs w:val="24"/>
          <w:lang w:eastAsia="en-US"/>
        </w:rPr>
        <w:t xml:space="preserve"> gazolină </w:t>
      </w:r>
    </w:p>
    <w:p w:rsidR="005064A9" w:rsidRDefault="005064A9" w:rsidP="004279F6">
      <w:pPr>
        <w:widowControl/>
        <w:overflowPunct w:val="0"/>
        <w:spacing w:line="276" w:lineRule="auto"/>
        <w:jc w:val="both"/>
        <w:textAlignment w:val="baseline"/>
        <w:rPr>
          <w:rFonts w:ascii="Arial" w:hAnsi="Arial" w:cs="Arial"/>
          <w:b/>
          <w:color w:val="5B9BD5" w:themeColor="accent1"/>
          <w:sz w:val="24"/>
          <w:szCs w:val="24"/>
          <w:lang w:eastAsia="en-US"/>
        </w:rPr>
      </w:pPr>
    </w:p>
    <w:p w:rsidR="004279F6" w:rsidRPr="004279F6" w:rsidRDefault="004279F6" w:rsidP="004279F6">
      <w:pPr>
        <w:widowControl/>
        <w:overflowPunct w:val="0"/>
        <w:spacing w:line="276" w:lineRule="auto"/>
        <w:jc w:val="both"/>
        <w:textAlignment w:val="baseline"/>
        <w:rPr>
          <w:rFonts w:ascii="Arial" w:hAnsi="Arial" w:cs="Arial"/>
          <w:sz w:val="22"/>
          <w:szCs w:val="22"/>
          <w:lang w:eastAsia="en-US"/>
        </w:rPr>
      </w:pPr>
      <w:r w:rsidRPr="004279F6">
        <w:rPr>
          <w:rFonts w:ascii="Arial" w:hAnsi="Arial" w:cs="Arial"/>
          <w:sz w:val="22"/>
          <w:szCs w:val="22"/>
          <w:lang w:eastAsia="en-US"/>
        </w:rPr>
        <w:t>CONPET</w:t>
      </w:r>
      <w:r w:rsidR="00F837E9">
        <w:rPr>
          <w:rFonts w:ascii="Arial" w:hAnsi="Arial" w:cs="Arial"/>
          <w:sz w:val="22"/>
          <w:szCs w:val="22"/>
          <w:lang w:eastAsia="en-US"/>
        </w:rPr>
        <w:t xml:space="preserve"> S.A</w:t>
      </w:r>
      <w:r w:rsidR="00C15E21">
        <w:rPr>
          <w:rFonts w:ascii="Arial" w:hAnsi="Arial" w:cs="Arial"/>
          <w:sz w:val="22"/>
          <w:szCs w:val="22"/>
          <w:lang w:eastAsia="en-US"/>
        </w:rPr>
        <w:t>.</w:t>
      </w:r>
      <w:r w:rsidRPr="004279F6">
        <w:rPr>
          <w:rFonts w:ascii="Arial" w:hAnsi="Arial" w:cs="Arial"/>
          <w:sz w:val="22"/>
          <w:szCs w:val="22"/>
          <w:lang w:eastAsia="en-US"/>
        </w:rPr>
        <w:t xml:space="preserve"> prestează servicii de transport pentru clienții săi atât prin Sistemul Național de Transport, cât și pe calea ferată, de la rampele de încărcare la rafinării pentru zonele petroliere care nu sunt racordate la conductele magistrale de transport.</w:t>
      </w:r>
    </w:p>
    <w:p w:rsidR="004279F6" w:rsidRPr="004279F6" w:rsidRDefault="004279F6" w:rsidP="004279F6">
      <w:pPr>
        <w:widowControl/>
        <w:overflowPunct w:val="0"/>
        <w:spacing w:line="276" w:lineRule="auto"/>
        <w:jc w:val="both"/>
        <w:textAlignment w:val="baseline"/>
        <w:rPr>
          <w:rFonts w:ascii="Arial" w:hAnsi="Arial" w:cs="Arial"/>
          <w:sz w:val="22"/>
          <w:szCs w:val="22"/>
          <w:lang w:eastAsia="en-US"/>
        </w:rPr>
      </w:pPr>
    </w:p>
    <w:p w:rsidR="004279F6" w:rsidRPr="004279F6" w:rsidRDefault="004279F6" w:rsidP="004279F6">
      <w:pPr>
        <w:widowControl/>
        <w:overflowPunct w:val="0"/>
        <w:spacing w:line="276" w:lineRule="auto"/>
        <w:jc w:val="both"/>
        <w:textAlignment w:val="baseline"/>
        <w:rPr>
          <w:rFonts w:ascii="Arial" w:hAnsi="Arial" w:cs="Arial"/>
          <w:sz w:val="22"/>
          <w:szCs w:val="22"/>
          <w:lang w:eastAsia="en-US"/>
        </w:rPr>
      </w:pPr>
      <w:r w:rsidRPr="004279F6">
        <w:rPr>
          <w:rFonts w:ascii="Arial" w:hAnsi="Arial" w:cs="Arial"/>
          <w:sz w:val="22"/>
          <w:szCs w:val="22"/>
          <w:lang w:eastAsia="en-US"/>
        </w:rPr>
        <w:t xml:space="preserve">Capacitatea disponibilă reprezintă diferența dintre capacitatea fizică totală a sistemului și capacitatea angajată prin obligațiile contractuale asumate de către transportator, prin contracte încheiate și în vigoare la data solicitării de către un beneficiar. </w:t>
      </w:r>
    </w:p>
    <w:p w:rsidR="004279F6" w:rsidRPr="004279F6" w:rsidRDefault="004279F6" w:rsidP="004279F6">
      <w:pPr>
        <w:widowControl/>
        <w:overflowPunct w:val="0"/>
        <w:spacing w:line="276" w:lineRule="auto"/>
        <w:jc w:val="both"/>
        <w:textAlignment w:val="baseline"/>
        <w:rPr>
          <w:rFonts w:ascii="Arial" w:hAnsi="Arial" w:cs="Arial"/>
          <w:sz w:val="22"/>
          <w:szCs w:val="22"/>
          <w:lang w:eastAsia="en-US"/>
        </w:rPr>
      </w:pPr>
    </w:p>
    <w:p w:rsidR="00591C58" w:rsidRDefault="004279F6" w:rsidP="004279F6">
      <w:pPr>
        <w:widowControl/>
        <w:overflowPunct w:val="0"/>
        <w:spacing w:line="276" w:lineRule="auto"/>
        <w:jc w:val="both"/>
        <w:textAlignment w:val="baseline"/>
        <w:rPr>
          <w:rFonts w:ascii="Arial" w:hAnsi="Arial" w:cs="Arial"/>
          <w:sz w:val="22"/>
          <w:szCs w:val="22"/>
          <w:lang w:eastAsia="en-US"/>
        </w:rPr>
      </w:pPr>
      <w:r w:rsidRPr="004279F6">
        <w:rPr>
          <w:rFonts w:ascii="Arial" w:hAnsi="Arial" w:cs="Arial"/>
          <w:sz w:val="22"/>
          <w:szCs w:val="22"/>
          <w:lang w:eastAsia="en-US"/>
        </w:rPr>
        <w:t>Având în vedere distribuția naturală a câmpurilor petrolifere aproape pe întreaga suprafață a României, Sistemul Național de Transport a fost construit pentru a satisface nevoile de transport din toate aceste câmpuri până la rafinării.</w:t>
      </w:r>
    </w:p>
    <w:p w:rsidR="00591C58" w:rsidRDefault="00591C58" w:rsidP="004279F6">
      <w:pPr>
        <w:widowControl/>
        <w:overflowPunct w:val="0"/>
        <w:spacing w:line="276" w:lineRule="auto"/>
        <w:jc w:val="both"/>
        <w:textAlignment w:val="baseline"/>
        <w:rPr>
          <w:rFonts w:ascii="Arial" w:hAnsi="Arial" w:cs="Arial"/>
          <w:sz w:val="22"/>
          <w:szCs w:val="22"/>
          <w:lang w:eastAsia="en-US"/>
        </w:rPr>
      </w:pPr>
    </w:p>
    <w:p w:rsidR="004279F6" w:rsidRDefault="004279F6" w:rsidP="004279F6">
      <w:pPr>
        <w:widowControl/>
        <w:overflowPunct w:val="0"/>
        <w:spacing w:line="276" w:lineRule="auto"/>
        <w:jc w:val="both"/>
        <w:textAlignment w:val="baseline"/>
        <w:rPr>
          <w:rFonts w:ascii="Arial" w:hAnsi="Arial" w:cs="Arial"/>
          <w:sz w:val="22"/>
          <w:szCs w:val="22"/>
          <w:lang w:eastAsia="en-US"/>
        </w:rPr>
      </w:pPr>
      <w:r w:rsidRPr="004279F6">
        <w:rPr>
          <w:rFonts w:ascii="Arial" w:hAnsi="Arial" w:cs="Arial"/>
          <w:sz w:val="22"/>
          <w:szCs w:val="22"/>
          <w:lang w:eastAsia="en-US"/>
        </w:rPr>
        <w:t>Operarea sistemului se realizează prin intermediul dispeceratelor locale, coordonate de dispeceratul central al societății.</w:t>
      </w:r>
    </w:p>
    <w:p w:rsidR="007A1062" w:rsidRPr="004279F6" w:rsidRDefault="007A1062" w:rsidP="004279F6">
      <w:pPr>
        <w:widowControl/>
        <w:overflowPunct w:val="0"/>
        <w:spacing w:line="276" w:lineRule="auto"/>
        <w:jc w:val="both"/>
        <w:textAlignment w:val="baseline"/>
        <w:rPr>
          <w:rFonts w:ascii="Arial" w:hAnsi="Arial" w:cs="Arial"/>
          <w:sz w:val="22"/>
          <w:szCs w:val="22"/>
          <w:lang w:eastAsia="en-US"/>
        </w:rPr>
      </w:pPr>
    </w:p>
    <w:p w:rsidR="004279F6" w:rsidRDefault="004279F6" w:rsidP="004279F6">
      <w:pPr>
        <w:widowControl/>
        <w:overflowPunct w:val="0"/>
        <w:spacing w:line="276" w:lineRule="auto"/>
        <w:jc w:val="both"/>
        <w:textAlignment w:val="baseline"/>
        <w:rPr>
          <w:rFonts w:ascii="Arial" w:hAnsi="Arial" w:cs="Arial"/>
          <w:sz w:val="22"/>
          <w:szCs w:val="22"/>
          <w:lang w:eastAsia="en-US"/>
        </w:rPr>
      </w:pPr>
      <w:r w:rsidRPr="004279F6">
        <w:rPr>
          <w:rFonts w:ascii="Arial" w:hAnsi="Arial" w:cs="Arial"/>
          <w:sz w:val="22"/>
          <w:szCs w:val="22"/>
          <w:lang w:eastAsia="en-US"/>
        </w:rPr>
        <w:lastRenderedPageBreak/>
        <w:t xml:space="preserve">Sistemul de transport prin conducte are o lungime de aproximativ </w:t>
      </w:r>
      <w:r w:rsidR="00F837E9">
        <w:rPr>
          <w:rFonts w:ascii="Arial" w:hAnsi="Arial" w:cs="Arial"/>
          <w:sz w:val="22"/>
          <w:szCs w:val="22"/>
          <w:lang w:eastAsia="en-US"/>
        </w:rPr>
        <w:t xml:space="preserve">3.800 km, din care, în prezent </w:t>
      </w:r>
      <w:r w:rsidRPr="004279F6">
        <w:rPr>
          <w:rFonts w:ascii="Arial" w:hAnsi="Arial" w:cs="Arial"/>
          <w:sz w:val="22"/>
          <w:szCs w:val="22"/>
          <w:lang w:eastAsia="en-US"/>
        </w:rPr>
        <w:t>se utilizează pentru t</w:t>
      </w:r>
      <w:r w:rsidR="00D91E95">
        <w:rPr>
          <w:rFonts w:ascii="Arial" w:hAnsi="Arial" w:cs="Arial"/>
          <w:sz w:val="22"/>
          <w:szCs w:val="22"/>
          <w:lang w:eastAsia="en-US"/>
        </w:rPr>
        <w:t>ransportul țițeiului, gazolinei și</w:t>
      </w:r>
      <w:r w:rsidRPr="004279F6">
        <w:rPr>
          <w:rFonts w:ascii="Arial" w:hAnsi="Arial" w:cs="Arial"/>
          <w:sz w:val="22"/>
          <w:szCs w:val="22"/>
          <w:lang w:eastAsia="en-US"/>
        </w:rPr>
        <w:t xml:space="preserve"> condensatului 3.161 km de  conducte. </w:t>
      </w:r>
    </w:p>
    <w:p w:rsidR="004279F6" w:rsidRPr="004279F6" w:rsidRDefault="004279F6" w:rsidP="004279F6">
      <w:pPr>
        <w:widowControl/>
        <w:overflowPunct w:val="0"/>
        <w:spacing w:line="276" w:lineRule="auto"/>
        <w:jc w:val="both"/>
        <w:textAlignment w:val="baseline"/>
        <w:rPr>
          <w:rFonts w:ascii="Arial" w:hAnsi="Arial" w:cs="Arial"/>
          <w:sz w:val="22"/>
          <w:szCs w:val="22"/>
          <w:lang w:eastAsia="en-US"/>
        </w:rPr>
      </w:pPr>
    </w:p>
    <w:p w:rsidR="004279F6" w:rsidRDefault="004279F6" w:rsidP="004279F6">
      <w:pPr>
        <w:widowControl/>
        <w:overflowPunct w:val="0"/>
        <w:spacing w:line="276" w:lineRule="auto"/>
        <w:jc w:val="both"/>
        <w:textAlignment w:val="baseline"/>
        <w:rPr>
          <w:rFonts w:ascii="Arial" w:hAnsi="Arial" w:cs="Arial"/>
          <w:sz w:val="22"/>
          <w:szCs w:val="22"/>
          <w:lang w:eastAsia="en-US"/>
        </w:rPr>
      </w:pPr>
      <w:r w:rsidRPr="004279F6">
        <w:rPr>
          <w:rFonts w:ascii="Arial" w:hAnsi="Arial" w:cs="Arial"/>
          <w:sz w:val="22"/>
          <w:szCs w:val="22"/>
          <w:lang w:eastAsia="en-US"/>
        </w:rPr>
        <w:t>Sistemul Național de Transport al țițeiului, condensatului, gazolinei și etanului are în componență subsisteme de transport, grupate în funcție de produsele transportate, astfel:</w:t>
      </w:r>
    </w:p>
    <w:p w:rsidR="004279F6" w:rsidRPr="004279F6" w:rsidRDefault="004279F6" w:rsidP="004279F6">
      <w:pPr>
        <w:widowControl/>
        <w:overflowPunct w:val="0"/>
        <w:spacing w:line="276" w:lineRule="auto"/>
        <w:jc w:val="both"/>
        <w:textAlignment w:val="baseline"/>
        <w:rPr>
          <w:rFonts w:ascii="Arial" w:hAnsi="Arial" w:cs="Arial"/>
          <w:sz w:val="22"/>
          <w:szCs w:val="22"/>
          <w:lang w:eastAsia="en-US"/>
        </w:rPr>
      </w:pPr>
    </w:p>
    <w:p w:rsidR="004279F6" w:rsidRPr="004279F6" w:rsidRDefault="004279F6" w:rsidP="00170D7E">
      <w:pPr>
        <w:widowControl/>
        <w:numPr>
          <w:ilvl w:val="0"/>
          <w:numId w:val="27"/>
        </w:numPr>
        <w:tabs>
          <w:tab w:val="left" w:pos="270"/>
        </w:tabs>
        <w:overflowPunct w:val="0"/>
        <w:spacing w:line="276" w:lineRule="auto"/>
        <w:ind w:left="0" w:firstLine="0"/>
        <w:jc w:val="both"/>
        <w:textAlignment w:val="baseline"/>
        <w:rPr>
          <w:rFonts w:ascii="Arial" w:hAnsi="Arial" w:cs="Arial"/>
          <w:sz w:val="22"/>
          <w:szCs w:val="22"/>
          <w:lang w:eastAsia="en-US"/>
        </w:rPr>
      </w:pPr>
      <w:r w:rsidRPr="004279F6">
        <w:rPr>
          <w:rFonts w:ascii="Arial" w:hAnsi="Arial" w:cs="Arial"/>
          <w:bCs/>
          <w:sz w:val="22"/>
          <w:szCs w:val="22"/>
          <w:lang w:eastAsia="en-US"/>
        </w:rPr>
        <w:t>Subsistemul de transport țiței și condensat țară</w:t>
      </w:r>
      <w:r w:rsidRPr="004279F6">
        <w:rPr>
          <w:rFonts w:ascii="Arial" w:hAnsi="Arial" w:cs="Arial"/>
          <w:sz w:val="22"/>
          <w:szCs w:val="22"/>
          <w:lang w:eastAsia="en-US"/>
        </w:rPr>
        <w:t xml:space="preserve"> este format din conducte cu o lungime de aproximativ 1.540 km prin care se poate transporta țițeiul și condensatul de la unitățile de producție ale ar</w:t>
      </w:r>
      <w:r w:rsidR="00F837E9">
        <w:rPr>
          <w:rFonts w:ascii="Arial" w:hAnsi="Arial" w:cs="Arial"/>
          <w:sz w:val="22"/>
          <w:szCs w:val="22"/>
          <w:lang w:eastAsia="en-US"/>
        </w:rPr>
        <w:t>iilor de operare OMV Petrom</w:t>
      </w:r>
      <w:r w:rsidRPr="004279F6">
        <w:rPr>
          <w:rFonts w:ascii="Arial" w:hAnsi="Arial" w:cs="Arial"/>
          <w:sz w:val="22"/>
          <w:szCs w:val="22"/>
          <w:lang w:eastAsia="en-US"/>
        </w:rPr>
        <w:t xml:space="preserve"> de pe întreg cuprinsul țării, la rafinării. Producția internă de țiței și condensat este transportată prin conducte,  pe calea ferată cu vagoane cisternă sau combinat (calea ferată și conducte).</w:t>
      </w:r>
    </w:p>
    <w:p w:rsidR="004279F6" w:rsidRPr="004279F6" w:rsidRDefault="004279F6" w:rsidP="004279F6">
      <w:pPr>
        <w:widowControl/>
        <w:tabs>
          <w:tab w:val="left" w:pos="270"/>
        </w:tabs>
        <w:overflowPunct w:val="0"/>
        <w:spacing w:line="276" w:lineRule="auto"/>
        <w:jc w:val="both"/>
        <w:textAlignment w:val="baseline"/>
        <w:rPr>
          <w:rFonts w:ascii="Arial" w:hAnsi="Arial" w:cs="Arial"/>
          <w:sz w:val="22"/>
          <w:szCs w:val="22"/>
          <w:lang w:eastAsia="en-US"/>
        </w:rPr>
      </w:pPr>
    </w:p>
    <w:p w:rsidR="004279F6" w:rsidRPr="004279F6" w:rsidRDefault="004279F6" w:rsidP="00170D7E">
      <w:pPr>
        <w:widowControl/>
        <w:numPr>
          <w:ilvl w:val="0"/>
          <w:numId w:val="27"/>
        </w:numPr>
        <w:tabs>
          <w:tab w:val="left" w:pos="270"/>
        </w:tabs>
        <w:overflowPunct w:val="0"/>
        <w:spacing w:line="276" w:lineRule="auto"/>
        <w:ind w:left="0" w:firstLine="0"/>
        <w:jc w:val="both"/>
        <w:textAlignment w:val="baseline"/>
        <w:rPr>
          <w:rFonts w:ascii="Arial" w:hAnsi="Arial" w:cs="Arial"/>
          <w:sz w:val="22"/>
          <w:szCs w:val="22"/>
          <w:lang w:eastAsia="en-US"/>
        </w:rPr>
      </w:pPr>
      <w:r w:rsidRPr="004279F6">
        <w:rPr>
          <w:rFonts w:ascii="Arial" w:hAnsi="Arial" w:cs="Arial"/>
          <w:bCs/>
          <w:sz w:val="22"/>
          <w:szCs w:val="22"/>
          <w:lang w:eastAsia="en-US"/>
        </w:rPr>
        <w:t>Subsistemul de transport gazolină</w:t>
      </w:r>
      <w:r w:rsidRPr="004279F6">
        <w:rPr>
          <w:rFonts w:ascii="Arial" w:hAnsi="Arial" w:cs="Arial"/>
          <w:sz w:val="22"/>
          <w:szCs w:val="22"/>
          <w:lang w:eastAsia="en-US"/>
        </w:rPr>
        <w:t xml:space="preserve"> este destinat transportului gazolinei de la degazolinările din Ardeal și Oltenia la rafinăria Petrobrazi. Producția internă de gazolină este transportată prin conducte,  pe calea ferată cu vagoane cisternă sau combinat. </w:t>
      </w:r>
    </w:p>
    <w:p w:rsidR="004279F6" w:rsidRPr="004279F6" w:rsidRDefault="004279F6" w:rsidP="004279F6">
      <w:pPr>
        <w:widowControl/>
        <w:tabs>
          <w:tab w:val="left" w:pos="270"/>
        </w:tabs>
        <w:overflowPunct w:val="0"/>
        <w:spacing w:line="276" w:lineRule="auto"/>
        <w:jc w:val="both"/>
        <w:textAlignment w:val="baseline"/>
        <w:rPr>
          <w:rFonts w:ascii="Arial" w:hAnsi="Arial" w:cs="Arial"/>
          <w:sz w:val="22"/>
          <w:szCs w:val="22"/>
          <w:lang w:eastAsia="en-US"/>
        </w:rPr>
      </w:pPr>
    </w:p>
    <w:p w:rsidR="004279F6" w:rsidRPr="004279F6" w:rsidRDefault="004279F6" w:rsidP="00170D7E">
      <w:pPr>
        <w:widowControl/>
        <w:numPr>
          <w:ilvl w:val="0"/>
          <w:numId w:val="27"/>
        </w:numPr>
        <w:tabs>
          <w:tab w:val="left" w:pos="270"/>
        </w:tabs>
        <w:overflowPunct w:val="0"/>
        <w:spacing w:line="276" w:lineRule="auto"/>
        <w:ind w:left="0" w:firstLine="0"/>
        <w:jc w:val="both"/>
        <w:textAlignment w:val="baseline"/>
        <w:rPr>
          <w:rFonts w:ascii="Arial" w:hAnsi="Arial" w:cs="Arial"/>
          <w:sz w:val="22"/>
          <w:szCs w:val="22"/>
          <w:lang w:eastAsia="en-US"/>
        </w:rPr>
      </w:pPr>
      <w:r w:rsidRPr="004279F6">
        <w:rPr>
          <w:rFonts w:ascii="Arial" w:hAnsi="Arial" w:cs="Arial"/>
          <w:bCs/>
          <w:sz w:val="22"/>
          <w:szCs w:val="22"/>
          <w:lang w:eastAsia="en-US"/>
        </w:rPr>
        <w:t>Subsistemul de transport etan</w:t>
      </w:r>
      <w:r w:rsidRPr="004279F6">
        <w:rPr>
          <w:rFonts w:ascii="Arial" w:hAnsi="Arial" w:cs="Arial"/>
          <w:b/>
          <w:bCs/>
          <w:sz w:val="22"/>
          <w:szCs w:val="22"/>
          <w:lang w:eastAsia="en-US"/>
        </w:rPr>
        <w:t xml:space="preserve"> </w:t>
      </w:r>
      <w:r w:rsidRPr="004279F6">
        <w:rPr>
          <w:rFonts w:ascii="Arial" w:hAnsi="Arial" w:cs="Arial"/>
          <w:bCs/>
          <w:sz w:val="22"/>
          <w:szCs w:val="22"/>
          <w:lang w:eastAsia="en-US"/>
        </w:rPr>
        <w:t>asigură</w:t>
      </w:r>
      <w:r w:rsidRPr="004279F6">
        <w:rPr>
          <w:rFonts w:ascii="Arial" w:hAnsi="Arial" w:cs="Arial"/>
          <w:sz w:val="22"/>
          <w:szCs w:val="22"/>
          <w:lang w:eastAsia="en-US"/>
        </w:rPr>
        <w:t xml:space="preserve"> transportul etanului de la platforma de deetanizare Turburea la rafinăria Arpechim Pitești. În prezent, datorită inactivității rafinăriei Arpechim, subsistemul nu este utilizat și numai o porțiune din această conductă este folosită pentru transportul condensatului de la depozitul Totea la rafinăria Petrobrazi.</w:t>
      </w:r>
    </w:p>
    <w:p w:rsidR="004279F6" w:rsidRPr="004279F6" w:rsidRDefault="004279F6" w:rsidP="004279F6">
      <w:pPr>
        <w:widowControl/>
        <w:overflowPunct w:val="0"/>
        <w:spacing w:line="276" w:lineRule="auto"/>
        <w:jc w:val="both"/>
        <w:textAlignment w:val="baseline"/>
        <w:rPr>
          <w:rFonts w:ascii="Arial" w:hAnsi="Arial" w:cs="Arial"/>
          <w:sz w:val="22"/>
          <w:szCs w:val="22"/>
          <w:lang w:eastAsia="en-US"/>
        </w:rPr>
      </w:pPr>
    </w:p>
    <w:p w:rsidR="004279F6" w:rsidRPr="004279F6" w:rsidRDefault="004279F6" w:rsidP="00170D7E">
      <w:pPr>
        <w:widowControl/>
        <w:numPr>
          <w:ilvl w:val="0"/>
          <w:numId w:val="27"/>
        </w:numPr>
        <w:tabs>
          <w:tab w:val="left" w:pos="90"/>
          <w:tab w:val="left" w:pos="270"/>
        </w:tabs>
        <w:overflowPunct w:val="0"/>
        <w:spacing w:line="276" w:lineRule="auto"/>
        <w:ind w:left="0" w:firstLine="0"/>
        <w:jc w:val="both"/>
        <w:textAlignment w:val="baseline"/>
        <w:rPr>
          <w:rFonts w:ascii="Arial" w:hAnsi="Arial" w:cs="Arial"/>
          <w:color w:val="FF0000"/>
          <w:sz w:val="22"/>
          <w:szCs w:val="22"/>
          <w:lang w:eastAsia="en-US"/>
        </w:rPr>
      </w:pPr>
      <w:r w:rsidRPr="004279F6">
        <w:rPr>
          <w:rFonts w:ascii="Arial" w:hAnsi="Arial" w:cs="Arial"/>
          <w:bCs/>
          <w:sz w:val="22"/>
          <w:szCs w:val="22"/>
          <w:lang w:eastAsia="en-US"/>
        </w:rPr>
        <w:t xml:space="preserve">   Subsistemul de transport țiței import</w:t>
      </w:r>
      <w:r w:rsidRPr="004279F6">
        <w:rPr>
          <w:rFonts w:ascii="Arial" w:hAnsi="Arial" w:cs="Arial"/>
          <w:sz w:val="22"/>
          <w:szCs w:val="22"/>
          <w:lang w:eastAsia="en-US"/>
        </w:rPr>
        <w:t xml:space="preserve"> asigură transportul țițeiul de la Oil Terminal Constanța la rafinăriile din Ploiești, Arpechim</w:t>
      </w:r>
      <w:r w:rsidR="00F837E9">
        <w:rPr>
          <w:rFonts w:ascii="Arial" w:hAnsi="Arial" w:cs="Arial"/>
          <w:sz w:val="22"/>
          <w:szCs w:val="22"/>
          <w:lang w:eastAsia="en-US"/>
        </w:rPr>
        <w:t xml:space="preserve"> </w:t>
      </w:r>
      <w:r w:rsidRPr="004279F6">
        <w:rPr>
          <w:rFonts w:ascii="Arial" w:hAnsi="Arial" w:cs="Arial"/>
          <w:sz w:val="22"/>
          <w:szCs w:val="22"/>
          <w:lang w:eastAsia="en-US"/>
        </w:rPr>
        <w:t>Pitești și Midia</w:t>
      </w:r>
      <w:r w:rsidRPr="004279F6">
        <w:rPr>
          <w:rFonts w:ascii="Arial" w:hAnsi="Arial" w:cs="Arial"/>
          <w:color w:val="FF0000"/>
          <w:sz w:val="22"/>
          <w:szCs w:val="22"/>
          <w:lang w:eastAsia="en-US"/>
        </w:rPr>
        <w:t xml:space="preserve">. </w:t>
      </w:r>
    </w:p>
    <w:p w:rsidR="004279F6" w:rsidRPr="004279F6" w:rsidRDefault="004279F6" w:rsidP="004279F6">
      <w:pPr>
        <w:widowControl/>
        <w:overflowPunct w:val="0"/>
        <w:spacing w:line="276" w:lineRule="auto"/>
        <w:jc w:val="both"/>
        <w:textAlignment w:val="baseline"/>
        <w:rPr>
          <w:rFonts w:ascii="Arial" w:hAnsi="Arial" w:cs="Arial"/>
          <w:color w:val="FF0000"/>
          <w:sz w:val="22"/>
          <w:szCs w:val="22"/>
          <w:lang w:eastAsia="en-US"/>
        </w:rPr>
      </w:pPr>
    </w:p>
    <w:p w:rsidR="004279F6" w:rsidRPr="004279F6" w:rsidRDefault="004279F6" w:rsidP="004279F6">
      <w:pPr>
        <w:widowControl/>
        <w:overflowPunct w:val="0"/>
        <w:spacing w:line="276" w:lineRule="auto"/>
        <w:jc w:val="both"/>
        <w:textAlignment w:val="baseline"/>
        <w:rPr>
          <w:rFonts w:ascii="Arial" w:hAnsi="Arial" w:cs="Arial"/>
          <w:sz w:val="22"/>
          <w:szCs w:val="22"/>
          <w:lang w:val="en-GB" w:eastAsia="en-US"/>
        </w:rPr>
      </w:pPr>
      <w:r w:rsidRPr="004279F6">
        <w:rPr>
          <w:rFonts w:ascii="Arial" w:hAnsi="Arial" w:cs="Arial"/>
          <w:sz w:val="22"/>
          <w:szCs w:val="22"/>
          <w:lang w:eastAsia="en-US"/>
        </w:rPr>
        <w:t>Serviciul de transport țiței, condensat, gazolină și etan asigură îndeplinirea sarcinilor ce revin CONPET</w:t>
      </w:r>
      <w:r w:rsidR="00F837E9">
        <w:rPr>
          <w:rFonts w:ascii="Arial" w:hAnsi="Arial" w:cs="Arial"/>
          <w:sz w:val="22"/>
          <w:szCs w:val="22"/>
          <w:lang w:eastAsia="en-US"/>
        </w:rPr>
        <w:t xml:space="preserve"> S.A.</w:t>
      </w:r>
      <w:r w:rsidRPr="004279F6">
        <w:rPr>
          <w:rFonts w:ascii="Arial" w:hAnsi="Arial" w:cs="Arial"/>
          <w:sz w:val="22"/>
          <w:szCs w:val="22"/>
          <w:lang w:eastAsia="en-US"/>
        </w:rPr>
        <w:t xml:space="preserve"> din programul propriu și anume, de a oferi </w:t>
      </w:r>
      <w:r w:rsidRPr="004279F6">
        <w:rPr>
          <w:rFonts w:ascii="Arial" w:hAnsi="Arial" w:cs="Arial"/>
          <w:sz w:val="22"/>
          <w:szCs w:val="22"/>
          <w:lang w:val="en-GB" w:eastAsia="en-US"/>
        </w:rPr>
        <w:t>accesul liber la capacitatea disponibilă a sistemului, tuturor solicitanţilor, persoane juridice autorizate, în condiţii egale, în mod nediscriminatoriu şi transparent.</w:t>
      </w:r>
    </w:p>
    <w:p w:rsidR="004279F6" w:rsidRPr="004279F6" w:rsidRDefault="004279F6" w:rsidP="004279F6">
      <w:pPr>
        <w:widowControl/>
        <w:overflowPunct w:val="0"/>
        <w:spacing w:line="276" w:lineRule="auto"/>
        <w:jc w:val="both"/>
        <w:textAlignment w:val="baseline"/>
        <w:rPr>
          <w:rFonts w:ascii="Arial" w:hAnsi="Arial" w:cs="Arial"/>
          <w:sz w:val="22"/>
          <w:szCs w:val="22"/>
          <w:lang w:val="en-GB" w:eastAsia="en-US"/>
        </w:rPr>
      </w:pPr>
    </w:p>
    <w:p w:rsidR="004279F6" w:rsidRPr="004279F6" w:rsidRDefault="004279F6" w:rsidP="004279F6">
      <w:pPr>
        <w:widowControl/>
        <w:overflowPunct w:val="0"/>
        <w:spacing w:line="276" w:lineRule="auto"/>
        <w:jc w:val="both"/>
        <w:textAlignment w:val="baseline"/>
        <w:rPr>
          <w:rFonts w:ascii="Arial" w:hAnsi="Arial" w:cs="Arial"/>
          <w:color w:val="FF0000"/>
          <w:sz w:val="22"/>
          <w:szCs w:val="22"/>
          <w:lang w:eastAsia="en-US"/>
        </w:rPr>
      </w:pPr>
      <w:r w:rsidRPr="004279F6">
        <w:rPr>
          <w:rFonts w:ascii="Arial" w:hAnsi="Arial" w:cs="Arial"/>
          <w:sz w:val="22"/>
          <w:szCs w:val="22"/>
          <w:lang w:val="en-GB" w:eastAsia="en-US"/>
        </w:rPr>
        <w:t>Contractele de transport semnate cu benefic</w:t>
      </w:r>
      <w:r w:rsidR="00030965">
        <w:rPr>
          <w:rFonts w:ascii="Arial" w:hAnsi="Arial" w:cs="Arial"/>
          <w:sz w:val="22"/>
          <w:szCs w:val="22"/>
          <w:lang w:val="en-GB" w:eastAsia="en-US"/>
        </w:rPr>
        <w:t xml:space="preserve">iarii serviciilor sunt conforme </w:t>
      </w:r>
      <w:r w:rsidRPr="004279F6">
        <w:rPr>
          <w:rFonts w:ascii="Arial" w:hAnsi="Arial" w:cs="Arial"/>
          <w:sz w:val="22"/>
          <w:szCs w:val="22"/>
          <w:lang w:val="en-GB" w:eastAsia="en-US"/>
        </w:rPr>
        <w:t xml:space="preserve">contractului-cadru reglementat și asigură cadrul legal pentru prestarea serviciilor de transport. </w:t>
      </w:r>
    </w:p>
    <w:p w:rsidR="00591C58" w:rsidRDefault="00591C58" w:rsidP="004279F6">
      <w:pPr>
        <w:widowControl/>
        <w:spacing w:line="276" w:lineRule="auto"/>
        <w:jc w:val="both"/>
        <w:rPr>
          <w:rFonts w:ascii="Arial" w:hAnsi="Arial" w:cs="Arial"/>
          <w:sz w:val="22"/>
          <w:szCs w:val="22"/>
        </w:rPr>
      </w:pPr>
    </w:p>
    <w:p w:rsidR="004279F6" w:rsidRPr="004279F6" w:rsidRDefault="004279F6" w:rsidP="004279F6">
      <w:pPr>
        <w:widowControl/>
        <w:spacing w:line="276" w:lineRule="auto"/>
        <w:jc w:val="both"/>
        <w:rPr>
          <w:rFonts w:ascii="Arial" w:hAnsi="Arial" w:cs="Arial"/>
          <w:sz w:val="22"/>
          <w:szCs w:val="22"/>
        </w:rPr>
      </w:pPr>
      <w:r w:rsidRPr="004279F6">
        <w:rPr>
          <w:rFonts w:ascii="Arial" w:hAnsi="Arial" w:cs="Arial"/>
          <w:sz w:val="22"/>
          <w:szCs w:val="22"/>
        </w:rPr>
        <w:t>Transportul cantităților de țiței se realizează de la punctele de predare d</w:t>
      </w:r>
      <w:r w:rsidR="00F837E9">
        <w:rPr>
          <w:rFonts w:ascii="Arial" w:hAnsi="Arial" w:cs="Arial"/>
          <w:sz w:val="22"/>
          <w:szCs w:val="22"/>
        </w:rPr>
        <w:t>e către producători/importatori</w:t>
      </w:r>
      <w:r w:rsidRPr="004279F6">
        <w:rPr>
          <w:rFonts w:ascii="Arial" w:hAnsi="Arial" w:cs="Arial"/>
          <w:sz w:val="22"/>
          <w:szCs w:val="22"/>
        </w:rPr>
        <w:t xml:space="preserve"> la unităţile de prelucrare, prin staţiile de pompare, rampele de încărcare-descărcare pe calea ferată, precum şi toate instalaţiile, echipamentele şi dotările aferente acestora.</w:t>
      </w:r>
    </w:p>
    <w:p w:rsidR="00591C58" w:rsidRDefault="00591C58" w:rsidP="004279F6">
      <w:pPr>
        <w:widowControl/>
        <w:overflowPunct w:val="0"/>
        <w:spacing w:line="276" w:lineRule="auto"/>
        <w:jc w:val="both"/>
        <w:textAlignment w:val="baseline"/>
        <w:rPr>
          <w:rFonts w:ascii="Arial" w:hAnsi="Arial" w:cs="Arial"/>
          <w:sz w:val="22"/>
          <w:szCs w:val="22"/>
          <w:lang w:eastAsia="en-US"/>
        </w:rPr>
      </w:pPr>
    </w:p>
    <w:p w:rsidR="002B304E" w:rsidRDefault="004279F6" w:rsidP="004279F6">
      <w:pPr>
        <w:widowControl/>
        <w:overflowPunct w:val="0"/>
        <w:spacing w:line="276" w:lineRule="auto"/>
        <w:jc w:val="both"/>
        <w:textAlignment w:val="baseline"/>
        <w:rPr>
          <w:rFonts w:ascii="Arial" w:hAnsi="Arial" w:cs="Arial"/>
          <w:sz w:val="22"/>
          <w:szCs w:val="22"/>
          <w:lang w:eastAsia="en-US"/>
        </w:rPr>
      </w:pPr>
      <w:r w:rsidRPr="009C2595">
        <w:rPr>
          <w:rFonts w:ascii="Arial" w:hAnsi="Arial" w:cs="Arial"/>
          <w:sz w:val="22"/>
          <w:szCs w:val="22"/>
          <w:lang w:eastAsia="en-US"/>
        </w:rPr>
        <w:t>Activitatea de transport pe produse</w:t>
      </w:r>
      <w:r w:rsidR="006718A7">
        <w:rPr>
          <w:rFonts w:ascii="Arial" w:hAnsi="Arial" w:cs="Arial"/>
          <w:sz w:val="22"/>
          <w:szCs w:val="22"/>
          <w:lang w:eastAsia="en-US"/>
        </w:rPr>
        <w:t>:</w:t>
      </w:r>
      <w:r w:rsidR="004A5D9D">
        <w:rPr>
          <w:rFonts w:ascii="Arial" w:hAnsi="Arial" w:cs="Arial"/>
          <w:sz w:val="22"/>
          <w:szCs w:val="22"/>
          <w:lang w:eastAsia="en-US"/>
        </w:rPr>
        <w:t xml:space="preserve"> </w:t>
      </w:r>
      <w:r w:rsidRPr="009C2595">
        <w:rPr>
          <w:rFonts w:ascii="Arial" w:hAnsi="Arial" w:cs="Arial"/>
          <w:sz w:val="22"/>
          <w:szCs w:val="22"/>
          <w:lang w:eastAsia="en-US"/>
        </w:rPr>
        <w:t xml:space="preserve">țitei, gazolină și condensat, programată și realizată în </w:t>
      </w:r>
      <w:r w:rsidR="00F837E9">
        <w:rPr>
          <w:rFonts w:ascii="Arial" w:hAnsi="Arial" w:cs="Arial"/>
          <w:sz w:val="22"/>
          <w:szCs w:val="22"/>
          <w:lang w:eastAsia="en-US"/>
        </w:rPr>
        <w:t>s</w:t>
      </w:r>
      <w:r w:rsidRPr="009C2595">
        <w:rPr>
          <w:rFonts w:ascii="Arial" w:hAnsi="Arial" w:cs="Arial"/>
          <w:sz w:val="22"/>
          <w:szCs w:val="22"/>
          <w:lang w:eastAsia="en-US"/>
        </w:rPr>
        <w:t>em</w:t>
      </w:r>
      <w:r w:rsidR="00F837E9">
        <w:rPr>
          <w:rFonts w:ascii="Arial" w:hAnsi="Arial" w:cs="Arial"/>
          <w:sz w:val="22"/>
          <w:szCs w:val="22"/>
          <w:lang w:eastAsia="en-US"/>
        </w:rPr>
        <w:t>estrul</w:t>
      </w:r>
      <w:r w:rsidRPr="009C2595">
        <w:rPr>
          <w:rFonts w:ascii="Arial" w:hAnsi="Arial" w:cs="Arial"/>
          <w:sz w:val="22"/>
          <w:szCs w:val="22"/>
          <w:lang w:eastAsia="en-US"/>
        </w:rPr>
        <w:t xml:space="preserve"> I </w:t>
      </w:r>
      <w:r w:rsidR="00F837E9">
        <w:rPr>
          <w:rFonts w:ascii="Arial" w:hAnsi="Arial" w:cs="Arial"/>
          <w:sz w:val="22"/>
          <w:szCs w:val="22"/>
          <w:lang w:eastAsia="en-US"/>
        </w:rPr>
        <w:t>2018</w:t>
      </w:r>
      <w:r w:rsidRPr="009C2595">
        <w:rPr>
          <w:rFonts w:ascii="Arial" w:hAnsi="Arial" w:cs="Arial"/>
          <w:sz w:val="22"/>
          <w:szCs w:val="22"/>
          <w:lang w:eastAsia="en-US"/>
        </w:rPr>
        <w:t xml:space="preserve"> comparativ cu </w:t>
      </w:r>
      <w:r w:rsidR="00F837E9">
        <w:rPr>
          <w:rFonts w:ascii="Arial" w:hAnsi="Arial" w:cs="Arial"/>
          <w:sz w:val="22"/>
          <w:szCs w:val="22"/>
          <w:lang w:eastAsia="en-US"/>
        </w:rPr>
        <w:t>se</w:t>
      </w:r>
      <w:r w:rsidRPr="009C2595">
        <w:rPr>
          <w:rFonts w:ascii="Arial" w:hAnsi="Arial" w:cs="Arial"/>
          <w:sz w:val="22"/>
          <w:szCs w:val="22"/>
          <w:lang w:eastAsia="en-US"/>
        </w:rPr>
        <w:t>m</w:t>
      </w:r>
      <w:r w:rsidR="00F837E9">
        <w:rPr>
          <w:rFonts w:ascii="Arial" w:hAnsi="Arial" w:cs="Arial"/>
          <w:sz w:val="22"/>
          <w:szCs w:val="22"/>
          <w:lang w:eastAsia="en-US"/>
        </w:rPr>
        <w:t>estrul</w:t>
      </w:r>
      <w:r w:rsidRPr="009C2595">
        <w:rPr>
          <w:rFonts w:ascii="Arial" w:hAnsi="Arial" w:cs="Arial"/>
          <w:sz w:val="22"/>
          <w:szCs w:val="22"/>
          <w:lang w:eastAsia="en-US"/>
        </w:rPr>
        <w:t xml:space="preserve"> I 2017 se prezintă astfel:</w:t>
      </w:r>
    </w:p>
    <w:p w:rsidR="002B304E" w:rsidRPr="002B304E" w:rsidRDefault="002B304E" w:rsidP="004279F6">
      <w:pPr>
        <w:widowControl/>
        <w:overflowPunct w:val="0"/>
        <w:spacing w:line="276" w:lineRule="auto"/>
        <w:jc w:val="both"/>
        <w:textAlignment w:val="baseline"/>
        <w:rPr>
          <w:rFonts w:ascii="Arial" w:hAnsi="Arial" w:cs="Arial"/>
          <w:sz w:val="22"/>
          <w:szCs w:val="22"/>
          <w:lang w:eastAsia="en-US"/>
        </w:rPr>
      </w:pPr>
    </w:p>
    <w:tbl>
      <w:tblPr>
        <w:tblW w:w="9332" w:type="dxa"/>
        <w:tblCellMar>
          <w:left w:w="0" w:type="dxa"/>
          <w:right w:w="0" w:type="dxa"/>
        </w:tblCellMar>
        <w:tblLook w:val="0600" w:firstRow="0" w:lastRow="0" w:firstColumn="0" w:lastColumn="0" w:noHBand="1" w:noVBand="1"/>
      </w:tblPr>
      <w:tblGrid>
        <w:gridCol w:w="1390"/>
        <w:gridCol w:w="3935"/>
        <w:gridCol w:w="1214"/>
        <w:gridCol w:w="1214"/>
        <w:gridCol w:w="1579"/>
      </w:tblGrid>
      <w:tr w:rsidR="00581B50" w:rsidRPr="007F6280" w:rsidTr="00DA21C3">
        <w:trPr>
          <w:cantSplit/>
          <w:trHeight w:val="809"/>
        </w:trPr>
        <w:tc>
          <w:tcPr>
            <w:tcW w:w="1390"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581B50" w:rsidRPr="007F6280" w:rsidRDefault="00581B50" w:rsidP="00581B50">
            <w:pPr>
              <w:jc w:val="center"/>
              <w:textAlignment w:val="center"/>
              <w:rPr>
                <w:rFonts w:ascii="Arial" w:hAnsi="Arial" w:cs="Arial"/>
                <w:lang w:val="en-US"/>
              </w:rPr>
            </w:pPr>
            <w:r w:rsidRPr="007F6280">
              <w:rPr>
                <w:rFonts w:ascii="Arial" w:hAnsi="Arial" w:cs="Arial"/>
                <w:b/>
                <w:bCs/>
                <w:color w:val="000000"/>
                <w:kern w:val="24"/>
                <w:lang w:val="en-US"/>
              </w:rPr>
              <w:t>Subsisteme de transport</w:t>
            </w:r>
          </w:p>
        </w:tc>
        <w:tc>
          <w:tcPr>
            <w:tcW w:w="3935"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581B50" w:rsidRPr="007F6280" w:rsidRDefault="00581B50" w:rsidP="00581B50">
            <w:pPr>
              <w:jc w:val="center"/>
              <w:textAlignment w:val="center"/>
              <w:rPr>
                <w:rFonts w:ascii="Arial" w:hAnsi="Arial" w:cs="Arial"/>
                <w:lang w:val="en-US"/>
              </w:rPr>
            </w:pPr>
            <w:r w:rsidRPr="007F6280">
              <w:rPr>
                <w:rFonts w:ascii="Arial" w:hAnsi="Arial" w:cs="Arial"/>
                <w:b/>
                <w:bCs/>
                <w:color w:val="000000"/>
                <w:kern w:val="24"/>
                <w:lang w:val="en-US"/>
              </w:rPr>
              <w:t>Indicatori și produse</w:t>
            </w:r>
          </w:p>
        </w:tc>
        <w:tc>
          <w:tcPr>
            <w:tcW w:w="1214"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581B50" w:rsidRPr="007F6280" w:rsidRDefault="00D875AB" w:rsidP="00581B50">
            <w:pPr>
              <w:jc w:val="center"/>
              <w:textAlignment w:val="center"/>
              <w:rPr>
                <w:rFonts w:ascii="Arial" w:hAnsi="Arial" w:cs="Arial"/>
                <w:lang w:val="en-US"/>
              </w:rPr>
            </w:pPr>
            <w:r>
              <w:rPr>
                <w:rFonts w:ascii="Arial" w:hAnsi="Arial" w:cs="Arial"/>
                <w:b/>
                <w:bCs/>
                <w:color w:val="000000"/>
                <w:kern w:val="24"/>
                <w:lang w:val="en-US"/>
              </w:rPr>
              <w:t xml:space="preserve">Realizat </w:t>
            </w:r>
            <w:r w:rsidR="00AB3FBA">
              <w:rPr>
                <w:rFonts w:ascii="Arial" w:hAnsi="Arial" w:cs="Arial"/>
                <w:b/>
                <w:bCs/>
                <w:color w:val="000000"/>
                <w:kern w:val="24"/>
                <w:lang w:val="en-US"/>
              </w:rPr>
              <w:t>Sem.</w:t>
            </w:r>
            <w:r w:rsidR="00581B50" w:rsidRPr="007F6280">
              <w:rPr>
                <w:rFonts w:ascii="Arial" w:hAnsi="Arial" w:cs="Arial"/>
                <w:b/>
                <w:bCs/>
                <w:color w:val="000000"/>
                <w:kern w:val="24"/>
                <w:lang w:val="en-US"/>
              </w:rPr>
              <w:t xml:space="preserve"> I 2018</w:t>
            </w:r>
          </w:p>
        </w:tc>
        <w:tc>
          <w:tcPr>
            <w:tcW w:w="1214"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581B50" w:rsidRPr="007F6280" w:rsidRDefault="00D875AB" w:rsidP="00581B50">
            <w:pPr>
              <w:jc w:val="center"/>
              <w:textAlignment w:val="center"/>
              <w:rPr>
                <w:rFonts w:ascii="Arial" w:hAnsi="Arial" w:cs="Arial"/>
                <w:lang w:val="en-US"/>
              </w:rPr>
            </w:pPr>
            <w:r>
              <w:rPr>
                <w:rFonts w:ascii="Arial" w:hAnsi="Arial" w:cs="Arial"/>
                <w:b/>
                <w:bCs/>
                <w:color w:val="000000"/>
                <w:kern w:val="24"/>
                <w:lang w:val="en-US"/>
              </w:rPr>
              <w:t xml:space="preserve">Realizat </w:t>
            </w:r>
            <w:r w:rsidR="00AB3FBA">
              <w:rPr>
                <w:rFonts w:ascii="Arial" w:hAnsi="Arial" w:cs="Arial"/>
                <w:b/>
                <w:bCs/>
                <w:color w:val="000000"/>
                <w:kern w:val="24"/>
                <w:lang w:val="en-US"/>
              </w:rPr>
              <w:t>Sem.</w:t>
            </w:r>
            <w:r w:rsidR="00581B50" w:rsidRPr="007F6280">
              <w:rPr>
                <w:rFonts w:ascii="Arial" w:hAnsi="Arial" w:cs="Arial"/>
                <w:b/>
                <w:bCs/>
                <w:color w:val="000000"/>
                <w:kern w:val="24"/>
                <w:lang w:val="en-US"/>
              </w:rPr>
              <w:t xml:space="preserve"> I 2017</w:t>
            </w:r>
          </w:p>
        </w:tc>
        <w:tc>
          <w:tcPr>
            <w:tcW w:w="1579"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581B50" w:rsidRPr="007F6280" w:rsidRDefault="00581B50" w:rsidP="00581B50">
            <w:pPr>
              <w:jc w:val="center"/>
              <w:textAlignment w:val="center"/>
              <w:rPr>
                <w:rFonts w:ascii="Arial" w:hAnsi="Arial" w:cs="Arial"/>
                <w:lang w:val="en-US"/>
              </w:rPr>
            </w:pPr>
            <w:r w:rsidRPr="007F6280">
              <w:rPr>
                <w:rFonts w:ascii="Arial" w:hAnsi="Arial" w:cs="Arial"/>
                <w:b/>
                <w:bCs/>
                <w:color w:val="000000"/>
                <w:kern w:val="24"/>
              </w:rPr>
              <w:t>Variație</w:t>
            </w:r>
          </w:p>
          <w:p w:rsidR="00581B50" w:rsidRPr="007F6280" w:rsidRDefault="00581B50" w:rsidP="00581B50">
            <w:pPr>
              <w:jc w:val="center"/>
              <w:textAlignment w:val="center"/>
              <w:rPr>
                <w:rFonts w:ascii="Arial" w:hAnsi="Arial" w:cs="Arial"/>
                <w:lang w:val="en-US"/>
              </w:rPr>
            </w:pPr>
            <w:r w:rsidRPr="007F6280">
              <w:rPr>
                <w:rFonts w:ascii="Arial" w:hAnsi="Arial" w:cs="Arial"/>
                <w:b/>
                <w:bCs/>
                <w:color w:val="000000"/>
                <w:kern w:val="24"/>
              </w:rPr>
              <w:t xml:space="preserve">% </w:t>
            </w:r>
          </w:p>
          <w:p w:rsidR="00581B50" w:rsidRPr="007F6280" w:rsidRDefault="00581B50" w:rsidP="007A1062">
            <w:pPr>
              <w:jc w:val="center"/>
              <w:textAlignment w:val="center"/>
              <w:rPr>
                <w:rFonts w:ascii="Arial" w:hAnsi="Arial" w:cs="Arial"/>
                <w:lang w:val="en-US"/>
              </w:rPr>
            </w:pPr>
            <w:r w:rsidRPr="007F6280">
              <w:rPr>
                <w:rFonts w:ascii="Arial" w:hAnsi="Arial" w:cs="Arial"/>
                <w:b/>
                <w:bCs/>
                <w:color w:val="000000"/>
                <w:kern w:val="24"/>
              </w:rPr>
              <w:t>2018/2017</w:t>
            </w:r>
          </w:p>
        </w:tc>
      </w:tr>
      <w:tr w:rsidR="00FA4CE0" w:rsidRPr="007F6280" w:rsidTr="00FA4CE0">
        <w:trPr>
          <w:trHeight w:val="295"/>
        </w:trPr>
        <w:tc>
          <w:tcPr>
            <w:tcW w:w="1390" w:type="dxa"/>
            <w:vMerge w:val="restart"/>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hideMark/>
          </w:tcPr>
          <w:p w:rsidR="00FA4CE0" w:rsidRPr="007F6280" w:rsidRDefault="00FA4CE0" w:rsidP="00581B50">
            <w:pPr>
              <w:jc w:val="center"/>
              <w:textAlignment w:val="center"/>
              <w:rPr>
                <w:rFonts w:ascii="Arial" w:hAnsi="Arial" w:cs="Arial"/>
                <w:lang w:val="en-US"/>
              </w:rPr>
            </w:pPr>
            <w:r w:rsidRPr="007F6280">
              <w:rPr>
                <w:rFonts w:ascii="Arial" w:hAnsi="Arial" w:cs="Arial"/>
                <w:b/>
                <w:bCs/>
                <w:color w:val="000000"/>
                <w:kern w:val="24"/>
                <w:lang w:val="en-US"/>
              </w:rPr>
              <w:t>ȚARĂ</w:t>
            </w:r>
          </w:p>
        </w:tc>
        <w:tc>
          <w:tcPr>
            <w:tcW w:w="7942" w:type="dxa"/>
            <w:gridSpan w:val="4"/>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FA4CE0" w:rsidRPr="007F6280" w:rsidRDefault="00FA4CE0" w:rsidP="00581B50">
            <w:pPr>
              <w:rPr>
                <w:rFonts w:ascii="Arial" w:hAnsi="Arial" w:cs="Arial"/>
                <w:lang w:val="en-US"/>
              </w:rPr>
            </w:pPr>
            <w:r w:rsidRPr="007F6280">
              <w:rPr>
                <w:rFonts w:ascii="Arial" w:hAnsi="Arial" w:cs="Arial"/>
                <w:b/>
                <w:bCs/>
                <w:color w:val="000000"/>
                <w:kern w:val="24"/>
                <w:lang w:val="en-US"/>
              </w:rPr>
              <w:t>țiței țară, condensat și condensat ușor</w:t>
            </w:r>
          </w:p>
        </w:tc>
      </w:tr>
      <w:tr w:rsidR="00FA4CE0" w:rsidRPr="007F6280" w:rsidTr="00FA4CE0">
        <w:trPr>
          <w:trHeight w:val="348"/>
        </w:trPr>
        <w:tc>
          <w:tcPr>
            <w:tcW w:w="1390" w:type="dxa"/>
            <w:vMerge/>
            <w:tcBorders>
              <w:left w:val="single" w:sz="4" w:space="0" w:color="000000"/>
              <w:bottom w:val="single" w:sz="4" w:space="0" w:color="auto"/>
              <w:right w:val="single" w:sz="4" w:space="0" w:color="000000"/>
            </w:tcBorders>
            <w:shd w:val="clear" w:color="auto" w:fill="auto"/>
            <w:vAlign w:val="center"/>
            <w:hideMark/>
          </w:tcPr>
          <w:p w:rsidR="00FA4CE0" w:rsidRPr="007F6280" w:rsidRDefault="00FA4CE0" w:rsidP="00581B50">
            <w:pPr>
              <w:rPr>
                <w:rFonts w:ascii="Arial" w:hAnsi="Arial" w:cs="Arial"/>
                <w:lang w:val="en-US"/>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A4CE0" w:rsidRPr="007F6280" w:rsidRDefault="00FA4CE0" w:rsidP="00581B50">
            <w:pPr>
              <w:textAlignment w:val="bottom"/>
              <w:rPr>
                <w:rFonts w:ascii="Arial" w:hAnsi="Arial" w:cs="Arial"/>
                <w:lang w:val="en-US"/>
              </w:rPr>
            </w:pPr>
            <w:r w:rsidRPr="007F6280">
              <w:rPr>
                <w:rFonts w:ascii="Arial" w:hAnsi="Arial" w:cs="Arial"/>
                <w:color w:val="000000"/>
                <w:kern w:val="24"/>
                <w:lang w:val="en-US"/>
              </w:rPr>
              <w:t>-cantități programate (mii tone)</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FA4CE0" w:rsidRPr="007F6280" w:rsidRDefault="00FA4CE0" w:rsidP="00581B50">
            <w:pPr>
              <w:jc w:val="right"/>
              <w:textAlignment w:val="bottom"/>
              <w:rPr>
                <w:rFonts w:ascii="Arial" w:hAnsi="Arial" w:cs="Arial"/>
                <w:lang w:val="en-US"/>
              </w:rPr>
            </w:pPr>
            <w:r w:rsidRPr="007F6280">
              <w:rPr>
                <w:rFonts w:ascii="Arial" w:hAnsi="Arial" w:cs="Arial"/>
                <w:lang w:val="en-US"/>
              </w:rPr>
              <w:t>1.693</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FA4CE0" w:rsidRPr="007F6280" w:rsidRDefault="00FA4CE0" w:rsidP="009423DC">
            <w:pPr>
              <w:jc w:val="right"/>
              <w:textAlignment w:val="bottom"/>
              <w:rPr>
                <w:rFonts w:ascii="Arial" w:hAnsi="Arial" w:cs="Arial"/>
                <w:lang w:val="en-US"/>
              </w:rPr>
            </w:pPr>
            <w:r w:rsidRPr="007F6280">
              <w:rPr>
                <w:rFonts w:ascii="Arial" w:hAnsi="Arial" w:cs="Arial"/>
                <w:lang w:val="en-US"/>
              </w:rPr>
              <w:t>1.75</w:t>
            </w:r>
            <w:r>
              <w:rPr>
                <w:rFonts w:ascii="Arial" w:hAnsi="Arial" w:cs="Arial"/>
                <w:lang w:val="en-US"/>
              </w:rPr>
              <w:t>5</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A4CE0" w:rsidRPr="007F6280" w:rsidRDefault="00FA4CE0" w:rsidP="00F837E9">
            <w:pPr>
              <w:jc w:val="right"/>
              <w:textAlignment w:val="bottom"/>
              <w:rPr>
                <w:rFonts w:ascii="Arial" w:hAnsi="Arial" w:cs="Arial"/>
                <w:lang w:val="en-US"/>
              </w:rPr>
            </w:pPr>
            <w:r w:rsidRPr="007F6280">
              <w:rPr>
                <w:rFonts w:ascii="Arial" w:hAnsi="Arial" w:cs="Arial"/>
                <w:color w:val="000000" w:themeColor="text1"/>
                <w:kern w:val="24"/>
                <w:lang w:val="en-US"/>
              </w:rPr>
              <w:t>▼</w:t>
            </w:r>
            <w:r w:rsidRPr="007F6280">
              <w:rPr>
                <w:rFonts w:ascii="Arial" w:hAnsi="Arial" w:cs="Arial"/>
                <w:color w:val="000000"/>
                <w:kern w:val="24"/>
              </w:rPr>
              <w:t>3,</w:t>
            </w:r>
            <w:r>
              <w:rPr>
                <w:rFonts w:ascii="Arial" w:hAnsi="Arial" w:cs="Arial"/>
                <w:color w:val="000000"/>
                <w:kern w:val="24"/>
              </w:rPr>
              <w:t>59</w:t>
            </w:r>
            <w:r w:rsidRPr="007F6280">
              <w:rPr>
                <w:rFonts w:ascii="Arial" w:hAnsi="Arial" w:cs="Arial"/>
                <w:color w:val="000000"/>
                <w:kern w:val="24"/>
              </w:rPr>
              <w:t>%</w:t>
            </w:r>
          </w:p>
        </w:tc>
      </w:tr>
      <w:tr w:rsidR="00FA4CE0" w:rsidRPr="007F6280" w:rsidTr="00FA4CE0">
        <w:trPr>
          <w:trHeight w:val="295"/>
        </w:trPr>
        <w:tc>
          <w:tcPr>
            <w:tcW w:w="1390" w:type="dxa"/>
            <w:vMerge/>
            <w:tcBorders>
              <w:left w:val="single" w:sz="4" w:space="0" w:color="000000"/>
              <w:bottom w:val="single" w:sz="4" w:space="0" w:color="auto"/>
              <w:right w:val="single" w:sz="4" w:space="0" w:color="000000"/>
            </w:tcBorders>
            <w:shd w:val="clear" w:color="auto" w:fill="auto"/>
            <w:vAlign w:val="center"/>
            <w:hideMark/>
          </w:tcPr>
          <w:p w:rsidR="00FA4CE0" w:rsidRPr="007F6280" w:rsidRDefault="00FA4CE0" w:rsidP="00581B50">
            <w:pPr>
              <w:rPr>
                <w:rFonts w:ascii="Arial" w:hAnsi="Arial" w:cs="Arial"/>
                <w:lang w:val="en-US"/>
              </w:rPr>
            </w:pPr>
          </w:p>
        </w:tc>
        <w:tc>
          <w:tcPr>
            <w:tcW w:w="3935" w:type="dxa"/>
            <w:tcBorders>
              <w:top w:val="single" w:sz="4" w:space="0" w:color="000000"/>
              <w:left w:val="single" w:sz="4" w:space="0" w:color="000000"/>
              <w:right w:val="single" w:sz="4" w:space="0" w:color="000000"/>
            </w:tcBorders>
            <w:shd w:val="clear" w:color="auto" w:fill="auto"/>
            <w:tcMar>
              <w:top w:w="11" w:type="dxa"/>
              <w:left w:w="11" w:type="dxa"/>
              <w:bottom w:w="0" w:type="dxa"/>
              <w:right w:w="11" w:type="dxa"/>
            </w:tcMar>
            <w:vAlign w:val="center"/>
            <w:hideMark/>
          </w:tcPr>
          <w:p w:rsidR="00FA4CE0" w:rsidRPr="007F6280" w:rsidRDefault="00FA4CE0" w:rsidP="00581B50">
            <w:pPr>
              <w:textAlignment w:val="bottom"/>
              <w:rPr>
                <w:rFonts w:ascii="Arial" w:hAnsi="Arial" w:cs="Arial"/>
                <w:lang w:val="en-US"/>
              </w:rPr>
            </w:pPr>
            <w:r w:rsidRPr="007F6280">
              <w:rPr>
                <w:rFonts w:ascii="Arial" w:hAnsi="Arial" w:cs="Arial"/>
                <w:color w:val="000000"/>
                <w:kern w:val="24"/>
                <w:lang w:val="en-US"/>
              </w:rPr>
              <w:t>-cantități realizate (mii tone)</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FA4CE0" w:rsidRPr="007F6280" w:rsidRDefault="00FA4CE0" w:rsidP="00581B50">
            <w:pPr>
              <w:jc w:val="right"/>
              <w:textAlignment w:val="bottom"/>
              <w:rPr>
                <w:rFonts w:ascii="Arial" w:hAnsi="Arial" w:cs="Arial"/>
                <w:lang w:val="en-US"/>
              </w:rPr>
            </w:pPr>
            <w:r w:rsidRPr="007F6280">
              <w:rPr>
                <w:rFonts w:ascii="Arial" w:hAnsi="Arial" w:cs="Arial"/>
                <w:lang w:val="en-US"/>
              </w:rPr>
              <w:t>1.748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FA4CE0" w:rsidRPr="007F6280" w:rsidRDefault="00FA4CE0" w:rsidP="00581B50">
            <w:pPr>
              <w:jc w:val="right"/>
              <w:textAlignment w:val="bottom"/>
              <w:rPr>
                <w:rFonts w:ascii="Arial" w:hAnsi="Arial" w:cs="Arial"/>
                <w:lang w:val="en-US"/>
              </w:rPr>
            </w:pPr>
            <w:r w:rsidRPr="007F6280">
              <w:rPr>
                <w:rFonts w:ascii="Arial" w:hAnsi="Arial" w:cs="Arial"/>
                <w:lang w:val="en-US"/>
              </w:rPr>
              <w:t>1.776</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A4CE0" w:rsidRPr="007F6280" w:rsidRDefault="00FA4CE0" w:rsidP="007A1062">
            <w:pPr>
              <w:jc w:val="right"/>
              <w:textAlignment w:val="bottom"/>
              <w:rPr>
                <w:rFonts w:ascii="Arial" w:hAnsi="Arial" w:cs="Arial"/>
                <w:lang w:val="en-US"/>
              </w:rPr>
            </w:pPr>
            <w:r w:rsidRPr="007F6280">
              <w:rPr>
                <w:rFonts w:ascii="Arial" w:hAnsi="Arial" w:cs="Arial"/>
                <w:color w:val="000000" w:themeColor="text1"/>
                <w:kern w:val="24"/>
                <w:lang w:val="en-US"/>
              </w:rPr>
              <w:t>▼</w:t>
            </w:r>
            <w:r>
              <w:rPr>
                <w:rFonts w:ascii="Arial" w:hAnsi="Arial" w:cs="Arial"/>
                <w:color w:val="000000" w:themeColor="text1"/>
                <w:kern w:val="24"/>
                <w:lang w:val="en-US"/>
              </w:rPr>
              <w:t>1,58</w:t>
            </w:r>
            <w:r w:rsidRPr="007F6280">
              <w:rPr>
                <w:rFonts w:ascii="Arial" w:hAnsi="Arial" w:cs="Arial"/>
                <w:color w:val="000000"/>
                <w:kern w:val="24"/>
              </w:rPr>
              <w:t>%</w:t>
            </w:r>
          </w:p>
        </w:tc>
      </w:tr>
      <w:tr w:rsidR="00FA4CE0" w:rsidRPr="007F6280" w:rsidTr="00FA4CE0">
        <w:trPr>
          <w:trHeight w:val="295"/>
        </w:trPr>
        <w:tc>
          <w:tcPr>
            <w:tcW w:w="1390" w:type="dxa"/>
            <w:vMerge/>
            <w:tcBorders>
              <w:left w:val="single" w:sz="4" w:space="0" w:color="000000"/>
              <w:bottom w:val="single" w:sz="4" w:space="0" w:color="auto"/>
              <w:right w:val="single" w:sz="4" w:space="0" w:color="000000"/>
            </w:tcBorders>
            <w:shd w:val="clear" w:color="auto" w:fill="auto"/>
            <w:vAlign w:val="center"/>
            <w:hideMark/>
          </w:tcPr>
          <w:p w:rsidR="00FA4CE0" w:rsidRPr="007F6280" w:rsidRDefault="00FA4CE0" w:rsidP="00581B50">
            <w:pPr>
              <w:rPr>
                <w:rFonts w:ascii="Arial" w:hAnsi="Arial" w:cs="Arial"/>
                <w:lang w:val="en-US"/>
              </w:rPr>
            </w:pPr>
          </w:p>
        </w:tc>
        <w:tc>
          <w:tcPr>
            <w:tcW w:w="3935" w:type="dxa"/>
            <w:tcBorders>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A4CE0" w:rsidRPr="007F6280" w:rsidRDefault="00FA4CE0" w:rsidP="00581B50">
            <w:pPr>
              <w:textAlignment w:val="bottom"/>
              <w:rPr>
                <w:rFonts w:ascii="Arial" w:hAnsi="Arial" w:cs="Arial"/>
                <w:lang w:val="en-US"/>
              </w:rPr>
            </w:pPr>
            <w:r w:rsidRPr="007F6280">
              <w:rPr>
                <w:rFonts w:ascii="Arial" w:hAnsi="Arial" w:cs="Arial"/>
                <w:color w:val="000000"/>
                <w:kern w:val="24"/>
                <w:lang w:val="en-US"/>
              </w:rPr>
              <w:t>-grad de realizare</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FA4CE0" w:rsidRPr="007F6280" w:rsidRDefault="00FA4CE0" w:rsidP="007A1062">
            <w:pPr>
              <w:jc w:val="right"/>
              <w:textAlignment w:val="bottom"/>
              <w:rPr>
                <w:rFonts w:ascii="Arial" w:hAnsi="Arial" w:cs="Arial"/>
                <w:lang w:val="en-US"/>
              </w:rPr>
            </w:pPr>
            <w:r w:rsidRPr="007F6280">
              <w:rPr>
                <w:rFonts w:ascii="Arial" w:hAnsi="Arial" w:cs="Arial"/>
                <w:lang w:val="en-US"/>
              </w:rPr>
              <w:t>103,2</w:t>
            </w:r>
            <w:r>
              <w:rPr>
                <w:rFonts w:ascii="Arial" w:hAnsi="Arial" w:cs="Arial"/>
                <w:lang w:val="en-US"/>
              </w:rPr>
              <w:t>5</w:t>
            </w:r>
            <w:r w:rsidRPr="007F6280">
              <w:rPr>
                <w:rFonts w:ascii="Arial" w:hAnsi="Arial" w:cs="Arial"/>
                <w:lang w:val="en-US"/>
              </w:rPr>
              <w:t>%</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FA4CE0" w:rsidRPr="007F6280" w:rsidRDefault="00FA4CE0" w:rsidP="007A1062">
            <w:pPr>
              <w:jc w:val="right"/>
              <w:textAlignment w:val="bottom"/>
              <w:rPr>
                <w:rFonts w:ascii="Arial" w:hAnsi="Arial" w:cs="Arial"/>
                <w:lang w:val="en-US"/>
              </w:rPr>
            </w:pPr>
            <w:r w:rsidRPr="007F6280">
              <w:rPr>
                <w:rFonts w:ascii="Arial" w:hAnsi="Arial" w:cs="Arial"/>
                <w:lang w:val="en-US"/>
              </w:rPr>
              <w:t>101,</w:t>
            </w:r>
            <w:r>
              <w:rPr>
                <w:rFonts w:ascii="Arial" w:hAnsi="Arial" w:cs="Arial"/>
                <w:lang w:val="en-US"/>
              </w:rPr>
              <w:t>20</w:t>
            </w:r>
            <w:r w:rsidRPr="007F6280">
              <w:rPr>
                <w:rFonts w:ascii="Arial" w:hAnsi="Arial" w:cs="Arial"/>
                <w:lang w:val="en-US"/>
              </w:rPr>
              <w:t>%</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A4CE0" w:rsidRPr="007F6280" w:rsidRDefault="00FA4CE0" w:rsidP="000728BD">
            <w:pPr>
              <w:jc w:val="right"/>
              <w:textAlignment w:val="bottom"/>
              <w:rPr>
                <w:rFonts w:ascii="Arial" w:hAnsi="Arial" w:cs="Arial"/>
                <w:lang w:val="en-US"/>
              </w:rPr>
            </w:pPr>
            <w:r w:rsidRPr="007F6280">
              <w:rPr>
                <w:rFonts w:ascii="Arial" w:hAnsi="Arial" w:cs="Arial"/>
                <w:color w:val="000000"/>
                <w:kern w:val="24"/>
              </w:rPr>
              <w:t>+2,</w:t>
            </w:r>
            <w:r>
              <w:rPr>
                <w:rFonts w:ascii="Arial" w:hAnsi="Arial" w:cs="Arial"/>
                <w:color w:val="000000"/>
                <w:kern w:val="24"/>
              </w:rPr>
              <w:t>05</w:t>
            </w:r>
            <w:r w:rsidRPr="007F6280">
              <w:rPr>
                <w:rFonts w:ascii="Arial" w:hAnsi="Arial" w:cs="Arial"/>
                <w:color w:val="000000"/>
                <w:kern w:val="24"/>
              </w:rPr>
              <w:t>p.p.</w:t>
            </w:r>
          </w:p>
        </w:tc>
      </w:tr>
      <w:tr w:rsidR="00FA4CE0" w:rsidRPr="007F6280" w:rsidTr="00DA21C3">
        <w:trPr>
          <w:trHeight w:val="337"/>
        </w:trPr>
        <w:tc>
          <w:tcPr>
            <w:tcW w:w="1390" w:type="dxa"/>
            <w:vMerge/>
            <w:tcBorders>
              <w:left w:val="single" w:sz="4" w:space="0" w:color="000000"/>
              <w:bottom w:val="single" w:sz="4" w:space="0" w:color="auto"/>
              <w:right w:val="single" w:sz="4" w:space="0" w:color="000000"/>
            </w:tcBorders>
            <w:shd w:val="clear" w:color="auto" w:fill="auto"/>
            <w:vAlign w:val="center"/>
            <w:hideMark/>
          </w:tcPr>
          <w:p w:rsidR="00FA4CE0" w:rsidRPr="007F6280" w:rsidRDefault="00FA4CE0" w:rsidP="00581B50">
            <w:pPr>
              <w:rPr>
                <w:rFonts w:ascii="Arial" w:hAnsi="Arial" w:cs="Arial"/>
                <w:lang w:val="en-US"/>
              </w:rPr>
            </w:pPr>
          </w:p>
        </w:tc>
        <w:tc>
          <w:tcPr>
            <w:tcW w:w="3935"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hideMark/>
          </w:tcPr>
          <w:p w:rsidR="00FA4CE0" w:rsidRPr="007F6280" w:rsidRDefault="00FA4CE0" w:rsidP="00581B50">
            <w:pPr>
              <w:textAlignment w:val="bottom"/>
              <w:rPr>
                <w:rFonts w:ascii="Arial" w:hAnsi="Arial" w:cs="Arial"/>
                <w:lang w:val="en-US"/>
              </w:rPr>
            </w:pPr>
            <w:r w:rsidRPr="007F6280">
              <w:rPr>
                <w:rFonts w:ascii="Arial" w:hAnsi="Arial" w:cs="Arial"/>
                <w:color w:val="000000"/>
                <w:kern w:val="24"/>
                <w:lang w:val="en-US"/>
              </w:rPr>
              <w:t>-grad de utilizare a capacităților de transport</w:t>
            </w:r>
          </w:p>
        </w:tc>
        <w:tc>
          <w:tcPr>
            <w:tcW w:w="1214"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tcPr>
          <w:p w:rsidR="00FA4CE0" w:rsidRPr="007F6280" w:rsidRDefault="00FA4CE0" w:rsidP="00581B50">
            <w:pPr>
              <w:jc w:val="right"/>
              <w:textAlignment w:val="bottom"/>
              <w:rPr>
                <w:rFonts w:ascii="Arial" w:hAnsi="Arial" w:cs="Arial"/>
                <w:lang w:val="en-US"/>
              </w:rPr>
            </w:pPr>
            <w:r w:rsidRPr="007F6280">
              <w:rPr>
                <w:rFonts w:ascii="Arial" w:hAnsi="Arial" w:cs="Arial"/>
                <w:lang w:val="en-US"/>
              </w:rPr>
              <w:t>57,58%</w:t>
            </w:r>
          </w:p>
        </w:tc>
        <w:tc>
          <w:tcPr>
            <w:tcW w:w="1214"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tcPr>
          <w:p w:rsidR="00FA4CE0" w:rsidRPr="007F6280" w:rsidRDefault="00FA4CE0" w:rsidP="00581B50">
            <w:pPr>
              <w:jc w:val="right"/>
              <w:textAlignment w:val="bottom"/>
              <w:rPr>
                <w:rFonts w:ascii="Arial" w:hAnsi="Arial" w:cs="Arial"/>
                <w:lang w:val="en-US"/>
              </w:rPr>
            </w:pPr>
            <w:r w:rsidRPr="007F6280">
              <w:rPr>
                <w:rFonts w:ascii="Arial" w:hAnsi="Arial" w:cs="Arial"/>
                <w:lang w:val="en-US"/>
              </w:rPr>
              <w:t>58,49%</w:t>
            </w:r>
          </w:p>
        </w:tc>
        <w:tc>
          <w:tcPr>
            <w:tcW w:w="1579"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hideMark/>
          </w:tcPr>
          <w:p w:rsidR="00DA21C3" w:rsidRPr="00FA4CE0" w:rsidRDefault="00FA4CE0" w:rsidP="00DA21C3">
            <w:pPr>
              <w:jc w:val="right"/>
              <w:textAlignment w:val="bottom"/>
              <w:rPr>
                <w:rFonts w:ascii="Arial" w:hAnsi="Arial" w:cs="Arial"/>
                <w:color w:val="000000"/>
                <w:kern w:val="24"/>
              </w:rPr>
            </w:pPr>
            <w:r w:rsidRPr="007F6280">
              <w:rPr>
                <w:rFonts w:ascii="Arial" w:hAnsi="Arial" w:cs="Arial"/>
                <w:color w:val="000000"/>
                <w:kern w:val="24"/>
              </w:rPr>
              <w:t>-0,91p.p.</w:t>
            </w:r>
          </w:p>
        </w:tc>
      </w:tr>
    </w:tbl>
    <w:tbl>
      <w:tblPr>
        <w:tblStyle w:val="TableGrid"/>
        <w:tblW w:w="0" w:type="auto"/>
        <w:tblLook w:val="04A0" w:firstRow="1" w:lastRow="0" w:firstColumn="1" w:lastColumn="0" w:noHBand="0" w:noVBand="1"/>
      </w:tblPr>
      <w:tblGrid>
        <w:gridCol w:w="1402"/>
        <w:gridCol w:w="3980"/>
        <w:gridCol w:w="1134"/>
        <w:gridCol w:w="1276"/>
        <w:gridCol w:w="1545"/>
      </w:tblGrid>
      <w:tr w:rsidR="00DA21C3" w:rsidTr="00AC523C">
        <w:tc>
          <w:tcPr>
            <w:tcW w:w="1402" w:type="dxa"/>
            <w:tcBorders>
              <w:top w:val="single" w:sz="4" w:space="0" w:color="000000"/>
              <w:left w:val="single" w:sz="4" w:space="0" w:color="000000"/>
              <w:bottom w:val="single" w:sz="4" w:space="0" w:color="000000"/>
              <w:right w:val="single" w:sz="4" w:space="0" w:color="000000"/>
            </w:tcBorders>
            <w:shd w:val="clear" w:color="auto" w:fill="DDEBF7"/>
            <w:vAlign w:val="center"/>
          </w:tcPr>
          <w:p w:rsidR="00DA21C3" w:rsidRPr="007F6280" w:rsidRDefault="00DA21C3" w:rsidP="00A53EA5">
            <w:pPr>
              <w:jc w:val="center"/>
              <w:textAlignment w:val="center"/>
              <w:rPr>
                <w:rFonts w:ascii="Arial" w:hAnsi="Arial" w:cs="Arial"/>
                <w:lang w:val="en-US"/>
              </w:rPr>
            </w:pPr>
            <w:r w:rsidRPr="007F6280">
              <w:rPr>
                <w:rFonts w:ascii="Arial" w:hAnsi="Arial" w:cs="Arial"/>
                <w:b/>
                <w:bCs/>
                <w:color w:val="000000"/>
                <w:kern w:val="24"/>
                <w:lang w:val="en-US"/>
              </w:rPr>
              <w:lastRenderedPageBreak/>
              <w:t>Subsisteme de transport</w:t>
            </w:r>
          </w:p>
        </w:tc>
        <w:tc>
          <w:tcPr>
            <w:tcW w:w="3980" w:type="dxa"/>
            <w:tcBorders>
              <w:top w:val="single" w:sz="4" w:space="0" w:color="000000"/>
              <w:left w:val="single" w:sz="4" w:space="0" w:color="000000"/>
              <w:bottom w:val="single" w:sz="4" w:space="0" w:color="000000"/>
              <w:right w:val="single" w:sz="4" w:space="0" w:color="000000"/>
            </w:tcBorders>
            <w:shd w:val="clear" w:color="auto" w:fill="DDEBF7"/>
            <w:vAlign w:val="center"/>
          </w:tcPr>
          <w:p w:rsidR="00DA21C3" w:rsidRPr="007F6280" w:rsidRDefault="00DA21C3" w:rsidP="00A53EA5">
            <w:pPr>
              <w:jc w:val="center"/>
              <w:textAlignment w:val="center"/>
              <w:rPr>
                <w:rFonts w:ascii="Arial" w:hAnsi="Arial" w:cs="Arial"/>
                <w:lang w:val="en-US"/>
              </w:rPr>
            </w:pPr>
            <w:r w:rsidRPr="007F6280">
              <w:rPr>
                <w:rFonts w:ascii="Arial" w:hAnsi="Arial" w:cs="Arial"/>
                <w:b/>
                <w:bCs/>
                <w:color w:val="000000"/>
                <w:kern w:val="24"/>
                <w:lang w:val="en-US"/>
              </w:rPr>
              <w:t>Indicatori și produse</w:t>
            </w:r>
          </w:p>
        </w:tc>
        <w:tc>
          <w:tcPr>
            <w:tcW w:w="1134" w:type="dxa"/>
            <w:tcBorders>
              <w:top w:val="single" w:sz="4" w:space="0" w:color="000000"/>
              <w:left w:val="single" w:sz="4" w:space="0" w:color="000000"/>
              <w:bottom w:val="single" w:sz="4" w:space="0" w:color="000000"/>
              <w:right w:val="single" w:sz="4" w:space="0" w:color="000000"/>
            </w:tcBorders>
            <w:shd w:val="clear" w:color="auto" w:fill="DDEBF7"/>
            <w:vAlign w:val="center"/>
          </w:tcPr>
          <w:p w:rsidR="00DA21C3" w:rsidRPr="007F6280" w:rsidRDefault="00DA21C3" w:rsidP="00A53EA5">
            <w:pPr>
              <w:jc w:val="center"/>
              <w:textAlignment w:val="center"/>
              <w:rPr>
                <w:rFonts w:ascii="Arial" w:hAnsi="Arial" w:cs="Arial"/>
                <w:lang w:val="en-US"/>
              </w:rPr>
            </w:pPr>
            <w:r>
              <w:rPr>
                <w:rFonts w:ascii="Arial" w:hAnsi="Arial" w:cs="Arial"/>
                <w:b/>
                <w:bCs/>
                <w:color w:val="000000"/>
                <w:kern w:val="24"/>
                <w:lang w:val="en-US"/>
              </w:rPr>
              <w:t>Realizat Sem.</w:t>
            </w:r>
            <w:r w:rsidRPr="007F6280">
              <w:rPr>
                <w:rFonts w:ascii="Arial" w:hAnsi="Arial" w:cs="Arial"/>
                <w:b/>
                <w:bCs/>
                <w:color w:val="000000"/>
                <w:kern w:val="24"/>
                <w:lang w:val="en-US"/>
              </w:rPr>
              <w:t xml:space="preserve"> I 2018</w:t>
            </w:r>
          </w:p>
        </w:tc>
        <w:tc>
          <w:tcPr>
            <w:tcW w:w="1276" w:type="dxa"/>
            <w:tcBorders>
              <w:top w:val="single" w:sz="4" w:space="0" w:color="000000"/>
              <w:left w:val="single" w:sz="4" w:space="0" w:color="000000"/>
              <w:bottom w:val="single" w:sz="4" w:space="0" w:color="000000"/>
              <w:right w:val="single" w:sz="4" w:space="0" w:color="000000"/>
            </w:tcBorders>
            <w:shd w:val="clear" w:color="auto" w:fill="DDEBF7"/>
            <w:vAlign w:val="center"/>
          </w:tcPr>
          <w:p w:rsidR="00DA21C3" w:rsidRPr="007F6280" w:rsidRDefault="00DA21C3" w:rsidP="00A53EA5">
            <w:pPr>
              <w:jc w:val="center"/>
              <w:textAlignment w:val="center"/>
              <w:rPr>
                <w:rFonts w:ascii="Arial" w:hAnsi="Arial" w:cs="Arial"/>
                <w:lang w:val="en-US"/>
              </w:rPr>
            </w:pPr>
            <w:r>
              <w:rPr>
                <w:rFonts w:ascii="Arial" w:hAnsi="Arial" w:cs="Arial"/>
                <w:b/>
                <w:bCs/>
                <w:color w:val="000000"/>
                <w:kern w:val="24"/>
                <w:lang w:val="en-US"/>
              </w:rPr>
              <w:t>Realizat Sem.</w:t>
            </w:r>
            <w:r w:rsidRPr="007F6280">
              <w:rPr>
                <w:rFonts w:ascii="Arial" w:hAnsi="Arial" w:cs="Arial"/>
                <w:b/>
                <w:bCs/>
                <w:color w:val="000000"/>
                <w:kern w:val="24"/>
                <w:lang w:val="en-US"/>
              </w:rPr>
              <w:t xml:space="preserve"> I 2017</w:t>
            </w:r>
          </w:p>
        </w:tc>
        <w:tc>
          <w:tcPr>
            <w:tcW w:w="1545" w:type="dxa"/>
            <w:tcBorders>
              <w:top w:val="single" w:sz="4" w:space="0" w:color="000000"/>
              <w:left w:val="single" w:sz="4" w:space="0" w:color="000000"/>
              <w:bottom w:val="single" w:sz="4" w:space="0" w:color="000000"/>
              <w:right w:val="single" w:sz="4" w:space="0" w:color="000000"/>
            </w:tcBorders>
            <w:shd w:val="clear" w:color="auto" w:fill="DDEBF7"/>
            <w:vAlign w:val="center"/>
          </w:tcPr>
          <w:p w:rsidR="00DA21C3" w:rsidRPr="007F6280" w:rsidRDefault="00DA21C3" w:rsidP="00A53EA5">
            <w:pPr>
              <w:jc w:val="center"/>
              <w:textAlignment w:val="center"/>
              <w:rPr>
                <w:rFonts w:ascii="Arial" w:hAnsi="Arial" w:cs="Arial"/>
                <w:lang w:val="en-US"/>
              </w:rPr>
            </w:pPr>
            <w:r w:rsidRPr="007F6280">
              <w:rPr>
                <w:rFonts w:ascii="Arial" w:hAnsi="Arial" w:cs="Arial"/>
                <w:b/>
                <w:bCs/>
                <w:color w:val="000000"/>
                <w:kern w:val="24"/>
              </w:rPr>
              <w:t>Variație</w:t>
            </w:r>
          </w:p>
          <w:p w:rsidR="00DA21C3" w:rsidRPr="007F6280" w:rsidRDefault="00DA21C3" w:rsidP="00A53EA5">
            <w:pPr>
              <w:jc w:val="center"/>
              <w:textAlignment w:val="center"/>
              <w:rPr>
                <w:rFonts w:ascii="Arial" w:hAnsi="Arial" w:cs="Arial"/>
                <w:lang w:val="en-US"/>
              </w:rPr>
            </w:pPr>
            <w:r w:rsidRPr="007F6280">
              <w:rPr>
                <w:rFonts w:ascii="Arial" w:hAnsi="Arial" w:cs="Arial"/>
                <w:b/>
                <w:bCs/>
                <w:color w:val="000000"/>
                <w:kern w:val="24"/>
              </w:rPr>
              <w:t xml:space="preserve">% </w:t>
            </w:r>
          </w:p>
          <w:p w:rsidR="00DA21C3" w:rsidRPr="007F6280" w:rsidRDefault="00DA21C3" w:rsidP="00A53EA5">
            <w:pPr>
              <w:jc w:val="center"/>
              <w:textAlignment w:val="center"/>
              <w:rPr>
                <w:rFonts w:ascii="Arial" w:hAnsi="Arial" w:cs="Arial"/>
                <w:lang w:val="en-US"/>
              </w:rPr>
            </w:pPr>
            <w:r w:rsidRPr="007F6280">
              <w:rPr>
                <w:rFonts w:ascii="Arial" w:hAnsi="Arial" w:cs="Arial"/>
                <w:b/>
                <w:bCs/>
                <w:color w:val="000000"/>
                <w:kern w:val="24"/>
              </w:rPr>
              <w:t>2018/2017</w:t>
            </w:r>
          </w:p>
        </w:tc>
      </w:tr>
    </w:tbl>
    <w:tbl>
      <w:tblPr>
        <w:tblW w:w="9332" w:type="dxa"/>
        <w:tblCellMar>
          <w:left w:w="0" w:type="dxa"/>
          <w:right w:w="0" w:type="dxa"/>
        </w:tblCellMar>
        <w:tblLook w:val="0600" w:firstRow="0" w:lastRow="0" w:firstColumn="0" w:lastColumn="0" w:noHBand="1" w:noVBand="1"/>
      </w:tblPr>
      <w:tblGrid>
        <w:gridCol w:w="1390"/>
        <w:gridCol w:w="3935"/>
        <w:gridCol w:w="1214"/>
        <w:gridCol w:w="1214"/>
        <w:gridCol w:w="1579"/>
      </w:tblGrid>
      <w:tr w:rsidR="00DA21C3" w:rsidRPr="007F6280" w:rsidTr="00AC523C">
        <w:trPr>
          <w:trHeight w:val="295"/>
        </w:trPr>
        <w:tc>
          <w:tcPr>
            <w:tcW w:w="1390" w:type="dxa"/>
            <w:vMerge w:val="restart"/>
            <w:tcBorders>
              <w:left w:val="single" w:sz="4" w:space="0" w:color="000000"/>
              <w:right w:val="single" w:sz="4" w:space="0" w:color="000000"/>
            </w:tcBorders>
            <w:shd w:val="clear" w:color="auto" w:fill="auto"/>
            <w:vAlign w:val="center"/>
          </w:tcPr>
          <w:p w:rsidR="00DA21C3" w:rsidRPr="007F6280" w:rsidRDefault="00DA21C3" w:rsidP="00A53EA5">
            <w:pPr>
              <w:jc w:val="center"/>
              <w:rPr>
                <w:rFonts w:ascii="Arial" w:hAnsi="Arial" w:cs="Arial"/>
                <w:lang w:val="en-US"/>
              </w:rPr>
            </w:pPr>
            <w:r w:rsidRPr="002B304E">
              <w:rPr>
                <w:rFonts w:ascii="Arial" w:hAnsi="Arial" w:cs="Arial"/>
                <w:b/>
                <w:lang w:val="en-US"/>
              </w:rPr>
              <w:t>ȚARĂ</w:t>
            </w:r>
          </w:p>
        </w:tc>
        <w:tc>
          <w:tcPr>
            <w:tcW w:w="7942" w:type="dxa"/>
            <w:gridSpan w:val="4"/>
            <w:tcBorders>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7F6280" w:rsidRDefault="00DA21C3" w:rsidP="00A53EA5">
            <w:pPr>
              <w:rPr>
                <w:rFonts w:ascii="Arial" w:hAnsi="Arial" w:cs="Arial"/>
                <w:lang w:val="en-US"/>
              </w:rPr>
            </w:pPr>
            <w:r w:rsidRPr="007F6280">
              <w:rPr>
                <w:rFonts w:ascii="Arial" w:hAnsi="Arial" w:cs="Arial"/>
                <w:b/>
                <w:bCs/>
                <w:color w:val="000000"/>
                <w:kern w:val="24"/>
                <w:lang w:val="en-US"/>
              </w:rPr>
              <w:t>gazolină</w:t>
            </w:r>
          </w:p>
        </w:tc>
      </w:tr>
      <w:tr w:rsidR="00DA21C3" w:rsidRPr="007F6280" w:rsidTr="00AC523C">
        <w:trPr>
          <w:trHeight w:val="295"/>
        </w:trPr>
        <w:tc>
          <w:tcPr>
            <w:tcW w:w="1390" w:type="dxa"/>
            <w:vMerge/>
            <w:tcBorders>
              <w:left w:val="single" w:sz="4" w:space="0" w:color="000000"/>
              <w:right w:val="single" w:sz="4" w:space="0" w:color="000000"/>
            </w:tcBorders>
            <w:shd w:val="clear" w:color="auto" w:fill="auto"/>
            <w:vAlign w:val="center"/>
          </w:tcPr>
          <w:p w:rsidR="00DA21C3" w:rsidRPr="007F6280" w:rsidRDefault="00DA21C3" w:rsidP="00A53EA5">
            <w:pPr>
              <w:jc w:val="center"/>
              <w:rPr>
                <w:rFonts w:ascii="Arial" w:hAnsi="Arial" w:cs="Arial"/>
                <w:lang w:val="en-US"/>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lang w:val="en-US"/>
              </w:rPr>
            </w:pPr>
            <w:r w:rsidRPr="007F6280">
              <w:rPr>
                <w:rFonts w:ascii="Arial" w:hAnsi="Arial" w:cs="Arial"/>
                <w:color w:val="000000"/>
                <w:kern w:val="24"/>
                <w:lang w:val="en-US"/>
              </w:rPr>
              <w:t>-cantități programate (mii tone)</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sidRPr="007F6280">
              <w:rPr>
                <w:rFonts w:ascii="Arial" w:hAnsi="Arial" w:cs="Arial"/>
                <w:lang w:val="en-US"/>
              </w:rPr>
              <w:t>9,9</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sidRPr="007F6280">
              <w:rPr>
                <w:rFonts w:ascii="Arial" w:hAnsi="Arial" w:cs="Arial"/>
                <w:lang w:val="en-US"/>
              </w:rPr>
              <w:t>7,8</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sidRPr="007F6280">
              <w:rPr>
                <w:rFonts w:ascii="Arial" w:hAnsi="Arial" w:cs="Arial"/>
                <w:bCs/>
                <w:color w:val="000000"/>
                <w:lang w:val="en-US" w:eastAsia="en-US"/>
              </w:rPr>
              <w:t>▲26,9</w:t>
            </w:r>
            <w:r>
              <w:rPr>
                <w:rFonts w:ascii="Arial" w:hAnsi="Arial" w:cs="Arial"/>
                <w:bCs/>
                <w:color w:val="000000"/>
                <w:lang w:val="en-US" w:eastAsia="en-US"/>
              </w:rPr>
              <w:t>2</w:t>
            </w:r>
            <w:r w:rsidRPr="007F6280">
              <w:rPr>
                <w:rFonts w:ascii="Arial" w:hAnsi="Arial" w:cs="Arial"/>
                <w:color w:val="000000"/>
                <w:kern w:val="24"/>
              </w:rPr>
              <w:t xml:space="preserve"> %</w:t>
            </w:r>
          </w:p>
        </w:tc>
      </w:tr>
      <w:tr w:rsidR="00DA21C3" w:rsidRPr="007F6280" w:rsidTr="00AC523C">
        <w:trPr>
          <w:trHeight w:val="295"/>
        </w:trPr>
        <w:tc>
          <w:tcPr>
            <w:tcW w:w="1390" w:type="dxa"/>
            <w:vMerge/>
            <w:tcBorders>
              <w:left w:val="single" w:sz="4" w:space="0" w:color="000000"/>
              <w:right w:val="single" w:sz="4" w:space="0" w:color="000000"/>
            </w:tcBorders>
            <w:shd w:val="clear" w:color="auto" w:fill="auto"/>
            <w:vAlign w:val="center"/>
          </w:tcPr>
          <w:p w:rsidR="00DA21C3" w:rsidRPr="007F6280" w:rsidRDefault="00DA21C3" w:rsidP="00A53EA5">
            <w:pPr>
              <w:jc w:val="center"/>
              <w:rPr>
                <w:rFonts w:ascii="Arial" w:hAnsi="Arial" w:cs="Arial"/>
                <w:lang w:val="en-US"/>
              </w:rPr>
            </w:pPr>
          </w:p>
        </w:tc>
        <w:tc>
          <w:tcPr>
            <w:tcW w:w="3935"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lang w:val="en-US"/>
              </w:rPr>
            </w:pPr>
            <w:r w:rsidRPr="007F6280">
              <w:rPr>
                <w:rFonts w:ascii="Arial" w:hAnsi="Arial" w:cs="Arial"/>
                <w:color w:val="000000"/>
                <w:kern w:val="24"/>
                <w:lang w:val="en-US"/>
              </w:rPr>
              <w:t>-cantități realizate (mii tone)</w:t>
            </w:r>
          </w:p>
        </w:tc>
        <w:tc>
          <w:tcPr>
            <w:tcW w:w="1214"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sidRPr="007F6280">
              <w:rPr>
                <w:rFonts w:ascii="Arial" w:hAnsi="Arial" w:cs="Arial"/>
                <w:lang w:val="en-US"/>
              </w:rPr>
              <w:t>10,2</w:t>
            </w:r>
          </w:p>
        </w:tc>
        <w:tc>
          <w:tcPr>
            <w:tcW w:w="1214"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sidRPr="007F6280">
              <w:rPr>
                <w:rFonts w:ascii="Arial" w:hAnsi="Arial" w:cs="Arial"/>
                <w:lang w:val="en-US"/>
              </w:rPr>
              <w:t>9,3</w:t>
            </w:r>
          </w:p>
        </w:tc>
        <w:tc>
          <w:tcPr>
            <w:tcW w:w="1579"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sidRPr="007F6280">
              <w:rPr>
                <w:rFonts w:ascii="Arial" w:hAnsi="Arial" w:cs="Arial"/>
                <w:bCs/>
                <w:color w:val="000000"/>
                <w:lang w:val="en-US" w:eastAsia="en-US"/>
              </w:rPr>
              <w:t>▲</w:t>
            </w:r>
            <w:r>
              <w:rPr>
                <w:rFonts w:ascii="Arial" w:hAnsi="Arial" w:cs="Arial"/>
                <w:bCs/>
                <w:color w:val="000000"/>
                <w:lang w:val="en-US" w:eastAsia="en-US"/>
              </w:rPr>
              <w:t>9,68</w:t>
            </w:r>
            <w:r w:rsidRPr="007F6280">
              <w:rPr>
                <w:rFonts w:ascii="Arial" w:hAnsi="Arial" w:cs="Arial"/>
                <w:color w:val="000000"/>
                <w:kern w:val="24"/>
              </w:rPr>
              <w:t>%</w:t>
            </w:r>
          </w:p>
        </w:tc>
      </w:tr>
      <w:tr w:rsidR="00DA21C3" w:rsidRPr="007F6280" w:rsidTr="00AC523C">
        <w:trPr>
          <w:trHeight w:val="295"/>
        </w:trPr>
        <w:tc>
          <w:tcPr>
            <w:tcW w:w="1390" w:type="dxa"/>
            <w:vMerge/>
            <w:tcBorders>
              <w:left w:val="single" w:sz="4" w:space="0" w:color="000000"/>
              <w:right w:val="single" w:sz="4" w:space="0" w:color="000000"/>
            </w:tcBorders>
            <w:shd w:val="clear" w:color="auto" w:fill="auto"/>
            <w:vAlign w:val="center"/>
          </w:tcPr>
          <w:p w:rsidR="00DA21C3" w:rsidRPr="007F6280" w:rsidRDefault="00DA21C3" w:rsidP="00A53EA5">
            <w:pPr>
              <w:jc w:val="center"/>
              <w:rPr>
                <w:rFonts w:ascii="Arial" w:hAnsi="Arial" w:cs="Arial"/>
                <w:lang w:val="en-US"/>
              </w:rPr>
            </w:pPr>
          </w:p>
        </w:tc>
        <w:tc>
          <w:tcPr>
            <w:tcW w:w="3935" w:type="dxa"/>
            <w:tcBorders>
              <w:top w:val="single" w:sz="4" w:space="0" w:color="auto"/>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lang w:val="en-US"/>
              </w:rPr>
            </w:pPr>
            <w:r w:rsidRPr="007F6280">
              <w:rPr>
                <w:rFonts w:ascii="Arial" w:hAnsi="Arial" w:cs="Arial"/>
                <w:color w:val="000000"/>
                <w:kern w:val="24"/>
                <w:lang w:val="en-US"/>
              </w:rPr>
              <w:t>-grad de realizare</w:t>
            </w:r>
          </w:p>
        </w:tc>
        <w:tc>
          <w:tcPr>
            <w:tcW w:w="1214" w:type="dxa"/>
            <w:tcBorders>
              <w:top w:val="single" w:sz="4" w:space="0" w:color="auto"/>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sidRPr="007F6280">
              <w:rPr>
                <w:rFonts w:ascii="Arial" w:hAnsi="Arial" w:cs="Arial"/>
                <w:lang w:val="en-US"/>
              </w:rPr>
              <w:t>103,0</w:t>
            </w:r>
            <w:r>
              <w:rPr>
                <w:rFonts w:ascii="Arial" w:hAnsi="Arial" w:cs="Arial"/>
                <w:lang w:val="en-US"/>
              </w:rPr>
              <w:t>3</w:t>
            </w:r>
            <w:r w:rsidRPr="007F6280">
              <w:rPr>
                <w:rFonts w:ascii="Arial" w:hAnsi="Arial" w:cs="Arial"/>
                <w:lang w:val="en-US"/>
              </w:rPr>
              <w:t>%</w:t>
            </w:r>
          </w:p>
        </w:tc>
        <w:tc>
          <w:tcPr>
            <w:tcW w:w="1214" w:type="dxa"/>
            <w:tcBorders>
              <w:top w:val="single" w:sz="4" w:space="0" w:color="auto"/>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lang w:val="en-US"/>
              </w:rPr>
              <w:t>119,23</w:t>
            </w:r>
            <w:r w:rsidRPr="007F6280">
              <w:rPr>
                <w:rFonts w:ascii="Arial" w:hAnsi="Arial" w:cs="Arial"/>
                <w:lang w:val="en-US"/>
              </w:rPr>
              <w:t>%</w:t>
            </w:r>
          </w:p>
        </w:tc>
        <w:tc>
          <w:tcPr>
            <w:tcW w:w="1579" w:type="dxa"/>
            <w:tcBorders>
              <w:top w:val="single" w:sz="4" w:space="0" w:color="auto"/>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color w:val="000000"/>
                <w:kern w:val="24"/>
              </w:rPr>
              <w:t>-16,20</w:t>
            </w:r>
            <w:r w:rsidRPr="007F6280">
              <w:rPr>
                <w:rFonts w:ascii="Arial" w:hAnsi="Arial" w:cs="Arial"/>
                <w:color w:val="000000"/>
                <w:kern w:val="24"/>
              </w:rPr>
              <w:t>p.p.</w:t>
            </w:r>
          </w:p>
        </w:tc>
      </w:tr>
      <w:tr w:rsidR="00DA21C3" w:rsidRPr="007F6280" w:rsidTr="00AC523C">
        <w:trPr>
          <w:trHeight w:val="321"/>
        </w:trPr>
        <w:tc>
          <w:tcPr>
            <w:tcW w:w="1390" w:type="dxa"/>
            <w:vMerge/>
            <w:tcBorders>
              <w:left w:val="single" w:sz="4" w:space="0" w:color="000000"/>
              <w:right w:val="single" w:sz="4" w:space="0" w:color="000000"/>
            </w:tcBorders>
            <w:shd w:val="clear" w:color="auto" w:fill="auto"/>
            <w:vAlign w:val="center"/>
          </w:tcPr>
          <w:p w:rsidR="00DA21C3" w:rsidRPr="007F6280" w:rsidRDefault="00DA21C3" w:rsidP="00A53EA5">
            <w:pPr>
              <w:jc w:val="center"/>
              <w:rPr>
                <w:rFonts w:ascii="Arial" w:hAnsi="Arial" w:cs="Arial"/>
                <w:lang w:val="en-US"/>
              </w:rPr>
            </w:pPr>
          </w:p>
        </w:tc>
        <w:tc>
          <w:tcPr>
            <w:tcW w:w="3935"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lang w:val="en-US"/>
              </w:rPr>
            </w:pPr>
            <w:r w:rsidRPr="007F6280">
              <w:rPr>
                <w:rFonts w:ascii="Arial" w:hAnsi="Arial" w:cs="Arial"/>
                <w:color w:val="000000"/>
                <w:kern w:val="24"/>
                <w:lang w:val="en-US"/>
              </w:rPr>
              <w:t>-grad de utilizare a capacităților de transport</w:t>
            </w:r>
          </w:p>
        </w:tc>
        <w:tc>
          <w:tcPr>
            <w:tcW w:w="1214"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sidRPr="007F6280">
              <w:rPr>
                <w:rFonts w:ascii="Arial" w:hAnsi="Arial" w:cs="Arial"/>
                <w:lang w:val="en-US"/>
              </w:rPr>
              <w:t>17,68%</w:t>
            </w:r>
          </w:p>
        </w:tc>
        <w:tc>
          <w:tcPr>
            <w:tcW w:w="1214"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lang w:val="en-US"/>
              </w:rPr>
              <w:t>9,58%</w:t>
            </w:r>
            <w:r w:rsidRPr="007F6280">
              <w:rPr>
                <w:rFonts w:ascii="Arial" w:hAnsi="Arial" w:cs="Arial"/>
                <w:lang w:val="en-US"/>
              </w:rPr>
              <w:t>%</w:t>
            </w:r>
          </w:p>
        </w:tc>
        <w:tc>
          <w:tcPr>
            <w:tcW w:w="1579"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color w:val="000000"/>
                <w:kern w:val="24"/>
              </w:rPr>
              <w:t>+8,1</w:t>
            </w:r>
            <w:r w:rsidRPr="007F6280">
              <w:rPr>
                <w:rFonts w:ascii="Arial" w:hAnsi="Arial" w:cs="Arial"/>
                <w:color w:val="000000"/>
                <w:kern w:val="24"/>
              </w:rPr>
              <w:t>p.p.</w:t>
            </w:r>
          </w:p>
        </w:tc>
      </w:tr>
      <w:tr w:rsidR="00DA21C3" w:rsidRPr="007F6280" w:rsidTr="00AC523C">
        <w:trPr>
          <w:trHeight w:val="295"/>
        </w:trPr>
        <w:tc>
          <w:tcPr>
            <w:tcW w:w="1390" w:type="dxa"/>
            <w:vMerge/>
            <w:tcBorders>
              <w:left w:val="single" w:sz="4" w:space="0" w:color="000000"/>
              <w:right w:val="single" w:sz="4" w:space="0" w:color="000000"/>
            </w:tcBorders>
            <w:shd w:val="clear" w:color="auto" w:fill="auto"/>
            <w:vAlign w:val="center"/>
          </w:tcPr>
          <w:p w:rsidR="00DA21C3" w:rsidRPr="002B304E" w:rsidRDefault="00DA21C3" w:rsidP="00A53EA5">
            <w:pPr>
              <w:jc w:val="center"/>
              <w:rPr>
                <w:rFonts w:ascii="Arial" w:hAnsi="Arial" w:cs="Arial"/>
                <w:b/>
                <w:lang w:val="en-US"/>
              </w:rPr>
            </w:pPr>
          </w:p>
        </w:tc>
        <w:tc>
          <w:tcPr>
            <w:tcW w:w="7942" w:type="dxa"/>
            <w:gridSpan w:val="4"/>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7F6280" w:rsidRDefault="00DA21C3" w:rsidP="00A53EA5">
            <w:pPr>
              <w:rPr>
                <w:rFonts w:ascii="Arial" w:hAnsi="Arial" w:cs="Arial"/>
                <w:lang w:val="en-US"/>
              </w:rPr>
            </w:pPr>
            <w:r w:rsidRPr="007F6280">
              <w:rPr>
                <w:rFonts w:ascii="Arial" w:hAnsi="Arial" w:cs="Arial"/>
                <w:b/>
                <w:bCs/>
                <w:color w:val="000000"/>
                <w:kern w:val="24"/>
                <w:lang w:val="en-US"/>
              </w:rPr>
              <w:t>Total subsistem țară</w:t>
            </w:r>
          </w:p>
        </w:tc>
      </w:tr>
      <w:tr w:rsidR="00DA21C3" w:rsidRPr="007F6280" w:rsidTr="00AC523C">
        <w:trPr>
          <w:trHeight w:val="295"/>
        </w:trPr>
        <w:tc>
          <w:tcPr>
            <w:tcW w:w="1390" w:type="dxa"/>
            <w:vMerge/>
            <w:tcBorders>
              <w:left w:val="single" w:sz="4" w:space="0" w:color="000000"/>
              <w:right w:val="single" w:sz="4" w:space="0" w:color="000000"/>
            </w:tcBorders>
            <w:shd w:val="clear" w:color="auto" w:fill="auto"/>
            <w:vAlign w:val="center"/>
          </w:tcPr>
          <w:p w:rsidR="00DA21C3" w:rsidRPr="007F6280" w:rsidRDefault="00DA21C3" w:rsidP="00A53EA5">
            <w:pPr>
              <w:rPr>
                <w:rFonts w:ascii="Arial" w:hAnsi="Arial" w:cs="Arial"/>
                <w:lang w:val="en-US"/>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lang w:val="en-US"/>
              </w:rPr>
            </w:pPr>
            <w:r w:rsidRPr="007F6280">
              <w:rPr>
                <w:rFonts w:ascii="Arial" w:hAnsi="Arial" w:cs="Arial"/>
                <w:color w:val="000000"/>
                <w:kern w:val="24"/>
                <w:lang w:val="en-US"/>
              </w:rPr>
              <w:t>-cantități programate (mii tone)</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lang w:val="en-US"/>
              </w:rPr>
              <w:t>1.703</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lang w:val="en-US"/>
              </w:rPr>
              <w:t>1.763</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sidRPr="007F6280">
              <w:rPr>
                <w:rFonts w:ascii="Arial" w:hAnsi="Arial" w:cs="Arial"/>
                <w:color w:val="000000" w:themeColor="text1"/>
                <w:kern w:val="24"/>
                <w:lang w:val="en-US"/>
              </w:rPr>
              <w:t>▼</w:t>
            </w:r>
            <w:r>
              <w:rPr>
                <w:rFonts w:ascii="Arial" w:hAnsi="Arial" w:cs="Arial"/>
                <w:color w:val="000000" w:themeColor="text1"/>
                <w:kern w:val="24"/>
                <w:lang w:val="en-US"/>
              </w:rPr>
              <w:t>3,40</w:t>
            </w:r>
            <w:r w:rsidRPr="007F6280">
              <w:rPr>
                <w:rFonts w:ascii="Arial" w:hAnsi="Arial" w:cs="Arial"/>
                <w:color w:val="000000"/>
                <w:kern w:val="24"/>
              </w:rPr>
              <w:t>%</w:t>
            </w:r>
          </w:p>
        </w:tc>
      </w:tr>
      <w:tr w:rsidR="00DA21C3" w:rsidRPr="007F6280" w:rsidTr="00AC523C">
        <w:trPr>
          <w:trHeight w:val="295"/>
        </w:trPr>
        <w:tc>
          <w:tcPr>
            <w:tcW w:w="1390" w:type="dxa"/>
            <w:vMerge/>
            <w:tcBorders>
              <w:left w:val="single" w:sz="4" w:space="0" w:color="000000"/>
              <w:right w:val="single" w:sz="4" w:space="0" w:color="000000"/>
            </w:tcBorders>
            <w:shd w:val="clear" w:color="auto" w:fill="auto"/>
            <w:vAlign w:val="center"/>
          </w:tcPr>
          <w:p w:rsidR="00DA21C3" w:rsidRPr="007F6280" w:rsidRDefault="00DA21C3" w:rsidP="00A53EA5">
            <w:pPr>
              <w:rPr>
                <w:rFonts w:ascii="Arial" w:hAnsi="Arial" w:cs="Arial"/>
                <w:lang w:val="en-US"/>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lang w:val="en-US"/>
              </w:rPr>
            </w:pPr>
            <w:r w:rsidRPr="007F6280">
              <w:rPr>
                <w:rFonts w:ascii="Arial" w:hAnsi="Arial" w:cs="Arial"/>
                <w:color w:val="000000"/>
                <w:kern w:val="24"/>
                <w:lang w:val="en-US"/>
              </w:rPr>
              <w:t>-cantități realizate (mii tone)</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lang w:val="en-US"/>
              </w:rPr>
              <w:t>1.758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lang w:val="en-US"/>
              </w:rPr>
              <w:t>1.785</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sidRPr="007F6280">
              <w:rPr>
                <w:rFonts w:ascii="Arial" w:hAnsi="Arial" w:cs="Arial"/>
                <w:color w:val="000000" w:themeColor="text1"/>
                <w:kern w:val="24"/>
                <w:lang w:val="en-US"/>
              </w:rPr>
              <w:t>▼</w:t>
            </w:r>
            <w:r>
              <w:rPr>
                <w:rFonts w:ascii="Arial" w:hAnsi="Arial" w:cs="Arial"/>
                <w:color w:val="000000" w:themeColor="text1"/>
                <w:kern w:val="24"/>
                <w:lang w:val="en-US"/>
              </w:rPr>
              <w:t>1,51</w:t>
            </w:r>
            <w:r w:rsidRPr="007F6280">
              <w:rPr>
                <w:rFonts w:ascii="Arial" w:hAnsi="Arial" w:cs="Arial"/>
                <w:color w:val="000000"/>
                <w:kern w:val="24"/>
              </w:rPr>
              <w:t>%</w:t>
            </w:r>
          </w:p>
        </w:tc>
      </w:tr>
      <w:tr w:rsidR="00DA21C3" w:rsidRPr="007F6280" w:rsidTr="00AC523C">
        <w:trPr>
          <w:trHeight w:val="295"/>
        </w:trPr>
        <w:tc>
          <w:tcPr>
            <w:tcW w:w="1390" w:type="dxa"/>
            <w:vMerge/>
            <w:tcBorders>
              <w:left w:val="single" w:sz="4" w:space="0" w:color="000000"/>
              <w:right w:val="single" w:sz="4" w:space="0" w:color="000000"/>
            </w:tcBorders>
            <w:shd w:val="clear" w:color="auto" w:fill="auto"/>
            <w:vAlign w:val="center"/>
          </w:tcPr>
          <w:p w:rsidR="00DA21C3" w:rsidRPr="007F6280" w:rsidRDefault="00DA21C3" w:rsidP="00A53EA5">
            <w:pPr>
              <w:rPr>
                <w:rFonts w:ascii="Arial" w:hAnsi="Arial" w:cs="Arial"/>
                <w:lang w:val="en-US"/>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lang w:val="en-US"/>
              </w:rPr>
            </w:pPr>
            <w:r w:rsidRPr="007F6280">
              <w:rPr>
                <w:rFonts w:ascii="Arial" w:hAnsi="Arial" w:cs="Arial"/>
                <w:color w:val="000000"/>
                <w:kern w:val="24"/>
                <w:lang w:val="en-US"/>
              </w:rPr>
              <w:t>-grad de realizare</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lang w:val="en-US"/>
              </w:rPr>
              <w:t>103,26%</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lang w:val="en-US"/>
              </w:rPr>
              <w:t>101,25%</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sidRPr="007F6280">
              <w:rPr>
                <w:rFonts w:ascii="Arial" w:hAnsi="Arial" w:cs="Arial"/>
                <w:color w:val="000000"/>
                <w:kern w:val="24"/>
              </w:rPr>
              <w:t>+</w:t>
            </w:r>
            <w:r>
              <w:rPr>
                <w:rFonts w:ascii="Arial" w:hAnsi="Arial" w:cs="Arial"/>
                <w:color w:val="000000"/>
                <w:kern w:val="24"/>
              </w:rPr>
              <w:t>2,01</w:t>
            </w:r>
            <w:r w:rsidRPr="007F6280">
              <w:rPr>
                <w:rFonts w:ascii="Arial" w:hAnsi="Arial" w:cs="Arial"/>
                <w:color w:val="000000"/>
                <w:kern w:val="24"/>
              </w:rPr>
              <w:t>p.p.</w:t>
            </w:r>
          </w:p>
        </w:tc>
      </w:tr>
      <w:tr w:rsidR="00DA21C3" w:rsidRPr="007F6280" w:rsidTr="00AC523C">
        <w:trPr>
          <w:trHeight w:val="304"/>
        </w:trPr>
        <w:tc>
          <w:tcPr>
            <w:tcW w:w="1390" w:type="dxa"/>
            <w:vMerge/>
            <w:tcBorders>
              <w:left w:val="single" w:sz="4" w:space="0" w:color="000000"/>
              <w:bottom w:val="single" w:sz="4" w:space="0" w:color="000000"/>
              <w:right w:val="single" w:sz="4" w:space="0" w:color="000000"/>
            </w:tcBorders>
            <w:shd w:val="clear" w:color="auto" w:fill="auto"/>
            <w:vAlign w:val="center"/>
          </w:tcPr>
          <w:p w:rsidR="00DA21C3" w:rsidRPr="007F6280" w:rsidRDefault="00DA21C3" w:rsidP="00A53EA5">
            <w:pPr>
              <w:rPr>
                <w:rFonts w:ascii="Arial" w:hAnsi="Arial" w:cs="Arial"/>
                <w:lang w:val="en-US"/>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lang w:val="en-US"/>
              </w:rPr>
            </w:pPr>
            <w:r w:rsidRPr="007F6280">
              <w:rPr>
                <w:rFonts w:ascii="Arial" w:hAnsi="Arial" w:cs="Arial"/>
                <w:color w:val="000000"/>
                <w:kern w:val="24"/>
                <w:lang w:val="en-US"/>
              </w:rPr>
              <w:t>-grad de utilizare a capacităților de transport</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lang w:val="en-US"/>
              </w:rPr>
              <w:t>56,84%</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lang w:val="en-US"/>
              </w:rPr>
              <w:t>56,97%</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color w:val="000000"/>
                <w:kern w:val="24"/>
              </w:rPr>
              <w:t>-0,13</w:t>
            </w:r>
            <w:r w:rsidRPr="007F6280">
              <w:rPr>
                <w:rFonts w:ascii="Arial" w:hAnsi="Arial" w:cs="Arial"/>
                <w:color w:val="000000"/>
                <w:kern w:val="24"/>
              </w:rPr>
              <w:t>p.p.</w:t>
            </w:r>
          </w:p>
        </w:tc>
      </w:tr>
      <w:tr w:rsidR="00DA21C3" w:rsidRPr="007F6280" w:rsidTr="00AC523C">
        <w:trPr>
          <w:trHeight w:val="295"/>
        </w:trPr>
        <w:tc>
          <w:tcPr>
            <w:tcW w:w="1390" w:type="dxa"/>
            <w:vMerge w:val="restart"/>
            <w:tcBorders>
              <w:top w:val="single" w:sz="4" w:space="0" w:color="000000"/>
              <w:left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center"/>
              <w:textAlignment w:val="center"/>
              <w:rPr>
                <w:rFonts w:ascii="Arial" w:hAnsi="Arial" w:cs="Arial"/>
                <w:lang w:val="en-US"/>
              </w:rPr>
            </w:pPr>
            <w:r w:rsidRPr="007F6280">
              <w:rPr>
                <w:rFonts w:ascii="Arial" w:hAnsi="Arial" w:cs="Arial"/>
                <w:b/>
                <w:bCs/>
                <w:color w:val="000000"/>
                <w:kern w:val="24"/>
                <w:lang w:val="en-US"/>
              </w:rPr>
              <w:t>IMPORT</w:t>
            </w:r>
          </w:p>
        </w:tc>
        <w:tc>
          <w:tcPr>
            <w:tcW w:w="7942" w:type="dxa"/>
            <w:gridSpan w:val="4"/>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7F6280" w:rsidRDefault="00DA21C3" w:rsidP="00A53EA5">
            <w:pPr>
              <w:textAlignment w:val="bottom"/>
              <w:rPr>
                <w:rFonts w:ascii="Arial" w:hAnsi="Arial" w:cs="Arial"/>
                <w:lang w:val="en-US"/>
              </w:rPr>
            </w:pPr>
            <w:r w:rsidRPr="007F6280">
              <w:rPr>
                <w:rFonts w:ascii="Arial" w:hAnsi="Arial" w:cs="Arial"/>
                <w:b/>
                <w:bCs/>
                <w:color w:val="000000"/>
                <w:kern w:val="24"/>
                <w:lang w:val="en-US"/>
              </w:rPr>
              <w:t xml:space="preserve">țiței </w:t>
            </w:r>
          </w:p>
        </w:tc>
      </w:tr>
      <w:tr w:rsidR="00DA21C3" w:rsidRPr="007F6280" w:rsidTr="00AC523C">
        <w:trPr>
          <w:trHeight w:val="295"/>
        </w:trPr>
        <w:tc>
          <w:tcPr>
            <w:tcW w:w="1390" w:type="dxa"/>
            <w:vMerge/>
            <w:tcBorders>
              <w:left w:val="single" w:sz="4" w:space="0" w:color="000000"/>
              <w:right w:val="single" w:sz="4" w:space="0" w:color="000000"/>
            </w:tcBorders>
            <w:vAlign w:val="center"/>
          </w:tcPr>
          <w:p w:rsidR="00DA21C3" w:rsidRPr="007F6280" w:rsidRDefault="00DA21C3" w:rsidP="00A53EA5">
            <w:pPr>
              <w:rPr>
                <w:rFonts w:ascii="Arial" w:hAnsi="Arial" w:cs="Arial"/>
                <w:lang w:val="en-US"/>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lang w:val="en-US"/>
              </w:rPr>
            </w:pPr>
            <w:r w:rsidRPr="007F6280">
              <w:rPr>
                <w:rFonts w:ascii="Arial" w:hAnsi="Arial" w:cs="Arial"/>
                <w:color w:val="000000"/>
                <w:kern w:val="24"/>
                <w:lang w:val="en-US"/>
              </w:rPr>
              <w:t>-cantități programate (mii tone)</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lang w:val="en-US"/>
              </w:rPr>
              <w:t>1.514</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lang w:val="en-US"/>
              </w:rPr>
              <w:t>1.325</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sidRPr="007F6280">
              <w:rPr>
                <w:rFonts w:ascii="Arial" w:hAnsi="Arial" w:cs="Arial"/>
                <w:bCs/>
                <w:color w:val="000000"/>
                <w:lang w:val="en-US" w:eastAsia="en-US"/>
              </w:rPr>
              <w:t>▲</w:t>
            </w:r>
            <w:r>
              <w:rPr>
                <w:rFonts w:ascii="Arial" w:hAnsi="Arial" w:cs="Arial"/>
                <w:bCs/>
                <w:color w:val="000000"/>
                <w:lang w:val="en-US" w:eastAsia="en-US"/>
              </w:rPr>
              <w:t>14,26</w:t>
            </w:r>
            <w:r w:rsidRPr="007F6280">
              <w:rPr>
                <w:rFonts w:ascii="Arial" w:hAnsi="Arial" w:cs="Arial"/>
                <w:color w:val="000000"/>
                <w:kern w:val="24"/>
              </w:rPr>
              <w:t>%</w:t>
            </w:r>
          </w:p>
        </w:tc>
      </w:tr>
      <w:tr w:rsidR="00DA21C3" w:rsidRPr="007F6280" w:rsidTr="00AC523C">
        <w:trPr>
          <w:trHeight w:val="295"/>
        </w:trPr>
        <w:tc>
          <w:tcPr>
            <w:tcW w:w="1390" w:type="dxa"/>
            <w:vMerge/>
            <w:tcBorders>
              <w:left w:val="single" w:sz="4" w:space="0" w:color="000000"/>
              <w:right w:val="single" w:sz="4" w:space="0" w:color="000000"/>
            </w:tcBorders>
            <w:vAlign w:val="center"/>
          </w:tcPr>
          <w:p w:rsidR="00DA21C3" w:rsidRPr="007F6280" w:rsidRDefault="00DA21C3" w:rsidP="00A53EA5">
            <w:pPr>
              <w:rPr>
                <w:rFonts w:ascii="Arial" w:hAnsi="Arial" w:cs="Arial"/>
                <w:lang w:val="en-US"/>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lang w:val="en-US"/>
              </w:rPr>
            </w:pPr>
            <w:r w:rsidRPr="007F6280">
              <w:rPr>
                <w:rFonts w:ascii="Arial" w:hAnsi="Arial" w:cs="Arial"/>
                <w:color w:val="000000"/>
                <w:kern w:val="24"/>
                <w:lang w:val="en-US"/>
              </w:rPr>
              <w:t>-cantități realizate (mii tone)</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lang w:val="en-US"/>
              </w:rPr>
              <w:t>1.540</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lang w:val="en-US"/>
              </w:rPr>
              <w:t>1.427</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sidRPr="007F6280">
              <w:rPr>
                <w:rFonts w:ascii="Arial" w:hAnsi="Arial" w:cs="Arial"/>
                <w:bCs/>
                <w:color w:val="000000"/>
                <w:lang w:val="en-US" w:eastAsia="en-US"/>
              </w:rPr>
              <w:t>▲</w:t>
            </w:r>
            <w:r>
              <w:rPr>
                <w:rFonts w:ascii="Arial" w:hAnsi="Arial" w:cs="Arial"/>
                <w:bCs/>
                <w:color w:val="000000"/>
                <w:lang w:val="en-US" w:eastAsia="en-US"/>
              </w:rPr>
              <w:t>7,92</w:t>
            </w:r>
            <w:r w:rsidRPr="007F6280">
              <w:rPr>
                <w:rFonts w:ascii="Arial" w:hAnsi="Arial" w:cs="Arial"/>
                <w:color w:val="000000"/>
                <w:kern w:val="24"/>
              </w:rPr>
              <w:t>%</w:t>
            </w:r>
          </w:p>
        </w:tc>
      </w:tr>
      <w:tr w:rsidR="00DA21C3" w:rsidRPr="007F6280" w:rsidTr="00AC523C">
        <w:trPr>
          <w:trHeight w:val="295"/>
        </w:trPr>
        <w:tc>
          <w:tcPr>
            <w:tcW w:w="1390" w:type="dxa"/>
            <w:vMerge/>
            <w:tcBorders>
              <w:left w:val="single" w:sz="4" w:space="0" w:color="000000"/>
              <w:right w:val="single" w:sz="4" w:space="0" w:color="000000"/>
            </w:tcBorders>
            <w:vAlign w:val="center"/>
          </w:tcPr>
          <w:p w:rsidR="00DA21C3" w:rsidRPr="007F6280" w:rsidRDefault="00DA21C3" w:rsidP="00A53EA5">
            <w:pPr>
              <w:rPr>
                <w:rFonts w:ascii="Arial" w:hAnsi="Arial" w:cs="Arial"/>
                <w:lang w:val="en-US"/>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lang w:val="en-US"/>
              </w:rPr>
            </w:pPr>
            <w:r w:rsidRPr="007F6280">
              <w:rPr>
                <w:rFonts w:ascii="Arial" w:hAnsi="Arial" w:cs="Arial"/>
                <w:color w:val="000000"/>
                <w:kern w:val="24"/>
                <w:lang w:val="en-US"/>
              </w:rPr>
              <w:t>-grad de realizare</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lang w:val="en-US"/>
              </w:rPr>
              <w:t>101,72%</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lang w:val="en-US"/>
              </w:rPr>
              <w:t>107,70%</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color w:val="000000"/>
                <w:kern w:val="24"/>
              </w:rPr>
              <w:t>-5,98</w:t>
            </w:r>
            <w:r w:rsidRPr="007F6280">
              <w:rPr>
                <w:rFonts w:ascii="Arial" w:hAnsi="Arial" w:cs="Arial"/>
                <w:color w:val="000000"/>
                <w:kern w:val="24"/>
              </w:rPr>
              <w:t>p.p.</w:t>
            </w:r>
          </w:p>
        </w:tc>
      </w:tr>
      <w:tr w:rsidR="00DA21C3" w:rsidRPr="007F6280" w:rsidTr="00AC523C">
        <w:trPr>
          <w:trHeight w:val="289"/>
        </w:trPr>
        <w:tc>
          <w:tcPr>
            <w:tcW w:w="1390" w:type="dxa"/>
            <w:vMerge/>
            <w:tcBorders>
              <w:left w:val="single" w:sz="4" w:space="0" w:color="000000"/>
              <w:bottom w:val="single" w:sz="4" w:space="0" w:color="000000"/>
              <w:right w:val="single" w:sz="4" w:space="0" w:color="000000"/>
            </w:tcBorders>
            <w:vAlign w:val="center"/>
          </w:tcPr>
          <w:p w:rsidR="00DA21C3" w:rsidRPr="007F6280" w:rsidRDefault="00DA21C3" w:rsidP="00A53EA5">
            <w:pPr>
              <w:rPr>
                <w:rFonts w:ascii="Arial" w:hAnsi="Arial" w:cs="Arial"/>
                <w:lang w:val="en-US"/>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lang w:val="en-US"/>
              </w:rPr>
            </w:pPr>
            <w:r w:rsidRPr="007F6280">
              <w:rPr>
                <w:rFonts w:ascii="Arial" w:hAnsi="Arial" w:cs="Arial"/>
                <w:color w:val="000000"/>
                <w:kern w:val="24"/>
                <w:lang w:val="en-US"/>
              </w:rPr>
              <w:t>-grad de utilizare a capacităților de transport</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lang w:val="en-US"/>
              </w:rPr>
              <w:t>26,31%</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lang w:val="en-US"/>
              </w:rPr>
              <w:t>24,38%</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lang w:val="en-US"/>
              </w:rPr>
            </w:pPr>
            <w:r>
              <w:rPr>
                <w:rFonts w:ascii="Arial" w:hAnsi="Arial" w:cs="Arial"/>
                <w:color w:val="000000"/>
                <w:kern w:val="24"/>
              </w:rPr>
              <w:t>+1,93</w:t>
            </w:r>
            <w:r w:rsidRPr="007F6280">
              <w:rPr>
                <w:rFonts w:ascii="Arial" w:hAnsi="Arial" w:cs="Arial"/>
                <w:color w:val="000000"/>
                <w:kern w:val="24"/>
              </w:rPr>
              <w:t>p.p.</w:t>
            </w:r>
          </w:p>
        </w:tc>
      </w:tr>
      <w:tr w:rsidR="00DA21C3" w:rsidRPr="00AA5AC9" w:rsidTr="00AC523C">
        <w:trPr>
          <w:trHeight w:val="295"/>
        </w:trPr>
        <w:tc>
          <w:tcPr>
            <w:tcW w:w="1390" w:type="dxa"/>
            <w:vMerge w:val="restart"/>
            <w:tcBorders>
              <w:top w:val="single" w:sz="4" w:space="0" w:color="000000"/>
              <w:left w:val="single" w:sz="4" w:space="0" w:color="000000"/>
              <w:right w:val="single" w:sz="4" w:space="0" w:color="000000"/>
            </w:tcBorders>
            <w:shd w:val="clear" w:color="auto" w:fill="DDEBF7"/>
            <w:tcMar>
              <w:top w:w="11" w:type="dxa"/>
              <w:left w:w="11" w:type="dxa"/>
              <w:bottom w:w="0" w:type="dxa"/>
              <w:right w:w="11" w:type="dxa"/>
            </w:tcMar>
            <w:vAlign w:val="center"/>
          </w:tcPr>
          <w:p w:rsidR="00DA21C3" w:rsidRPr="007F6280" w:rsidRDefault="00DA21C3" w:rsidP="00A53EA5">
            <w:pPr>
              <w:jc w:val="center"/>
              <w:textAlignment w:val="center"/>
              <w:rPr>
                <w:rFonts w:ascii="Arial" w:hAnsi="Arial" w:cs="Arial"/>
                <w:lang w:val="en-US"/>
              </w:rPr>
            </w:pPr>
            <w:r w:rsidRPr="007F6280">
              <w:rPr>
                <w:rFonts w:ascii="Arial" w:hAnsi="Arial" w:cs="Arial"/>
                <w:b/>
                <w:bCs/>
                <w:color w:val="000000"/>
                <w:kern w:val="24"/>
                <w:lang w:val="en-US"/>
              </w:rPr>
              <w:t>TOTAL</w:t>
            </w:r>
          </w:p>
        </w:tc>
        <w:tc>
          <w:tcPr>
            <w:tcW w:w="3935"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7F6280" w:rsidRDefault="00DA21C3" w:rsidP="00A53EA5">
            <w:pPr>
              <w:textAlignment w:val="bottom"/>
              <w:rPr>
                <w:rFonts w:ascii="Arial" w:hAnsi="Arial" w:cs="Arial"/>
                <w:lang w:val="en-US"/>
              </w:rPr>
            </w:pPr>
            <w:r w:rsidRPr="007F6280">
              <w:rPr>
                <w:rFonts w:ascii="Arial" w:hAnsi="Arial" w:cs="Arial"/>
                <w:b/>
                <w:bCs/>
                <w:color w:val="000000"/>
                <w:kern w:val="24"/>
                <w:lang w:val="en-US"/>
              </w:rPr>
              <w:t>-cantități programate (mii tone)</w:t>
            </w:r>
          </w:p>
        </w:tc>
        <w:tc>
          <w:tcPr>
            <w:tcW w:w="12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lang w:val="en-US"/>
              </w:rPr>
            </w:pPr>
            <w:r w:rsidRPr="00AA5AC9">
              <w:rPr>
                <w:rFonts w:ascii="Arial" w:hAnsi="Arial" w:cs="Arial"/>
                <w:b/>
                <w:lang w:val="en-US"/>
              </w:rPr>
              <w:t>3.217</w:t>
            </w:r>
          </w:p>
        </w:tc>
        <w:tc>
          <w:tcPr>
            <w:tcW w:w="12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lang w:val="en-US"/>
              </w:rPr>
            </w:pPr>
            <w:r w:rsidRPr="00AA5AC9">
              <w:rPr>
                <w:rFonts w:ascii="Arial" w:hAnsi="Arial" w:cs="Arial"/>
                <w:b/>
                <w:lang w:val="en-US"/>
              </w:rPr>
              <w:t>3.088</w:t>
            </w:r>
          </w:p>
        </w:tc>
        <w:tc>
          <w:tcPr>
            <w:tcW w:w="1579"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lang w:val="en-US"/>
              </w:rPr>
            </w:pPr>
            <w:r w:rsidRPr="00AA5AC9">
              <w:rPr>
                <w:rFonts w:ascii="Arial" w:hAnsi="Arial" w:cs="Arial"/>
                <w:b/>
                <w:bCs/>
                <w:color w:val="000000"/>
                <w:lang w:val="en-US" w:eastAsia="en-US"/>
              </w:rPr>
              <w:t>▲4,18</w:t>
            </w:r>
            <w:r w:rsidRPr="00AA5AC9">
              <w:rPr>
                <w:rFonts w:ascii="Arial" w:hAnsi="Arial" w:cs="Arial"/>
                <w:b/>
                <w:bCs/>
                <w:color w:val="000000"/>
                <w:kern w:val="24"/>
              </w:rPr>
              <w:t>%</w:t>
            </w:r>
          </w:p>
        </w:tc>
      </w:tr>
      <w:tr w:rsidR="00DA21C3" w:rsidRPr="00AA5AC9" w:rsidTr="00AC523C">
        <w:trPr>
          <w:trHeight w:val="295"/>
        </w:trPr>
        <w:tc>
          <w:tcPr>
            <w:tcW w:w="1390" w:type="dxa"/>
            <w:vMerge/>
            <w:tcBorders>
              <w:left w:val="single" w:sz="4" w:space="0" w:color="000000"/>
              <w:right w:val="single" w:sz="4" w:space="0" w:color="000000"/>
            </w:tcBorders>
            <w:vAlign w:val="center"/>
          </w:tcPr>
          <w:p w:rsidR="00DA21C3" w:rsidRPr="007F6280" w:rsidRDefault="00DA21C3" w:rsidP="00A53EA5">
            <w:pPr>
              <w:rPr>
                <w:rFonts w:ascii="Arial" w:hAnsi="Arial" w:cs="Arial"/>
                <w:lang w:val="en-US"/>
              </w:rPr>
            </w:pPr>
          </w:p>
        </w:tc>
        <w:tc>
          <w:tcPr>
            <w:tcW w:w="3935"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7F6280" w:rsidRDefault="00DA21C3" w:rsidP="00A53EA5">
            <w:pPr>
              <w:textAlignment w:val="bottom"/>
              <w:rPr>
                <w:rFonts w:ascii="Arial" w:hAnsi="Arial" w:cs="Arial"/>
                <w:lang w:val="en-US"/>
              </w:rPr>
            </w:pPr>
            <w:r w:rsidRPr="007F6280">
              <w:rPr>
                <w:rFonts w:ascii="Arial" w:hAnsi="Arial" w:cs="Arial"/>
                <w:b/>
                <w:bCs/>
                <w:color w:val="000000"/>
                <w:kern w:val="24"/>
                <w:lang w:val="en-US"/>
              </w:rPr>
              <w:t>-cantități realizate (mii tone)</w:t>
            </w:r>
          </w:p>
        </w:tc>
        <w:tc>
          <w:tcPr>
            <w:tcW w:w="12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lang w:val="en-US"/>
              </w:rPr>
            </w:pPr>
            <w:r w:rsidRPr="00AA5AC9">
              <w:rPr>
                <w:rFonts w:ascii="Arial" w:hAnsi="Arial" w:cs="Arial"/>
                <w:b/>
                <w:lang w:val="en-US"/>
              </w:rPr>
              <w:t>3.298</w:t>
            </w:r>
          </w:p>
        </w:tc>
        <w:tc>
          <w:tcPr>
            <w:tcW w:w="12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lang w:val="en-US"/>
              </w:rPr>
            </w:pPr>
            <w:r w:rsidRPr="00AA5AC9">
              <w:rPr>
                <w:rFonts w:ascii="Arial" w:hAnsi="Arial" w:cs="Arial"/>
                <w:b/>
                <w:lang w:val="en-US"/>
              </w:rPr>
              <w:t>3.212</w:t>
            </w:r>
          </w:p>
        </w:tc>
        <w:tc>
          <w:tcPr>
            <w:tcW w:w="1579"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lang w:val="en-US"/>
              </w:rPr>
            </w:pPr>
            <w:r w:rsidRPr="00AA5AC9">
              <w:rPr>
                <w:rFonts w:ascii="Arial" w:hAnsi="Arial" w:cs="Arial"/>
                <w:b/>
                <w:bCs/>
                <w:color w:val="000000"/>
                <w:lang w:val="en-US" w:eastAsia="en-US"/>
              </w:rPr>
              <w:t>▲2,68</w:t>
            </w:r>
            <w:r w:rsidRPr="00AA5AC9">
              <w:rPr>
                <w:rFonts w:ascii="Arial" w:hAnsi="Arial" w:cs="Arial"/>
                <w:b/>
                <w:bCs/>
                <w:color w:val="000000"/>
                <w:kern w:val="24"/>
              </w:rPr>
              <w:t>%</w:t>
            </w:r>
          </w:p>
        </w:tc>
      </w:tr>
      <w:tr w:rsidR="00DA21C3" w:rsidRPr="00AA5AC9" w:rsidTr="00AC523C">
        <w:trPr>
          <w:trHeight w:val="295"/>
        </w:trPr>
        <w:tc>
          <w:tcPr>
            <w:tcW w:w="1390" w:type="dxa"/>
            <w:vMerge/>
            <w:tcBorders>
              <w:left w:val="single" w:sz="4" w:space="0" w:color="000000"/>
              <w:right w:val="single" w:sz="4" w:space="0" w:color="000000"/>
            </w:tcBorders>
            <w:vAlign w:val="center"/>
          </w:tcPr>
          <w:p w:rsidR="00DA21C3" w:rsidRPr="007F6280" w:rsidRDefault="00DA21C3" w:rsidP="00A53EA5">
            <w:pPr>
              <w:rPr>
                <w:rFonts w:ascii="Arial" w:hAnsi="Arial" w:cs="Arial"/>
                <w:lang w:val="en-US"/>
              </w:rPr>
            </w:pPr>
          </w:p>
        </w:tc>
        <w:tc>
          <w:tcPr>
            <w:tcW w:w="3935"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7F6280" w:rsidRDefault="00DA21C3" w:rsidP="00A53EA5">
            <w:pPr>
              <w:textAlignment w:val="bottom"/>
              <w:rPr>
                <w:rFonts w:ascii="Arial" w:hAnsi="Arial" w:cs="Arial"/>
                <w:lang w:val="en-US"/>
              </w:rPr>
            </w:pPr>
            <w:r w:rsidRPr="007F6280">
              <w:rPr>
                <w:rFonts w:ascii="Arial" w:hAnsi="Arial" w:cs="Arial"/>
                <w:b/>
                <w:bCs/>
                <w:color w:val="000000"/>
                <w:kern w:val="24"/>
                <w:lang w:val="en-US"/>
              </w:rPr>
              <w:t>-grad de realizare</w:t>
            </w:r>
          </w:p>
        </w:tc>
        <w:tc>
          <w:tcPr>
            <w:tcW w:w="12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lang w:val="en-US"/>
              </w:rPr>
            </w:pPr>
            <w:r w:rsidRPr="00AA5AC9">
              <w:rPr>
                <w:rFonts w:ascii="Arial" w:hAnsi="Arial" w:cs="Arial"/>
                <w:b/>
                <w:lang w:val="en-US"/>
              </w:rPr>
              <w:t>102,52%</w:t>
            </w:r>
          </w:p>
        </w:tc>
        <w:tc>
          <w:tcPr>
            <w:tcW w:w="12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lang w:val="en-US"/>
              </w:rPr>
            </w:pPr>
            <w:r>
              <w:rPr>
                <w:rFonts w:ascii="Arial" w:hAnsi="Arial" w:cs="Arial"/>
                <w:b/>
                <w:lang w:val="en-US"/>
              </w:rPr>
              <w:t>104,02</w:t>
            </w:r>
            <w:r w:rsidRPr="00AA5AC9">
              <w:rPr>
                <w:rFonts w:ascii="Arial" w:hAnsi="Arial" w:cs="Arial"/>
                <w:b/>
                <w:lang w:val="en-US"/>
              </w:rPr>
              <w:t>%</w:t>
            </w:r>
          </w:p>
        </w:tc>
        <w:tc>
          <w:tcPr>
            <w:tcW w:w="1579"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lang w:val="en-US"/>
              </w:rPr>
            </w:pPr>
            <w:r>
              <w:rPr>
                <w:rFonts w:ascii="Arial" w:hAnsi="Arial" w:cs="Arial"/>
                <w:b/>
                <w:bCs/>
                <w:color w:val="000000"/>
                <w:kern w:val="24"/>
              </w:rPr>
              <w:t>-1,50</w:t>
            </w:r>
            <w:r w:rsidRPr="00AA5AC9">
              <w:rPr>
                <w:rFonts w:ascii="Arial" w:hAnsi="Arial" w:cs="Arial"/>
                <w:b/>
                <w:bCs/>
                <w:color w:val="000000"/>
                <w:kern w:val="24"/>
              </w:rPr>
              <w:t>p.p.</w:t>
            </w:r>
          </w:p>
        </w:tc>
      </w:tr>
      <w:tr w:rsidR="00DA21C3" w:rsidRPr="00AA5AC9" w:rsidTr="00AC523C">
        <w:trPr>
          <w:trHeight w:val="377"/>
        </w:trPr>
        <w:tc>
          <w:tcPr>
            <w:tcW w:w="1390" w:type="dxa"/>
            <w:vMerge/>
            <w:tcBorders>
              <w:left w:val="single" w:sz="4" w:space="0" w:color="000000"/>
              <w:bottom w:val="single" w:sz="4" w:space="0" w:color="000000"/>
              <w:right w:val="single" w:sz="4" w:space="0" w:color="000000"/>
            </w:tcBorders>
            <w:vAlign w:val="center"/>
          </w:tcPr>
          <w:p w:rsidR="00DA21C3" w:rsidRPr="007F6280" w:rsidRDefault="00DA21C3" w:rsidP="00A53EA5">
            <w:pPr>
              <w:rPr>
                <w:rFonts w:ascii="Arial" w:hAnsi="Arial" w:cs="Arial"/>
                <w:lang w:val="en-US"/>
              </w:rPr>
            </w:pPr>
          </w:p>
        </w:tc>
        <w:tc>
          <w:tcPr>
            <w:tcW w:w="3935"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7F6280" w:rsidRDefault="00DA21C3" w:rsidP="00A53EA5">
            <w:pPr>
              <w:textAlignment w:val="bottom"/>
              <w:rPr>
                <w:rFonts w:ascii="Arial" w:hAnsi="Arial" w:cs="Arial"/>
                <w:lang w:val="en-US"/>
              </w:rPr>
            </w:pPr>
            <w:r w:rsidRPr="007F6280">
              <w:rPr>
                <w:rFonts w:ascii="Arial" w:hAnsi="Arial" w:cs="Arial"/>
                <w:b/>
                <w:bCs/>
                <w:color w:val="000000"/>
                <w:kern w:val="24"/>
                <w:lang w:val="en-US"/>
              </w:rPr>
              <w:t>-grad de utilizare a capacităților de transport</w:t>
            </w:r>
          </w:p>
        </w:tc>
        <w:tc>
          <w:tcPr>
            <w:tcW w:w="12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lang w:val="en-US"/>
              </w:rPr>
            </w:pPr>
            <w:r w:rsidRPr="00AA5AC9">
              <w:rPr>
                <w:rFonts w:ascii="Arial" w:hAnsi="Arial" w:cs="Arial"/>
                <w:b/>
                <w:lang w:val="en-US"/>
              </w:rPr>
              <w:t>36,97%</w:t>
            </w:r>
          </w:p>
        </w:tc>
        <w:tc>
          <w:tcPr>
            <w:tcW w:w="12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lang w:val="en-US"/>
              </w:rPr>
            </w:pPr>
            <w:r w:rsidRPr="00AA5AC9">
              <w:rPr>
                <w:rFonts w:ascii="Arial" w:hAnsi="Arial" w:cs="Arial"/>
                <w:b/>
                <w:lang w:val="en-US"/>
              </w:rPr>
              <w:t>35,74%</w:t>
            </w:r>
          </w:p>
        </w:tc>
        <w:tc>
          <w:tcPr>
            <w:tcW w:w="1579"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lang w:val="en-US"/>
              </w:rPr>
            </w:pPr>
            <w:r w:rsidRPr="00AA5AC9">
              <w:rPr>
                <w:rFonts w:ascii="Arial" w:hAnsi="Arial" w:cs="Arial"/>
                <w:b/>
                <w:bCs/>
                <w:color w:val="000000"/>
                <w:kern w:val="24"/>
              </w:rPr>
              <w:t>+1,23p.p.</w:t>
            </w:r>
          </w:p>
        </w:tc>
      </w:tr>
    </w:tbl>
    <w:p w:rsidR="002628EB" w:rsidRDefault="002628EB" w:rsidP="003C2FBC">
      <w:pPr>
        <w:widowControl/>
        <w:overflowPunct w:val="0"/>
        <w:spacing w:line="276" w:lineRule="auto"/>
        <w:jc w:val="center"/>
        <w:textAlignment w:val="baseline"/>
        <w:rPr>
          <w:rFonts w:ascii="Arial" w:hAnsi="Arial" w:cs="Arial"/>
          <w:noProof/>
          <w:sz w:val="16"/>
          <w:szCs w:val="16"/>
          <w:lang w:val="en-US" w:eastAsia="en-US"/>
        </w:rPr>
      </w:pPr>
    </w:p>
    <w:p w:rsidR="003C2FBC" w:rsidRDefault="003C2FBC" w:rsidP="00CB20B5">
      <w:pPr>
        <w:widowControl/>
        <w:overflowPunct w:val="0"/>
        <w:spacing w:line="276" w:lineRule="auto"/>
        <w:jc w:val="center"/>
        <w:textAlignment w:val="baseline"/>
        <w:rPr>
          <w:rFonts w:ascii="Arial" w:hAnsi="Arial" w:cs="Arial"/>
          <w:noProof/>
          <w:sz w:val="16"/>
          <w:szCs w:val="16"/>
          <w:lang w:val="en-US" w:eastAsia="en-US"/>
        </w:rPr>
      </w:pPr>
      <w:r w:rsidRPr="008F5405">
        <w:rPr>
          <w:rFonts w:ascii="Arial" w:hAnsi="Arial" w:cs="Arial"/>
          <w:noProof/>
          <w:sz w:val="16"/>
          <w:szCs w:val="16"/>
          <w:lang w:val="en-US" w:eastAsia="en-US"/>
        </w:rPr>
        <w:t>Tabel</w:t>
      </w:r>
      <w:r w:rsidR="007239FA" w:rsidRPr="008F5405">
        <w:rPr>
          <w:rFonts w:ascii="Arial" w:hAnsi="Arial" w:cs="Arial"/>
          <w:noProof/>
          <w:sz w:val="16"/>
          <w:szCs w:val="16"/>
          <w:lang w:val="en-US" w:eastAsia="en-US"/>
        </w:rPr>
        <w:t xml:space="preserve"> 5</w:t>
      </w:r>
      <w:r w:rsidRPr="008F5405">
        <w:rPr>
          <w:rFonts w:ascii="Arial" w:hAnsi="Arial" w:cs="Arial"/>
          <w:noProof/>
          <w:sz w:val="16"/>
          <w:szCs w:val="16"/>
          <w:lang w:val="en-US" w:eastAsia="en-US"/>
        </w:rPr>
        <w:t xml:space="preserve"> </w:t>
      </w:r>
      <w:r w:rsidR="008F5405" w:rsidRPr="008F5405">
        <w:rPr>
          <w:rFonts w:ascii="Arial" w:hAnsi="Arial" w:cs="Arial"/>
          <w:noProof/>
          <w:sz w:val="16"/>
          <w:szCs w:val="16"/>
          <w:lang w:val="en-US" w:eastAsia="en-US"/>
        </w:rPr>
        <w:t xml:space="preserve">- </w:t>
      </w:r>
      <w:r w:rsidRPr="008F5405">
        <w:rPr>
          <w:rFonts w:ascii="Arial" w:hAnsi="Arial" w:cs="Arial"/>
          <w:noProof/>
          <w:sz w:val="16"/>
          <w:szCs w:val="16"/>
          <w:lang w:val="en-US" w:eastAsia="en-US"/>
        </w:rPr>
        <w:t>Cantități transportate pe tipuri de produse</w:t>
      </w:r>
      <w:r w:rsidR="00E435EA">
        <w:rPr>
          <w:rFonts w:ascii="Arial" w:hAnsi="Arial" w:cs="Arial"/>
          <w:noProof/>
          <w:sz w:val="16"/>
          <w:szCs w:val="16"/>
          <w:lang w:val="en-US" w:eastAsia="en-US"/>
        </w:rPr>
        <w:t xml:space="preserve"> și pe subsisteme de transport</w:t>
      </w:r>
      <w:r w:rsidRPr="008F5405">
        <w:rPr>
          <w:rFonts w:ascii="Arial" w:hAnsi="Arial" w:cs="Arial"/>
          <w:noProof/>
          <w:sz w:val="16"/>
          <w:szCs w:val="16"/>
          <w:lang w:val="en-US" w:eastAsia="en-US"/>
        </w:rPr>
        <w:t xml:space="preserve"> </w:t>
      </w:r>
      <w:r w:rsidR="007A79CF" w:rsidRPr="008F5405">
        <w:rPr>
          <w:rFonts w:ascii="Arial" w:hAnsi="Arial" w:cs="Arial"/>
          <w:noProof/>
          <w:sz w:val="16"/>
          <w:szCs w:val="16"/>
          <w:lang w:val="en-US" w:eastAsia="en-US"/>
        </w:rPr>
        <w:t>S</w:t>
      </w:r>
      <w:r w:rsidRPr="008F5405">
        <w:rPr>
          <w:rFonts w:ascii="Arial" w:hAnsi="Arial" w:cs="Arial"/>
          <w:noProof/>
          <w:sz w:val="16"/>
          <w:szCs w:val="16"/>
          <w:lang w:val="en-US" w:eastAsia="en-US"/>
        </w:rPr>
        <w:t>em</w:t>
      </w:r>
      <w:r w:rsidR="00CB20B5">
        <w:rPr>
          <w:rFonts w:ascii="Arial" w:hAnsi="Arial" w:cs="Arial"/>
          <w:noProof/>
          <w:sz w:val="16"/>
          <w:szCs w:val="16"/>
          <w:lang w:val="en-US" w:eastAsia="en-US"/>
        </w:rPr>
        <w:t>.</w:t>
      </w:r>
      <w:r w:rsidRPr="008F5405">
        <w:rPr>
          <w:rFonts w:ascii="Arial" w:hAnsi="Arial" w:cs="Arial"/>
          <w:noProof/>
          <w:sz w:val="16"/>
          <w:szCs w:val="16"/>
          <w:lang w:val="en-US" w:eastAsia="en-US"/>
        </w:rPr>
        <w:t xml:space="preserve"> I 2018-Sem</w:t>
      </w:r>
      <w:r w:rsidR="00CB20B5">
        <w:rPr>
          <w:rFonts w:ascii="Arial" w:hAnsi="Arial" w:cs="Arial"/>
          <w:noProof/>
          <w:sz w:val="16"/>
          <w:szCs w:val="16"/>
          <w:lang w:val="en-US" w:eastAsia="en-US"/>
        </w:rPr>
        <w:t>.</w:t>
      </w:r>
      <w:r w:rsidRPr="008F5405">
        <w:rPr>
          <w:rFonts w:ascii="Arial" w:hAnsi="Arial" w:cs="Arial"/>
          <w:noProof/>
          <w:sz w:val="16"/>
          <w:szCs w:val="16"/>
          <w:lang w:val="en-US" w:eastAsia="en-US"/>
        </w:rPr>
        <w:t xml:space="preserve"> I 2017</w:t>
      </w:r>
    </w:p>
    <w:p w:rsidR="00591C58" w:rsidRDefault="00591C58" w:rsidP="003C2FBC">
      <w:pPr>
        <w:widowControl/>
        <w:autoSpaceDE/>
        <w:autoSpaceDN/>
        <w:adjustRightInd/>
        <w:jc w:val="both"/>
        <w:rPr>
          <w:rFonts w:ascii="Arial" w:hAnsi="Arial"/>
          <w:sz w:val="22"/>
          <w:szCs w:val="22"/>
          <w:lang w:eastAsia="x-none"/>
        </w:rPr>
      </w:pPr>
    </w:p>
    <w:p w:rsidR="003C2FBC" w:rsidRPr="003C2FBC" w:rsidRDefault="003C2FBC" w:rsidP="003C2FBC">
      <w:pPr>
        <w:widowControl/>
        <w:autoSpaceDE/>
        <w:autoSpaceDN/>
        <w:adjustRightInd/>
        <w:jc w:val="both"/>
        <w:rPr>
          <w:rFonts w:ascii="Arial" w:hAnsi="Arial"/>
          <w:sz w:val="22"/>
          <w:szCs w:val="22"/>
          <w:lang w:eastAsia="x-none"/>
        </w:rPr>
      </w:pPr>
      <w:r w:rsidRPr="003C2FBC">
        <w:rPr>
          <w:rFonts w:ascii="Arial" w:hAnsi="Arial"/>
          <w:sz w:val="22"/>
          <w:szCs w:val="22"/>
          <w:lang w:eastAsia="x-none"/>
        </w:rPr>
        <w:t>În perioada ianuarie - iunie 2018, d</w:t>
      </w:r>
      <w:r w:rsidRPr="003C2FBC">
        <w:rPr>
          <w:rFonts w:ascii="Arial" w:hAnsi="Arial"/>
          <w:snapToGrid w:val="0"/>
          <w:sz w:val="22"/>
          <w:szCs w:val="22"/>
          <w:lang w:eastAsia="x-none"/>
        </w:rPr>
        <w:t xml:space="preserve">in producția indigenă transportată și livrată de 1.758 mii </w:t>
      </w:r>
      <w:r w:rsidRPr="003C2FBC">
        <w:rPr>
          <w:rFonts w:ascii="Arial" w:hAnsi="Arial"/>
          <w:sz w:val="22"/>
          <w:szCs w:val="22"/>
          <w:lang w:eastAsia="x-none"/>
        </w:rPr>
        <w:t xml:space="preserve">tone țiței, condensat și gazolină, pe calea ferată s-au transportat </w:t>
      </w:r>
      <w:r w:rsidRPr="003C2FBC">
        <w:rPr>
          <w:rFonts w:ascii="Arial" w:hAnsi="Arial" w:cs="Arial"/>
          <w:bCs/>
          <w:sz w:val="22"/>
          <w:szCs w:val="22"/>
          <w:lang w:eastAsia="x-none"/>
        </w:rPr>
        <w:t xml:space="preserve">586 mii </w:t>
      </w:r>
      <w:r w:rsidRPr="003C2FBC">
        <w:rPr>
          <w:rFonts w:ascii="Arial" w:hAnsi="Arial"/>
          <w:sz w:val="22"/>
          <w:szCs w:val="22"/>
          <w:lang w:eastAsia="x-none"/>
        </w:rPr>
        <w:t>tone, ce reprezintă 33,3</w:t>
      </w:r>
      <w:r w:rsidR="009A2B8F">
        <w:rPr>
          <w:rFonts w:ascii="Arial" w:hAnsi="Arial"/>
          <w:sz w:val="22"/>
          <w:szCs w:val="22"/>
          <w:lang w:eastAsia="x-none"/>
        </w:rPr>
        <w:t>3</w:t>
      </w:r>
      <w:r w:rsidRPr="003C2FBC">
        <w:rPr>
          <w:rFonts w:ascii="Arial" w:hAnsi="Arial"/>
          <w:sz w:val="22"/>
          <w:szCs w:val="22"/>
          <w:lang w:eastAsia="x-none"/>
        </w:rPr>
        <w:t>% din cantitatea totală transportată, din care:</w:t>
      </w:r>
    </w:p>
    <w:p w:rsidR="003C2FBC" w:rsidRPr="003C2FBC" w:rsidRDefault="003C2FBC" w:rsidP="00170D7E">
      <w:pPr>
        <w:widowControl/>
        <w:numPr>
          <w:ilvl w:val="0"/>
          <w:numId w:val="30"/>
        </w:numPr>
        <w:tabs>
          <w:tab w:val="left" w:pos="426"/>
        </w:tabs>
        <w:autoSpaceDE/>
        <w:autoSpaceDN/>
        <w:adjustRightInd/>
        <w:ind w:left="-567" w:firstLine="567"/>
        <w:jc w:val="both"/>
        <w:rPr>
          <w:rFonts w:ascii="Arial" w:hAnsi="Arial"/>
          <w:sz w:val="22"/>
          <w:szCs w:val="22"/>
          <w:lang w:eastAsia="x-none"/>
        </w:rPr>
      </w:pPr>
      <w:r w:rsidRPr="003C2FBC">
        <w:rPr>
          <w:rFonts w:ascii="Arial" w:hAnsi="Arial"/>
          <w:sz w:val="22"/>
          <w:szCs w:val="22"/>
          <w:lang w:eastAsia="x-none"/>
        </w:rPr>
        <w:t xml:space="preserve">direct la rafinării – </w:t>
      </w:r>
      <w:r w:rsidRPr="003C2FBC">
        <w:rPr>
          <w:rFonts w:ascii="Arial" w:hAnsi="Arial" w:cs="Arial"/>
          <w:bCs/>
          <w:sz w:val="22"/>
          <w:szCs w:val="22"/>
          <w:lang w:eastAsia="x-none"/>
        </w:rPr>
        <w:t xml:space="preserve">515 mii </w:t>
      </w:r>
      <w:r w:rsidRPr="003C2FBC">
        <w:rPr>
          <w:rFonts w:ascii="Arial" w:hAnsi="Arial"/>
          <w:sz w:val="22"/>
          <w:szCs w:val="22"/>
          <w:lang w:eastAsia="x-none"/>
        </w:rPr>
        <w:t>to</w:t>
      </w:r>
      <w:r w:rsidR="009A2B8F">
        <w:rPr>
          <w:rFonts w:ascii="Arial" w:hAnsi="Arial"/>
          <w:sz w:val="22"/>
          <w:szCs w:val="22"/>
          <w:lang w:eastAsia="x-none"/>
        </w:rPr>
        <w:t>ne</w:t>
      </w:r>
      <w:r w:rsidRPr="003C2FBC">
        <w:rPr>
          <w:rFonts w:ascii="Arial" w:hAnsi="Arial"/>
          <w:sz w:val="22"/>
          <w:szCs w:val="22"/>
          <w:lang w:eastAsia="x-none"/>
        </w:rPr>
        <w:t>, ( 87,8</w:t>
      </w:r>
      <w:r w:rsidR="009A2B8F">
        <w:rPr>
          <w:rFonts w:ascii="Arial" w:hAnsi="Arial"/>
          <w:sz w:val="22"/>
          <w:szCs w:val="22"/>
          <w:lang w:eastAsia="x-none"/>
        </w:rPr>
        <w:t>8</w:t>
      </w:r>
      <w:r w:rsidRPr="003C2FBC">
        <w:rPr>
          <w:rFonts w:ascii="Arial" w:hAnsi="Arial"/>
          <w:sz w:val="22"/>
          <w:szCs w:val="22"/>
          <w:lang w:eastAsia="x-none"/>
        </w:rPr>
        <w:t>% din cantitatea transportată pe CF);</w:t>
      </w:r>
    </w:p>
    <w:p w:rsidR="00D22517" w:rsidRPr="00D22517" w:rsidRDefault="003C2FBC" w:rsidP="00D22517">
      <w:pPr>
        <w:widowControl/>
        <w:numPr>
          <w:ilvl w:val="0"/>
          <w:numId w:val="30"/>
        </w:numPr>
        <w:tabs>
          <w:tab w:val="left" w:pos="426"/>
        </w:tabs>
        <w:autoSpaceDE/>
        <w:autoSpaceDN/>
        <w:adjustRightInd/>
        <w:ind w:left="-567" w:firstLine="567"/>
        <w:jc w:val="both"/>
        <w:rPr>
          <w:rFonts w:ascii="Arial" w:hAnsi="Arial"/>
          <w:sz w:val="22"/>
          <w:szCs w:val="22"/>
          <w:lang w:eastAsia="x-none"/>
        </w:rPr>
      </w:pPr>
      <w:r w:rsidRPr="003C2FBC">
        <w:rPr>
          <w:rFonts w:ascii="Arial" w:hAnsi="Arial"/>
          <w:sz w:val="22"/>
          <w:szCs w:val="22"/>
          <w:lang w:eastAsia="x-none"/>
        </w:rPr>
        <w:t>din rampa Bărbătești – 71 mii to</w:t>
      </w:r>
      <w:r w:rsidR="009A2B8F">
        <w:rPr>
          <w:rFonts w:ascii="Arial" w:hAnsi="Arial"/>
          <w:sz w:val="22"/>
          <w:szCs w:val="22"/>
          <w:lang w:eastAsia="x-none"/>
        </w:rPr>
        <w:t>ne</w:t>
      </w:r>
      <w:r w:rsidRPr="003C2FBC">
        <w:rPr>
          <w:rFonts w:ascii="Arial" w:hAnsi="Arial"/>
          <w:sz w:val="22"/>
          <w:szCs w:val="22"/>
          <w:lang w:eastAsia="x-none"/>
        </w:rPr>
        <w:t>, (12,1</w:t>
      </w:r>
      <w:r w:rsidR="009A2B8F">
        <w:rPr>
          <w:rFonts w:ascii="Arial" w:hAnsi="Arial"/>
          <w:sz w:val="22"/>
          <w:szCs w:val="22"/>
          <w:lang w:eastAsia="x-none"/>
        </w:rPr>
        <w:t>2</w:t>
      </w:r>
      <w:r w:rsidRPr="003C2FBC">
        <w:rPr>
          <w:rFonts w:ascii="Arial" w:hAnsi="Arial"/>
          <w:sz w:val="22"/>
          <w:szCs w:val="22"/>
          <w:lang w:eastAsia="x-none"/>
        </w:rPr>
        <w:t>% din cantitatea transportată pe CF).</w:t>
      </w:r>
    </w:p>
    <w:p w:rsidR="00D22517" w:rsidRPr="003C2FBC" w:rsidRDefault="00D22517" w:rsidP="00D22517">
      <w:pPr>
        <w:widowControl/>
        <w:tabs>
          <w:tab w:val="left" w:pos="426"/>
        </w:tabs>
        <w:autoSpaceDE/>
        <w:autoSpaceDN/>
        <w:adjustRightInd/>
        <w:jc w:val="both"/>
        <w:rPr>
          <w:rFonts w:ascii="Arial" w:hAnsi="Arial"/>
          <w:sz w:val="22"/>
          <w:szCs w:val="22"/>
          <w:lang w:eastAsia="x-none"/>
        </w:rPr>
      </w:pPr>
      <w:r>
        <w:rPr>
          <w:rFonts w:ascii="Arial" w:hAnsi="Arial"/>
          <w:sz w:val="22"/>
          <w:szCs w:val="22"/>
          <w:lang w:eastAsia="x-none"/>
        </w:rPr>
        <w:t>În perioada 25 februarie – 04 aprilie 2017, rafinăria Petrotel Lukoil a fost în revizie tehnologică programată.</w:t>
      </w:r>
    </w:p>
    <w:p w:rsidR="00722FE1" w:rsidRDefault="003333FF" w:rsidP="004279F6">
      <w:pPr>
        <w:widowControl/>
        <w:overflowPunct w:val="0"/>
        <w:spacing w:line="276" w:lineRule="auto"/>
        <w:jc w:val="center"/>
        <w:textAlignment w:val="baseline"/>
        <w:rPr>
          <w:b/>
          <w:i/>
          <w:noProof/>
          <w:sz w:val="18"/>
          <w:szCs w:val="18"/>
          <w:lang w:val="en-US" w:eastAsia="en-US"/>
        </w:rPr>
      </w:pPr>
      <w:r>
        <w:rPr>
          <w:noProof/>
          <w:lang w:val="en-US" w:eastAsia="en-US"/>
        </w:rPr>
        <w:drawing>
          <wp:inline distT="0" distB="0" distL="0" distR="0" wp14:anchorId="5254F483" wp14:editId="2CCB7222">
            <wp:extent cx="5327640" cy="29160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8542" cy="2927441"/>
                    </a:xfrm>
                    <a:prstGeom prst="rect">
                      <a:avLst/>
                    </a:prstGeom>
                  </pic:spPr>
                </pic:pic>
              </a:graphicData>
            </a:graphic>
          </wp:inline>
        </w:drawing>
      </w:r>
    </w:p>
    <w:p w:rsidR="00EC1AB2" w:rsidRPr="00692F59" w:rsidRDefault="001D229E" w:rsidP="00692F59">
      <w:pPr>
        <w:spacing w:line="276" w:lineRule="auto"/>
        <w:jc w:val="center"/>
        <w:rPr>
          <w:rFonts w:ascii="Arial" w:hAnsi="Arial" w:cs="Arial"/>
          <w:sz w:val="16"/>
          <w:szCs w:val="16"/>
        </w:rPr>
      </w:pPr>
      <w:r w:rsidRPr="00591C58">
        <w:rPr>
          <w:rFonts w:ascii="Arial" w:hAnsi="Arial" w:cs="Arial"/>
          <w:sz w:val="16"/>
          <w:szCs w:val="16"/>
        </w:rPr>
        <w:t>Gr</w:t>
      </w:r>
      <w:r w:rsidR="000C67E9">
        <w:rPr>
          <w:rFonts w:ascii="Arial" w:hAnsi="Arial" w:cs="Arial"/>
          <w:sz w:val="16"/>
          <w:szCs w:val="16"/>
        </w:rPr>
        <w:t>afic 5 - Cantități transportate</w:t>
      </w:r>
      <w:r w:rsidRPr="00591C58">
        <w:rPr>
          <w:rFonts w:ascii="Arial" w:hAnsi="Arial" w:cs="Arial"/>
          <w:sz w:val="16"/>
          <w:szCs w:val="16"/>
        </w:rPr>
        <w:t xml:space="preserve"> pe subsisteme de transport</w:t>
      </w:r>
    </w:p>
    <w:p w:rsidR="001D229E" w:rsidRDefault="001D229E" w:rsidP="001D229E">
      <w:pPr>
        <w:spacing w:line="276" w:lineRule="auto"/>
        <w:rPr>
          <w:rFonts w:ascii="Arial" w:hAnsi="Arial" w:cs="Arial"/>
          <w:b/>
          <w:color w:val="5B9BD5" w:themeColor="accent1"/>
          <w:sz w:val="24"/>
          <w:szCs w:val="24"/>
        </w:rPr>
      </w:pPr>
      <w:r w:rsidRPr="00D948FA">
        <w:rPr>
          <w:rFonts w:ascii="Arial" w:hAnsi="Arial" w:cs="Arial"/>
          <w:sz w:val="22"/>
          <w:szCs w:val="22"/>
        </w:rPr>
        <w:lastRenderedPageBreak/>
        <w:t>Cantitatea totală transportată în perioada ianuarie –</w:t>
      </w:r>
      <w:r w:rsidR="00A72F87">
        <w:rPr>
          <w:rFonts w:ascii="Arial" w:hAnsi="Arial" w:cs="Arial"/>
          <w:sz w:val="22"/>
          <w:szCs w:val="22"/>
        </w:rPr>
        <w:t xml:space="preserve"> </w:t>
      </w:r>
      <w:r>
        <w:rPr>
          <w:rFonts w:ascii="Arial" w:hAnsi="Arial" w:cs="Arial"/>
          <w:sz w:val="22"/>
          <w:szCs w:val="22"/>
        </w:rPr>
        <w:t>iunie</w:t>
      </w:r>
      <w:r w:rsidRPr="00D948FA">
        <w:rPr>
          <w:rFonts w:ascii="Arial" w:hAnsi="Arial" w:cs="Arial"/>
          <w:sz w:val="22"/>
          <w:szCs w:val="22"/>
        </w:rPr>
        <w:t xml:space="preserve"> 2018 a fost mai mare cu</w:t>
      </w:r>
      <w:r>
        <w:rPr>
          <w:rFonts w:ascii="Arial" w:hAnsi="Arial" w:cs="Arial"/>
          <w:sz w:val="22"/>
          <w:szCs w:val="22"/>
        </w:rPr>
        <w:t xml:space="preserve"> aprox.</w:t>
      </w:r>
      <w:r w:rsidRPr="00D948FA">
        <w:rPr>
          <w:rFonts w:ascii="Arial" w:hAnsi="Arial" w:cs="Arial"/>
          <w:sz w:val="22"/>
          <w:szCs w:val="22"/>
        </w:rPr>
        <w:t xml:space="preserve"> </w:t>
      </w:r>
      <w:r>
        <w:rPr>
          <w:rFonts w:ascii="Arial" w:hAnsi="Arial" w:cs="Arial"/>
          <w:sz w:val="22"/>
          <w:szCs w:val="22"/>
        </w:rPr>
        <w:t>8</w:t>
      </w:r>
      <w:r w:rsidR="001832A3">
        <w:rPr>
          <w:rFonts w:ascii="Arial" w:hAnsi="Arial" w:cs="Arial"/>
          <w:sz w:val="22"/>
          <w:szCs w:val="22"/>
        </w:rPr>
        <w:t>6</w:t>
      </w:r>
      <w:r w:rsidRPr="00D948FA">
        <w:rPr>
          <w:rFonts w:ascii="Arial" w:hAnsi="Arial" w:cs="Arial"/>
          <w:sz w:val="22"/>
          <w:szCs w:val="22"/>
        </w:rPr>
        <w:t xml:space="preserve"> mii tone față de aceeași perioadă a anului 2017.</w:t>
      </w:r>
      <w:r>
        <w:rPr>
          <w:rFonts w:ascii="Arial" w:hAnsi="Arial" w:cs="Arial"/>
          <w:sz w:val="22"/>
          <w:szCs w:val="22"/>
        </w:rPr>
        <w:t xml:space="preserve"> În semestrul I 2018, cantitatea transportată pe subsistemul de transport țară a </w:t>
      </w:r>
      <w:r w:rsidRPr="00D948FA">
        <w:rPr>
          <w:rFonts w:ascii="Arial" w:hAnsi="Arial" w:cs="Arial"/>
          <w:sz w:val="22"/>
          <w:szCs w:val="22"/>
        </w:rPr>
        <w:t>scăzut cu 2</w:t>
      </w:r>
      <w:r w:rsidR="001832A3">
        <w:rPr>
          <w:rFonts w:ascii="Arial" w:hAnsi="Arial" w:cs="Arial"/>
          <w:sz w:val="22"/>
          <w:szCs w:val="22"/>
        </w:rPr>
        <w:t>7</w:t>
      </w:r>
      <w:r w:rsidRPr="00D948FA">
        <w:rPr>
          <w:rFonts w:ascii="Arial" w:hAnsi="Arial" w:cs="Arial"/>
          <w:sz w:val="22"/>
          <w:szCs w:val="22"/>
        </w:rPr>
        <w:t xml:space="preserve"> mii tone (</w:t>
      </w:r>
      <w:r>
        <w:rPr>
          <w:rFonts w:ascii="Arial" w:hAnsi="Arial" w:cs="Arial"/>
          <w:sz w:val="22"/>
          <w:szCs w:val="22"/>
        </w:rPr>
        <w:t>1</w:t>
      </w:r>
      <w:r w:rsidRPr="00D948FA">
        <w:rPr>
          <w:rFonts w:ascii="Arial" w:hAnsi="Arial" w:cs="Arial"/>
          <w:sz w:val="22"/>
          <w:szCs w:val="22"/>
        </w:rPr>
        <w:t>,</w:t>
      </w:r>
      <w:r w:rsidR="00703801">
        <w:rPr>
          <w:rFonts w:ascii="Arial" w:hAnsi="Arial" w:cs="Arial"/>
          <w:sz w:val="22"/>
          <w:szCs w:val="22"/>
        </w:rPr>
        <w:t>51</w:t>
      </w:r>
      <w:r w:rsidRPr="00D948FA">
        <w:rPr>
          <w:rFonts w:ascii="Arial" w:hAnsi="Arial" w:cs="Arial"/>
          <w:sz w:val="22"/>
          <w:szCs w:val="22"/>
        </w:rPr>
        <w:t xml:space="preserve">%), iar pe subsistemul de transport import </w:t>
      </w:r>
      <w:r>
        <w:rPr>
          <w:rFonts w:ascii="Arial" w:hAnsi="Arial" w:cs="Arial"/>
          <w:sz w:val="22"/>
          <w:szCs w:val="22"/>
        </w:rPr>
        <w:t>a</w:t>
      </w:r>
      <w:r w:rsidRPr="00D948FA">
        <w:rPr>
          <w:rFonts w:ascii="Arial" w:hAnsi="Arial" w:cs="Arial"/>
          <w:sz w:val="22"/>
          <w:szCs w:val="22"/>
        </w:rPr>
        <w:t xml:space="preserve"> cre</w:t>
      </w:r>
      <w:r>
        <w:rPr>
          <w:rFonts w:ascii="Arial" w:hAnsi="Arial" w:cs="Arial"/>
          <w:sz w:val="22"/>
          <w:szCs w:val="22"/>
        </w:rPr>
        <w:t>scut</w:t>
      </w:r>
      <w:r w:rsidRPr="00D948FA">
        <w:rPr>
          <w:rFonts w:ascii="Arial" w:hAnsi="Arial" w:cs="Arial"/>
          <w:sz w:val="22"/>
          <w:szCs w:val="22"/>
        </w:rPr>
        <w:t xml:space="preserve"> cu </w:t>
      </w:r>
      <w:r>
        <w:rPr>
          <w:rFonts w:ascii="Arial" w:hAnsi="Arial" w:cs="Arial"/>
          <w:sz w:val="22"/>
          <w:szCs w:val="22"/>
        </w:rPr>
        <w:t>113</w:t>
      </w:r>
      <w:r w:rsidRPr="00D948FA">
        <w:rPr>
          <w:rFonts w:ascii="Arial" w:hAnsi="Arial" w:cs="Arial"/>
          <w:sz w:val="22"/>
          <w:szCs w:val="22"/>
        </w:rPr>
        <w:t xml:space="preserve"> mii tone</w:t>
      </w:r>
      <w:r>
        <w:rPr>
          <w:rFonts w:ascii="Arial" w:hAnsi="Arial" w:cs="Arial"/>
          <w:sz w:val="22"/>
          <w:szCs w:val="22"/>
        </w:rPr>
        <w:t xml:space="preserve"> (7,92%)</w:t>
      </w:r>
      <w:r w:rsidRPr="00D948FA">
        <w:rPr>
          <w:rFonts w:ascii="Arial" w:hAnsi="Arial" w:cs="Arial"/>
          <w:sz w:val="22"/>
          <w:szCs w:val="22"/>
        </w:rPr>
        <w:t>.</w:t>
      </w:r>
    </w:p>
    <w:p w:rsidR="001D229E" w:rsidRDefault="001D229E" w:rsidP="0009386F">
      <w:pPr>
        <w:spacing w:line="276" w:lineRule="auto"/>
        <w:rPr>
          <w:rFonts w:ascii="Arial" w:hAnsi="Arial" w:cs="Arial"/>
          <w:b/>
          <w:color w:val="5B9BD5" w:themeColor="accent1"/>
          <w:sz w:val="24"/>
          <w:szCs w:val="24"/>
        </w:rPr>
      </w:pPr>
    </w:p>
    <w:p w:rsidR="004279F6" w:rsidRPr="009828D6" w:rsidRDefault="004279F6" w:rsidP="004279F6">
      <w:pPr>
        <w:pStyle w:val="Text"/>
        <w:spacing w:after="0" w:line="276" w:lineRule="auto"/>
        <w:rPr>
          <w:rFonts w:ascii="Arial" w:hAnsi="Arial" w:cs="Arial"/>
          <w:b/>
          <w:color w:val="1F4E79" w:themeColor="accent1" w:themeShade="80"/>
          <w:szCs w:val="22"/>
          <w:lang w:val="ro-RO"/>
        </w:rPr>
      </w:pPr>
      <w:r w:rsidRPr="009828D6">
        <w:rPr>
          <w:rFonts w:ascii="Arial" w:hAnsi="Arial" w:cs="Arial"/>
          <w:b/>
          <w:color w:val="1F4E79" w:themeColor="accent1" w:themeShade="80"/>
          <w:szCs w:val="22"/>
          <w:lang w:val="ro-RO"/>
        </w:rPr>
        <w:t xml:space="preserve">Tarife de transport  </w:t>
      </w:r>
    </w:p>
    <w:p w:rsidR="004279F6" w:rsidRDefault="004279F6" w:rsidP="004279F6">
      <w:pPr>
        <w:pStyle w:val="Text"/>
        <w:spacing w:after="0" w:line="276" w:lineRule="auto"/>
        <w:rPr>
          <w:rFonts w:ascii="Arial" w:hAnsi="Arial" w:cs="Arial"/>
          <w:szCs w:val="22"/>
          <w:lang w:val="ro-RO"/>
        </w:rPr>
      </w:pPr>
    </w:p>
    <w:p w:rsidR="001D229E" w:rsidRPr="009C2595" w:rsidRDefault="001D229E" w:rsidP="001D229E">
      <w:pPr>
        <w:widowControl/>
        <w:overflowPunct w:val="0"/>
        <w:spacing w:line="276" w:lineRule="auto"/>
        <w:jc w:val="both"/>
        <w:textAlignment w:val="baseline"/>
        <w:rPr>
          <w:rFonts w:ascii="Arial" w:hAnsi="Arial" w:cs="Arial"/>
          <w:sz w:val="22"/>
          <w:szCs w:val="22"/>
          <w:lang w:eastAsia="en-US"/>
        </w:rPr>
      </w:pPr>
      <w:r w:rsidRPr="009C2595">
        <w:rPr>
          <w:rFonts w:ascii="Arial" w:hAnsi="Arial" w:cs="Arial"/>
          <w:sz w:val="22"/>
          <w:szCs w:val="22"/>
          <w:lang w:eastAsia="en-US"/>
        </w:rPr>
        <w:t>Tarifele pentru prestarea serviciilor de transport țiței, gazolină, condensat și etan sunt tarife reglementate de către A.N.R.M. și sunt diferențiate pentru fiecare</w:t>
      </w:r>
      <w:r w:rsidR="001832A3">
        <w:rPr>
          <w:rFonts w:ascii="Arial" w:hAnsi="Arial" w:cs="Arial"/>
          <w:sz w:val="22"/>
          <w:szCs w:val="22"/>
          <w:lang w:eastAsia="en-US"/>
        </w:rPr>
        <w:t xml:space="preserve"> subsistem de transport.</w:t>
      </w:r>
    </w:p>
    <w:p w:rsidR="004279F6" w:rsidRPr="00FD41CF" w:rsidRDefault="004279F6" w:rsidP="004279F6">
      <w:pPr>
        <w:pStyle w:val="Text"/>
        <w:spacing w:after="0" w:line="276" w:lineRule="auto"/>
        <w:rPr>
          <w:rFonts w:ascii="Arial" w:hAnsi="Arial" w:cs="Arial"/>
          <w:szCs w:val="22"/>
        </w:rPr>
      </w:pPr>
      <w:r w:rsidRPr="00FD41CF">
        <w:rPr>
          <w:rFonts w:ascii="Arial" w:hAnsi="Arial" w:cs="Arial"/>
          <w:szCs w:val="22"/>
          <w:lang w:val="ro-RO"/>
        </w:rPr>
        <w:t>În perioada ianuarie</w:t>
      </w:r>
      <w:r w:rsidR="001D229E" w:rsidRPr="00FD41CF">
        <w:rPr>
          <w:rFonts w:ascii="Arial" w:hAnsi="Arial" w:cs="Arial"/>
          <w:szCs w:val="22"/>
          <w:lang w:val="ro-RO"/>
        </w:rPr>
        <w:t xml:space="preserve"> </w:t>
      </w:r>
      <w:r w:rsidRPr="00FD41CF">
        <w:rPr>
          <w:rFonts w:ascii="Arial" w:hAnsi="Arial" w:cs="Arial"/>
          <w:szCs w:val="22"/>
          <w:lang w:val="ro-RO"/>
        </w:rPr>
        <w:t>-</w:t>
      </w:r>
      <w:r w:rsidR="001D229E" w:rsidRPr="00FD41CF">
        <w:rPr>
          <w:rFonts w:ascii="Arial" w:hAnsi="Arial" w:cs="Arial"/>
          <w:szCs w:val="22"/>
          <w:lang w:val="ro-RO"/>
        </w:rPr>
        <w:t xml:space="preserve"> </w:t>
      </w:r>
      <w:r w:rsidRPr="00FD41CF">
        <w:rPr>
          <w:rFonts w:ascii="Arial" w:hAnsi="Arial" w:cs="Arial"/>
          <w:szCs w:val="22"/>
          <w:lang w:val="ro-RO"/>
        </w:rPr>
        <w:t>iunie 2018, tarifele practicate pentru</w:t>
      </w:r>
      <w:r w:rsidR="001D229E" w:rsidRPr="009C2595">
        <w:rPr>
          <w:rFonts w:ascii="Arial" w:hAnsi="Arial" w:cs="Arial"/>
          <w:szCs w:val="22"/>
        </w:rPr>
        <w:t xml:space="preserve"> prestarea serviciului de transport pe subsistemul țară</w:t>
      </w:r>
      <w:r w:rsidRPr="00FD41CF">
        <w:rPr>
          <w:rFonts w:ascii="Arial" w:hAnsi="Arial" w:cs="Arial"/>
          <w:szCs w:val="22"/>
          <w:lang w:val="ro-RO"/>
        </w:rPr>
        <w:t xml:space="preserve"> </w:t>
      </w:r>
      <w:r w:rsidR="001D229E" w:rsidRPr="00FD41CF">
        <w:rPr>
          <w:rFonts w:ascii="Arial" w:hAnsi="Arial" w:cs="Arial"/>
          <w:szCs w:val="22"/>
          <w:lang w:val="ro-RO"/>
        </w:rPr>
        <w:t xml:space="preserve">a </w:t>
      </w:r>
      <w:r w:rsidRPr="00FD41CF">
        <w:rPr>
          <w:rFonts w:ascii="Arial" w:hAnsi="Arial" w:cs="Arial"/>
          <w:szCs w:val="22"/>
          <w:lang w:val="ro-RO"/>
        </w:rPr>
        <w:t xml:space="preserve">țițeiului, gazolinei, condensatului și etanului sunt cele aprobate de </w:t>
      </w:r>
      <w:r w:rsidRPr="00FD41CF">
        <w:rPr>
          <w:rFonts w:ascii="Arial" w:hAnsi="Arial" w:cs="Arial"/>
          <w:szCs w:val="22"/>
        </w:rPr>
        <w:t>A.N.R.M., astfel:</w:t>
      </w:r>
    </w:p>
    <w:p w:rsidR="004279F6" w:rsidRPr="006439EF" w:rsidRDefault="004279F6" w:rsidP="00A87EFF">
      <w:pPr>
        <w:pStyle w:val="Text"/>
        <w:numPr>
          <w:ilvl w:val="0"/>
          <w:numId w:val="15"/>
        </w:numPr>
        <w:spacing w:after="0" w:line="276" w:lineRule="auto"/>
        <w:rPr>
          <w:rFonts w:ascii="Arial" w:hAnsi="Arial" w:cs="Arial"/>
          <w:szCs w:val="22"/>
        </w:rPr>
      </w:pPr>
      <w:r w:rsidRPr="00FD41CF">
        <w:rPr>
          <w:rFonts w:ascii="Arial" w:hAnsi="Arial" w:cs="Arial"/>
          <w:szCs w:val="22"/>
          <w:lang w:val="ro-RO"/>
        </w:rPr>
        <w:t>în perioada 01.01.</w:t>
      </w:r>
      <w:r w:rsidR="001832A3">
        <w:rPr>
          <w:rFonts w:ascii="Arial" w:hAnsi="Arial" w:cs="Arial"/>
          <w:szCs w:val="22"/>
          <w:lang w:val="ro-RO"/>
        </w:rPr>
        <w:t xml:space="preserve">2018 </w:t>
      </w:r>
      <w:r w:rsidRPr="00FD41CF">
        <w:rPr>
          <w:rFonts w:ascii="Arial" w:hAnsi="Arial" w:cs="Arial"/>
          <w:szCs w:val="22"/>
          <w:lang w:val="ro-RO"/>
        </w:rPr>
        <w:t>-</w:t>
      </w:r>
      <w:r w:rsidR="001832A3">
        <w:rPr>
          <w:rFonts w:ascii="Arial" w:hAnsi="Arial" w:cs="Arial"/>
          <w:szCs w:val="22"/>
          <w:lang w:val="ro-RO"/>
        </w:rPr>
        <w:t xml:space="preserve"> </w:t>
      </w:r>
      <w:r w:rsidRPr="00FD41CF">
        <w:rPr>
          <w:rFonts w:ascii="Arial" w:hAnsi="Arial" w:cs="Arial"/>
          <w:szCs w:val="22"/>
          <w:lang w:val="ro-RO"/>
        </w:rPr>
        <w:t xml:space="preserve">18.06.2018, conform </w:t>
      </w:r>
      <w:r w:rsidRPr="00FD41CF">
        <w:rPr>
          <w:rFonts w:ascii="Arial" w:hAnsi="Arial" w:cs="Arial"/>
          <w:szCs w:val="22"/>
        </w:rPr>
        <w:t>Ordinului nr.32/2016</w:t>
      </w:r>
      <w:r w:rsidRPr="00FD41CF">
        <w:rPr>
          <w:rFonts w:ascii="Arial" w:hAnsi="Arial" w:cs="Arial"/>
          <w:szCs w:val="22"/>
          <w:lang w:val="ro-RO"/>
        </w:rPr>
        <w:t xml:space="preserve">, </w:t>
      </w:r>
      <w:r w:rsidRPr="006439EF">
        <w:rPr>
          <w:rFonts w:ascii="Arial" w:hAnsi="Arial" w:cs="Arial"/>
          <w:szCs w:val="22"/>
        </w:rPr>
        <w:t>pentru prestarea serviciului de transport al ţiţeiului, gazolinei și condensatului pe subsistemul țară tariful mediu a fost 79,75 lei/tonă;</w:t>
      </w:r>
    </w:p>
    <w:p w:rsidR="004279F6" w:rsidRPr="00FD41CF" w:rsidRDefault="004279F6" w:rsidP="00A87EFF">
      <w:pPr>
        <w:pStyle w:val="ListParagraph"/>
        <w:numPr>
          <w:ilvl w:val="0"/>
          <w:numId w:val="15"/>
        </w:numPr>
        <w:spacing w:after="0" w:line="240" w:lineRule="auto"/>
        <w:jc w:val="both"/>
        <w:rPr>
          <w:rFonts w:ascii="Arial" w:hAnsi="Arial" w:cs="Arial"/>
          <w:b/>
          <w:bCs/>
        </w:rPr>
      </w:pPr>
      <w:r w:rsidRPr="00FD41CF">
        <w:rPr>
          <w:rFonts w:ascii="Arial" w:hAnsi="Arial" w:cs="Arial"/>
        </w:rPr>
        <w:t>începând cu data de 19.06.2018, conform Ordinului nr. 117/15.06.2018, pe subsistemul de transport țară tarifu</w:t>
      </w:r>
      <w:r w:rsidR="001832A3">
        <w:rPr>
          <w:rFonts w:ascii="Arial" w:hAnsi="Arial" w:cs="Arial"/>
        </w:rPr>
        <w:t>l mediu este de 84,37 lei/tonă.</w:t>
      </w:r>
    </w:p>
    <w:p w:rsidR="004279F6" w:rsidRPr="005007A8" w:rsidRDefault="004279F6" w:rsidP="004279F6">
      <w:pPr>
        <w:pStyle w:val="Text"/>
        <w:spacing w:after="0" w:line="276" w:lineRule="auto"/>
        <w:rPr>
          <w:rFonts w:ascii="Arial" w:hAnsi="Arial" w:cs="Arial"/>
          <w:szCs w:val="22"/>
        </w:rPr>
      </w:pPr>
    </w:p>
    <w:p w:rsidR="004279F6" w:rsidRDefault="004279F6" w:rsidP="004279F6">
      <w:pPr>
        <w:jc w:val="both"/>
        <w:rPr>
          <w:rFonts w:ascii="Arial" w:hAnsi="Arial" w:cs="Arial"/>
          <w:sz w:val="22"/>
          <w:szCs w:val="22"/>
        </w:rPr>
      </w:pPr>
      <w:r w:rsidRPr="005007A8">
        <w:rPr>
          <w:rFonts w:ascii="Arial" w:hAnsi="Arial" w:cs="Arial"/>
          <w:sz w:val="22"/>
          <w:szCs w:val="22"/>
        </w:rPr>
        <w:t xml:space="preserve">Pentru prestarea serviciului de transport pe subsistemul de transport import tarifele </w:t>
      </w:r>
      <w:r w:rsidR="001832A3">
        <w:rPr>
          <w:rFonts w:ascii="Arial" w:hAnsi="Arial" w:cs="Arial"/>
          <w:sz w:val="22"/>
          <w:szCs w:val="22"/>
        </w:rPr>
        <w:t xml:space="preserve">sunt </w:t>
      </w:r>
      <w:r w:rsidRPr="005007A8">
        <w:rPr>
          <w:rFonts w:ascii="Arial" w:hAnsi="Arial" w:cs="Arial"/>
          <w:sz w:val="22"/>
          <w:szCs w:val="22"/>
        </w:rPr>
        <w:t>pe tranșe de cantități transportate și rafinării, astfel:</w:t>
      </w:r>
    </w:p>
    <w:p w:rsidR="00623109" w:rsidRPr="00A74CF5" w:rsidRDefault="00623109" w:rsidP="004279F6">
      <w:pPr>
        <w:jc w:val="both"/>
        <w:rPr>
          <w:rFonts w:ascii="Arial" w:hAnsi="Arial" w:cs="Arial"/>
          <w:color w:val="FF0000"/>
          <w:sz w:val="22"/>
          <w:szCs w:val="22"/>
        </w:rPr>
      </w:pPr>
    </w:p>
    <w:tbl>
      <w:tblPr>
        <w:tblW w:w="9611" w:type="dxa"/>
        <w:tblCellMar>
          <w:left w:w="0" w:type="dxa"/>
          <w:right w:w="0" w:type="dxa"/>
        </w:tblCellMar>
        <w:tblLook w:val="04A0" w:firstRow="1" w:lastRow="0" w:firstColumn="1" w:lastColumn="0" w:noHBand="0" w:noVBand="1"/>
      </w:tblPr>
      <w:tblGrid>
        <w:gridCol w:w="2598"/>
        <w:gridCol w:w="1306"/>
        <w:gridCol w:w="917"/>
        <w:gridCol w:w="1303"/>
        <w:gridCol w:w="1170"/>
        <w:gridCol w:w="1260"/>
        <w:gridCol w:w="1057"/>
      </w:tblGrid>
      <w:tr w:rsidR="004279F6" w:rsidTr="001D229E">
        <w:trPr>
          <w:trHeight w:val="445"/>
        </w:trPr>
        <w:tc>
          <w:tcPr>
            <w:tcW w:w="259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279F6" w:rsidRDefault="004279F6" w:rsidP="001D229E">
            <w:pPr>
              <w:jc w:val="center"/>
              <w:rPr>
                <w:rFonts w:ascii="Arial" w:hAnsi="Arial" w:cs="Arial"/>
                <w:b/>
                <w:bCs/>
              </w:rPr>
            </w:pPr>
            <w:r>
              <w:rPr>
                <w:rFonts w:ascii="Arial" w:hAnsi="Arial" w:cs="Arial"/>
                <w:b/>
                <w:bCs/>
              </w:rPr>
              <w:t>Perioada</w:t>
            </w:r>
          </w:p>
        </w:tc>
        <w:tc>
          <w:tcPr>
            <w:tcW w:w="222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279F6" w:rsidRDefault="004279F6" w:rsidP="001D229E">
            <w:pPr>
              <w:jc w:val="center"/>
              <w:rPr>
                <w:rFonts w:ascii="Arial" w:hAnsi="Arial" w:cs="Arial"/>
                <w:b/>
                <w:bCs/>
              </w:rPr>
            </w:pPr>
            <w:r>
              <w:rPr>
                <w:rFonts w:ascii="Arial" w:hAnsi="Arial" w:cs="Arial"/>
                <w:b/>
                <w:bCs/>
              </w:rPr>
              <w:t>Arpechim</w:t>
            </w:r>
          </w:p>
        </w:tc>
        <w:tc>
          <w:tcPr>
            <w:tcW w:w="247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279F6" w:rsidRDefault="004279F6" w:rsidP="001D229E">
            <w:pPr>
              <w:jc w:val="center"/>
              <w:rPr>
                <w:rFonts w:ascii="Arial" w:hAnsi="Arial" w:cs="Arial"/>
                <w:b/>
                <w:bCs/>
              </w:rPr>
            </w:pPr>
            <w:r>
              <w:rPr>
                <w:rFonts w:ascii="Arial" w:hAnsi="Arial" w:cs="Arial"/>
                <w:b/>
                <w:bCs/>
              </w:rPr>
              <w:t>Bazinul Ploiești</w:t>
            </w:r>
          </w:p>
        </w:tc>
        <w:tc>
          <w:tcPr>
            <w:tcW w:w="2317"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279F6" w:rsidRDefault="004279F6" w:rsidP="001D229E">
            <w:pPr>
              <w:jc w:val="center"/>
              <w:rPr>
                <w:rFonts w:ascii="Arial" w:hAnsi="Arial" w:cs="Arial"/>
                <w:b/>
                <w:bCs/>
              </w:rPr>
            </w:pPr>
            <w:r>
              <w:rPr>
                <w:rFonts w:ascii="Arial" w:hAnsi="Arial" w:cs="Arial"/>
                <w:b/>
                <w:bCs/>
              </w:rPr>
              <w:t>Petromidia</w:t>
            </w:r>
          </w:p>
        </w:tc>
      </w:tr>
      <w:tr w:rsidR="004279F6" w:rsidTr="00907FDF">
        <w:trPr>
          <w:trHeight w:val="309"/>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79F6" w:rsidRDefault="004279F6" w:rsidP="001D229E">
            <w:pPr>
              <w:rPr>
                <w:rFonts w:ascii="Arial" w:eastAsiaTheme="minorHAnsi" w:hAnsi="Arial" w:cs="Arial"/>
                <w:b/>
                <w:bCs/>
              </w:rPr>
            </w:pPr>
          </w:p>
        </w:tc>
        <w:tc>
          <w:tcPr>
            <w:tcW w:w="13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279F6" w:rsidRPr="00907FDF" w:rsidRDefault="004279F6" w:rsidP="001D229E">
            <w:pPr>
              <w:jc w:val="center"/>
              <w:rPr>
                <w:rFonts w:ascii="Arial" w:hAnsi="Arial" w:cs="Arial"/>
                <w:b/>
                <w:bCs/>
              </w:rPr>
            </w:pPr>
            <w:r w:rsidRPr="00907FDF">
              <w:rPr>
                <w:rFonts w:ascii="Arial" w:hAnsi="Arial" w:cs="Arial"/>
                <w:b/>
                <w:bCs/>
              </w:rPr>
              <w:t>mii tone/lună</w:t>
            </w:r>
          </w:p>
        </w:tc>
        <w:tc>
          <w:tcPr>
            <w:tcW w:w="9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9F6" w:rsidRPr="00907FDF" w:rsidRDefault="004279F6" w:rsidP="001D229E">
            <w:pPr>
              <w:jc w:val="center"/>
              <w:rPr>
                <w:rFonts w:ascii="Arial" w:hAnsi="Arial" w:cs="Arial"/>
                <w:b/>
                <w:bCs/>
              </w:rPr>
            </w:pPr>
            <w:r w:rsidRPr="00907FDF">
              <w:rPr>
                <w:rFonts w:ascii="Arial" w:hAnsi="Arial" w:cs="Arial"/>
                <w:b/>
                <w:bCs/>
              </w:rPr>
              <w:t>lei/tonă</w:t>
            </w:r>
          </w:p>
        </w:tc>
        <w:tc>
          <w:tcPr>
            <w:tcW w:w="13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279F6" w:rsidRPr="00907FDF" w:rsidRDefault="004279F6" w:rsidP="001D229E">
            <w:pPr>
              <w:jc w:val="center"/>
              <w:rPr>
                <w:rFonts w:ascii="Arial" w:hAnsi="Arial" w:cs="Arial"/>
                <w:b/>
                <w:bCs/>
              </w:rPr>
            </w:pPr>
            <w:r w:rsidRPr="00907FDF">
              <w:rPr>
                <w:rFonts w:ascii="Arial" w:hAnsi="Arial" w:cs="Arial"/>
                <w:b/>
                <w:bCs/>
              </w:rPr>
              <w:t>mii tone/lună</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9F6" w:rsidRPr="00907FDF" w:rsidRDefault="004279F6" w:rsidP="001D229E">
            <w:pPr>
              <w:jc w:val="center"/>
              <w:rPr>
                <w:rFonts w:ascii="Arial" w:hAnsi="Arial" w:cs="Arial"/>
                <w:b/>
                <w:bCs/>
              </w:rPr>
            </w:pPr>
            <w:r w:rsidRPr="00907FDF">
              <w:rPr>
                <w:rFonts w:ascii="Arial" w:hAnsi="Arial" w:cs="Arial"/>
                <w:b/>
                <w:bCs/>
              </w:rPr>
              <w:t>lei/tonă</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279F6" w:rsidRPr="00907FDF" w:rsidRDefault="004279F6" w:rsidP="001D229E">
            <w:pPr>
              <w:jc w:val="center"/>
              <w:rPr>
                <w:rFonts w:ascii="Arial" w:hAnsi="Arial" w:cs="Arial"/>
                <w:b/>
                <w:bCs/>
              </w:rPr>
            </w:pPr>
            <w:r w:rsidRPr="00907FDF">
              <w:rPr>
                <w:rFonts w:ascii="Arial" w:hAnsi="Arial" w:cs="Arial"/>
                <w:b/>
                <w:bCs/>
              </w:rPr>
              <w:t>mii tone/lună</w:t>
            </w:r>
          </w:p>
        </w:tc>
        <w:tc>
          <w:tcPr>
            <w:tcW w:w="105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9F6" w:rsidRPr="00907FDF" w:rsidRDefault="004279F6" w:rsidP="001D229E">
            <w:pPr>
              <w:jc w:val="center"/>
              <w:rPr>
                <w:rFonts w:ascii="Arial" w:hAnsi="Arial" w:cs="Arial"/>
                <w:b/>
                <w:bCs/>
              </w:rPr>
            </w:pPr>
            <w:r w:rsidRPr="00907FDF">
              <w:rPr>
                <w:rFonts w:ascii="Arial" w:hAnsi="Arial" w:cs="Arial"/>
                <w:b/>
                <w:bCs/>
              </w:rPr>
              <w:t>lei/tonă</w:t>
            </w:r>
          </w:p>
        </w:tc>
      </w:tr>
      <w:tr w:rsidR="004279F6" w:rsidTr="001D229E">
        <w:trPr>
          <w:trHeight w:val="309"/>
        </w:trPr>
        <w:tc>
          <w:tcPr>
            <w:tcW w:w="2598" w:type="dxa"/>
            <w:vMerge w:val="restart"/>
            <w:tcBorders>
              <w:top w:val="nil"/>
              <w:left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515AAF">
            <w:pPr>
              <w:widowControl/>
              <w:autoSpaceDE/>
              <w:autoSpaceDN/>
              <w:adjustRightInd/>
              <w:rPr>
                <w:rFonts w:ascii="Arial" w:hAnsi="Arial" w:cs="Arial"/>
              </w:rPr>
            </w:pPr>
            <w:r w:rsidRPr="005007A8">
              <w:rPr>
                <w:rFonts w:ascii="Arial" w:hAnsi="Arial" w:cs="Arial"/>
              </w:rPr>
              <w:t>0</w:t>
            </w:r>
            <w:r w:rsidR="00515AAF">
              <w:rPr>
                <w:rFonts w:ascii="Arial" w:hAnsi="Arial" w:cs="Arial"/>
              </w:rPr>
              <w:t>9</w:t>
            </w:r>
            <w:r w:rsidR="00FD41CF">
              <w:rPr>
                <w:rFonts w:ascii="Arial" w:hAnsi="Arial" w:cs="Arial"/>
              </w:rPr>
              <w:t>.02.</w:t>
            </w:r>
            <w:r w:rsidRPr="005007A8">
              <w:rPr>
                <w:rFonts w:ascii="Arial" w:hAnsi="Arial" w:cs="Arial"/>
              </w:rPr>
              <w:t>201</w:t>
            </w:r>
            <w:r w:rsidR="00515AAF">
              <w:rPr>
                <w:rFonts w:ascii="Arial" w:hAnsi="Arial" w:cs="Arial"/>
              </w:rPr>
              <w:t>6</w:t>
            </w:r>
            <w:r w:rsidRPr="005007A8">
              <w:rPr>
                <w:rFonts w:ascii="Arial" w:hAnsi="Arial" w:cs="Arial"/>
              </w:rPr>
              <w:t xml:space="preserve"> – 18.06.2018 (Ord.32/2016)</w:t>
            </w:r>
          </w:p>
        </w:tc>
        <w:tc>
          <w:tcPr>
            <w:tcW w:w="130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sidRPr="005007A8">
              <w:rPr>
                <w:rFonts w:ascii="Arial" w:hAnsi="Arial" w:cs="Arial"/>
              </w:rPr>
              <w:t>&lt; 100</w:t>
            </w:r>
          </w:p>
        </w:tc>
        <w:tc>
          <w:tcPr>
            <w:tcW w:w="9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sidRPr="005007A8">
              <w:rPr>
                <w:rFonts w:ascii="Arial" w:hAnsi="Arial" w:cs="Arial"/>
              </w:rPr>
              <w:t>38,85</w:t>
            </w:r>
          </w:p>
        </w:tc>
        <w:tc>
          <w:tcPr>
            <w:tcW w:w="1303"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sidRPr="005007A8">
              <w:rPr>
                <w:rFonts w:ascii="Arial" w:hAnsi="Arial" w:cs="Arial"/>
              </w:rPr>
              <w:t>&lt; 100</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sidRPr="005007A8">
              <w:rPr>
                <w:rFonts w:ascii="Arial" w:hAnsi="Arial" w:cs="Arial"/>
              </w:rPr>
              <w:t>38,00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sidRPr="005007A8">
              <w:rPr>
                <w:rFonts w:ascii="Arial" w:hAnsi="Arial" w:cs="Arial"/>
              </w:rPr>
              <w:t>&lt; 100</w:t>
            </w:r>
          </w:p>
        </w:tc>
        <w:tc>
          <w:tcPr>
            <w:tcW w:w="105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sidRPr="005007A8">
              <w:rPr>
                <w:rFonts w:ascii="Arial" w:hAnsi="Arial" w:cs="Arial"/>
              </w:rPr>
              <w:t>8,00</w:t>
            </w:r>
          </w:p>
        </w:tc>
      </w:tr>
      <w:tr w:rsidR="004279F6" w:rsidTr="001D229E">
        <w:trPr>
          <w:trHeight w:val="231"/>
        </w:trPr>
        <w:tc>
          <w:tcPr>
            <w:tcW w:w="2598" w:type="dxa"/>
            <w:vMerge/>
            <w:tcBorders>
              <w:left w:val="single" w:sz="8" w:space="0" w:color="auto"/>
              <w:bottom w:val="double" w:sz="4"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rPr>
                <w:rFonts w:ascii="Arial" w:hAnsi="Arial" w:cs="Arial"/>
              </w:rPr>
            </w:pPr>
          </w:p>
        </w:tc>
        <w:tc>
          <w:tcPr>
            <w:tcW w:w="130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sidRPr="005007A8">
              <w:rPr>
                <w:rFonts w:ascii="Arial" w:hAnsi="Arial" w:cs="Arial"/>
              </w:rPr>
              <w:t>&gt; 100</w:t>
            </w:r>
          </w:p>
        </w:tc>
        <w:tc>
          <w:tcPr>
            <w:tcW w:w="9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sidRPr="005007A8">
              <w:rPr>
                <w:rFonts w:ascii="Arial" w:hAnsi="Arial" w:cs="Arial"/>
              </w:rPr>
              <w:t>16,60</w:t>
            </w:r>
          </w:p>
        </w:tc>
        <w:tc>
          <w:tcPr>
            <w:tcW w:w="1303"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sidRPr="005007A8">
              <w:rPr>
                <w:rFonts w:ascii="Arial" w:hAnsi="Arial" w:cs="Arial"/>
              </w:rPr>
              <w:t>&gt; 100</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sidRPr="005007A8">
              <w:rPr>
                <w:rFonts w:ascii="Arial" w:hAnsi="Arial" w:cs="Arial"/>
              </w:rPr>
              <w:t>16,00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sidRPr="005007A8">
              <w:rPr>
                <w:rFonts w:ascii="Arial" w:hAnsi="Arial" w:cs="Arial"/>
              </w:rPr>
              <w:t>&gt; 100</w:t>
            </w:r>
          </w:p>
        </w:tc>
        <w:tc>
          <w:tcPr>
            <w:tcW w:w="105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sidRPr="005007A8">
              <w:rPr>
                <w:rFonts w:ascii="Arial" w:hAnsi="Arial" w:cs="Arial"/>
              </w:rPr>
              <w:t>7,33</w:t>
            </w:r>
          </w:p>
        </w:tc>
      </w:tr>
      <w:tr w:rsidR="004279F6" w:rsidTr="001D229E">
        <w:trPr>
          <w:trHeight w:val="309"/>
        </w:trPr>
        <w:tc>
          <w:tcPr>
            <w:tcW w:w="2598" w:type="dxa"/>
            <w:vMerge w:val="restart"/>
            <w:tcBorders>
              <w:top w:val="nil"/>
              <w:left w:val="single" w:sz="8" w:space="0" w:color="auto"/>
              <w:bottom w:val="double" w:sz="4"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rPr>
                <w:rFonts w:ascii="Arial" w:hAnsi="Arial" w:cs="Arial"/>
              </w:rPr>
            </w:pPr>
            <w:r w:rsidRPr="005007A8">
              <w:rPr>
                <w:rFonts w:ascii="Arial" w:hAnsi="Arial" w:cs="Arial"/>
              </w:rPr>
              <w:t>19.06.2018 – prezent (Ord.117/2018)</w:t>
            </w:r>
          </w:p>
        </w:tc>
        <w:tc>
          <w:tcPr>
            <w:tcW w:w="13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sidRPr="005007A8">
              <w:rPr>
                <w:rFonts w:ascii="Arial" w:hAnsi="Arial" w:cs="Arial"/>
              </w:rPr>
              <w:t>&lt; 120</w:t>
            </w:r>
          </w:p>
        </w:tc>
        <w:tc>
          <w:tcPr>
            <w:tcW w:w="9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sidRPr="005007A8">
              <w:rPr>
                <w:rFonts w:ascii="Arial" w:hAnsi="Arial" w:cs="Arial"/>
              </w:rPr>
              <w:t>38,85</w:t>
            </w:r>
          </w:p>
        </w:tc>
        <w:tc>
          <w:tcPr>
            <w:tcW w:w="13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sidRPr="005007A8">
              <w:rPr>
                <w:rFonts w:ascii="Arial" w:hAnsi="Arial" w:cs="Arial"/>
              </w:rPr>
              <w:t>&lt; 120</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sidRPr="005007A8">
              <w:rPr>
                <w:rFonts w:ascii="Arial" w:hAnsi="Arial" w:cs="Arial"/>
              </w:rPr>
              <w:t>38,00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sidRPr="005007A8">
              <w:rPr>
                <w:rFonts w:ascii="Arial" w:hAnsi="Arial" w:cs="Arial"/>
              </w:rPr>
              <w:t>&lt; 120</w:t>
            </w:r>
          </w:p>
        </w:tc>
        <w:tc>
          <w:tcPr>
            <w:tcW w:w="105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sidRPr="005007A8">
              <w:rPr>
                <w:rFonts w:ascii="Arial" w:hAnsi="Arial" w:cs="Arial"/>
              </w:rPr>
              <w:t>27,00</w:t>
            </w:r>
          </w:p>
        </w:tc>
      </w:tr>
      <w:tr w:rsidR="004279F6" w:rsidTr="001D229E">
        <w:trPr>
          <w:trHeight w:val="309"/>
        </w:trPr>
        <w:tc>
          <w:tcPr>
            <w:tcW w:w="0" w:type="auto"/>
            <w:vMerge/>
            <w:tcBorders>
              <w:top w:val="nil"/>
              <w:left w:val="single" w:sz="8" w:space="0" w:color="auto"/>
              <w:bottom w:val="double" w:sz="4" w:space="0" w:color="auto"/>
              <w:right w:val="single" w:sz="8" w:space="0" w:color="auto"/>
            </w:tcBorders>
            <w:vAlign w:val="center"/>
            <w:hideMark/>
          </w:tcPr>
          <w:p w:rsidR="004279F6" w:rsidRPr="005007A8" w:rsidRDefault="004279F6" w:rsidP="001D229E">
            <w:pPr>
              <w:rPr>
                <w:rFonts w:ascii="Arial" w:eastAsiaTheme="minorHAnsi" w:hAnsi="Arial" w:cs="Arial"/>
              </w:rPr>
            </w:pPr>
          </w:p>
        </w:tc>
        <w:tc>
          <w:tcPr>
            <w:tcW w:w="1306" w:type="dxa"/>
            <w:tcBorders>
              <w:top w:val="nil"/>
              <w:left w:val="nil"/>
              <w:bottom w:val="double" w:sz="4"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sidRPr="005007A8">
              <w:rPr>
                <w:rFonts w:ascii="Arial" w:hAnsi="Arial" w:cs="Arial"/>
              </w:rPr>
              <w:t>&gt; 120</w:t>
            </w:r>
          </w:p>
        </w:tc>
        <w:tc>
          <w:tcPr>
            <w:tcW w:w="917" w:type="dxa"/>
            <w:tcBorders>
              <w:top w:val="nil"/>
              <w:left w:val="nil"/>
              <w:bottom w:val="double" w:sz="4"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sidRPr="005007A8">
              <w:rPr>
                <w:rFonts w:ascii="Arial" w:hAnsi="Arial" w:cs="Arial"/>
              </w:rPr>
              <w:t>16,60</w:t>
            </w:r>
          </w:p>
        </w:tc>
        <w:tc>
          <w:tcPr>
            <w:tcW w:w="1303" w:type="dxa"/>
            <w:tcBorders>
              <w:top w:val="nil"/>
              <w:left w:val="nil"/>
              <w:bottom w:val="double" w:sz="4"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sidRPr="005007A8">
              <w:rPr>
                <w:rFonts w:ascii="Arial" w:hAnsi="Arial" w:cs="Arial"/>
              </w:rPr>
              <w:t>&gt; 120</w:t>
            </w:r>
          </w:p>
        </w:tc>
        <w:tc>
          <w:tcPr>
            <w:tcW w:w="1170" w:type="dxa"/>
            <w:tcBorders>
              <w:top w:val="nil"/>
              <w:left w:val="nil"/>
              <w:bottom w:val="double" w:sz="4"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sidRPr="005007A8">
              <w:rPr>
                <w:rFonts w:ascii="Arial" w:hAnsi="Arial" w:cs="Arial"/>
              </w:rPr>
              <w:t>16,00</w:t>
            </w:r>
          </w:p>
        </w:tc>
        <w:tc>
          <w:tcPr>
            <w:tcW w:w="1260" w:type="dxa"/>
            <w:tcBorders>
              <w:top w:val="nil"/>
              <w:left w:val="nil"/>
              <w:bottom w:val="double" w:sz="4"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sidRPr="005007A8">
              <w:rPr>
                <w:rFonts w:ascii="Arial" w:hAnsi="Arial" w:cs="Arial"/>
              </w:rPr>
              <w:t>&gt; 120</w:t>
            </w:r>
          </w:p>
        </w:tc>
        <w:tc>
          <w:tcPr>
            <w:tcW w:w="1057" w:type="dxa"/>
            <w:tcBorders>
              <w:top w:val="nil"/>
              <w:left w:val="nil"/>
              <w:bottom w:val="double" w:sz="4"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sidRPr="005007A8">
              <w:rPr>
                <w:rFonts w:ascii="Arial" w:hAnsi="Arial" w:cs="Arial"/>
              </w:rPr>
              <w:t>24,74</w:t>
            </w:r>
          </w:p>
        </w:tc>
      </w:tr>
    </w:tbl>
    <w:p w:rsidR="001D229E" w:rsidRDefault="001D229E" w:rsidP="004279F6">
      <w:pPr>
        <w:jc w:val="center"/>
        <w:rPr>
          <w:rFonts w:ascii="Arial" w:hAnsi="Arial" w:cs="Arial"/>
          <w:i/>
          <w:color w:val="FF0000"/>
          <w:sz w:val="18"/>
          <w:szCs w:val="18"/>
        </w:rPr>
      </w:pPr>
    </w:p>
    <w:p w:rsidR="004279F6" w:rsidRPr="00591C58" w:rsidRDefault="004279F6" w:rsidP="004279F6">
      <w:pPr>
        <w:jc w:val="center"/>
        <w:rPr>
          <w:rFonts w:ascii="Arial" w:hAnsi="Arial" w:cs="Arial"/>
          <w:sz w:val="16"/>
          <w:szCs w:val="16"/>
        </w:rPr>
      </w:pPr>
      <w:r w:rsidRPr="00591C58">
        <w:rPr>
          <w:rFonts w:ascii="Arial" w:hAnsi="Arial" w:cs="Arial"/>
          <w:sz w:val="16"/>
          <w:szCs w:val="16"/>
        </w:rPr>
        <w:t xml:space="preserve">Tabel </w:t>
      </w:r>
      <w:r w:rsidR="007239FA" w:rsidRPr="00591C58">
        <w:rPr>
          <w:rFonts w:ascii="Arial" w:hAnsi="Arial" w:cs="Arial"/>
          <w:sz w:val="16"/>
          <w:szCs w:val="16"/>
        </w:rPr>
        <w:t>6</w:t>
      </w:r>
      <w:r w:rsidR="00591C58" w:rsidRPr="00591C58">
        <w:rPr>
          <w:rFonts w:ascii="Arial" w:hAnsi="Arial" w:cs="Arial"/>
          <w:sz w:val="16"/>
          <w:szCs w:val="16"/>
        </w:rPr>
        <w:t xml:space="preserve"> </w:t>
      </w:r>
      <w:r w:rsidRPr="00591C58">
        <w:rPr>
          <w:rFonts w:ascii="Arial" w:hAnsi="Arial" w:cs="Arial"/>
          <w:sz w:val="16"/>
          <w:szCs w:val="16"/>
        </w:rPr>
        <w:t>- Tarife practicate subsistemul de transport import</w:t>
      </w:r>
    </w:p>
    <w:p w:rsidR="004279F6" w:rsidRDefault="004279F6" w:rsidP="004279F6">
      <w:pPr>
        <w:rPr>
          <w:rFonts w:ascii="Arial" w:hAnsi="Arial" w:cs="Arial"/>
          <w:b/>
          <w:i/>
          <w:sz w:val="22"/>
          <w:szCs w:val="22"/>
        </w:rPr>
      </w:pPr>
    </w:p>
    <w:p w:rsidR="001D229E" w:rsidRPr="001D229E" w:rsidRDefault="001D229E" w:rsidP="001D229E">
      <w:pPr>
        <w:widowControl/>
        <w:overflowPunct w:val="0"/>
        <w:spacing w:line="276" w:lineRule="auto"/>
        <w:jc w:val="both"/>
        <w:textAlignment w:val="baseline"/>
        <w:rPr>
          <w:rFonts w:ascii="Arial" w:hAnsi="Arial" w:cs="Arial"/>
          <w:sz w:val="22"/>
          <w:szCs w:val="22"/>
          <w:lang w:eastAsia="en-US"/>
        </w:rPr>
      </w:pPr>
      <w:r w:rsidRPr="001D229E">
        <w:rPr>
          <w:rFonts w:ascii="Arial" w:hAnsi="Arial" w:cs="Arial"/>
          <w:sz w:val="22"/>
          <w:szCs w:val="22"/>
          <w:lang w:eastAsia="en-US"/>
        </w:rPr>
        <w:t>Tarifele de transport cuprind o cotă de modernizare care este destinată exclusiv finanțării investițiilor aferente Sistemului Național de Transport.</w:t>
      </w:r>
    </w:p>
    <w:p w:rsidR="004279F6" w:rsidRDefault="004279F6" w:rsidP="004279F6">
      <w:pPr>
        <w:rPr>
          <w:rFonts w:ascii="Arial" w:hAnsi="Arial" w:cs="Arial"/>
          <w:b/>
          <w:i/>
          <w:sz w:val="22"/>
          <w:szCs w:val="22"/>
        </w:rPr>
      </w:pPr>
    </w:p>
    <w:p w:rsidR="001D229E" w:rsidRDefault="001D229E" w:rsidP="001D229E">
      <w:pPr>
        <w:widowControl/>
        <w:overflowPunct w:val="0"/>
        <w:spacing w:line="276" w:lineRule="auto"/>
        <w:jc w:val="both"/>
        <w:textAlignment w:val="baseline"/>
        <w:rPr>
          <w:rFonts w:ascii="Arial" w:hAnsi="Arial" w:cs="Arial"/>
          <w:sz w:val="22"/>
          <w:szCs w:val="22"/>
          <w:lang w:eastAsia="en-US"/>
        </w:rPr>
      </w:pPr>
      <w:r w:rsidRPr="009C2595">
        <w:rPr>
          <w:rFonts w:ascii="Arial" w:hAnsi="Arial" w:cs="Arial"/>
          <w:sz w:val="22"/>
          <w:szCs w:val="22"/>
          <w:lang w:eastAsia="en-US"/>
        </w:rPr>
        <w:t>Valoarea totală a serviciilor de transport fără T</w:t>
      </w:r>
      <w:r w:rsidR="002F402C">
        <w:rPr>
          <w:rFonts w:ascii="Arial" w:hAnsi="Arial" w:cs="Arial"/>
          <w:sz w:val="22"/>
          <w:szCs w:val="22"/>
          <w:lang w:eastAsia="en-US"/>
        </w:rPr>
        <w:t>.</w:t>
      </w:r>
      <w:r w:rsidRPr="009C2595">
        <w:rPr>
          <w:rFonts w:ascii="Arial" w:hAnsi="Arial" w:cs="Arial"/>
          <w:sz w:val="22"/>
          <w:szCs w:val="22"/>
          <w:lang w:eastAsia="en-US"/>
        </w:rPr>
        <w:t>V</w:t>
      </w:r>
      <w:r w:rsidR="002F402C">
        <w:rPr>
          <w:rFonts w:ascii="Arial" w:hAnsi="Arial" w:cs="Arial"/>
          <w:sz w:val="22"/>
          <w:szCs w:val="22"/>
          <w:lang w:eastAsia="en-US"/>
        </w:rPr>
        <w:t>.</w:t>
      </w:r>
      <w:r w:rsidRPr="009C2595">
        <w:rPr>
          <w:rFonts w:ascii="Arial" w:hAnsi="Arial" w:cs="Arial"/>
          <w:sz w:val="22"/>
          <w:szCs w:val="22"/>
          <w:lang w:eastAsia="en-US"/>
        </w:rPr>
        <w:t>A</w:t>
      </w:r>
      <w:r w:rsidR="002F402C">
        <w:rPr>
          <w:rFonts w:ascii="Arial" w:hAnsi="Arial" w:cs="Arial"/>
          <w:sz w:val="22"/>
          <w:szCs w:val="22"/>
          <w:lang w:eastAsia="en-US"/>
        </w:rPr>
        <w:t>.</w:t>
      </w:r>
      <w:r w:rsidRPr="009C2595">
        <w:rPr>
          <w:rFonts w:ascii="Arial" w:hAnsi="Arial" w:cs="Arial"/>
          <w:sz w:val="22"/>
          <w:szCs w:val="22"/>
          <w:lang w:eastAsia="en-US"/>
        </w:rPr>
        <w:t xml:space="preserve"> facturate beneficiarilor în </w:t>
      </w:r>
      <w:r w:rsidR="00907FDF">
        <w:rPr>
          <w:rFonts w:ascii="Arial" w:hAnsi="Arial" w:cs="Arial"/>
          <w:sz w:val="22"/>
          <w:szCs w:val="22"/>
          <w:lang w:eastAsia="en-US"/>
        </w:rPr>
        <w:t>perioada ianuarie – iunie 2018</w:t>
      </w:r>
      <w:r w:rsidRPr="009C2595">
        <w:rPr>
          <w:rFonts w:ascii="Arial" w:hAnsi="Arial" w:cs="Arial"/>
          <w:sz w:val="22"/>
          <w:szCs w:val="22"/>
          <w:lang w:eastAsia="en-US"/>
        </w:rPr>
        <w:t xml:space="preserve"> este în sumă de </w:t>
      </w:r>
      <w:r w:rsidR="0058761D">
        <w:rPr>
          <w:rFonts w:ascii="Arial" w:hAnsi="Arial" w:cs="Arial"/>
          <w:sz w:val="22"/>
          <w:szCs w:val="22"/>
          <w:lang w:eastAsia="en-US"/>
        </w:rPr>
        <w:t>182</w:t>
      </w:r>
      <w:r w:rsidR="00F837E9">
        <w:rPr>
          <w:rFonts w:ascii="Arial" w:hAnsi="Arial" w:cs="Arial"/>
          <w:sz w:val="22"/>
          <w:szCs w:val="22"/>
          <w:lang w:eastAsia="en-US"/>
        </w:rPr>
        <w:t>.</w:t>
      </w:r>
      <w:r w:rsidR="0058761D">
        <w:rPr>
          <w:rFonts w:ascii="Arial" w:hAnsi="Arial" w:cs="Arial"/>
          <w:sz w:val="22"/>
          <w:szCs w:val="22"/>
          <w:lang w:eastAsia="en-US"/>
        </w:rPr>
        <w:t>03</w:t>
      </w:r>
      <w:r w:rsidR="00F837E9">
        <w:rPr>
          <w:rFonts w:ascii="Arial" w:hAnsi="Arial" w:cs="Arial"/>
          <w:sz w:val="22"/>
          <w:szCs w:val="22"/>
          <w:lang w:eastAsia="en-US"/>
        </w:rPr>
        <w:t>4 mii</w:t>
      </w:r>
      <w:r w:rsidRPr="009C2595">
        <w:rPr>
          <w:rFonts w:ascii="Arial" w:hAnsi="Arial" w:cs="Arial"/>
          <w:sz w:val="22"/>
          <w:szCs w:val="22"/>
          <w:lang w:eastAsia="en-US"/>
        </w:rPr>
        <w:t xml:space="preserve"> lei și în detaliu pe fiecare beneficiar se prezintă astfel:</w:t>
      </w:r>
    </w:p>
    <w:p w:rsidR="0058761D" w:rsidRDefault="00D1538C" w:rsidP="00907FDF">
      <w:pPr>
        <w:widowControl/>
        <w:overflowPunct w:val="0"/>
        <w:spacing w:line="276" w:lineRule="auto"/>
        <w:jc w:val="center"/>
        <w:textAlignment w:val="baseline"/>
        <w:rPr>
          <w:rFonts w:ascii="Arial" w:hAnsi="Arial" w:cs="Arial"/>
          <w:sz w:val="22"/>
          <w:szCs w:val="22"/>
          <w:lang w:eastAsia="en-US"/>
        </w:rPr>
      </w:pPr>
      <w:r>
        <w:rPr>
          <w:noProof/>
          <w:lang w:val="en-US" w:eastAsia="en-US"/>
        </w:rPr>
        <w:lastRenderedPageBreak/>
        <w:drawing>
          <wp:inline distT="0" distB="0" distL="0" distR="0" wp14:anchorId="38D2B8A1" wp14:editId="532AC1BF">
            <wp:extent cx="5935345" cy="356616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5345" cy="3566160"/>
                    </a:xfrm>
                    <a:prstGeom prst="rect">
                      <a:avLst/>
                    </a:prstGeom>
                  </pic:spPr>
                </pic:pic>
              </a:graphicData>
            </a:graphic>
          </wp:inline>
        </w:drawing>
      </w:r>
    </w:p>
    <w:p w:rsidR="001D229E" w:rsidRPr="00591C58" w:rsidRDefault="008F5405" w:rsidP="001D229E">
      <w:pPr>
        <w:widowControl/>
        <w:overflowPunct w:val="0"/>
        <w:spacing w:line="276" w:lineRule="auto"/>
        <w:jc w:val="center"/>
        <w:textAlignment w:val="baseline"/>
        <w:rPr>
          <w:rFonts w:ascii="Arial" w:hAnsi="Arial" w:cs="Arial"/>
          <w:sz w:val="16"/>
          <w:szCs w:val="16"/>
          <w:lang w:val="en-GB" w:eastAsia="x-none"/>
        </w:rPr>
      </w:pPr>
      <w:r w:rsidRPr="00591C58">
        <w:rPr>
          <w:rFonts w:ascii="Arial" w:hAnsi="Arial" w:cs="Arial"/>
          <w:sz w:val="16"/>
          <w:szCs w:val="16"/>
          <w:lang w:eastAsia="en-US"/>
        </w:rPr>
        <w:t>Grafic 6 -</w:t>
      </w:r>
      <w:r w:rsidR="001D229E" w:rsidRPr="00591C58">
        <w:rPr>
          <w:rFonts w:ascii="Arial" w:hAnsi="Arial" w:cs="Arial"/>
          <w:sz w:val="16"/>
          <w:szCs w:val="16"/>
          <w:lang w:eastAsia="en-US"/>
        </w:rPr>
        <w:t xml:space="preserve"> </w:t>
      </w:r>
      <w:r w:rsidR="001D229E" w:rsidRPr="00591C58">
        <w:rPr>
          <w:rFonts w:ascii="Arial" w:hAnsi="Arial" w:cs="Arial"/>
          <w:sz w:val="16"/>
          <w:szCs w:val="16"/>
          <w:lang w:val="en-GB" w:eastAsia="x-none"/>
        </w:rPr>
        <w:t>Ponderea veniturilor din transport pe rafinării în total venituri din transport</w:t>
      </w:r>
    </w:p>
    <w:p w:rsidR="00591C58" w:rsidRDefault="00591C58" w:rsidP="00934797">
      <w:pPr>
        <w:spacing w:line="276" w:lineRule="auto"/>
        <w:jc w:val="both"/>
        <w:rPr>
          <w:rFonts w:ascii="Arial" w:hAnsi="Arial" w:cs="Arial"/>
          <w:sz w:val="22"/>
          <w:szCs w:val="22"/>
        </w:rPr>
      </w:pPr>
    </w:p>
    <w:p w:rsidR="001D229E" w:rsidRPr="007440B2" w:rsidRDefault="001D229E" w:rsidP="00934797">
      <w:pPr>
        <w:spacing w:line="276" w:lineRule="auto"/>
        <w:jc w:val="both"/>
        <w:rPr>
          <w:rFonts w:ascii="Arial" w:hAnsi="Arial" w:cs="Arial"/>
          <w:i/>
          <w:sz w:val="22"/>
          <w:szCs w:val="22"/>
          <w:lang w:eastAsia="en-US"/>
        </w:rPr>
      </w:pPr>
      <w:r w:rsidRPr="007440B2">
        <w:rPr>
          <w:rFonts w:ascii="Arial" w:hAnsi="Arial" w:cs="Arial"/>
          <w:sz w:val="22"/>
          <w:szCs w:val="22"/>
        </w:rPr>
        <w:t xml:space="preserve">Societatea deține o poziție de monopol pe piața transporturilor de țiței prin conducte, neavând astfel concurenți în domeniul său de activitate. Contractarea serviciilor de transport se realizează în baza unui contract cadru aprobat de către Agenția Națională pentru Resurse Minerale, tarifele de transport practicate fiind reglementate și aprobate de către aceeași autoritate. </w:t>
      </w:r>
    </w:p>
    <w:p w:rsidR="001D229E" w:rsidRPr="007440B2" w:rsidRDefault="001D229E" w:rsidP="00934797">
      <w:pPr>
        <w:spacing w:line="276" w:lineRule="auto"/>
        <w:jc w:val="both"/>
        <w:rPr>
          <w:rFonts w:ascii="Arial" w:hAnsi="Arial" w:cs="Arial"/>
          <w:sz w:val="22"/>
          <w:szCs w:val="22"/>
        </w:rPr>
      </w:pPr>
    </w:p>
    <w:p w:rsidR="001D229E" w:rsidRDefault="001D229E" w:rsidP="00934797">
      <w:pPr>
        <w:spacing w:line="276" w:lineRule="auto"/>
        <w:jc w:val="both"/>
        <w:rPr>
          <w:rFonts w:ascii="Arial" w:hAnsi="Arial" w:cs="Arial"/>
          <w:sz w:val="22"/>
          <w:szCs w:val="22"/>
        </w:rPr>
      </w:pPr>
      <w:r w:rsidRPr="007440B2">
        <w:rPr>
          <w:rFonts w:ascii="Arial" w:hAnsi="Arial" w:cs="Arial"/>
          <w:sz w:val="22"/>
          <w:szCs w:val="22"/>
        </w:rPr>
        <w:t>Serviciile de transport prestate de societate se adresează unui număr redus de potențiali beneficiari, astfel încât volumul acestora este în strânsă dependență cu politica comercială aplicată de beneficiarii serviciilor prestate. O situație de dependență semnificativă se înregistrează în raport cu beneficiarul OMV Petrom care este principalul client pentru transportul țițeiului din producția internă și unicul client pentru transportul gazolinei și condensatului.</w:t>
      </w:r>
    </w:p>
    <w:p w:rsidR="00F1517F" w:rsidRDefault="00F1517F" w:rsidP="00934797">
      <w:pPr>
        <w:overflowPunct w:val="0"/>
        <w:spacing w:line="276" w:lineRule="auto"/>
        <w:jc w:val="both"/>
        <w:rPr>
          <w:rFonts w:ascii="Arial" w:eastAsia="Calibri" w:hAnsi="Arial" w:cs="Arial"/>
          <w:sz w:val="22"/>
          <w:szCs w:val="22"/>
          <w:lang w:val="en-US"/>
        </w:rPr>
      </w:pPr>
    </w:p>
    <w:p w:rsidR="001A2F19" w:rsidRPr="001A2F19" w:rsidRDefault="001A2F19" w:rsidP="00934797">
      <w:pPr>
        <w:overflowPunct w:val="0"/>
        <w:spacing w:line="276" w:lineRule="auto"/>
        <w:jc w:val="both"/>
        <w:rPr>
          <w:rFonts w:ascii="Arial" w:eastAsia="Calibri" w:hAnsi="Arial" w:cs="Arial"/>
          <w:sz w:val="22"/>
          <w:szCs w:val="22"/>
          <w:lang w:val="en-US"/>
        </w:rPr>
      </w:pPr>
      <w:r w:rsidRPr="001A2F19">
        <w:rPr>
          <w:rFonts w:ascii="Arial" w:eastAsia="Calibri" w:hAnsi="Arial" w:cs="Arial"/>
          <w:sz w:val="22"/>
          <w:szCs w:val="22"/>
          <w:lang w:val="en-US"/>
        </w:rPr>
        <w:t>Societatea este dependentă de nivelul de prelucrare a ţiţeiului din România. Sistemul Național de Transport operat de CONPET</w:t>
      </w:r>
      <w:r w:rsidR="00F837E9">
        <w:rPr>
          <w:rFonts w:ascii="Arial" w:eastAsia="Calibri" w:hAnsi="Arial" w:cs="Arial"/>
          <w:sz w:val="22"/>
          <w:szCs w:val="22"/>
          <w:lang w:val="en-US"/>
        </w:rPr>
        <w:t xml:space="preserve"> S.A.</w:t>
      </w:r>
      <w:r w:rsidRPr="001A2F19">
        <w:rPr>
          <w:rFonts w:ascii="Arial" w:eastAsia="Calibri" w:hAnsi="Arial" w:cs="Arial"/>
          <w:sz w:val="22"/>
          <w:szCs w:val="22"/>
          <w:lang w:val="en-US"/>
        </w:rPr>
        <w:t xml:space="preserve"> nu este interconectat la alte sisteme de transport regionale externe. </w:t>
      </w:r>
    </w:p>
    <w:p w:rsidR="001A2F19" w:rsidRPr="001A2F19" w:rsidRDefault="001A2F19" w:rsidP="00934797">
      <w:pPr>
        <w:overflowPunct w:val="0"/>
        <w:spacing w:line="276" w:lineRule="auto"/>
        <w:jc w:val="both"/>
        <w:rPr>
          <w:rFonts w:ascii="Arial" w:eastAsia="Calibri" w:hAnsi="Arial" w:cs="Arial"/>
          <w:sz w:val="22"/>
          <w:szCs w:val="22"/>
          <w:lang w:val="en-US"/>
        </w:rPr>
      </w:pPr>
    </w:p>
    <w:p w:rsidR="001A2F19" w:rsidRDefault="001A2F19" w:rsidP="00934797">
      <w:pPr>
        <w:overflowPunct w:val="0"/>
        <w:spacing w:line="276" w:lineRule="auto"/>
        <w:jc w:val="both"/>
        <w:rPr>
          <w:rFonts w:ascii="Arial" w:eastAsia="Calibri" w:hAnsi="Arial" w:cs="Arial"/>
          <w:sz w:val="22"/>
          <w:szCs w:val="22"/>
          <w:lang w:val="en-US"/>
        </w:rPr>
      </w:pPr>
      <w:r w:rsidRPr="001A2F19">
        <w:rPr>
          <w:rFonts w:ascii="Arial" w:eastAsia="Calibri" w:hAnsi="Arial" w:cs="Arial"/>
          <w:sz w:val="22"/>
          <w:szCs w:val="22"/>
          <w:lang w:val="en-US"/>
        </w:rPr>
        <w:t xml:space="preserve">Ca urmare a restructurării industriei petrochimice din România, cantitățile de țiței, condensat și gazolină transportate s-au diminuat, fapt care a influențat în mod negativ gradul de utilizare a sistemului. </w:t>
      </w:r>
    </w:p>
    <w:p w:rsidR="00F1517F" w:rsidRPr="001A2F19" w:rsidRDefault="00F1517F" w:rsidP="00934797">
      <w:pPr>
        <w:overflowPunct w:val="0"/>
        <w:spacing w:line="276" w:lineRule="auto"/>
        <w:jc w:val="both"/>
        <w:rPr>
          <w:rFonts w:ascii="Arial" w:eastAsia="Calibri" w:hAnsi="Arial" w:cs="Arial"/>
          <w:sz w:val="22"/>
          <w:szCs w:val="22"/>
          <w:lang w:val="en-US"/>
        </w:rPr>
      </w:pPr>
    </w:p>
    <w:p w:rsidR="001A2F19" w:rsidRPr="001A2F19" w:rsidRDefault="001A2F19" w:rsidP="00934797">
      <w:pPr>
        <w:overflowPunct w:val="0"/>
        <w:spacing w:line="276" w:lineRule="auto"/>
        <w:jc w:val="both"/>
        <w:rPr>
          <w:rFonts w:ascii="Arial" w:eastAsia="Calibri" w:hAnsi="Arial" w:cs="Arial"/>
          <w:sz w:val="22"/>
          <w:szCs w:val="22"/>
        </w:rPr>
      </w:pPr>
      <w:r w:rsidRPr="001A2F19">
        <w:rPr>
          <w:rFonts w:ascii="Arial" w:eastAsia="Calibri" w:hAnsi="Arial" w:cs="Arial"/>
          <w:sz w:val="22"/>
          <w:szCs w:val="22"/>
          <w:lang w:val="en-US"/>
        </w:rPr>
        <w:t>Având în vedere faptul că Sistemul Național de Transport al Petrolului din România nu este interconectat la nicio rețea regională sau internațională, veniturile programate ale societății sunt direct dependente de activitatea societăților care au ca obiect de activitate preluarea țițeiului</w:t>
      </w:r>
      <w:r w:rsidRPr="001A2F19">
        <w:rPr>
          <w:rFonts w:ascii="Arial" w:eastAsia="Calibri" w:hAnsi="Arial" w:cs="Arial"/>
          <w:sz w:val="22"/>
          <w:szCs w:val="22"/>
        </w:rPr>
        <w:t xml:space="preserve"> în România.</w:t>
      </w:r>
    </w:p>
    <w:p w:rsidR="00591C58" w:rsidRDefault="00591C58" w:rsidP="00934797">
      <w:pPr>
        <w:overflowPunct w:val="0"/>
        <w:spacing w:line="276" w:lineRule="auto"/>
        <w:jc w:val="both"/>
        <w:rPr>
          <w:rFonts w:ascii="Arial" w:eastAsia="Calibri" w:hAnsi="Arial" w:cs="Arial"/>
          <w:sz w:val="22"/>
          <w:szCs w:val="22"/>
          <w:lang w:val="en-US"/>
        </w:rPr>
      </w:pPr>
    </w:p>
    <w:p w:rsidR="001A2F19" w:rsidRPr="001A2F19" w:rsidRDefault="001A2F19" w:rsidP="00934797">
      <w:pPr>
        <w:overflowPunct w:val="0"/>
        <w:spacing w:line="276" w:lineRule="auto"/>
        <w:jc w:val="both"/>
        <w:rPr>
          <w:rFonts w:ascii="Arial" w:eastAsia="Calibri" w:hAnsi="Arial" w:cs="Arial"/>
          <w:sz w:val="22"/>
          <w:szCs w:val="22"/>
          <w:lang w:val="en-US"/>
        </w:rPr>
      </w:pPr>
      <w:r w:rsidRPr="001A2F19">
        <w:rPr>
          <w:rFonts w:ascii="Arial" w:eastAsia="Calibri" w:hAnsi="Arial" w:cs="Arial"/>
          <w:sz w:val="22"/>
          <w:szCs w:val="22"/>
          <w:lang w:val="en-US"/>
        </w:rPr>
        <w:t xml:space="preserve">Din aceste considerente, cu sprijinul Ministerului Energiei și al autorității de reglementare a activității (A.N.R.M.), societatea face eforturi pentru identificarea de noi oportunități care să ducă la creșterea gradului de utilizare a sistemului, implicându-se totodată în proiectele regionale demarate în domeniul său de activitate. </w:t>
      </w:r>
    </w:p>
    <w:p w:rsidR="001A2F19" w:rsidRPr="001A2F19" w:rsidRDefault="001A2F19" w:rsidP="00934797">
      <w:pPr>
        <w:overflowPunct w:val="0"/>
        <w:spacing w:line="276" w:lineRule="auto"/>
        <w:jc w:val="both"/>
        <w:rPr>
          <w:rFonts w:ascii="Arial" w:eastAsia="Calibri" w:hAnsi="Arial" w:cs="Arial"/>
          <w:sz w:val="22"/>
          <w:szCs w:val="22"/>
          <w:lang w:val="en-US"/>
        </w:rPr>
      </w:pPr>
      <w:r w:rsidRPr="001A2F19">
        <w:rPr>
          <w:rFonts w:ascii="Arial" w:eastAsia="Calibri" w:hAnsi="Arial" w:cs="Arial"/>
          <w:sz w:val="22"/>
          <w:szCs w:val="22"/>
          <w:lang w:val="en-US"/>
        </w:rPr>
        <w:lastRenderedPageBreak/>
        <w:t>Este necesar să evidențiem caracterul imprevizibil al activității în domeniul extracției și prelucrării țițeiului și derivatelor sale în România, fapt ce poate influența negativ situația financiară a societății.</w:t>
      </w:r>
    </w:p>
    <w:p w:rsidR="001A2F19" w:rsidRPr="009828D6" w:rsidRDefault="001A2F19" w:rsidP="00934797">
      <w:pPr>
        <w:overflowPunct w:val="0"/>
        <w:spacing w:line="276" w:lineRule="auto"/>
        <w:jc w:val="both"/>
        <w:rPr>
          <w:rFonts w:ascii="Arial" w:eastAsia="Calibri" w:hAnsi="Arial" w:cs="Arial"/>
          <w:color w:val="1F4E79" w:themeColor="accent1" w:themeShade="80"/>
          <w:sz w:val="22"/>
          <w:szCs w:val="22"/>
          <w:lang w:val="en-US"/>
        </w:rPr>
      </w:pPr>
    </w:p>
    <w:p w:rsidR="001D229E" w:rsidRPr="009828D6" w:rsidRDefault="001D229E" w:rsidP="00170D7E">
      <w:pPr>
        <w:pStyle w:val="ListParagraph"/>
        <w:numPr>
          <w:ilvl w:val="2"/>
          <w:numId w:val="31"/>
        </w:numPr>
        <w:overflowPunct w:val="0"/>
        <w:ind w:left="567" w:hanging="567"/>
        <w:jc w:val="both"/>
        <w:textAlignment w:val="baseline"/>
        <w:rPr>
          <w:rFonts w:ascii="Arial" w:hAnsi="Arial" w:cs="Arial"/>
          <w:b/>
          <w:color w:val="1F4E79" w:themeColor="accent1" w:themeShade="80"/>
          <w:sz w:val="24"/>
          <w:szCs w:val="24"/>
        </w:rPr>
      </w:pPr>
      <w:r w:rsidRPr="009828D6">
        <w:rPr>
          <w:rFonts w:ascii="Arial" w:hAnsi="Arial" w:cs="Arial"/>
          <w:b/>
          <w:color w:val="1F4E79" w:themeColor="accent1" w:themeShade="80"/>
          <w:sz w:val="24"/>
          <w:szCs w:val="24"/>
        </w:rPr>
        <w:t>Alte activități</w:t>
      </w:r>
    </w:p>
    <w:p w:rsidR="007440B2" w:rsidRPr="007440B2" w:rsidRDefault="007440B2" w:rsidP="007440B2">
      <w:pPr>
        <w:spacing w:line="276" w:lineRule="auto"/>
        <w:jc w:val="both"/>
        <w:rPr>
          <w:rFonts w:ascii="Arial" w:hAnsi="Arial" w:cs="Arial"/>
          <w:sz w:val="22"/>
          <w:szCs w:val="22"/>
        </w:rPr>
      </w:pPr>
      <w:r w:rsidRPr="007440B2">
        <w:rPr>
          <w:rFonts w:ascii="Arial" w:hAnsi="Arial" w:cs="Arial"/>
          <w:sz w:val="22"/>
          <w:szCs w:val="22"/>
          <w:lang w:eastAsia="en-US"/>
        </w:rPr>
        <w:t>Alte activități, cu o contribuție de 1,</w:t>
      </w:r>
      <w:r w:rsidR="00907FDF">
        <w:rPr>
          <w:rFonts w:ascii="Arial" w:hAnsi="Arial" w:cs="Arial"/>
          <w:sz w:val="22"/>
          <w:szCs w:val="22"/>
          <w:lang w:eastAsia="en-US"/>
        </w:rPr>
        <w:t>6</w:t>
      </w:r>
      <w:r w:rsidRPr="007440B2">
        <w:rPr>
          <w:rFonts w:ascii="Arial" w:hAnsi="Arial" w:cs="Arial"/>
          <w:sz w:val="22"/>
          <w:szCs w:val="22"/>
          <w:lang w:eastAsia="en-US"/>
        </w:rPr>
        <w:t xml:space="preserve">% la cifra de afaceri a societății, sunt reprezentate de </w:t>
      </w:r>
      <w:r w:rsidRPr="007440B2">
        <w:rPr>
          <w:rFonts w:ascii="Arial" w:hAnsi="Arial" w:cs="Arial"/>
          <w:sz w:val="22"/>
          <w:szCs w:val="22"/>
        </w:rPr>
        <w:t>închirieri de terenuri și echipamente de telecomunicații, manevră vagoane, vânzare de material tubular, etc.</w:t>
      </w:r>
    </w:p>
    <w:p w:rsidR="007440B2" w:rsidRPr="007440B2" w:rsidRDefault="007440B2" w:rsidP="007440B2">
      <w:pPr>
        <w:overflowPunct w:val="0"/>
        <w:jc w:val="both"/>
        <w:textAlignment w:val="baseline"/>
        <w:rPr>
          <w:b/>
          <w:color w:val="5B9BD5" w:themeColor="accent1"/>
          <w:sz w:val="28"/>
          <w:szCs w:val="28"/>
        </w:rPr>
      </w:pPr>
    </w:p>
    <w:p w:rsidR="007440B2" w:rsidRPr="009828D6" w:rsidRDefault="007440B2" w:rsidP="007440B2">
      <w:pPr>
        <w:widowControl/>
        <w:overflowPunct w:val="0"/>
        <w:jc w:val="both"/>
        <w:textAlignment w:val="baseline"/>
        <w:rPr>
          <w:rFonts w:ascii="Arial" w:hAnsi="Arial" w:cs="Arial"/>
          <w:b/>
          <w:color w:val="1F4E79" w:themeColor="accent1" w:themeShade="80"/>
          <w:sz w:val="24"/>
          <w:szCs w:val="24"/>
        </w:rPr>
      </w:pPr>
      <w:r w:rsidRPr="009828D6">
        <w:rPr>
          <w:rFonts w:ascii="Arial" w:hAnsi="Arial" w:cs="Arial"/>
          <w:b/>
          <w:color w:val="1F4E79" w:themeColor="accent1" w:themeShade="80"/>
          <w:sz w:val="24"/>
          <w:szCs w:val="24"/>
          <w:lang w:val="en-GB" w:eastAsia="en-US"/>
        </w:rPr>
        <w:t>3.1.4 Evaluarea activității operaționale</w:t>
      </w:r>
    </w:p>
    <w:p w:rsidR="007440B2" w:rsidRPr="007440B2" w:rsidRDefault="007440B2" w:rsidP="007440B2">
      <w:pPr>
        <w:widowControl/>
        <w:overflowPunct w:val="0"/>
        <w:jc w:val="both"/>
        <w:textAlignment w:val="baseline"/>
        <w:rPr>
          <w:b/>
          <w:color w:val="1F4E79" w:themeColor="accent1" w:themeShade="80"/>
          <w:sz w:val="24"/>
          <w:szCs w:val="24"/>
          <w:lang w:val="en-GB" w:eastAsia="en-US"/>
        </w:rPr>
      </w:pPr>
    </w:p>
    <w:p w:rsidR="007440B2" w:rsidRPr="009C2595" w:rsidRDefault="007440B2" w:rsidP="007440B2">
      <w:pPr>
        <w:widowControl/>
        <w:overflowPunct w:val="0"/>
        <w:jc w:val="both"/>
        <w:textAlignment w:val="baseline"/>
        <w:rPr>
          <w:rFonts w:ascii="Arial" w:hAnsi="Arial" w:cs="Arial"/>
          <w:sz w:val="22"/>
          <w:szCs w:val="22"/>
          <w:lang w:eastAsia="en-US"/>
        </w:rPr>
      </w:pPr>
      <w:r w:rsidRPr="009C2595">
        <w:rPr>
          <w:rFonts w:ascii="Arial" w:hAnsi="Arial" w:cs="Arial"/>
          <w:sz w:val="22"/>
          <w:szCs w:val="22"/>
          <w:lang w:eastAsia="en-US"/>
        </w:rPr>
        <w:t>În tabelul de mai jos este prezentată evoluția prestărilor de servicii de transport pentru Sem</w:t>
      </w:r>
      <w:r w:rsidR="00907FDF">
        <w:rPr>
          <w:rFonts w:ascii="Arial" w:hAnsi="Arial" w:cs="Arial"/>
          <w:sz w:val="22"/>
          <w:szCs w:val="22"/>
          <w:lang w:eastAsia="en-US"/>
        </w:rPr>
        <w:t>.</w:t>
      </w:r>
      <w:r w:rsidRPr="009C2595">
        <w:rPr>
          <w:rFonts w:ascii="Arial" w:hAnsi="Arial" w:cs="Arial"/>
          <w:sz w:val="22"/>
          <w:szCs w:val="22"/>
          <w:lang w:eastAsia="en-US"/>
        </w:rPr>
        <w:t xml:space="preserve"> I 2018 față de Sem</w:t>
      </w:r>
      <w:r w:rsidR="00907FDF">
        <w:rPr>
          <w:rFonts w:ascii="Arial" w:hAnsi="Arial" w:cs="Arial"/>
          <w:sz w:val="22"/>
          <w:szCs w:val="22"/>
          <w:lang w:eastAsia="en-US"/>
        </w:rPr>
        <w:t>. I 2017 și față de B.V.C S</w:t>
      </w:r>
      <w:r w:rsidRPr="009C2595">
        <w:rPr>
          <w:rFonts w:ascii="Arial" w:hAnsi="Arial" w:cs="Arial"/>
          <w:sz w:val="22"/>
          <w:szCs w:val="22"/>
          <w:lang w:eastAsia="en-US"/>
        </w:rPr>
        <w:t>em I 2018:</w:t>
      </w:r>
    </w:p>
    <w:p w:rsidR="007440B2" w:rsidRPr="009C2595" w:rsidRDefault="007440B2" w:rsidP="007440B2">
      <w:pPr>
        <w:widowControl/>
        <w:overflowPunct w:val="0"/>
        <w:jc w:val="both"/>
        <w:textAlignment w:val="baseline"/>
        <w:rPr>
          <w:rFonts w:ascii="Arial" w:hAnsi="Arial" w:cs="Arial"/>
          <w:sz w:val="22"/>
          <w:szCs w:val="22"/>
          <w:lang w:eastAsia="en-US"/>
        </w:rPr>
      </w:pPr>
    </w:p>
    <w:tbl>
      <w:tblPr>
        <w:tblW w:w="9468" w:type="dxa"/>
        <w:tblInd w:w="-10" w:type="dxa"/>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69"/>
        <w:gridCol w:w="1121"/>
        <w:gridCol w:w="1130"/>
        <w:gridCol w:w="1130"/>
        <w:gridCol w:w="1617"/>
        <w:gridCol w:w="1401"/>
      </w:tblGrid>
      <w:tr w:rsidR="00907FDF" w:rsidRPr="00CD41C3" w:rsidTr="00907FDF">
        <w:trPr>
          <w:trHeight w:val="828"/>
        </w:trPr>
        <w:tc>
          <w:tcPr>
            <w:tcW w:w="3181" w:type="dxa"/>
            <w:tcBorders>
              <w:top w:val="single" w:sz="8" w:space="0" w:color="auto"/>
              <w:left w:val="single" w:sz="8" w:space="0" w:color="auto"/>
              <w:bottom w:val="single" w:sz="8" w:space="0" w:color="000000"/>
              <w:right w:val="single" w:sz="8" w:space="0" w:color="auto"/>
            </w:tcBorders>
            <w:shd w:val="clear" w:color="000000" w:fill="DEEAF6"/>
            <w:vAlign w:val="center"/>
          </w:tcPr>
          <w:p w:rsidR="00907FDF" w:rsidRPr="00907FDF" w:rsidRDefault="00907FDF" w:rsidP="00934797">
            <w:pPr>
              <w:widowControl/>
              <w:autoSpaceDE/>
              <w:autoSpaceDN/>
              <w:adjustRightInd/>
              <w:jc w:val="center"/>
              <w:rPr>
                <w:rFonts w:ascii="Arial" w:hAnsi="Arial" w:cs="Arial"/>
                <w:b/>
                <w:bCs/>
                <w:color w:val="000000"/>
                <w:lang w:eastAsia="en-US"/>
              </w:rPr>
            </w:pPr>
            <w:r w:rsidRPr="00907FDF">
              <w:rPr>
                <w:rFonts w:ascii="Arial" w:hAnsi="Arial" w:cs="Arial"/>
                <w:b/>
                <w:bCs/>
                <w:color w:val="000000"/>
                <w:lang w:eastAsia="en-US"/>
              </w:rPr>
              <w:t>Indicatori</w:t>
            </w:r>
          </w:p>
          <w:p w:rsidR="00907FDF" w:rsidRPr="00907FDF" w:rsidRDefault="00907FDF" w:rsidP="00934797">
            <w:pPr>
              <w:widowControl/>
              <w:autoSpaceDE/>
              <w:autoSpaceDN/>
              <w:adjustRightInd/>
              <w:jc w:val="center"/>
              <w:rPr>
                <w:rFonts w:ascii="Arial" w:hAnsi="Arial" w:cs="Arial"/>
                <w:b/>
                <w:bCs/>
                <w:color w:val="000000"/>
                <w:lang w:val="en-US" w:eastAsia="en-US"/>
              </w:rPr>
            </w:pPr>
            <w:r w:rsidRPr="00907FDF">
              <w:rPr>
                <w:rFonts w:ascii="Arial" w:hAnsi="Arial" w:cs="Arial"/>
                <w:b/>
                <w:bCs/>
                <w:color w:val="000000"/>
                <w:lang w:eastAsia="en-US"/>
              </w:rPr>
              <w:t xml:space="preserve"> (mii lei)</w:t>
            </w:r>
          </w:p>
        </w:tc>
        <w:tc>
          <w:tcPr>
            <w:tcW w:w="1130" w:type="dxa"/>
            <w:tcBorders>
              <w:top w:val="single" w:sz="8" w:space="0" w:color="auto"/>
              <w:left w:val="single" w:sz="8" w:space="0" w:color="auto"/>
              <w:bottom w:val="single" w:sz="8" w:space="0" w:color="000000"/>
              <w:right w:val="single" w:sz="8" w:space="0" w:color="auto"/>
            </w:tcBorders>
            <w:shd w:val="clear" w:color="000000" w:fill="DEEAF6"/>
            <w:vAlign w:val="center"/>
          </w:tcPr>
          <w:p w:rsidR="00907FDF" w:rsidRPr="00907FDF" w:rsidRDefault="00907FDF" w:rsidP="00934797">
            <w:pPr>
              <w:widowControl/>
              <w:autoSpaceDE/>
              <w:autoSpaceDN/>
              <w:adjustRightInd/>
              <w:jc w:val="center"/>
              <w:rPr>
                <w:rFonts w:ascii="Arial" w:hAnsi="Arial" w:cs="Arial"/>
                <w:b/>
                <w:bCs/>
                <w:color w:val="000000"/>
                <w:lang w:val="en-US" w:eastAsia="en-US"/>
              </w:rPr>
            </w:pPr>
            <w:r w:rsidRPr="00907FDF">
              <w:rPr>
                <w:rFonts w:ascii="Arial" w:hAnsi="Arial" w:cs="Arial"/>
                <w:b/>
                <w:bCs/>
                <w:color w:val="000000"/>
                <w:lang w:val="en-US" w:eastAsia="en-US"/>
              </w:rPr>
              <w:t>Realizat Sem</w:t>
            </w:r>
            <w:r w:rsidR="00B462E5">
              <w:rPr>
                <w:rFonts w:ascii="Arial" w:hAnsi="Arial" w:cs="Arial"/>
                <w:b/>
                <w:bCs/>
                <w:color w:val="000000"/>
                <w:lang w:val="en-US" w:eastAsia="en-US"/>
              </w:rPr>
              <w:t>.</w:t>
            </w:r>
            <w:r w:rsidRPr="00907FDF">
              <w:rPr>
                <w:rFonts w:ascii="Arial" w:hAnsi="Arial" w:cs="Arial"/>
                <w:b/>
                <w:bCs/>
                <w:color w:val="000000"/>
                <w:lang w:val="en-US" w:eastAsia="en-US"/>
              </w:rPr>
              <w:t xml:space="preserve"> I 2018</w:t>
            </w:r>
          </w:p>
        </w:tc>
        <w:tc>
          <w:tcPr>
            <w:tcW w:w="1130" w:type="dxa"/>
            <w:tcBorders>
              <w:top w:val="single" w:sz="8" w:space="0" w:color="auto"/>
              <w:left w:val="single" w:sz="8" w:space="0" w:color="auto"/>
              <w:bottom w:val="single" w:sz="8" w:space="0" w:color="000000"/>
              <w:right w:val="single" w:sz="8" w:space="0" w:color="auto"/>
            </w:tcBorders>
            <w:shd w:val="clear" w:color="000000" w:fill="DEEAF6"/>
            <w:noWrap/>
            <w:vAlign w:val="center"/>
          </w:tcPr>
          <w:p w:rsidR="00907FDF" w:rsidRPr="00907FDF" w:rsidRDefault="00907FDF" w:rsidP="00934797">
            <w:pPr>
              <w:widowControl/>
              <w:autoSpaceDE/>
              <w:autoSpaceDN/>
              <w:adjustRightInd/>
              <w:jc w:val="center"/>
              <w:rPr>
                <w:rFonts w:ascii="Arial" w:hAnsi="Arial" w:cs="Arial"/>
                <w:b/>
                <w:bCs/>
                <w:color w:val="000000"/>
                <w:lang w:val="en-US" w:eastAsia="en-US"/>
              </w:rPr>
            </w:pPr>
            <w:r w:rsidRPr="00907FDF">
              <w:rPr>
                <w:rFonts w:ascii="Arial" w:hAnsi="Arial" w:cs="Arial"/>
                <w:b/>
                <w:bCs/>
                <w:color w:val="000000"/>
                <w:lang w:val="en-US" w:eastAsia="en-US"/>
              </w:rPr>
              <w:t>B</w:t>
            </w:r>
            <w:r w:rsidR="00B462E5">
              <w:rPr>
                <w:rFonts w:ascii="Arial" w:hAnsi="Arial" w:cs="Arial"/>
                <w:b/>
                <w:bCs/>
                <w:color w:val="000000"/>
                <w:lang w:val="en-US" w:eastAsia="en-US"/>
              </w:rPr>
              <w:t>.</w:t>
            </w:r>
            <w:r w:rsidRPr="00907FDF">
              <w:rPr>
                <w:rFonts w:ascii="Arial" w:hAnsi="Arial" w:cs="Arial"/>
                <w:b/>
                <w:bCs/>
                <w:color w:val="000000"/>
                <w:lang w:val="en-US" w:eastAsia="en-US"/>
              </w:rPr>
              <w:t>V</w:t>
            </w:r>
            <w:r w:rsidR="00B462E5">
              <w:rPr>
                <w:rFonts w:ascii="Arial" w:hAnsi="Arial" w:cs="Arial"/>
                <w:b/>
                <w:bCs/>
                <w:color w:val="000000"/>
                <w:lang w:val="en-US" w:eastAsia="en-US"/>
              </w:rPr>
              <w:t>.</w:t>
            </w:r>
            <w:r w:rsidRPr="00907FDF">
              <w:rPr>
                <w:rFonts w:ascii="Arial" w:hAnsi="Arial" w:cs="Arial"/>
                <w:b/>
                <w:bCs/>
                <w:color w:val="000000"/>
                <w:lang w:val="en-US" w:eastAsia="en-US"/>
              </w:rPr>
              <w:t>C</w:t>
            </w:r>
            <w:r w:rsidR="00B462E5">
              <w:rPr>
                <w:rFonts w:ascii="Arial" w:hAnsi="Arial" w:cs="Arial"/>
                <w:b/>
                <w:bCs/>
                <w:color w:val="000000"/>
                <w:lang w:val="en-US" w:eastAsia="en-US"/>
              </w:rPr>
              <w:t>.</w:t>
            </w:r>
            <w:r w:rsidRPr="00907FDF">
              <w:rPr>
                <w:rFonts w:ascii="Arial" w:hAnsi="Arial" w:cs="Arial"/>
                <w:b/>
                <w:bCs/>
                <w:color w:val="000000"/>
                <w:lang w:val="en-US" w:eastAsia="en-US"/>
              </w:rPr>
              <w:t xml:space="preserve"> Sem</w:t>
            </w:r>
            <w:r w:rsidR="00B462E5">
              <w:rPr>
                <w:rFonts w:ascii="Arial" w:hAnsi="Arial" w:cs="Arial"/>
                <w:b/>
                <w:bCs/>
                <w:color w:val="000000"/>
                <w:lang w:val="en-US" w:eastAsia="en-US"/>
              </w:rPr>
              <w:t>.</w:t>
            </w:r>
            <w:r w:rsidRPr="00907FDF">
              <w:rPr>
                <w:rFonts w:ascii="Arial" w:hAnsi="Arial" w:cs="Arial"/>
                <w:b/>
                <w:bCs/>
                <w:color w:val="000000"/>
                <w:lang w:val="en-US" w:eastAsia="en-US"/>
              </w:rPr>
              <w:t xml:space="preserve"> I 2018</w:t>
            </w:r>
          </w:p>
        </w:tc>
        <w:tc>
          <w:tcPr>
            <w:tcW w:w="1130" w:type="dxa"/>
            <w:tcBorders>
              <w:top w:val="single" w:sz="8" w:space="0" w:color="auto"/>
              <w:left w:val="single" w:sz="8" w:space="0" w:color="auto"/>
              <w:bottom w:val="single" w:sz="8" w:space="0" w:color="000000"/>
              <w:right w:val="single" w:sz="8" w:space="0" w:color="auto"/>
            </w:tcBorders>
            <w:shd w:val="clear" w:color="000000" w:fill="DEEAF6"/>
            <w:noWrap/>
            <w:vAlign w:val="center"/>
          </w:tcPr>
          <w:p w:rsidR="00907FDF" w:rsidRPr="00907FDF" w:rsidRDefault="00907FDF" w:rsidP="00934797">
            <w:pPr>
              <w:widowControl/>
              <w:autoSpaceDE/>
              <w:autoSpaceDN/>
              <w:adjustRightInd/>
              <w:jc w:val="center"/>
              <w:rPr>
                <w:rFonts w:ascii="Arial" w:hAnsi="Arial" w:cs="Arial"/>
                <w:b/>
                <w:bCs/>
                <w:color w:val="000000"/>
                <w:lang w:val="en-US" w:eastAsia="en-US"/>
              </w:rPr>
            </w:pPr>
            <w:r w:rsidRPr="00907FDF">
              <w:rPr>
                <w:rFonts w:ascii="Arial" w:hAnsi="Arial" w:cs="Arial"/>
                <w:b/>
                <w:bCs/>
                <w:color w:val="000000"/>
                <w:lang w:val="en-US" w:eastAsia="en-US"/>
              </w:rPr>
              <w:t>Realizat Sem</w:t>
            </w:r>
            <w:r w:rsidR="00B462E5">
              <w:rPr>
                <w:rFonts w:ascii="Arial" w:hAnsi="Arial" w:cs="Arial"/>
                <w:b/>
                <w:bCs/>
                <w:color w:val="000000"/>
                <w:lang w:val="en-US" w:eastAsia="en-US"/>
              </w:rPr>
              <w:t>.</w:t>
            </w:r>
            <w:r w:rsidRPr="00907FDF">
              <w:rPr>
                <w:rFonts w:ascii="Arial" w:hAnsi="Arial" w:cs="Arial"/>
                <w:b/>
                <w:bCs/>
                <w:color w:val="000000"/>
                <w:lang w:val="en-US" w:eastAsia="en-US"/>
              </w:rPr>
              <w:t xml:space="preserve"> I 2017</w:t>
            </w:r>
          </w:p>
        </w:tc>
        <w:tc>
          <w:tcPr>
            <w:tcW w:w="1481" w:type="dxa"/>
            <w:tcBorders>
              <w:top w:val="single" w:sz="8" w:space="0" w:color="auto"/>
              <w:left w:val="nil"/>
              <w:right w:val="single" w:sz="8" w:space="0" w:color="auto"/>
            </w:tcBorders>
            <w:shd w:val="clear" w:color="000000" w:fill="DEEAF6"/>
            <w:vAlign w:val="center"/>
          </w:tcPr>
          <w:p w:rsidR="00907FDF" w:rsidRPr="00907FDF" w:rsidRDefault="00907FDF" w:rsidP="00B462E5">
            <w:pPr>
              <w:widowControl/>
              <w:autoSpaceDE/>
              <w:autoSpaceDN/>
              <w:adjustRightInd/>
              <w:jc w:val="center"/>
              <w:rPr>
                <w:rFonts w:ascii="Arial" w:hAnsi="Arial" w:cs="Arial"/>
                <w:b/>
                <w:bCs/>
                <w:color w:val="000000"/>
                <w:lang w:val="en-US" w:eastAsia="en-US"/>
              </w:rPr>
            </w:pPr>
            <w:r w:rsidRPr="00907FDF">
              <w:rPr>
                <w:rFonts w:ascii="Arial" w:hAnsi="Arial" w:cs="Arial"/>
                <w:b/>
                <w:bCs/>
                <w:color w:val="000000"/>
                <w:lang w:eastAsia="en-US"/>
              </w:rPr>
              <w:t xml:space="preserve">Variație % </w:t>
            </w:r>
            <w:r w:rsidR="00B462E5">
              <w:rPr>
                <w:rFonts w:ascii="Arial" w:hAnsi="Arial" w:cs="Arial"/>
                <w:b/>
                <w:bCs/>
                <w:color w:val="000000"/>
                <w:lang w:eastAsia="en-US"/>
              </w:rPr>
              <w:t>Realizat</w:t>
            </w:r>
            <w:r w:rsidRPr="00907FDF">
              <w:rPr>
                <w:rFonts w:ascii="Arial" w:hAnsi="Arial" w:cs="Arial"/>
                <w:b/>
                <w:bCs/>
                <w:color w:val="000000"/>
                <w:lang w:eastAsia="en-US"/>
              </w:rPr>
              <w:t>/B</w:t>
            </w:r>
            <w:r w:rsidR="00B462E5">
              <w:rPr>
                <w:rFonts w:ascii="Arial" w:hAnsi="Arial" w:cs="Arial"/>
                <w:b/>
                <w:bCs/>
                <w:color w:val="000000"/>
                <w:lang w:eastAsia="en-US"/>
              </w:rPr>
              <w:t>.</w:t>
            </w:r>
            <w:r w:rsidRPr="00907FDF">
              <w:rPr>
                <w:rFonts w:ascii="Arial" w:hAnsi="Arial" w:cs="Arial"/>
                <w:b/>
                <w:bCs/>
                <w:color w:val="000000"/>
                <w:lang w:eastAsia="en-US"/>
              </w:rPr>
              <w:t>V</w:t>
            </w:r>
            <w:r w:rsidR="00B462E5">
              <w:rPr>
                <w:rFonts w:ascii="Arial" w:hAnsi="Arial" w:cs="Arial"/>
                <w:b/>
                <w:bCs/>
                <w:color w:val="000000"/>
                <w:lang w:eastAsia="en-US"/>
              </w:rPr>
              <w:t>.</w:t>
            </w:r>
            <w:r w:rsidRPr="00907FDF">
              <w:rPr>
                <w:rFonts w:ascii="Arial" w:hAnsi="Arial" w:cs="Arial"/>
                <w:b/>
                <w:bCs/>
                <w:color w:val="000000"/>
                <w:lang w:eastAsia="en-US"/>
              </w:rPr>
              <w:t>C</w:t>
            </w:r>
            <w:r w:rsidR="00B462E5">
              <w:rPr>
                <w:rFonts w:ascii="Arial" w:hAnsi="Arial" w:cs="Arial"/>
                <w:b/>
                <w:bCs/>
                <w:color w:val="000000"/>
                <w:lang w:eastAsia="en-US"/>
              </w:rPr>
              <w:t>.</w:t>
            </w:r>
            <w:r w:rsidRPr="00907FDF">
              <w:rPr>
                <w:rFonts w:ascii="Arial" w:hAnsi="Arial" w:cs="Arial"/>
                <w:b/>
                <w:bCs/>
                <w:color w:val="000000"/>
                <w:lang w:eastAsia="en-US"/>
              </w:rPr>
              <w:t xml:space="preserve"> 2018</w:t>
            </w:r>
          </w:p>
        </w:tc>
        <w:tc>
          <w:tcPr>
            <w:tcW w:w="1416" w:type="dxa"/>
            <w:tcBorders>
              <w:top w:val="single" w:sz="8" w:space="0" w:color="auto"/>
              <w:left w:val="nil"/>
              <w:right w:val="single" w:sz="8" w:space="0" w:color="auto"/>
            </w:tcBorders>
            <w:shd w:val="clear" w:color="000000" w:fill="DEEAF6"/>
            <w:vAlign w:val="center"/>
          </w:tcPr>
          <w:p w:rsidR="00907FDF" w:rsidRPr="00907FDF" w:rsidRDefault="00907FDF" w:rsidP="00B462E5">
            <w:pPr>
              <w:widowControl/>
              <w:autoSpaceDE/>
              <w:autoSpaceDN/>
              <w:adjustRightInd/>
              <w:jc w:val="center"/>
              <w:rPr>
                <w:rFonts w:ascii="Arial" w:hAnsi="Arial" w:cs="Arial"/>
                <w:b/>
                <w:bCs/>
                <w:color w:val="000000"/>
                <w:lang w:val="en-US" w:eastAsia="en-US"/>
              </w:rPr>
            </w:pPr>
            <w:r w:rsidRPr="00907FDF">
              <w:rPr>
                <w:rFonts w:ascii="Arial" w:hAnsi="Arial" w:cs="Arial"/>
                <w:b/>
                <w:bCs/>
                <w:color w:val="000000"/>
                <w:lang w:eastAsia="en-US"/>
              </w:rPr>
              <w:t xml:space="preserve">Variație % </w:t>
            </w:r>
            <w:r w:rsidR="00B462E5">
              <w:rPr>
                <w:rFonts w:ascii="Arial" w:hAnsi="Arial" w:cs="Arial"/>
                <w:b/>
                <w:bCs/>
                <w:color w:val="000000"/>
                <w:lang w:eastAsia="en-US"/>
              </w:rPr>
              <w:t>2018/2017</w:t>
            </w:r>
          </w:p>
        </w:tc>
      </w:tr>
      <w:tr w:rsidR="00907FDF" w:rsidRPr="00CD41C3" w:rsidTr="00907FDF">
        <w:trPr>
          <w:trHeight w:val="518"/>
        </w:trPr>
        <w:tc>
          <w:tcPr>
            <w:tcW w:w="3181" w:type="dxa"/>
            <w:shd w:val="clear" w:color="000000" w:fill="FFFFFF"/>
            <w:vAlign w:val="center"/>
            <w:hideMark/>
          </w:tcPr>
          <w:p w:rsidR="00907FDF" w:rsidRPr="00907FDF" w:rsidRDefault="00907FDF" w:rsidP="00934797">
            <w:pPr>
              <w:widowControl/>
              <w:autoSpaceDE/>
              <w:autoSpaceDN/>
              <w:adjustRightInd/>
              <w:rPr>
                <w:rFonts w:ascii="Arial" w:hAnsi="Arial" w:cs="Arial"/>
                <w:color w:val="000000"/>
                <w:lang w:val="en-US" w:eastAsia="en-US"/>
              </w:rPr>
            </w:pPr>
            <w:r w:rsidRPr="00907FDF">
              <w:rPr>
                <w:rFonts w:ascii="Arial" w:hAnsi="Arial" w:cs="Arial"/>
                <w:color w:val="000000"/>
                <w:lang w:eastAsia="en-US"/>
              </w:rPr>
              <w:t>Venituri pe subsistemul de transport ț</w:t>
            </w:r>
            <w:r w:rsidRPr="00907FDF">
              <w:rPr>
                <w:rFonts w:ascii="Arial" w:hAnsi="Arial" w:cs="Arial"/>
                <w:bCs/>
                <w:color w:val="000000"/>
                <w:lang w:eastAsia="en-US"/>
              </w:rPr>
              <w:t xml:space="preserve">ară </w:t>
            </w:r>
          </w:p>
        </w:tc>
        <w:tc>
          <w:tcPr>
            <w:tcW w:w="1130" w:type="dxa"/>
            <w:shd w:val="clear" w:color="000000" w:fill="FFFFFF"/>
            <w:vAlign w:val="center"/>
          </w:tcPr>
          <w:p w:rsidR="00907FDF" w:rsidRPr="00907FDF" w:rsidRDefault="00907FDF" w:rsidP="00934797">
            <w:pPr>
              <w:widowControl/>
              <w:autoSpaceDE/>
              <w:autoSpaceDN/>
              <w:adjustRightInd/>
              <w:jc w:val="right"/>
              <w:rPr>
                <w:rFonts w:ascii="Arial" w:hAnsi="Arial" w:cs="Arial"/>
                <w:color w:val="000000"/>
              </w:rPr>
            </w:pPr>
            <w:r w:rsidRPr="00907FDF">
              <w:rPr>
                <w:rFonts w:ascii="Arial" w:hAnsi="Arial" w:cs="Arial"/>
                <w:color w:val="000000"/>
              </w:rPr>
              <w:t>143.199</w:t>
            </w:r>
          </w:p>
        </w:tc>
        <w:tc>
          <w:tcPr>
            <w:tcW w:w="1130" w:type="dxa"/>
            <w:shd w:val="clear" w:color="000000" w:fill="FFFFFF"/>
            <w:noWrap/>
            <w:vAlign w:val="center"/>
          </w:tcPr>
          <w:p w:rsidR="00907FDF" w:rsidRPr="00907FDF" w:rsidRDefault="00907FDF" w:rsidP="00934797">
            <w:pPr>
              <w:jc w:val="right"/>
              <w:rPr>
                <w:rFonts w:ascii="Arial" w:hAnsi="Arial" w:cs="Arial"/>
                <w:color w:val="000000"/>
              </w:rPr>
            </w:pPr>
            <w:r w:rsidRPr="00907FDF">
              <w:rPr>
                <w:rFonts w:ascii="Arial" w:hAnsi="Arial" w:cs="Arial"/>
                <w:color w:val="000000"/>
              </w:rPr>
              <w:t>141.002</w:t>
            </w:r>
          </w:p>
        </w:tc>
        <w:tc>
          <w:tcPr>
            <w:tcW w:w="1130" w:type="dxa"/>
            <w:shd w:val="clear" w:color="000000" w:fill="FFFFFF"/>
            <w:noWrap/>
            <w:vAlign w:val="center"/>
          </w:tcPr>
          <w:p w:rsidR="00907FDF" w:rsidRPr="00907FDF" w:rsidRDefault="00907FDF" w:rsidP="00934797">
            <w:pPr>
              <w:widowControl/>
              <w:autoSpaceDE/>
              <w:autoSpaceDN/>
              <w:adjustRightInd/>
              <w:jc w:val="right"/>
              <w:rPr>
                <w:rFonts w:ascii="Arial" w:hAnsi="Arial" w:cs="Arial"/>
                <w:color w:val="000000"/>
              </w:rPr>
            </w:pPr>
            <w:r w:rsidRPr="00907FDF">
              <w:rPr>
                <w:rFonts w:ascii="Arial" w:hAnsi="Arial" w:cs="Arial"/>
                <w:color w:val="000000"/>
              </w:rPr>
              <w:t>143.378</w:t>
            </w:r>
          </w:p>
        </w:tc>
        <w:tc>
          <w:tcPr>
            <w:tcW w:w="1481" w:type="dxa"/>
            <w:shd w:val="clear" w:color="000000" w:fill="FFFFFF"/>
            <w:vAlign w:val="center"/>
            <w:hideMark/>
          </w:tcPr>
          <w:p w:rsidR="00907FDF" w:rsidRPr="00907FDF" w:rsidRDefault="00907FDF" w:rsidP="00934797">
            <w:pPr>
              <w:jc w:val="right"/>
              <w:rPr>
                <w:rFonts w:ascii="Arial" w:hAnsi="Arial" w:cs="Arial"/>
                <w:color w:val="000000"/>
              </w:rPr>
            </w:pPr>
            <w:r w:rsidRPr="00907FDF">
              <w:rPr>
                <w:rFonts w:ascii="Arial" w:hAnsi="Arial" w:cs="Arial"/>
                <w:bCs/>
                <w:color w:val="000000"/>
                <w:lang w:val="en-US" w:eastAsia="en-US"/>
              </w:rPr>
              <w:t>▲</w:t>
            </w:r>
            <w:r w:rsidRPr="00907FDF">
              <w:rPr>
                <w:rFonts w:ascii="Arial" w:hAnsi="Arial" w:cs="Arial"/>
                <w:color w:val="000000"/>
              </w:rPr>
              <w:t>1,56%</w:t>
            </w:r>
          </w:p>
        </w:tc>
        <w:tc>
          <w:tcPr>
            <w:tcW w:w="1416" w:type="dxa"/>
            <w:shd w:val="clear" w:color="000000" w:fill="FFFFFF"/>
            <w:vAlign w:val="center"/>
            <w:hideMark/>
          </w:tcPr>
          <w:p w:rsidR="00907FDF" w:rsidRPr="00907FDF" w:rsidRDefault="00907FDF" w:rsidP="00934797">
            <w:pPr>
              <w:widowControl/>
              <w:autoSpaceDE/>
              <w:autoSpaceDN/>
              <w:adjustRightInd/>
              <w:jc w:val="right"/>
              <w:rPr>
                <w:rFonts w:ascii="Arial" w:hAnsi="Arial" w:cs="Arial"/>
                <w:color w:val="000000"/>
              </w:rPr>
            </w:pPr>
            <w:r w:rsidRPr="00907FDF">
              <w:rPr>
                <w:rFonts w:ascii="Arial" w:hAnsi="Arial" w:cs="Arial"/>
                <w:bCs/>
                <w:color w:val="000000"/>
                <w:lang w:val="en-US" w:eastAsia="en-US"/>
              </w:rPr>
              <w:t>▼0</w:t>
            </w:r>
            <w:r w:rsidRPr="00907FDF">
              <w:rPr>
                <w:rFonts w:ascii="Arial" w:hAnsi="Arial" w:cs="Arial"/>
                <w:color w:val="000000"/>
              </w:rPr>
              <w:t>,12%</w:t>
            </w:r>
          </w:p>
        </w:tc>
      </w:tr>
      <w:tr w:rsidR="00907FDF" w:rsidRPr="00CD41C3" w:rsidTr="00907FDF">
        <w:trPr>
          <w:trHeight w:val="617"/>
        </w:trPr>
        <w:tc>
          <w:tcPr>
            <w:tcW w:w="3181" w:type="dxa"/>
            <w:shd w:val="clear" w:color="000000" w:fill="FFFFFF"/>
            <w:vAlign w:val="center"/>
            <w:hideMark/>
          </w:tcPr>
          <w:p w:rsidR="00907FDF" w:rsidRPr="00907FDF" w:rsidRDefault="00907FDF" w:rsidP="00934797">
            <w:pPr>
              <w:widowControl/>
              <w:autoSpaceDE/>
              <w:autoSpaceDN/>
              <w:adjustRightInd/>
              <w:rPr>
                <w:rFonts w:ascii="Arial" w:hAnsi="Arial" w:cs="Arial"/>
                <w:color w:val="000000"/>
                <w:lang w:val="en-US" w:eastAsia="en-US"/>
              </w:rPr>
            </w:pPr>
            <w:r w:rsidRPr="00907FDF">
              <w:rPr>
                <w:rFonts w:ascii="Arial" w:hAnsi="Arial" w:cs="Arial"/>
                <w:color w:val="000000"/>
                <w:lang w:eastAsia="en-US"/>
              </w:rPr>
              <w:t>Venituri pe subsistemul de transport</w:t>
            </w:r>
            <w:r w:rsidRPr="00907FDF">
              <w:rPr>
                <w:rFonts w:ascii="Arial" w:hAnsi="Arial" w:cs="Arial"/>
                <w:bCs/>
                <w:color w:val="000000"/>
                <w:lang w:eastAsia="en-US"/>
              </w:rPr>
              <w:t xml:space="preserve"> import </w:t>
            </w:r>
          </w:p>
        </w:tc>
        <w:tc>
          <w:tcPr>
            <w:tcW w:w="1130" w:type="dxa"/>
            <w:shd w:val="clear" w:color="000000" w:fill="FFFFFF"/>
            <w:vAlign w:val="center"/>
          </w:tcPr>
          <w:p w:rsidR="00907FDF" w:rsidRPr="00907FDF" w:rsidRDefault="00907FDF" w:rsidP="00934797">
            <w:pPr>
              <w:jc w:val="right"/>
              <w:rPr>
                <w:rFonts w:ascii="Arial" w:hAnsi="Arial" w:cs="Arial"/>
                <w:color w:val="000000"/>
              </w:rPr>
            </w:pPr>
            <w:r w:rsidRPr="00907FDF">
              <w:rPr>
                <w:rFonts w:ascii="Arial" w:hAnsi="Arial" w:cs="Arial"/>
                <w:color w:val="000000"/>
              </w:rPr>
              <w:t>38.835</w:t>
            </w:r>
          </w:p>
        </w:tc>
        <w:tc>
          <w:tcPr>
            <w:tcW w:w="1130" w:type="dxa"/>
            <w:shd w:val="clear" w:color="000000" w:fill="FFFFFF"/>
            <w:noWrap/>
            <w:vAlign w:val="center"/>
          </w:tcPr>
          <w:p w:rsidR="00907FDF" w:rsidRPr="00907FDF" w:rsidRDefault="00907FDF" w:rsidP="00907FDF">
            <w:pPr>
              <w:jc w:val="right"/>
              <w:rPr>
                <w:rFonts w:ascii="Arial" w:hAnsi="Arial" w:cs="Arial"/>
                <w:color w:val="000000"/>
              </w:rPr>
            </w:pPr>
            <w:r w:rsidRPr="00907FDF">
              <w:rPr>
                <w:rFonts w:ascii="Arial" w:hAnsi="Arial" w:cs="Arial"/>
                <w:color w:val="000000"/>
              </w:rPr>
              <w:t>38.67</w:t>
            </w:r>
            <w:r>
              <w:rPr>
                <w:rFonts w:ascii="Arial" w:hAnsi="Arial" w:cs="Arial"/>
                <w:color w:val="000000"/>
              </w:rPr>
              <w:t>4</w:t>
            </w:r>
          </w:p>
        </w:tc>
        <w:tc>
          <w:tcPr>
            <w:tcW w:w="1130" w:type="dxa"/>
            <w:shd w:val="clear" w:color="000000" w:fill="FFFFFF"/>
            <w:noWrap/>
            <w:vAlign w:val="center"/>
          </w:tcPr>
          <w:p w:rsidR="00907FDF" w:rsidRPr="00907FDF" w:rsidRDefault="00907FDF" w:rsidP="00934797">
            <w:pPr>
              <w:jc w:val="right"/>
              <w:rPr>
                <w:rFonts w:ascii="Arial" w:hAnsi="Arial" w:cs="Arial"/>
                <w:color w:val="000000"/>
              </w:rPr>
            </w:pPr>
            <w:r w:rsidRPr="00907FDF">
              <w:rPr>
                <w:rFonts w:ascii="Arial" w:hAnsi="Arial" w:cs="Arial"/>
                <w:color w:val="000000"/>
              </w:rPr>
              <w:t>40.748</w:t>
            </w:r>
          </w:p>
        </w:tc>
        <w:tc>
          <w:tcPr>
            <w:tcW w:w="1481" w:type="dxa"/>
            <w:shd w:val="clear" w:color="000000" w:fill="FFFFFF"/>
            <w:vAlign w:val="center"/>
            <w:hideMark/>
          </w:tcPr>
          <w:p w:rsidR="00907FDF" w:rsidRPr="00907FDF" w:rsidRDefault="00907FDF" w:rsidP="00934797">
            <w:pPr>
              <w:jc w:val="right"/>
              <w:rPr>
                <w:rFonts w:ascii="Arial" w:hAnsi="Arial" w:cs="Arial"/>
                <w:color w:val="000000"/>
              </w:rPr>
            </w:pPr>
            <w:r w:rsidRPr="00907FDF">
              <w:rPr>
                <w:rFonts w:ascii="Arial" w:hAnsi="Arial" w:cs="Arial"/>
                <w:bCs/>
                <w:color w:val="000000"/>
                <w:lang w:val="en-US" w:eastAsia="en-US"/>
              </w:rPr>
              <w:t>▲</w:t>
            </w:r>
            <w:r w:rsidRPr="00907FDF">
              <w:rPr>
                <w:rFonts w:ascii="Arial" w:hAnsi="Arial" w:cs="Arial"/>
                <w:color w:val="000000"/>
              </w:rPr>
              <w:t>0,41%</w:t>
            </w:r>
          </w:p>
        </w:tc>
        <w:tc>
          <w:tcPr>
            <w:tcW w:w="1416" w:type="dxa"/>
            <w:shd w:val="clear" w:color="000000" w:fill="FFFFFF"/>
            <w:vAlign w:val="center"/>
            <w:hideMark/>
          </w:tcPr>
          <w:p w:rsidR="00907FDF" w:rsidRPr="00907FDF" w:rsidRDefault="00907FDF" w:rsidP="00934797">
            <w:pPr>
              <w:jc w:val="right"/>
              <w:rPr>
                <w:rFonts w:ascii="Arial" w:hAnsi="Arial" w:cs="Arial"/>
                <w:color w:val="000000"/>
              </w:rPr>
            </w:pPr>
            <w:r w:rsidRPr="00907FDF">
              <w:rPr>
                <w:rFonts w:ascii="Arial" w:hAnsi="Arial" w:cs="Arial"/>
                <w:bCs/>
                <w:color w:val="000000"/>
                <w:lang w:val="en-US" w:eastAsia="en-US"/>
              </w:rPr>
              <w:t>▼4</w:t>
            </w:r>
            <w:r w:rsidRPr="00907FDF">
              <w:rPr>
                <w:rFonts w:ascii="Arial" w:hAnsi="Arial" w:cs="Arial"/>
                <w:color w:val="000000"/>
              </w:rPr>
              <w:t>,69%</w:t>
            </w:r>
          </w:p>
        </w:tc>
      </w:tr>
      <w:tr w:rsidR="00907FDF" w:rsidRPr="00CD41C3" w:rsidTr="00907FDF">
        <w:trPr>
          <w:trHeight w:val="533"/>
        </w:trPr>
        <w:tc>
          <w:tcPr>
            <w:tcW w:w="3181" w:type="dxa"/>
            <w:shd w:val="clear" w:color="000000" w:fill="DEEAF6"/>
            <w:vAlign w:val="center"/>
            <w:hideMark/>
          </w:tcPr>
          <w:p w:rsidR="00907FDF" w:rsidRPr="00CD41C3" w:rsidRDefault="00907FDF" w:rsidP="00B462E5">
            <w:pPr>
              <w:widowControl/>
              <w:autoSpaceDE/>
              <w:autoSpaceDN/>
              <w:adjustRightInd/>
              <w:rPr>
                <w:rFonts w:ascii="Arial" w:hAnsi="Arial" w:cs="Arial"/>
                <w:b/>
                <w:bCs/>
                <w:color w:val="000000"/>
                <w:lang w:val="en-US" w:eastAsia="en-US"/>
              </w:rPr>
            </w:pPr>
            <w:r w:rsidRPr="00CD41C3">
              <w:rPr>
                <w:rFonts w:ascii="Arial" w:hAnsi="Arial" w:cs="Arial"/>
                <w:b/>
                <w:bCs/>
                <w:color w:val="000000"/>
                <w:lang w:eastAsia="en-US"/>
              </w:rPr>
              <w:t xml:space="preserve">Total </w:t>
            </w:r>
          </w:p>
        </w:tc>
        <w:tc>
          <w:tcPr>
            <w:tcW w:w="1130" w:type="dxa"/>
            <w:shd w:val="clear" w:color="000000" w:fill="DDEBF7"/>
            <w:vAlign w:val="center"/>
          </w:tcPr>
          <w:p w:rsidR="00907FDF" w:rsidRPr="002A0064" w:rsidRDefault="00907FDF" w:rsidP="00934797">
            <w:pPr>
              <w:jc w:val="right"/>
              <w:rPr>
                <w:rFonts w:ascii="Arial" w:hAnsi="Arial" w:cs="Arial"/>
                <w:b/>
                <w:bCs/>
                <w:color w:val="000000"/>
              </w:rPr>
            </w:pPr>
            <w:r w:rsidRPr="002A0064">
              <w:rPr>
                <w:rFonts w:ascii="Arial" w:hAnsi="Arial" w:cs="Arial"/>
                <w:b/>
                <w:bCs/>
                <w:color w:val="000000"/>
              </w:rPr>
              <w:t>182.034</w:t>
            </w:r>
          </w:p>
        </w:tc>
        <w:tc>
          <w:tcPr>
            <w:tcW w:w="1130" w:type="dxa"/>
            <w:shd w:val="clear" w:color="000000" w:fill="DDEBF7"/>
            <w:vAlign w:val="center"/>
          </w:tcPr>
          <w:p w:rsidR="00907FDF" w:rsidRPr="002A0064" w:rsidRDefault="00907FDF" w:rsidP="00934797">
            <w:pPr>
              <w:jc w:val="right"/>
              <w:rPr>
                <w:rFonts w:ascii="Arial" w:hAnsi="Arial" w:cs="Arial"/>
                <w:b/>
                <w:bCs/>
                <w:color w:val="000000"/>
              </w:rPr>
            </w:pPr>
            <w:r w:rsidRPr="002A0064">
              <w:rPr>
                <w:rFonts w:ascii="Arial" w:hAnsi="Arial" w:cs="Arial"/>
                <w:b/>
                <w:bCs/>
                <w:color w:val="000000"/>
              </w:rPr>
              <w:t>179.676</w:t>
            </w:r>
          </w:p>
        </w:tc>
        <w:tc>
          <w:tcPr>
            <w:tcW w:w="1130" w:type="dxa"/>
            <w:shd w:val="clear" w:color="000000" w:fill="DDEBF7"/>
            <w:vAlign w:val="center"/>
          </w:tcPr>
          <w:p w:rsidR="00907FDF" w:rsidRPr="002A0064" w:rsidRDefault="00907FDF" w:rsidP="00934797">
            <w:pPr>
              <w:jc w:val="right"/>
              <w:rPr>
                <w:rFonts w:ascii="Arial" w:hAnsi="Arial" w:cs="Arial"/>
                <w:b/>
                <w:bCs/>
                <w:color w:val="000000"/>
              </w:rPr>
            </w:pPr>
            <w:r w:rsidRPr="002A0064">
              <w:rPr>
                <w:rFonts w:ascii="Arial" w:hAnsi="Arial" w:cs="Arial"/>
                <w:b/>
                <w:bCs/>
                <w:color w:val="000000"/>
              </w:rPr>
              <w:t>184.126</w:t>
            </w:r>
          </w:p>
        </w:tc>
        <w:tc>
          <w:tcPr>
            <w:tcW w:w="1481" w:type="dxa"/>
            <w:shd w:val="clear" w:color="000000" w:fill="DDEBF7"/>
            <w:vAlign w:val="center"/>
            <w:hideMark/>
          </w:tcPr>
          <w:p w:rsidR="00907FDF" w:rsidRPr="002A0064" w:rsidRDefault="00907FDF" w:rsidP="00934797">
            <w:pPr>
              <w:jc w:val="right"/>
              <w:rPr>
                <w:rFonts w:ascii="Arial" w:hAnsi="Arial" w:cs="Arial"/>
                <w:b/>
                <w:bCs/>
                <w:color w:val="000000"/>
              </w:rPr>
            </w:pPr>
            <w:r w:rsidRPr="002A0064">
              <w:rPr>
                <w:rFonts w:ascii="Arial" w:hAnsi="Arial" w:cs="Arial"/>
                <w:b/>
                <w:bCs/>
                <w:color w:val="000000"/>
                <w:lang w:val="en-US" w:eastAsia="en-US"/>
              </w:rPr>
              <w:t>▲</w:t>
            </w:r>
            <w:r w:rsidRPr="002A0064">
              <w:rPr>
                <w:rFonts w:ascii="Arial" w:hAnsi="Arial" w:cs="Arial"/>
                <w:b/>
                <w:bCs/>
                <w:color w:val="000000"/>
              </w:rPr>
              <w:t>1,3</w:t>
            </w:r>
            <w:r>
              <w:rPr>
                <w:rFonts w:ascii="Arial" w:hAnsi="Arial" w:cs="Arial"/>
                <w:b/>
                <w:bCs/>
                <w:color w:val="000000"/>
              </w:rPr>
              <w:t>1</w:t>
            </w:r>
            <w:r w:rsidRPr="002A0064">
              <w:rPr>
                <w:rFonts w:ascii="Arial" w:hAnsi="Arial" w:cs="Arial"/>
                <w:b/>
                <w:bCs/>
                <w:color w:val="000000"/>
              </w:rPr>
              <w:t>%</w:t>
            </w:r>
          </w:p>
        </w:tc>
        <w:tc>
          <w:tcPr>
            <w:tcW w:w="1416" w:type="dxa"/>
            <w:shd w:val="clear" w:color="000000" w:fill="DDEBF7"/>
            <w:vAlign w:val="center"/>
            <w:hideMark/>
          </w:tcPr>
          <w:p w:rsidR="00907FDF" w:rsidRPr="002A0064" w:rsidRDefault="00907FDF" w:rsidP="00934797">
            <w:pPr>
              <w:jc w:val="right"/>
              <w:rPr>
                <w:rFonts w:ascii="Arial" w:hAnsi="Arial" w:cs="Arial"/>
                <w:b/>
                <w:bCs/>
                <w:color w:val="000000"/>
              </w:rPr>
            </w:pPr>
            <w:r w:rsidRPr="002A0064">
              <w:rPr>
                <w:rFonts w:ascii="Arial" w:hAnsi="Arial" w:cs="Arial"/>
                <w:b/>
                <w:bCs/>
                <w:color w:val="000000"/>
                <w:lang w:val="en-US" w:eastAsia="en-US"/>
              </w:rPr>
              <w:t>▼1</w:t>
            </w:r>
            <w:r w:rsidRPr="002A0064">
              <w:rPr>
                <w:rFonts w:ascii="Arial" w:hAnsi="Arial" w:cs="Arial"/>
                <w:b/>
                <w:bCs/>
                <w:color w:val="000000"/>
              </w:rPr>
              <w:t>,1</w:t>
            </w:r>
            <w:r>
              <w:rPr>
                <w:rFonts w:ascii="Arial" w:hAnsi="Arial" w:cs="Arial"/>
                <w:b/>
                <w:bCs/>
                <w:color w:val="000000"/>
              </w:rPr>
              <w:t>4</w:t>
            </w:r>
            <w:r w:rsidRPr="002A0064">
              <w:rPr>
                <w:rFonts w:ascii="Arial" w:hAnsi="Arial" w:cs="Arial"/>
                <w:b/>
                <w:bCs/>
                <w:color w:val="000000"/>
              </w:rPr>
              <w:t>%</w:t>
            </w:r>
          </w:p>
        </w:tc>
      </w:tr>
    </w:tbl>
    <w:p w:rsidR="004A5D9D" w:rsidRDefault="004A5D9D" w:rsidP="007440B2">
      <w:pPr>
        <w:shd w:val="clear" w:color="auto" w:fill="FFFFFF"/>
        <w:jc w:val="center"/>
        <w:rPr>
          <w:rFonts w:ascii="Arial" w:hAnsi="Arial" w:cs="Arial"/>
          <w:spacing w:val="-10"/>
          <w:sz w:val="16"/>
          <w:szCs w:val="16"/>
        </w:rPr>
      </w:pPr>
    </w:p>
    <w:p w:rsidR="007440B2" w:rsidRPr="00591C58" w:rsidRDefault="007440B2" w:rsidP="007440B2">
      <w:pPr>
        <w:shd w:val="clear" w:color="auto" w:fill="FFFFFF"/>
        <w:jc w:val="center"/>
        <w:rPr>
          <w:rFonts w:ascii="Arial" w:hAnsi="Arial" w:cs="Arial"/>
          <w:spacing w:val="-10"/>
          <w:sz w:val="16"/>
          <w:szCs w:val="16"/>
        </w:rPr>
      </w:pPr>
      <w:r w:rsidRPr="00591C58">
        <w:rPr>
          <w:rFonts w:ascii="Arial" w:hAnsi="Arial" w:cs="Arial"/>
          <w:spacing w:val="-10"/>
          <w:sz w:val="16"/>
          <w:szCs w:val="16"/>
        </w:rPr>
        <w:t xml:space="preserve">Tabel </w:t>
      </w:r>
      <w:r w:rsidR="007239FA" w:rsidRPr="00591C58">
        <w:rPr>
          <w:rFonts w:ascii="Arial" w:hAnsi="Arial" w:cs="Arial"/>
          <w:spacing w:val="-10"/>
          <w:sz w:val="16"/>
          <w:szCs w:val="16"/>
        </w:rPr>
        <w:t>7</w:t>
      </w:r>
      <w:r w:rsidRPr="00591C58">
        <w:rPr>
          <w:rFonts w:ascii="Arial" w:hAnsi="Arial" w:cs="Arial"/>
          <w:spacing w:val="-10"/>
          <w:sz w:val="16"/>
          <w:szCs w:val="16"/>
        </w:rPr>
        <w:t>–Situația veniturilor din transport</w:t>
      </w:r>
    </w:p>
    <w:p w:rsidR="00907FDF" w:rsidRDefault="00907FDF" w:rsidP="007440B2">
      <w:pPr>
        <w:shd w:val="clear" w:color="auto" w:fill="FFFFFF"/>
        <w:jc w:val="center"/>
        <w:rPr>
          <w:rFonts w:ascii="Arial" w:hAnsi="Arial" w:cs="Arial"/>
          <w:i/>
          <w:spacing w:val="-10"/>
          <w:sz w:val="18"/>
          <w:szCs w:val="18"/>
        </w:rPr>
      </w:pPr>
    </w:p>
    <w:p w:rsidR="00591C58" w:rsidRDefault="00591C58" w:rsidP="007440B2">
      <w:pPr>
        <w:shd w:val="clear" w:color="auto" w:fill="FFFFFF"/>
        <w:jc w:val="center"/>
        <w:rPr>
          <w:rFonts w:ascii="Arial" w:hAnsi="Arial" w:cs="Arial"/>
          <w:i/>
          <w:spacing w:val="-10"/>
          <w:sz w:val="18"/>
          <w:szCs w:val="18"/>
        </w:rPr>
      </w:pPr>
    </w:p>
    <w:p w:rsidR="007440B2" w:rsidRDefault="00B462E5" w:rsidP="00B462E5">
      <w:pPr>
        <w:shd w:val="clear" w:color="auto" w:fill="FFFFFF"/>
        <w:jc w:val="center"/>
        <w:rPr>
          <w:rFonts w:ascii="Arial" w:hAnsi="Arial" w:cs="Arial"/>
          <w:i/>
          <w:spacing w:val="-10"/>
          <w:sz w:val="18"/>
          <w:szCs w:val="18"/>
        </w:rPr>
      </w:pPr>
      <w:r>
        <w:rPr>
          <w:noProof/>
          <w:lang w:val="en-US" w:eastAsia="en-US"/>
        </w:rPr>
        <w:drawing>
          <wp:inline distT="0" distB="0" distL="0" distR="0" wp14:anchorId="4FD4440D" wp14:editId="2B66FB30">
            <wp:extent cx="5243885" cy="353504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5215" cy="3535942"/>
                    </a:xfrm>
                    <a:prstGeom prst="rect">
                      <a:avLst/>
                    </a:prstGeom>
                  </pic:spPr>
                </pic:pic>
              </a:graphicData>
            </a:graphic>
          </wp:inline>
        </w:drawing>
      </w:r>
    </w:p>
    <w:p w:rsidR="00B462E5" w:rsidRPr="00B462E5" w:rsidRDefault="00B462E5" w:rsidP="00B462E5">
      <w:pPr>
        <w:shd w:val="clear" w:color="auto" w:fill="FFFFFF"/>
        <w:jc w:val="center"/>
        <w:rPr>
          <w:rFonts w:ascii="Arial" w:hAnsi="Arial" w:cs="Arial"/>
          <w:i/>
          <w:spacing w:val="-10"/>
          <w:sz w:val="18"/>
          <w:szCs w:val="18"/>
        </w:rPr>
      </w:pPr>
    </w:p>
    <w:p w:rsidR="007440B2" w:rsidRPr="00591C58" w:rsidRDefault="007440B2" w:rsidP="007440B2">
      <w:pPr>
        <w:widowControl/>
        <w:shd w:val="clear" w:color="auto" w:fill="FFFFFF"/>
        <w:autoSpaceDE/>
        <w:autoSpaceDN/>
        <w:adjustRightInd/>
        <w:spacing w:line="276" w:lineRule="auto"/>
        <w:ind w:right="7"/>
        <w:jc w:val="center"/>
        <w:rPr>
          <w:rFonts w:ascii="Arial" w:hAnsi="Arial" w:cs="Arial"/>
          <w:bCs/>
          <w:kern w:val="24"/>
          <w:sz w:val="16"/>
          <w:szCs w:val="16"/>
        </w:rPr>
      </w:pPr>
      <w:r w:rsidRPr="00591C58">
        <w:rPr>
          <w:rFonts w:ascii="Arial" w:hAnsi="Arial" w:cs="Arial"/>
          <w:bCs/>
          <w:kern w:val="24"/>
          <w:sz w:val="16"/>
          <w:szCs w:val="16"/>
        </w:rPr>
        <w:t>Grafic</w:t>
      </w:r>
      <w:r w:rsidR="008A200C">
        <w:rPr>
          <w:rFonts w:ascii="Arial" w:hAnsi="Arial" w:cs="Arial"/>
          <w:bCs/>
          <w:kern w:val="24"/>
          <w:sz w:val="16"/>
          <w:szCs w:val="16"/>
        </w:rPr>
        <w:t xml:space="preserve">7 </w:t>
      </w:r>
      <w:r w:rsidRPr="00591C58">
        <w:rPr>
          <w:rFonts w:ascii="Arial" w:hAnsi="Arial" w:cs="Arial"/>
          <w:bCs/>
          <w:kern w:val="24"/>
          <w:sz w:val="16"/>
          <w:szCs w:val="16"/>
        </w:rPr>
        <w:t>-Evoluția venturilor din transport pe subsisteme</w:t>
      </w:r>
    </w:p>
    <w:p w:rsidR="00BC366A" w:rsidRDefault="00BC366A" w:rsidP="007440B2">
      <w:pPr>
        <w:widowControl/>
        <w:shd w:val="clear" w:color="auto" w:fill="FFFFFF"/>
        <w:autoSpaceDE/>
        <w:autoSpaceDN/>
        <w:adjustRightInd/>
        <w:spacing w:line="276" w:lineRule="auto"/>
        <w:ind w:right="7"/>
        <w:jc w:val="center"/>
        <w:rPr>
          <w:rFonts w:ascii="Arial" w:eastAsia="Calibri" w:hAnsi="Arial" w:cs="Arial"/>
          <w:bCs/>
          <w:color w:val="FF0000"/>
          <w:sz w:val="22"/>
          <w:szCs w:val="22"/>
          <w:lang w:eastAsia="en-NZ"/>
        </w:rPr>
      </w:pPr>
    </w:p>
    <w:p w:rsidR="0011016A" w:rsidRDefault="0011016A" w:rsidP="007440B2">
      <w:pPr>
        <w:widowControl/>
        <w:shd w:val="clear" w:color="auto" w:fill="FFFFFF"/>
        <w:autoSpaceDE/>
        <w:autoSpaceDN/>
        <w:adjustRightInd/>
        <w:spacing w:line="276" w:lineRule="auto"/>
        <w:ind w:right="7"/>
        <w:jc w:val="center"/>
        <w:rPr>
          <w:rFonts w:ascii="Arial" w:eastAsia="Calibri" w:hAnsi="Arial" w:cs="Arial"/>
          <w:bCs/>
          <w:color w:val="FF0000"/>
          <w:sz w:val="22"/>
          <w:szCs w:val="22"/>
          <w:lang w:eastAsia="en-NZ"/>
        </w:rPr>
      </w:pPr>
    </w:p>
    <w:p w:rsidR="0011016A" w:rsidRPr="00555F32" w:rsidRDefault="0011016A" w:rsidP="007440B2">
      <w:pPr>
        <w:widowControl/>
        <w:shd w:val="clear" w:color="auto" w:fill="FFFFFF"/>
        <w:autoSpaceDE/>
        <w:autoSpaceDN/>
        <w:adjustRightInd/>
        <w:spacing w:line="276" w:lineRule="auto"/>
        <w:ind w:right="7"/>
        <w:jc w:val="center"/>
        <w:rPr>
          <w:rFonts w:ascii="Arial" w:eastAsia="Calibri" w:hAnsi="Arial" w:cs="Arial"/>
          <w:bCs/>
          <w:color w:val="FF0000"/>
          <w:sz w:val="22"/>
          <w:szCs w:val="22"/>
          <w:lang w:eastAsia="en-NZ"/>
        </w:rPr>
      </w:pPr>
    </w:p>
    <w:p w:rsidR="007440B2" w:rsidRPr="009828D6" w:rsidRDefault="007440B2" w:rsidP="00170D7E">
      <w:pPr>
        <w:pStyle w:val="ListParagraph"/>
        <w:numPr>
          <w:ilvl w:val="2"/>
          <w:numId w:val="28"/>
        </w:numPr>
        <w:jc w:val="both"/>
        <w:rPr>
          <w:rFonts w:ascii="Arial" w:hAnsi="Arial" w:cs="Arial"/>
          <w:b/>
          <w:color w:val="1F4E79" w:themeColor="accent1" w:themeShade="80"/>
          <w:sz w:val="24"/>
          <w:szCs w:val="24"/>
          <w:lang w:val="it-IT"/>
        </w:rPr>
      </w:pPr>
      <w:r w:rsidRPr="009828D6">
        <w:rPr>
          <w:rFonts w:ascii="Arial" w:hAnsi="Arial" w:cs="Arial"/>
          <w:b/>
          <w:color w:val="1F4E79" w:themeColor="accent1" w:themeShade="80"/>
          <w:sz w:val="24"/>
          <w:szCs w:val="24"/>
          <w:lang w:val="it-IT"/>
        </w:rPr>
        <w:t>Achiziții</w:t>
      </w:r>
    </w:p>
    <w:p w:rsidR="00BC366A" w:rsidRPr="00BC366A" w:rsidRDefault="00BC366A" w:rsidP="00BC366A">
      <w:pPr>
        <w:widowControl/>
        <w:autoSpaceDE/>
        <w:autoSpaceDN/>
        <w:adjustRightInd/>
        <w:spacing w:line="276" w:lineRule="auto"/>
        <w:ind w:right="4"/>
        <w:jc w:val="both"/>
        <w:rPr>
          <w:rFonts w:ascii="Arial" w:hAnsi="Arial" w:cs="Arial"/>
          <w:sz w:val="22"/>
          <w:szCs w:val="22"/>
          <w:lang w:eastAsia="en-GB"/>
        </w:rPr>
      </w:pPr>
      <w:r w:rsidRPr="00AC6259">
        <w:rPr>
          <w:rFonts w:ascii="Arial" w:hAnsi="Arial" w:cs="Arial"/>
          <w:sz w:val="22"/>
          <w:szCs w:val="22"/>
          <w:lang w:eastAsia="en-GB"/>
        </w:rPr>
        <w:t>Activitatea de achiziţii</w:t>
      </w:r>
      <w:r w:rsidRPr="00BC366A">
        <w:rPr>
          <w:rFonts w:ascii="Arial" w:hAnsi="Arial" w:cs="Arial"/>
          <w:b/>
          <w:sz w:val="22"/>
          <w:szCs w:val="22"/>
          <w:lang w:eastAsia="en-GB"/>
        </w:rPr>
        <w:t xml:space="preserve"> </w:t>
      </w:r>
      <w:r w:rsidRPr="00BC366A">
        <w:rPr>
          <w:rFonts w:ascii="Arial" w:hAnsi="Arial" w:cs="Arial"/>
          <w:sz w:val="22"/>
          <w:szCs w:val="22"/>
          <w:lang w:eastAsia="en-GB"/>
        </w:rPr>
        <w:t>s-a desfăşurat în conformitate cu prevederile Normelor Interne de Achiziţii ale CONPET S</w:t>
      </w:r>
      <w:r w:rsidR="00907FDF">
        <w:rPr>
          <w:rFonts w:ascii="Arial" w:hAnsi="Arial" w:cs="Arial"/>
          <w:sz w:val="22"/>
          <w:szCs w:val="22"/>
          <w:lang w:eastAsia="en-GB"/>
        </w:rPr>
        <w:t>.</w:t>
      </w:r>
      <w:r w:rsidRPr="00BC366A">
        <w:rPr>
          <w:rFonts w:ascii="Arial" w:hAnsi="Arial" w:cs="Arial"/>
          <w:sz w:val="22"/>
          <w:szCs w:val="22"/>
          <w:lang w:eastAsia="en-GB"/>
        </w:rPr>
        <w:t>A</w:t>
      </w:r>
      <w:r w:rsidR="00907FDF">
        <w:rPr>
          <w:rFonts w:ascii="Arial" w:hAnsi="Arial" w:cs="Arial"/>
          <w:sz w:val="22"/>
          <w:szCs w:val="22"/>
          <w:lang w:eastAsia="en-GB"/>
        </w:rPr>
        <w:t>.</w:t>
      </w:r>
      <w:r w:rsidRPr="00BC366A">
        <w:rPr>
          <w:rFonts w:ascii="Arial" w:hAnsi="Arial" w:cs="Arial"/>
          <w:sz w:val="22"/>
          <w:szCs w:val="22"/>
          <w:lang w:eastAsia="en-GB"/>
        </w:rPr>
        <w:t xml:space="preserve"> – revizia 1 (pentru procedurile demarate înainte de 01.01.2017) şi în conformitate cu prevederile Normelor Interne de Achiziţii ale CONPET S</w:t>
      </w:r>
      <w:r w:rsidR="00907FDF">
        <w:rPr>
          <w:rFonts w:ascii="Arial" w:hAnsi="Arial" w:cs="Arial"/>
          <w:sz w:val="22"/>
          <w:szCs w:val="22"/>
          <w:lang w:eastAsia="en-GB"/>
        </w:rPr>
        <w:t>.</w:t>
      </w:r>
      <w:r w:rsidRPr="00BC366A">
        <w:rPr>
          <w:rFonts w:ascii="Arial" w:hAnsi="Arial" w:cs="Arial"/>
          <w:sz w:val="22"/>
          <w:szCs w:val="22"/>
          <w:lang w:eastAsia="en-GB"/>
        </w:rPr>
        <w:t>A</w:t>
      </w:r>
      <w:r w:rsidR="00907FDF">
        <w:rPr>
          <w:rFonts w:ascii="Arial" w:hAnsi="Arial" w:cs="Arial"/>
          <w:sz w:val="22"/>
          <w:szCs w:val="22"/>
          <w:lang w:eastAsia="en-GB"/>
        </w:rPr>
        <w:t>.</w:t>
      </w:r>
      <w:r w:rsidRPr="00BC366A">
        <w:rPr>
          <w:rFonts w:ascii="Arial" w:hAnsi="Arial" w:cs="Arial"/>
          <w:sz w:val="22"/>
          <w:szCs w:val="22"/>
          <w:lang w:eastAsia="en-GB"/>
        </w:rPr>
        <w:t xml:space="preserve"> – revizia 2 începând cu 01.01.2017.</w:t>
      </w:r>
    </w:p>
    <w:p w:rsidR="00BC366A" w:rsidRPr="00BC366A" w:rsidRDefault="00BC366A" w:rsidP="00BC366A">
      <w:pPr>
        <w:widowControl/>
        <w:autoSpaceDE/>
        <w:autoSpaceDN/>
        <w:adjustRightInd/>
        <w:spacing w:line="276" w:lineRule="auto"/>
        <w:ind w:right="4"/>
        <w:jc w:val="both"/>
        <w:rPr>
          <w:rFonts w:ascii="Arial" w:hAnsi="Arial" w:cs="Arial"/>
          <w:sz w:val="22"/>
          <w:szCs w:val="22"/>
          <w:lang w:eastAsia="en-GB"/>
        </w:rPr>
      </w:pPr>
    </w:p>
    <w:p w:rsidR="007440B2" w:rsidRDefault="007440B2" w:rsidP="007440B2">
      <w:pPr>
        <w:spacing w:line="276" w:lineRule="auto"/>
        <w:jc w:val="both"/>
        <w:rPr>
          <w:rFonts w:ascii="Arial" w:hAnsi="Arial" w:cs="Arial"/>
          <w:sz w:val="22"/>
          <w:szCs w:val="22"/>
          <w:lang w:val="en-US" w:eastAsia="en-US"/>
        </w:rPr>
      </w:pPr>
      <w:r>
        <w:rPr>
          <w:rFonts w:ascii="Arial" w:hAnsi="Arial" w:cs="Arial"/>
          <w:sz w:val="22"/>
          <w:szCs w:val="22"/>
          <w:lang w:val="en-US" w:eastAsia="en-US"/>
        </w:rPr>
        <w:t>Situațiile</w:t>
      </w:r>
      <w:r w:rsidRPr="00A74CF5">
        <w:rPr>
          <w:rFonts w:ascii="Arial" w:hAnsi="Arial" w:cs="Arial"/>
          <w:sz w:val="22"/>
          <w:szCs w:val="22"/>
          <w:lang w:val="en-US" w:eastAsia="en-US"/>
        </w:rPr>
        <w:t xml:space="preserve"> contractelor de achiziții servicii cu valoare mai mare de 100.000 euro </w:t>
      </w:r>
      <w:r>
        <w:rPr>
          <w:rFonts w:ascii="Arial" w:hAnsi="Arial" w:cs="Arial"/>
          <w:sz w:val="22"/>
          <w:szCs w:val="22"/>
          <w:lang w:val="en-US" w:eastAsia="en-US"/>
        </w:rPr>
        <w:t>ș</w:t>
      </w:r>
      <w:r w:rsidRPr="00A74CF5">
        <w:rPr>
          <w:rFonts w:ascii="Arial" w:hAnsi="Arial" w:cs="Arial"/>
          <w:sz w:val="22"/>
          <w:szCs w:val="22"/>
          <w:lang w:val="en-US" w:eastAsia="en-US"/>
        </w:rPr>
        <w:t xml:space="preserve">i </w:t>
      </w:r>
      <w:r>
        <w:rPr>
          <w:rFonts w:ascii="Arial" w:hAnsi="Arial" w:cs="Arial"/>
          <w:sz w:val="22"/>
          <w:szCs w:val="22"/>
          <w:lang w:val="en-US" w:eastAsia="en-US"/>
        </w:rPr>
        <w:t>a</w:t>
      </w:r>
      <w:r w:rsidRPr="00A74CF5">
        <w:rPr>
          <w:rFonts w:ascii="Arial" w:hAnsi="Arial" w:cs="Arial"/>
          <w:sz w:val="22"/>
          <w:szCs w:val="22"/>
          <w:lang w:val="en-US" w:eastAsia="en-US"/>
        </w:rPr>
        <w:t xml:space="preserve"> contractelor de achiziți</w:t>
      </w:r>
      <w:r>
        <w:rPr>
          <w:rFonts w:ascii="Arial" w:hAnsi="Arial" w:cs="Arial"/>
          <w:sz w:val="22"/>
          <w:szCs w:val="22"/>
          <w:lang w:val="en-US" w:eastAsia="en-US"/>
        </w:rPr>
        <w:t>i</w:t>
      </w:r>
      <w:r w:rsidRPr="00A74CF5">
        <w:rPr>
          <w:rFonts w:ascii="Arial" w:hAnsi="Arial" w:cs="Arial"/>
          <w:sz w:val="22"/>
          <w:szCs w:val="22"/>
          <w:lang w:val="en-US" w:eastAsia="en-US"/>
        </w:rPr>
        <w:t xml:space="preserve"> lucrări cu v</w:t>
      </w:r>
      <w:r>
        <w:rPr>
          <w:rFonts w:ascii="Arial" w:hAnsi="Arial" w:cs="Arial"/>
          <w:sz w:val="22"/>
          <w:szCs w:val="22"/>
          <w:lang w:val="en-US" w:eastAsia="en-US"/>
        </w:rPr>
        <w:t xml:space="preserve">aloare mai mare de 500.000 euro, </w:t>
      </w:r>
      <w:r w:rsidRPr="00A74CF5">
        <w:rPr>
          <w:rFonts w:ascii="Arial" w:hAnsi="Arial" w:cs="Arial"/>
          <w:sz w:val="22"/>
          <w:szCs w:val="22"/>
          <w:lang w:val="en-US" w:eastAsia="en-US"/>
        </w:rPr>
        <w:t xml:space="preserve">sunt prezentate în anexele </w:t>
      </w:r>
      <w:r w:rsidR="00545E47">
        <w:rPr>
          <w:rFonts w:ascii="Arial" w:hAnsi="Arial" w:cs="Arial"/>
          <w:sz w:val="22"/>
          <w:szCs w:val="22"/>
          <w:lang w:val="en-US" w:eastAsia="en-US"/>
        </w:rPr>
        <w:t>5</w:t>
      </w:r>
      <w:r w:rsidRPr="00A74CF5">
        <w:rPr>
          <w:rFonts w:ascii="Arial" w:hAnsi="Arial" w:cs="Arial"/>
          <w:sz w:val="22"/>
          <w:szCs w:val="22"/>
          <w:lang w:val="en-US" w:eastAsia="en-US"/>
        </w:rPr>
        <w:t xml:space="preserve"> și </w:t>
      </w:r>
      <w:r w:rsidR="00545E47">
        <w:rPr>
          <w:rFonts w:ascii="Arial" w:hAnsi="Arial" w:cs="Arial"/>
          <w:sz w:val="22"/>
          <w:szCs w:val="22"/>
          <w:lang w:val="en-US" w:eastAsia="en-US"/>
        </w:rPr>
        <w:t>6</w:t>
      </w:r>
      <w:r w:rsidRPr="00A74CF5">
        <w:rPr>
          <w:rFonts w:ascii="Arial" w:hAnsi="Arial" w:cs="Arial"/>
          <w:sz w:val="22"/>
          <w:szCs w:val="22"/>
          <w:lang w:val="en-US" w:eastAsia="en-US"/>
        </w:rPr>
        <w:t xml:space="preserve"> la prezentul raport.</w:t>
      </w:r>
    </w:p>
    <w:p w:rsidR="001A2F19" w:rsidRPr="00A74CF5" w:rsidRDefault="001A2F19" w:rsidP="007440B2">
      <w:pPr>
        <w:spacing w:line="276" w:lineRule="auto"/>
        <w:jc w:val="both"/>
        <w:rPr>
          <w:rFonts w:ascii="Arial" w:hAnsi="Arial" w:cs="Arial"/>
          <w:sz w:val="22"/>
          <w:szCs w:val="22"/>
          <w:lang w:val="en-US" w:eastAsia="en-US"/>
        </w:rPr>
      </w:pPr>
    </w:p>
    <w:p w:rsidR="001A2F19" w:rsidRPr="009828D6" w:rsidRDefault="001A2F19" w:rsidP="001A2F19">
      <w:pPr>
        <w:widowControl/>
        <w:overflowPunct w:val="0"/>
        <w:spacing w:line="276" w:lineRule="auto"/>
        <w:jc w:val="both"/>
        <w:textAlignment w:val="baseline"/>
        <w:rPr>
          <w:rFonts w:ascii="Arial" w:hAnsi="Arial" w:cs="Arial"/>
          <w:b/>
          <w:color w:val="1F4E79" w:themeColor="accent1" w:themeShade="80"/>
          <w:sz w:val="24"/>
          <w:szCs w:val="24"/>
          <w:lang w:val="en-GB" w:eastAsia="en-US"/>
        </w:rPr>
      </w:pPr>
      <w:r w:rsidRPr="009828D6">
        <w:rPr>
          <w:rFonts w:ascii="Arial" w:hAnsi="Arial" w:cs="Arial"/>
          <w:b/>
          <w:color w:val="1F4E79" w:themeColor="accent1" w:themeShade="80"/>
          <w:sz w:val="24"/>
          <w:szCs w:val="24"/>
          <w:lang w:eastAsia="en-US"/>
        </w:rPr>
        <w:t>3.1.6</w:t>
      </w:r>
      <w:r w:rsidRPr="009828D6">
        <w:rPr>
          <w:rFonts w:ascii="Arial" w:eastAsiaTheme="minorHAnsi" w:hAnsi="Arial" w:cs="Arial"/>
          <w:b/>
          <w:color w:val="1F4E79" w:themeColor="accent1" w:themeShade="80"/>
          <w:sz w:val="24"/>
          <w:szCs w:val="24"/>
          <w:lang w:val="en-GB" w:eastAsia="en-US"/>
        </w:rPr>
        <w:t xml:space="preserve"> </w:t>
      </w:r>
      <w:r w:rsidRPr="009828D6">
        <w:rPr>
          <w:rFonts w:ascii="Arial" w:hAnsi="Arial" w:cs="Arial"/>
          <w:b/>
          <w:color w:val="1F4E79" w:themeColor="accent1" w:themeShade="80"/>
          <w:sz w:val="24"/>
          <w:szCs w:val="24"/>
          <w:lang w:val="en-GB" w:eastAsia="en-US"/>
        </w:rPr>
        <w:t>Fuziuni și reorganizări ale societății, achiziții și înstrăinări de active în semestrul I 2018</w:t>
      </w:r>
    </w:p>
    <w:p w:rsidR="001A2F19" w:rsidRPr="001A2F19" w:rsidRDefault="001A2F19" w:rsidP="001A2F19">
      <w:pPr>
        <w:widowControl/>
        <w:autoSpaceDE/>
        <w:autoSpaceDN/>
        <w:adjustRightInd/>
        <w:rPr>
          <w:color w:val="5B9BD5" w:themeColor="accent1"/>
          <w:sz w:val="24"/>
          <w:szCs w:val="24"/>
          <w:lang w:val="it-IT" w:eastAsia="en-US"/>
        </w:rPr>
      </w:pPr>
    </w:p>
    <w:p w:rsidR="00B81508" w:rsidRDefault="001A2F19" w:rsidP="001A2F19">
      <w:pPr>
        <w:widowControl/>
        <w:autoSpaceDE/>
        <w:autoSpaceDN/>
        <w:adjustRightInd/>
        <w:spacing w:line="276" w:lineRule="auto"/>
        <w:rPr>
          <w:rFonts w:ascii="Arial" w:hAnsi="Arial" w:cs="Arial"/>
          <w:sz w:val="22"/>
          <w:szCs w:val="22"/>
          <w:lang w:val="it-IT" w:eastAsia="en-US"/>
        </w:rPr>
      </w:pPr>
      <w:r w:rsidRPr="001A2F19">
        <w:rPr>
          <w:rFonts w:ascii="Arial" w:hAnsi="Arial" w:cs="Arial"/>
          <w:sz w:val="22"/>
          <w:szCs w:val="22"/>
          <w:lang w:val="it-IT" w:eastAsia="en-US"/>
        </w:rPr>
        <w:t xml:space="preserve">În perioada ianuarie </w:t>
      </w:r>
      <w:r w:rsidR="00907FDF">
        <w:rPr>
          <w:rFonts w:ascii="Arial" w:hAnsi="Arial" w:cs="Arial"/>
          <w:sz w:val="22"/>
          <w:szCs w:val="22"/>
          <w:lang w:val="it-IT" w:eastAsia="en-US"/>
        </w:rPr>
        <w:t xml:space="preserve">- </w:t>
      </w:r>
      <w:r w:rsidRPr="001A2F19">
        <w:rPr>
          <w:rFonts w:ascii="Arial" w:hAnsi="Arial" w:cs="Arial"/>
          <w:sz w:val="22"/>
          <w:szCs w:val="22"/>
          <w:lang w:val="it-IT" w:eastAsia="en-US"/>
        </w:rPr>
        <w:t>iunie 2018 nu au avut loc fuziuni</w:t>
      </w:r>
      <w:r w:rsidR="00907FDF">
        <w:rPr>
          <w:rFonts w:ascii="Arial" w:hAnsi="Arial" w:cs="Arial"/>
          <w:sz w:val="22"/>
          <w:szCs w:val="22"/>
          <w:lang w:val="it-IT" w:eastAsia="en-US"/>
        </w:rPr>
        <w:t xml:space="preserve"> sau reorganiză</w:t>
      </w:r>
      <w:r w:rsidR="00D96BCF">
        <w:rPr>
          <w:rFonts w:ascii="Arial" w:hAnsi="Arial" w:cs="Arial"/>
          <w:sz w:val="22"/>
          <w:szCs w:val="22"/>
          <w:lang w:val="it-IT" w:eastAsia="en-US"/>
        </w:rPr>
        <w:t xml:space="preserve">ri </w:t>
      </w:r>
      <w:r w:rsidR="00B81508">
        <w:rPr>
          <w:rFonts w:ascii="Arial" w:hAnsi="Arial" w:cs="Arial"/>
          <w:sz w:val="22"/>
          <w:szCs w:val="22"/>
          <w:lang w:val="it-IT" w:eastAsia="en-US"/>
        </w:rPr>
        <w:t>ale</w:t>
      </w:r>
      <w:r w:rsidR="00907FDF">
        <w:rPr>
          <w:rFonts w:ascii="Arial" w:hAnsi="Arial" w:cs="Arial"/>
          <w:sz w:val="22"/>
          <w:szCs w:val="22"/>
          <w:lang w:val="it-IT" w:eastAsia="en-US"/>
        </w:rPr>
        <w:t xml:space="preserve"> societăț</w:t>
      </w:r>
      <w:r w:rsidR="00D96BCF">
        <w:rPr>
          <w:rFonts w:ascii="Arial" w:hAnsi="Arial" w:cs="Arial"/>
          <w:sz w:val="22"/>
          <w:szCs w:val="22"/>
          <w:lang w:val="it-IT" w:eastAsia="en-US"/>
        </w:rPr>
        <w:t>ii</w:t>
      </w:r>
      <w:r w:rsidR="00B81508">
        <w:rPr>
          <w:rFonts w:ascii="Arial" w:hAnsi="Arial" w:cs="Arial"/>
          <w:sz w:val="22"/>
          <w:szCs w:val="22"/>
          <w:lang w:val="it-IT" w:eastAsia="en-US"/>
        </w:rPr>
        <w:t xml:space="preserve"> </w:t>
      </w:r>
      <w:r w:rsidR="00907FDF">
        <w:rPr>
          <w:rFonts w:ascii="Arial" w:hAnsi="Arial" w:cs="Arial"/>
          <w:sz w:val="22"/>
          <w:szCs w:val="22"/>
          <w:lang w:val="it-IT" w:eastAsia="en-US"/>
        </w:rPr>
        <w:t>și s-au efectuat achiziții sau înstrăină</w:t>
      </w:r>
      <w:r w:rsidR="00B81508">
        <w:rPr>
          <w:rFonts w:ascii="Arial" w:hAnsi="Arial" w:cs="Arial"/>
          <w:sz w:val="22"/>
          <w:szCs w:val="22"/>
          <w:lang w:val="it-IT" w:eastAsia="en-US"/>
        </w:rPr>
        <w:t>ri de active</w:t>
      </w:r>
      <w:r w:rsidRPr="001A2F19">
        <w:rPr>
          <w:rFonts w:ascii="Arial" w:hAnsi="Arial" w:cs="Arial"/>
          <w:sz w:val="22"/>
          <w:szCs w:val="22"/>
          <w:lang w:val="it-IT" w:eastAsia="en-US"/>
        </w:rPr>
        <w:t xml:space="preserve">. </w:t>
      </w:r>
    </w:p>
    <w:p w:rsidR="00306393" w:rsidRDefault="00306393" w:rsidP="001A2F19">
      <w:pPr>
        <w:widowControl/>
        <w:autoSpaceDE/>
        <w:autoSpaceDN/>
        <w:adjustRightInd/>
        <w:spacing w:line="276" w:lineRule="auto"/>
        <w:rPr>
          <w:rFonts w:ascii="Arial" w:hAnsi="Arial" w:cs="Arial"/>
          <w:sz w:val="22"/>
          <w:szCs w:val="22"/>
          <w:lang w:val="it-IT" w:eastAsia="en-US"/>
        </w:rPr>
      </w:pPr>
    </w:p>
    <w:p w:rsidR="001A2F19" w:rsidRDefault="001A2F19" w:rsidP="001A2F19">
      <w:pPr>
        <w:widowControl/>
        <w:autoSpaceDE/>
        <w:autoSpaceDN/>
        <w:adjustRightInd/>
        <w:spacing w:line="276" w:lineRule="auto"/>
        <w:rPr>
          <w:rFonts w:ascii="Arial" w:hAnsi="Arial" w:cs="Arial"/>
          <w:sz w:val="22"/>
          <w:szCs w:val="22"/>
          <w:lang w:val="it-IT" w:eastAsia="en-US"/>
        </w:rPr>
      </w:pPr>
      <w:r w:rsidRPr="001A2F19">
        <w:rPr>
          <w:rFonts w:ascii="Arial" w:hAnsi="Arial" w:cs="Arial"/>
          <w:sz w:val="22"/>
          <w:szCs w:val="22"/>
          <w:lang w:val="it-IT" w:eastAsia="en-US"/>
        </w:rPr>
        <w:t>Societatea nu are deschise filiale în țară sau în străinătate.</w:t>
      </w:r>
    </w:p>
    <w:p w:rsidR="00934797" w:rsidRPr="001A2F19" w:rsidRDefault="00934797" w:rsidP="001A2F19">
      <w:pPr>
        <w:widowControl/>
        <w:autoSpaceDE/>
        <w:autoSpaceDN/>
        <w:adjustRightInd/>
        <w:spacing w:line="276" w:lineRule="auto"/>
        <w:rPr>
          <w:rFonts w:ascii="Arial" w:hAnsi="Arial" w:cs="Arial"/>
          <w:sz w:val="22"/>
          <w:szCs w:val="22"/>
          <w:lang w:val="it-IT" w:eastAsia="en-US"/>
        </w:rPr>
      </w:pPr>
    </w:p>
    <w:p w:rsidR="001A2F19" w:rsidRPr="009828D6" w:rsidRDefault="001A2F19" w:rsidP="001A2F19">
      <w:pPr>
        <w:jc w:val="both"/>
        <w:rPr>
          <w:rFonts w:ascii="Arial" w:hAnsi="Arial" w:cs="Arial"/>
          <w:b/>
          <w:color w:val="1F4E79" w:themeColor="accent1" w:themeShade="80"/>
          <w:sz w:val="24"/>
          <w:szCs w:val="24"/>
        </w:rPr>
      </w:pPr>
      <w:r w:rsidRPr="009828D6">
        <w:rPr>
          <w:rFonts w:ascii="Arial" w:hAnsi="Arial" w:cs="Arial"/>
          <w:b/>
          <w:color w:val="1F4E79" w:themeColor="accent1" w:themeShade="80"/>
          <w:sz w:val="24"/>
          <w:szCs w:val="24"/>
        </w:rPr>
        <w:t>3.1.7 Evaluarea activității de resurse umane și dialog social</w:t>
      </w:r>
    </w:p>
    <w:p w:rsidR="001A2F19" w:rsidRPr="001A2F19" w:rsidRDefault="001A2F19" w:rsidP="001A2F19">
      <w:pPr>
        <w:spacing w:line="276" w:lineRule="auto"/>
        <w:rPr>
          <w:color w:val="5B9BD5" w:themeColor="accent1"/>
          <w:sz w:val="24"/>
          <w:szCs w:val="24"/>
          <w:lang w:val="fr-FR"/>
        </w:rPr>
      </w:pPr>
    </w:p>
    <w:p w:rsidR="001A2F19" w:rsidRPr="001A2F19" w:rsidRDefault="001A2F19" w:rsidP="001A2F19">
      <w:pPr>
        <w:spacing w:line="276" w:lineRule="auto"/>
        <w:rPr>
          <w:rFonts w:ascii="Arial" w:hAnsi="Arial" w:cs="Arial"/>
          <w:sz w:val="22"/>
          <w:szCs w:val="22"/>
          <w:lang w:val="fr-FR"/>
        </w:rPr>
      </w:pPr>
      <w:r w:rsidRPr="001A2F19">
        <w:rPr>
          <w:rFonts w:ascii="Arial" w:hAnsi="Arial" w:cs="Arial"/>
          <w:sz w:val="22"/>
          <w:szCs w:val="22"/>
          <w:lang w:val="fr-FR"/>
        </w:rPr>
        <w:t>Numărul angajaților la data de 30 iunie 2018 a fost de 1</w:t>
      </w:r>
      <w:r w:rsidR="00770C19">
        <w:rPr>
          <w:rFonts w:ascii="Arial" w:hAnsi="Arial" w:cs="Arial"/>
          <w:sz w:val="22"/>
          <w:szCs w:val="22"/>
          <w:lang w:val="fr-FR"/>
        </w:rPr>
        <w:t>.680</w:t>
      </w:r>
      <w:r w:rsidR="00B81508">
        <w:rPr>
          <w:rFonts w:ascii="Arial" w:hAnsi="Arial" w:cs="Arial"/>
          <w:sz w:val="22"/>
          <w:szCs w:val="22"/>
          <w:lang w:val="fr-FR"/>
        </w:rPr>
        <w:t>,</w:t>
      </w:r>
      <w:r w:rsidR="00306393">
        <w:rPr>
          <w:rFonts w:ascii="Arial" w:hAnsi="Arial" w:cs="Arial"/>
          <w:sz w:val="22"/>
          <w:szCs w:val="22"/>
          <w:lang w:val="fr-FR"/>
        </w:rPr>
        <w:t xml:space="preserve"> </w:t>
      </w:r>
      <w:r w:rsidR="00B81508">
        <w:rPr>
          <w:rFonts w:ascii="Arial" w:hAnsi="Arial" w:cs="Arial"/>
          <w:sz w:val="22"/>
          <w:szCs w:val="22"/>
          <w:lang w:val="fr-FR"/>
        </w:rPr>
        <w:t xml:space="preserve">cu 30 de </w:t>
      </w:r>
      <w:r w:rsidR="00E028FD">
        <w:rPr>
          <w:rFonts w:ascii="Arial" w:hAnsi="Arial" w:cs="Arial"/>
          <w:sz w:val="22"/>
          <w:szCs w:val="22"/>
          <w:lang w:val="fr-FR"/>
        </w:rPr>
        <w:t xml:space="preserve">persoane </w:t>
      </w:r>
      <w:r w:rsidR="00306393">
        <w:rPr>
          <w:rFonts w:ascii="Arial" w:hAnsi="Arial" w:cs="Arial"/>
          <w:sz w:val="22"/>
          <w:szCs w:val="22"/>
          <w:lang w:val="fr-FR"/>
        </w:rPr>
        <w:t>mai puțin față de numărul salariaților angajaț</w:t>
      </w:r>
      <w:r w:rsidR="00B81508">
        <w:rPr>
          <w:rFonts w:ascii="Arial" w:hAnsi="Arial" w:cs="Arial"/>
          <w:sz w:val="22"/>
          <w:szCs w:val="22"/>
          <w:lang w:val="fr-FR"/>
        </w:rPr>
        <w:t xml:space="preserve">i la data </w:t>
      </w:r>
      <w:r w:rsidR="00C16D1E">
        <w:rPr>
          <w:rFonts w:ascii="Arial" w:hAnsi="Arial" w:cs="Arial"/>
          <w:sz w:val="22"/>
          <w:szCs w:val="22"/>
          <w:lang w:val="fr-FR"/>
        </w:rPr>
        <w:t>de 31.12.2017.</w:t>
      </w:r>
    </w:p>
    <w:p w:rsidR="00E028FD" w:rsidRDefault="00E028FD" w:rsidP="00C16D1E">
      <w:pPr>
        <w:pStyle w:val="PlainText"/>
        <w:overflowPunct/>
        <w:autoSpaceDE/>
        <w:autoSpaceDN/>
        <w:adjustRightInd/>
        <w:spacing w:line="276" w:lineRule="auto"/>
        <w:jc w:val="both"/>
        <w:textAlignment w:val="auto"/>
        <w:rPr>
          <w:rFonts w:ascii="Arial" w:hAnsi="Arial" w:cs="Arial"/>
          <w:b/>
          <w:color w:val="000000" w:themeColor="text1"/>
        </w:rPr>
      </w:pPr>
    </w:p>
    <w:p w:rsidR="00E028FD" w:rsidRPr="00E028FD" w:rsidRDefault="00306393" w:rsidP="00C16D1E">
      <w:pPr>
        <w:pStyle w:val="PlainText"/>
        <w:overflowPunct/>
        <w:autoSpaceDE/>
        <w:autoSpaceDN/>
        <w:adjustRightInd/>
        <w:spacing w:line="276" w:lineRule="auto"/>
        <w:jc w:val="both"/>
        <w:textAlignment w:val="auto"/>
        <w:rPr>
          <w:rFonts w:ascii="Arial" w:hAnsi="Arial" w:cs="Arial"/>
          <w:color w:val="000000" w:themeColor="text1"/>
          <w:sz w:val="22"/>
          <w:szCs w:val="22"/>
        </w:rPr>
      </w:pPr>
      <w:r>
        <w:rPr>
          <w:rFonts w:ascii="Arial" w:hAnsi="Arial" w:cs="Arial"/>
          <w:color w:val="000000" w:themeColor="text1"/>
          <w:sz w:val="22"/>
          <w:szCs w:val="22"/>
        </w:rPr>
        <w:t>Î</w:t>
      </w:r>
      <w:r w:rsidR="00E028FD" w:rsidRPr="00E028FD">
        <w:rPr>
          <w:rFonts w:ascii="Arial" w:hAnsi="Arial" w:cs="Arial"/>
          <w:color w:val="000000" w:themeColor="text1"/>
          <w:sz w:val="22"/>
          <w:szCs w:val="22"/>
        </w:rPr>
        <w:t xml:space="preserve">n </w:t>
      </w:r>
      <w:r>
        <w:rPr>
          <w:rFonts w:ascii="Arial" w:hAnsi="Arial" w:cs="Arial"/>
          <w:color w:val="000000" w:themeColor="text1"/>
          <w:sz w:val="22"/>
          <w:szCs w:val="22"/>
        </w:rPr>
        <w:t>scopul eficientizării activităț</w:t>
      </w:r>
      <w:r w:rsidR="00CC67FE">
        <w:rPr>
          <w:rFonts w:ascii="Arial" w:hAnsi="Arial" w:cs="Arial"/>
          <w:color w:val="000000" w:themeColor="text1"/>
          <w:sz w:val="22"/>
          <w:szCs w:val="22"/>
        </w:rPr>
        <w:t>ii, conducerea societ</w:t>
      </w:r>
      <w:r>
        <w:rPr>
          <w:rFonts w:ascii="Arial" w:hAnsi="Arial" w:cs="Arial"/>
          <w:color w:val="000000" w:themeColor="text1"/>
          <w:sz w:val="22"/>
          <w:szCs w:val="22"/>
        </w:rPr>
        <w:t>ăț</w:t>
      </w:r>
      <w:r w:rsidR="00CC67FE">
        <w:rPr>
          <w:rFonts w:ascii="Arial" w:hAnsi="Arial" w:cs="Arial"/>
          <w:color w:val="000000" w:themeColor="text1"/>
          <w:sz w:val="22"/>
          <w:szCs w:val="22"/>
        </w:rPr>
        <w:t xml:space="preserve">ii </w:t>
      </w:r>
      <w:r w:rsidR="00B81508">
        <w:rPr>
          <w:rFonts w:ascii="Arial" w:hAnsi="Arial" w:cs="Arial"/>
          <w:color w:val="000000" w:themeColor="text1"/>
          <w:sz w:val="22"/>
          <w:szCs w:val="22"/>
        </w:rPr>
        <w:t>a prev</w:t>
      </w:r>
      <w:r>
        <w:rPr>
          <w:rFonts w:ascii="Arial" w:hAnsi="Arial" w:cs="Arial"/>
          <w:color w:val="000000" w:themeColor="text1"/>
          <w:sz w:val="22"/>
          <w:szCs w:val="22"/>
        </w:rPr>
        <w:t>ă</w:t>
      </w:r>
      <w:r w:rsidR="00B81508">
        <w:rPr>
          <w:rFonts w:ascii="Arial" w:hAnsi="Arial" w:cs="Arial"/>
          <w:color w:val="000000" w:themeColor="text1"/>
          <w:sz w:val="22"/>
          <w:szCs w:val="22"/>
        </w:rPr>
        <w:t xml:space="preserve">zut </w:t>
      </w:r>
      <w:r w:rsidR="00E028FD" w:rsidRPr="00E028FD">
        <w:rPr>
          <w:rFonts w:ascii="Arial" w:hAnsi="Arial" w:cs="Arial"/>
          <w:color w:val="000000" w:themeColor="text1"/>
          <w:sz w:val="22"/>
          <w:szCs w:val="22"/>
        </w:rPr>
        <w:t xml:space="preserve"> desființarea</w:t>
      </w:r>
      <w:r w:rsidR="00CC67FE">
        <w:rPr>
          <w:rFonts w:ascii="Arial" w:hAnsi="Arial" w:cs="Arial"/>
          <w:color w:val="000000" w:themeColor="text1"/>
          <w:sz w:val="22"/>
          <w:szCs w:val="22"/>
        </w:rPr>
        <w:t xml:space="preserve"> pe parcursul anului 2018 a</w:t>
      </w:r>
      <w:r w:rsidR="00E028FD" w:rsidRPr="00E028FD">
        <w:rPr>
          <w:rFonts w:ascii="Arial" w:hAnsi="Arial" w:cs="Arial"/>
          <w:color w:val="000000" w:themeColor="text1"/>
          <w:sz w:val="22"/>
          <w:szCs w:val="22"/>
        </w:rPr>
        <w:t xml:space="preserve"> </w:t>
      </w:r>
      <w:r w:rsidR="00B81508">
        <w:rPr>
          <w:rFonts w:ascii="Arial" w:hAnsi="Arial" w:cs="Arial"/>
          <w:color w:val="000000" w:themeColor="text1"/>
          <w:sz w:val="22"/>
          <w:szCs w:val="22"/>
        </w:rPr>
        <w:t>unui num</w:t>
      </w:r>
      <w:r>
        <w:rPr>
          <w:rFonts w:ascii="Arial" w:hAnsi="Arial" w:cs="Arial"/>
          <w:color w:val="000000" w:themeColor="text1"/>
          <w:sz w:val="22"/>
          <w:szCs w:val="22"/>
        </w:rPr>
        <w:t>ă</w:t>
      </w:r>
      <w:r w:rsidR="00B81508">
        <w:rPr>
          <w:rFonts w:ascii="Arial" w:hAnsi="Arial" w:cs="Arial"/>
          <w:color w:val="000000" w:themeColor="text1"/>
          <w:sz w:val="22"/>
          <w:szCs w:val="22"/>
        </w:rPr>
        <w:t>r de</w:t>
      </w:r>
      <w:r w:rsidR="00E028FD" w:rsidRPr="00E028FD">
        <w:rPr>
          <w:rFonts w:ascii="Arial" w:hAnsi="Arial" w:cs="Arial"/>
          <w:color w:val="000000" w:themeColor="text1"/>
          <w:sz w:val="22"/>
          <w:szCs w:val="22"/>
        </w:rPr>
        <w:t xml:space="preserve"> 5</w:t>
      </w:r>
      <w:r w:rsidR="00B81508">
        <w:rPr>
          <w:rFonts w:ascii="Arial" w:hAnsi="Arial" w:cs="Arial"/>
          <w:color w:val="000000" w:themeColor="text1"/>
          <w:sz w:val="22"/>
          <w:szCs w:val="22"/>
        </w:rPr>
        <w:t>8</w:t>
      </w:r>
      <w:r w:rsidR="00E028FD" w:rsidRPr="00E028FD">
        <w:rPr>
          <w:rFonts w:ascii="Arial" w:hAnsi="Arial" w:cs="Arial"/>
          <w:color w:val="000000" w:themeColor="text1"/>
          <w:sz w:val="22"/>
          <w:szCs w:val="22"/>
        </w:rPr>
        <w:t xml:space="preserve"> de posturi din cadrul unor entități organizatorice ale societății, cu consecința concedierii individuale a salariaților ce ocupă aceste posturi, pentru motive c</w:t>
      </w:r>
      <w:r w:rsidR="00770C19">
        <w:rPr>
          <w:rFonts w:ascii="Arial" w:hAnsi="Arial" w:cs="Arial"/>
          <w:color w:val="000000" w:themeColor="text1"/>
          <w:sz w:val="22"/>
          <w:szCs w:val="22"/>
        </w:rPr>
        <w:t>ar</w:t>
      </w:r>
      <w:r w:rsidR="00E028FD" w:rsidRPr="00E028FD">
        <w:rPr>
          <w:rFonts w:ascii="Arial" w:hAnsi="Arial" w:cs="Arial"/>
          <w:color w:val="000000" w:themeColor="text1"/>
          <w:sz w:val="22"/>
          <w:szCs w:val="22"/>
        </w:rPr>
        <w:t>e nu țin de persoana acestora.</w:t>
      </w:r>
    </w:p>
    <w:p w:rsidR="00770C19" w:rsidRDefault="00770C19" w:rsidP="00C16D1E">
      <w:pPr>
        <w:pStyle w:val="PlainText"/>
        <w:spacing w:line="276" w:lineRule="auto"/>
        <w:jc w:val="both"/>
        <w:rPr>
          <w:rFonts w:ascii="Arial" w:hAnsi="Arial" w:cs="Arial"/>
          <w:color w:val="000000" w:themeColor="text1"/>
          <w:sz w:val="22"/>
          <w:szCs w:val="22"/>
        </w:rPr>
      </w:pPr>
    </w:p>
    <w:p w:rsidR="00E028FD" w:rsidRPr="00E028FD" w:rsidRDefault="00E028FD" w:rsidP="00C16D1E">
      <w:pPr>
        <w:pStyle w:val="PlainText"/>
        <w:spacing w:line="276" w:lineRule="auto"/>
        <w:jc w:val="both"/>
        <w:rPr>
          <w:rFonts w:ascii="Arial" w:hAnsi="Arial" w:cs="Arial"/>
          <w:color w:val="000000" w:themeColor="text1"/>
          <w:sz w:val="22"/>
          <w:szCs w:val="22"/>
        </w:rPr>
      </w:pPr>
      <w:r w:rsidRPr="00E028FD">
        <w:rPr>
          <w:rFonts w:ascii="Arial" w:hAnsi="Arial" w:cs="Arial"/>
          <w:color w:val="000000" w:themeColor="text1"/>
          <w:sz w:val="22"/>
          <w:szCs w:val="22"/>
        </w:rPr>
        <w:t>Acṭiunea s-a realizat în două etape, începând cu data de 30.03.2018 (prima etapă: 29 de posturi), respectiv cu data de 01.06.2018 (a II-a etapă: 29 de posturi)</w:t>
      </w:r>
      <w:r w:rsidR="00CC67FE">
        <w:rPr>
          <w:rFonts w:ascii="Arial" w:hAnsi="Arial" w:cs="Arial"/>
          <w:color w:val="000000" w:themeColor="text1"/>
          <w:sz w:val="22"/>
          <w:szCs w:val="22"/>
        </w:rPr>
        <w:t>. La</w:t>
      </w:r>
      <w:r w:rsidR="00306393">
        <w:rPr>
          <w:rFonts w:ascii="Arial" w:hAnsi="Arial" w:cs="Arial"/>
          <w:color w:val="000000" w:themeColor="text1"/>
          <w:sz w:val="22"/>
          <w:szCs w:val="22"/>
        </w:rPr>
        <w:t xml:space="preserve"> </w:t>
      </w:r>
      <w:r w:rsidR="00CC67FE">
        <w:rPr>
          <w:rFonts w:ascii="Arial" w:hAnsi="Arial" w:cs="Arial"/>
          <w:color w:val="000000" w:themeColor="text1"/>
          <w:sz w:val="22"/>
          <w:szCs w:val="22"/>
        </w:rPr>
        <w:t xml:space="preserve">data de 30 iunie 2018, </w:t>
      </w:r>
      <w:r w:rsidR="00C15F0D">
        <w:rPr>
          <w:rFonts w:ascii="Arial" w:hAnsi="Arial" w:cs="Arial"/>
          <w:color w:val="000000" w:themeColor="text1"/>
          <w:sz w:val="22"/>
          <w:szCs w:val="22"/>
        </w:rPr>
        <w:t>s</w:t>
      </w:r>
      <w:r w:rsidR="00CC67FE">
        <w:rPr>
          <w:rFonts w:ascii="Arial" w:hAnsi="Arial" w:cs="Arial"/>
          <w:color w:val="000000" w:themeColor="text1"/>
          <w:sz w:val="22"/>
          <w:szCs w:val="22"/>
        </w:rPr>
        <w:t xml:space="preserve">e derula </w:t>
      </w:r>
      <w:r w:rsidRPr="00E028FD">
        <w:rPr>
          <w:rFonts w:ascii="Arial" w:hAnsi="Arial" w:cs="Arial"/>
          <w:color w:val="000000" w:themeColor="text1"/>
          <w:sz w:val="22"/>
          <w:szCs w:val="22"/>
        </w:rPr>
        <w:t xml:space="preserve"> termenul legal de preavizare </w:t>
      </w:r>
      <w:r w:rsidR="00CC67FE">
        <w:rPr>
          <w:rFonts w:ascii="Arial" w:hAnsi="Arial" w:cs="Arial"/>
          <w:color w:val="000000" w:themeColor="text1"/>
          <w:sz w:val="22"/>
          <w:szCs w:val="22"/>
        </w:rPr>
        <w:t xml:space="preserve">pentru </w:t>
      </w:r>
      <w:r w:rsidRPr="00E028FD">
        <w:rPr>
          <w:rFonts w:ascii="Arial" w:hAnsi="Arial" w:cs="Arial"/>
          <w:color w:val="000000" w:themeColor="text1"/>
          <w:sz w:val="22"/>
          <w:szCs w:val="22"/>
        </w:rPr>
        <w:t xml:space="preserve"> salaria</w:t>
      </w:r>
      <w:r w:rsidR="00306393">
        <w:rPr>
          <w:rFonts w:ascii="Arial" w:hAnsi="Arial" w:cs="Arial"/>
          <w:color w:val="000000" w:themeColor="text1"/>
          <w:sz w:val="22"/>
          <w:szCs w:val="22"/>
        </w:rPr>
        <w:t>ț</w:t>
      </w:r>
      <w:r w:rsidRPr="00E028FD">
        <w:rPr>
          <w:rFonts w:ascii="Arial" w:hAnsi="Arial" w:cs="Arial"/>
          <w:color w:val="000000" w:themeColor="text1"/>
          <w:sz w:val="22"/>
          <w:szCs w:val="22"/>
        </w:rPr>
        <w:t>i</w:t>
      </w:r>
      <w:r w:rsidR="00CC67FE">
        <w:rPr>
          <w:rFonts w:ascii="Arial" w:hAnsi="Arial" w:cs="Arial"/>
          <w:color w:val="000000" w:themeColor="text1"/>
          <w:sz w:val="22"/>
          <w:szCs w:val="22"/>
        </w:rPr>
        <w:t>i din a doua etapă</w:t>
      </w:r>
      <w:r w:rsidRPr="00E028FD">
        <w:rPr>
          <w:rFonts w:ascii="Arial" w:hAnsi="Arial" w:cs="Arial"/>
          <w:color w:val="000000" w:themeColor="text1"/>
          <w:sz w:val="22"/>
          <w:szCs w:val="22"/>
        </w:rPr>
        <w:t>, urm</w:t>
      </w:r>
      <w:r w:rsidR="00306393">
        <w:rPr>
          <w:rFonts w:ascii="Arial" w:hAnsi="Arial" w:cs="Arial"/>
          <w:color w:val="000000" w:themeColor="text1"/>
          <w:sz w:val="22"/>
          <w:szCs w:val="22"/>
        </w:rPr>
        <w:t>â</w:t>
      </w:r>
      <w:r w:rsidR="00CC67FE">
        <w:rPr>
          <w:rFonts w:ascii="Arial" w:hAnsi="Arial" w:cs="Arial"/>
          <w:color w:val="000000" w:themeColor="text1"/>
          <w:sz w:val="22"/>
          <w:szCs w:val="22"/>
        </w:rPr>
        <w:t>nd</w:t>
      </w:r>
      <w:r w:rsidRPr="00E028FD">
        <w:rPr>
          <w:rFonts w:ascii="Arial" w:hAnsi="Arial" w:cs="Arial"/>
          <w:color w:val="000000" w:themeColor="text1"/>
          <w:sz w:val="22"/>
          <w:szCs w:val="22"/>
        </w:rPr>
        <w:t xml:space="preserve"> </w:t>
      </w:r>
      <w:r w:rsidR="00CC67FE">
        <w:rPr>
          <w:rFonts w:ascii="Arial" w:hAnsi="Arial" w:cs="Arial"/>
          <w:color w:val="000000" w:themeColor="text1"/>
          <w:sz w:val="22"/>
          <w:szCs w:val="22"/>
        </w:rPr>
        <w:t>ca p</w:t>
      </w:r>
      <w:r w:rsidR="00306393">
        <w:rPr>
          <w:rFonts w:ascii="Arial" w:hAnsi="Arial" w:cs="Arial"/>
          <w:color w:val="000000" w:themeColor="text1"/>
          <w:sz w:val="22"/>
          <w:szCs w:val="22"/>
        </w:rPr>
        <w:t>â</w:t>
      </w:r>
      <w:r w:rsidR="00CC67FE">
        <w:rPr>
          <w:rFonts w:ascii="Arial" w:hAnsi="Arial" w:cs="Arial"/>
          <w:color w:val="000000" w:themeColor="text1"/>
          <w:sz w:val="22"/>
          <w:szCs w:val="22"/>
        </w:rPr>
        <w:t xml:space="preserve">nă la sfârșitul lunii iulie să se realizeze </w:t>
      </w:r>
      <w:r w:rsidRPr="00E028FD">
        <w:rPr>
          <w:rFonts w:ascii="Arial" w:hAnsi="Arial" w:cs="Arial"/>
          <w:color w:val="000000" w:themeColor="text1"/>
          <w:sz w:val="22"/>
          <w:szCs w:val="22"/>
        </w:rPr>
        <w:t>concedierea efectivă a acestora.</w:t>
      </w:r>
    </w:p>
    <w:p w:rsidR="00E028FD" w:rsidRPr="00E028FD" w:rsidRDefault="00E028FD" w:rsidP="00C16D1E">
      <w:pPr>
        <w:spacing w:line="276" w:lineRule="auto"/>
        <w:rPr>
          <w:rFonts w:ascii="Arial" w:hAnsi="Arial" w:cs="Arial"/>
          <w:color w:val="000000" w:themeColor="text1"/>
          <w:sz w:val="22"/>
          <w:szCs w:val="22"/>
        </w:rPr>
      </w:pPr>
    </w:p>
    <w:p w:rsidR="00E028FD" w:rsidRPr="00E028FD" w:rsidRDefault="00E028FD" w:rsidP="00C16D1E">
      <w:pPr>
        <w:spacing w:line="276" w:lineRule="auto"/>
        <w:jc w:val="both"/>
        <w:rPr>
          <w:rFonts w:ascii="Arial" w:hAnsi="Arial" w:cs="Arial"/>
          <w:color w:val="000000" w:themeColor="text1"/>
          <w:sz w:val="22"/>
          <w:szCs w:val="22"/>
        </w:rPr>
      </w:pPr>
      <w:r w:rsidRPr="00E028FD">
        <w:rPr>
          <w:rFonts w:ascii="Arial" w:hAnsi="Arial" w:cs="Arial"/>
          <w:color w:val="000000" w:themeColor="text1"/>
          <w:sz w:val="22"/>
          <w:szCs w:val="22"/>
        </w:rPr>
        <w:t xml:space="preserve">Desființarea celor 58 de posturi a vizat în principal </w:t>
      </w:r>
      <w:r w:rsidR="00041401">
        <w:rPr>
          <w:rFonts w:ascii="Arial" w:hAnsi="Arial" w:cs="Arial"/>
          <w:color w:val="000000" w:themeColor="text1"/>
          <w:sz w:val="22"/>
          <w:szCs w:val="22"/>
        </w:rPr>
        <w:t>re</w:t>
      </w:r>
      <w:r w:rsidRPr="00E028FD">
        <w:rPr>
          <w:rFonts w:ascii="Arial" w:hAnsi="Arial" w:cs="Arial"/>
          <w:color w:val="000000" w:themeColor="text1"/>
          <w:sz w:val="22"/>
          <w:szCs w:val="22"/>
        </w:rPr>
        <w:t>dimensionarea resurselor necesare realizării obiectivelor stabilite</w:t>
      </w:r>
      <w:r w:rsidR="00041401">
        <w:rPr>
          <w:rFonts w:ascii="Arial" w:hAnsi="Arial" w:cs="Arial"/>
          <w:color w:val="000000" w:themeColor="text1"/>
          <w:sz w:val="22"/>
          <w:szCs w:val="22"/>
        </w:rPr>
        <w:t>,</w:t>
      </w:r>
      <w:r w:rsidR="00306393">
        <w:rPr>
          <w:rFonts w:ascii="Arial" w:hAnsi="Arial" w:cs="Arial"/>
          <w:color w:val="000000" w:themeColor="text1"/>
          <w:sz w:val="22"/>
          <w:szCs w:val="22"/>
        </w:rPr>
        <w:t xml:space="preserve"> reducerea cheltuielilor,</w:t>
      </w:r>
      <w:r w:rsidRPr="00E028FD">
        <w:rPr>
          <w:rFonts w:ascii="Arial" w:hAnsi="Arial" w:cs="Arial"/>
          <w:color w:val="000000" w:themeColor="text1"/>
          <w:sz w:val="22"/>
          <w:szCs w:val="22"/>
        </w:rPr>
        <w:t xml:space="preserve"> </w:t>
      </w:r>
      <w:r w:rsidR="00041401">
        <w:rPr>
          <w:rFonts w:ascii="Arial" w:hAnsi="Arial" w:cs="Arial"/>
          <w:color w:val="000000" w:themeColor="text1"/>
          <w:sz w:val="22"/>
          <w:szCs w:val="22"/>
        </w:rPr>
        <w:t xml:space="preserve">precum și </w:t>
      </w:r>
      <w:r w:rsidRPr="00E028FD">
        <w:rPr>
          <w:rFonts w:ascii="Arial" w:hAnsi="Arial" w:cs="Arial"/>
          <w:color w:val="000000" w:themeColor="text1"/>
          <w:sz w:val="22"/>
          <w:szCs w:val="22"/>
        </w:rPr>
        <w:t xml:space="preserve">optimizarea </w:t>
      </w:r>
      <w:r w:rsidR="00041401">
        <w:rPr>
          <w:rFonts w:ascii="Arial" w:hAnsi="Arial" w:cs="Arial"/>
          <w:color w:val="000000" w:themeColor="text1"/>
          <w:sz w:val="22"/>
          <w:szCs w:val="22"/>
        </w:rPr>
        <w:t xml:space="preserve">necesarului de personal </w:t>
      </w:r>
      <w:r w:rsidR="00353038">
        <w:rPr>
          <w:rFonts w:ascii="Arial" w:hAnsi="Arial" w:cs="Arial"/>
          <w:color w:val="000000" w:themeColor="text1"/>
          <w:sz w:val="22"/>
          <w:szCs w:val="22"/>
        </w:rPr>
        <w:t>din cadrul</w:t>
      </w:r>
      <w:r w:rsidR="00041401">
        <w:rPr>
          <w:rFonts w:ascii="Arial" w:hAnsi="Arial" w:cs="Arial"/>
          <w:color w:val="000000" w:themeColor="text1"/>
          <w:sz w:val="22"/>
          <w:szCs w:val="22"/>
        </w:rPr>
        <w:t xml:space="preserve"> </w:t>
      </w:r>
      <w:r w:rsidRPr="00E028FD">
        <w:rPr>
          <w:rFonts w:ascii="Arial" w:hAnsi="Arial" w:cs="Arial"/>
          <w:color w:val="000000" w:themeColor="text1"/>
          <w:sz w:val="22"/>
          <w:szCs w:val="22"/>
        </w:rPr>
        <w:t>structurilor funcționale</w:t>
      </w:r>
      <w:r w:rsidR="00041401">
        <w:rPr>
          <w:rFonts w:ascii="Arial" w:hAnsi="Arial" w:cs="Arial"/>
          <w:color w:val="000000" w:themeColor="text1"/>
          <w:sz w:val="22"/>
          <w:szCs w:val="22"/>
        </w:rPr>
        <w:t xml:space="preserve">, </w:t>
      </w:r>
      <w:r w:rsidR="00353038">
        <w:rPr>
          <w:rFonts w:ascii="Arial" w:hAnsi="Arial" w:cs="Arial"/>
          <w:color w:val="000000" w:themeColor="text1"/>
          <w:sz w:val="22"/>
          <w:szCs w:val="22"/>
        </w:rPr>
        <w:t>adaptat la</w:t>
      </w:r>
      <w:r w:rsidRPr="00E028FD">
        <w:rPr>
          <w:rFonts w:ascii="Arial" w:hAnsi="Arial" w:cs="Arial"/>
          <w:color w:val="000000" w:themeColor="text1"/>
          <w:sz w:val="22"/>
          <w:szCs w:val="22"/>
        </w:rPr>
        <w:t xml:space="preserve"> necesitățile actuale ale companiei.</w:t>
      </w:r>
    </w:p>
    <w:p w:rsidR="00E028FD" w:rsidRPr="00E028FD" w:rsidRDefault="00353038" w:rsidP="00C16D1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Procesul de i</w:t>
      </w:r>
      <w:r w:rsidR="00E028FD" w:rsidRPr="00E028FD">
        <w:rPr>
          <w:rFonts w:ascii="Arial" w:hAnsi="Arial" w:cs="Arial"/>
          <w:color w:val="000000" w:themeColor="text1"/>
          <w:sz w:val="22"/>
          <w:szCs w:val="22"/>
        </w:rPr>
        <w:t>dentificare</w:t>
      </w:r>
      <w:r>
        <w:rPr>
          <w:rFonts w:ascii="Arial" w:hAnsi="Arial" w:cs="Arial"/>
          <w:color w:val="000000" w:themeColor="text1"/>
          <w:sz w:val="22"/>
          <w:szCs w:val="22"/>
        </w:rPr>
        <w:t xml:space="preserve"> </w:t>
      </w:r>
      <w:r w:rsidR="00E028FD" w:rsidRPr="00E028FD">
        <w:rPr>
          <w:rFonts w:ascii="Arial" w:hAnsi="Arial" w:cs="Arial"/>
          <w:color w:val="000000" w:themeColor="text1"/>
          <w:sz w:val="22"/>
          <w:szCs w:val="22"/>
        </w:rPr>
        <w:t xml:space="preserve">a posturilor propuse </w:t>
      </w:r>
      <w:r>
        <w:rPr>
          <w:rFonts w:ascii="Arial" w:hAnsi="Arial" w:cs="Arial"/>
          <w:color w:val="000000" w:themeColor="text1"/>
          <w:sz w:val="22"/>
          <w:szCs w:val="22"/>
        </w:rPr>
        <w:t>pentru</w:t>
      </w:r>
      <w:r w:rsidR="00E028FD" w:rsidRPr="00E028FD">
        <w:rPr>
          <w:rFonts w:ascii="Arial" w:hAnsi="Arial" w:cs="Arial"/>
          <w:color w:val="000000" w:themeColor="text1"/>
          <w:sz w:val="22"/>
          <w:szCs w:val="22"/>
        </w:rPr>
        <w:t xml:space="preserve"> desființare s-a </w:t>
      </w:r>
      <w:r w:rsidR="00770C19">
        <w:rPr>
          <w:rFonts w:ascii="Arial" w:hAnsi="Arial" w:cs="Arial"/>
          <w:color w:val="000000" w:themeColor="text1"/>
          <w:sz w:val="22"/>
          <w:szCs w:val="22"/>
        </w:rPr>
        <w:t>derulat</w:t>
      </w:r>
      <w:r w:rsidR="00F837E9">
        <w:rPr>
          <w:rFonts w:ascii="Arial" w:hAnsi="Arial" w:cs="Arial"/>
          <w:color w:val="000000" w:themeColor="text1"/>
          <w:sz w:val="22"/>
          <w:szCs w:val="22"/>
        </w:rPr>
        <w:t xml:space="preserve"> la nivelul tuturor direcțiilor</w:t>
      </w:r>
      <w:r w:rsidR="00E028FD" w:rsidRPr="00E028FD">
        <w:rPr>
          <w:rFonts w:ascii="Arial" w:hAnsi="Arial" w:cs="Arial"/>
          <w:color w:val="000000" w:themeColor="text1"/>
          <w:sz w:val="22"/>
          <w:szCs w:val="22"/>
        </w:rPr>
        <w:t xml:space="preserve"> </w:t>
      </w:r>
      <w:r>
        <w:rPr>
          <w:rFonts w:ascii="Arial" w:hAnsi="Arial" w:cs="Arial"/>
          <w:color w:val="000000" w:themeColor="text1"/>
          <w:sz w:val="22"/>
          <w:szCs w:val="22"/>
        </w:rPr>
        <w:t xml:space="preserve">și a constat în </w:t>
      </w:r>
      <w:r w:rsidR="00E028FD" w:rsidRPr="00E028FD">
        <w:rPr>
          <w:rFonts w:ascii="Arial" w:hAnsi="Arial" w:cs="Arial"/>
          <w:color w:val="000000" w:themeColor="text1"/>
          <w:sz w:val="22"/>
          <w:szCs w:val="22"/>
        </w:rPr>
        <w:t>:</w:t>
      </w:r>
    </w:p>
    <w:p w:rsidR="00E028FD" w:rsidRPr="00945AFB" w:rsidRDefault="00E028FD" w:rsidP="00170D7E">
      <w:pPr>
        <w:pStyle w:val="ListParagraph"/>
        <w:numPr>
          <w:ilvl w:val="0"/>
          <w:numId w:val="29"/>
        </w:numPr>
        <w:spacing w:after="0"/>
        <w:jc w:val="both"/>
        <w:rPr>
          <w:rFonts w:ascii="Arial" w:hAnsi="Arial" w:cs="Arial"/>
          <w:color w:val="000000" w:themeColor="text1"/>
        </w:rPr>
      </w:pPr>
      <w:r w:rsidRPr="00E028FD">
        <w:rPr>
          <w:rFonts w:ascii="Arial" w:hAnsi="Arial" w:cs="Arial"/>
          <w:color w:val="000000" w:themeColor="text1"/>
        </w:rPr>
        <w:t>identificare</w:t>
      </w:r>
      <w:r w:rsidR="00F837E9">
        <w:rPr>
          <w:rFonts w:ascii="Arial" w:hAnsi="Arial" w:cs="Arial"/>
          <w:color w:val="000000" w:themeColor="text1"/>
        </w:rPr>
        <w:t>a</w:t>
      </w:r>
      <w:r w:rsidRPr="00E028FD">
        <w:rPr>
          <w:rFonts w:ascii="Arial" w:hAnsi="Arial" w:cs="Arial"/>
          <w:color w:val="000000" w:themeColor="text1"/>
        </w:rPr>
        <w:t xml:space="preserve"> pentru</w:t>
      </w:r>
      <w:r w:rsidRPr="00945AFB">
        <w:rPr>
          <w:rFonts w:ascii="Arial" w:hAnsi="Arial" w:cs="Arial"/>
          <w:color w:val="000000" w:themeColor="text1"/>
        </w:rPr>
        <w:t xml:space="preserve"> fiecare loc de muncă a concordanței dintre numărul de posturi și volumul de activitate;</w:t>
      </w:r>
    </w:p>
    <w:p w:rsidR="00E028FD" w:rsidRPr="00945AFB" w:rsidRDefault="00E028FD" w:rsidP="00170D7E">
      <w:pPr>
        <w:pStyle w:val="ListParagraph"/>
        <w:numPr>
          <w:ilvl w:val="0"/>
          <w:numId w:val="29"/>
        </w:numPr>
        <w:spacing w:after="0"/>
        <w:jc w:val="both"/>
        <w:rPr>
          <w:rFonts w:ascii="Arial" w:hAnsi="Arial" w:cs="Arial"/>
          <w:color w:val="000000" w:themeColor="text1"/>
        </w:rPr>
      </w:pPr>
      <w:r w:rsidRPr="00945AFB">
        <w:rPr>
          <w:rFonts w:ascii="Arial" w:hAnsi="Arial" w:cs="Arial"/>
          <w:color w:val="000000" w:themeColor="text1"/>
        </w:rPr>
        <w:t>gradul de încărcare cu sarcini</w:t>
      </w:r>
      <w:r w:rsidR="00353038">
        <w:rPr>
          <w:rFonts w:ascii="Arial" w:hAnsi="Arial" w:cs="Arial"/>
          <w:color w:val="000000" w:themeColor="text1"/>
        </w:rPr>
        <w:t xml:space="preserve"> de serviciu al fiec</w:t>
      </w:r>
      <w:r w:rsidR="00C15F0D">
        <w:rPr>
          <w:rFonts w:ascii="Arial" w:hAnsi="Arial" w:cs="Arial"/>
          <w:color w:val="000000" w:themeColor="text1"/>
        </w:rPr>
        <w:t>ă</w:t>
      </w:r>
      <w:r w:rsidR="00353038">
        <w:rPr>
          <w:rFonts w:ascii="Arial" w:hAnsi="Arial" w:cs="Arial"/>
          <w:color w:val="000000" w:themeColor="text1"/>
        </w:rPr>
        <w:t>rui salariat</w:t>
      </w:r>
      <w:r w:rsidRPr="00945AFB">
        <w:rPr>
          <w:rFonts w:ascii="Arial" w:hAnsi="Arial" w:cs="Arial"/>
          <w:color w:val="000000" w:themeColor="text1"/>
        </w:rPr>
        <w:t xml:space="preserve">, precum și cel al interacțiunii activităților desfășurate </w:t>
      </w:r>
      <w:r w:rsidR="00353038">
        <w:rPr>
          <w:rFonts w:ascii="Arial" w:hAnsi="Arial" w:cs="Arial"/>
          <w:color w:val="000000" w:themeColor="text1"/>
        </w:rPr>
        <w:t>î</w:t>
      </w:r>
      <w:r w:rsidRPr="00945AFB">
        <w:rPr>
          <w:rFonts w:ascii="Arial" w:hAnsi="Arial" w:cs="Arial"/>
          <w:color w:val="000000" w:themeColor="text1"/>
        </w:rPr>
        <w:t>ntre ocupanții posturilor;</w:t>
      </w:r>
    </w:p>
    <w:p w:rsidR="00F837E9" w:rsidRPr="0011016A" w:rsidRDefault="00E028FD" w:rsidP="00170D7E">
      <w:pPr>
        <w:pStyle w:val="ListParagraph"/>
        <w:numPr>
          <w:ilvl w:val="0"/>
          <w:numId w:val="29"/>
        </w:numPr>
        <w:spacing w:after="0"/>
        <w:jc w:val="both"/>
        <w:rPr>
          <w:rFonts w:ascii="Arial" w:hAnsi="Arial" w:cs="Arial"/>
          <w:color w:val="000000" w:themeColor="text1"/>
        </w:rPr>
      </w:pPr>
      <w:r w:rsidRPr="0011016A">
        <w:rPr>
          <w:rFonts w:ascii="Arial" w:hAnsi="Arial" w:cs="Arial"/>
          <w:color w:val="000000" w:themeColor="text1"/>
        </w:rPr>
        <w:t xml:space="preserve">utilizarea integrală de către ocupanții posturilor a timpului de lucru aferent îndepliniriii </w:t>
      </w:r>
      <w:r w:rsidR="00353038" w:rsidRPr="0011016A">
        <w:rPr>
          <w:rFonts w:ascii="Arial" w:hAnsi="Arial" w:cs="Arial"/>
          <w:color w:val="000000" w:themeColor="text1"/>
        </w:rPr>
        <w:t>atribuțiilor de serviciu</w:t>
      </w:r>
      <w:r w:rsidRPr="0011016A">
        <w:rPr>
          <w:rFonts w:ascii="Arial" w:hAnsi="Arial" w:cs="Arial"/>
          <w:color w:val="000000" w:themeColor="text1"/>
        </w:rPr>
        <w:t>;</w:t>
      </w:r>
    </w:p>
    <w:p w:rsidR="0011016A" w:rsidRPr="004031C8" w:rsidRDefault="00E028FD" w:rsidP="004031C8">
      <w:pPr>
        <w:pStyle w:val="ListParagraph"/>
        <w:numPr>
          <w:ilvl w:val="0"/>
          <w:numId w:val="29"/>
        </w:numPr>
        <w:spacing w:after="0"/>
        <w:jc w:val="both"/>
        <w:rPr>
          <w:rFonts w:ascii="Arial" w:hAnsi="Arial" w:cs="Arial"/>
          <w:color w:val="000000" w:themeColor="text1"/>
        </w:rPr>
      </w:pPr>
      <w:r w:rsidRPr="0011016A">
        <w:rPr>
          <w:rFonts w:ascii="Arial" w:hAnsi="Arial" w:cs="Arial"/>
          <w:color w:val="000000" w:themeColor="text1"/>
        </w:rPr>
        <w:t>posibilitatea atribuirii unor sarcini complementare posturilor ocupate, în funcție de volumul de activitate a locului de muncă respectiv, fără a afecta desfășurarea în condiții optime și sigure a activității;</w:t>
      </w:r>
    </w:p>
    <w:p w:rsidR="00E028FD" w:rsidRPr="0011016A" w:rsidRDefault="00E028FD" w:rsidP="00170D7E">
      <w:pPr>
        <w:pStyle w:val="ListParagraph"/>
        <w:numPr>
          <w:ilvl w:val="0"/>
          <w:numId w:val="29"/>
        </w:numPr>
        <w:spacing w:after="0"/>
        <w:jc w:val="both"/>
        <w:rPr>
          <w:rFonts w:ascii="Arial" w:hAnsi="Arial" w:cs="Arial"/>
          <w:color w:val="000000" w:themeColor="text1"/>
        </w:rPr>
      </w:pPr>
      <w:r w:rsidRPr="0011016A">
        <w:rPr>
          <w:rFonts w:ascii="Arial" w:hAnsi="Arial" w:cs="Arial"/>
          <w:color w:val="000000" w:themeColor="text1"/>
        </w:rPr>
        <w:lastRenderedPageBreak/>
        <w:t xml:space="preserve">posibilitatea extinderii traseelor supravegheate de operatorii </w:t>
      </w:r>
      <w:r w:rsidR="00353038" w:rsidRPr="0011016A">
        <w:rPr>
          <w:rFonts w:ascii="Arial" w:hAnsi="Arial" w:cs="Arial"/>
          <w:color w:val="000000" w:themeColor="text1"/>
        </w:rPr>
        <w:t xml:space="preserve">de </w:t>
      </w:r>
      <w:r w:rsidRPr="0011016A">
        <w:rPr>
          <w:rFonts w:ascii="Arial" w:hAnsi="Arial" w:cs="Arial"/>
          <w:color w:val="000000" w:themeColor="text1"/>
        </w:rPr>
        <w:t>traseu conducte;</w:t>
      </w:r>
    </w:p>
    <w:p w:rsidR="00E028FD" w:rsidRDefault="00E028FD" w:rsidP="00170D7E">
      <w:pPr>
        <w:pStyle w:val="ListParagraph"/>
        <w:numPr>
          <w:ilvl w:val="0"/>
          <w:numId w:val="29"/>
        </w:numPr>
        <w:spacing w:after="0"/>
        <w:jc w:val="both"/>
        <w:rPr>
          <w:rFonts w:ascii="Arial" w:hAnsi="Arial" w:cs="Arial"/>
          <w:color w:val="000000" w:themeColor="text1"/>
        </w:rPr>
      </w:pPr>
      <w:r w:rsidRPr="00945AFB">
        <w:rPr>
          <w:rFonts w:ascii="Arial" w:hAnsi="Arial" w:cs="Arial"/>
          <w:color w:val="000000" w:themeColor="text1"/>
        </w:rPr>
        <w:t>posibilitatea exercitării atribuțiilor de serviciu în mai multe puncte de lucru cu activitate redusă unde nu este necesară menținerea unui salariat cu normă întreagă.</w:t>
      </w:r>
    </w:p>
    <w:p w:rsidR="0011016A" w:rsidRPr="00945AFB" w:rsidRDefault="0011016A" w:rsidP="0011016A">
      <w:pPr>
        <w:pStyle w:val="ListParagraph"/>
        <w:spacing w:after="0"/>
        <w:ind w:left="781"/>
        <w:jc w:val="both"/>
        <w:rPr>
          <w:rFonts w:ascii="Arial" w:hAnsi="Arial" w:cs="Arial"/>
          <w:color w:val="000000" w:themeColor="text1"/>
        </w:rPr>
      </w:pPr>
    </w:p>
    <w:p w:rsidR="001A2F19" w:rsidRPr="00770C19" w:rsidRDefault="00353038" w:rsidP="001A2F19">
      <w:pPr>
        <w:jc w:val="both"/>
        <w:rPr>
          <w:rFonts w:ascii="Arial" w:hAnsi="Arial" w:cs="Arial"/>
          <w:bCs/>
          <w:iCs/>
          <w:color w:val="000000" w:themeColor="text1"/>
          <w:sz w:val="22"/>
          <w:szCs w:val="22"/>
        </w:rPr>
      </w:pPr>
      <w:r w:rsidRPr="00770C19">
        <w:rPr>
          <w:rFonts w:ascii="Arial" w:hAnsi="Arial" w:cs="Arial"/>
          <w:bCs/>
          <w:iCs/>
          <w:color w:val="000000" w:themeColor="text1"/>
          <w:sz w:val="22"/>
          <w:szCs w:val="22"/>
        </w:rPr>
        <w:t>S</w:t>
      </w:r>
      <w:r w:rsidR="001A2F19" w:rsidRPr="00770C19">
        <w:rPr>
          <w:rFonts w:ascii="Arial" w:hAnsi="Arial" w:cs="Arial"/>
          <w:bCs/>
          <w:iCs/>
          <w:color w:val="000000" w:themeColor="text1"/>
          <w:sz w:val="22"/>
          <w:szCs w:val="22"/>
        </w:rPr>
        <w:t xml:space="preserve">tructura personalului după nivel studii ṣi sexe, </w:t>
      </w:r>
      <w:r w:rsidRPr="00770C19">
        <w:rPr>
          <w:rFonts w:ascii="Arial" w:hAnsi="Arial" w:cs="Arial"/>
          <w:bCs/>
          <w:iCs/>
          <w:color w:val="000000" w:themeColor="text1"/>
          <w:sz w:val="22"/>
          <w:szCs w:val="22"/>
        </w:rPr>
        <w:t xml:space="preserve">la data de 30 iunie 2018, </w:t>
      </w:r>
      <w:r w:rsidR="001A2F19" w:rsidRPr="00770C19">
        <w:rPr>
          <w:rFonts w:ascii="Arial" w:hAnsi="Arial" w:cs="Arial"/>
          <w:bCs/>
          <w:iCs/>
          <w:color w:val="000000" w:themeColor="text1"/>
          <w:sz w:val="22"/>
          <w:szCs w:val="22"/>
        </w:rPr>
        <w:t>este prezentată în tabelul următor:</w:t>
      </w:r>
    </w:p>
    <w:p w:rsidR="001A2F19" w:rsidRPr="001A2F19" w:rsidRDefault="001A2F19" w:rsidP="001A2F19">
      <w:pPr>
        <w:jc w:val="both"/>
        <w:rPr>
          <w:rFonts w:ascii="Arial" w:hAnsi="Arial" w:cs="Arial"/>
          <w:b/>
          <w:bCs/>
          <w:iCs/>
          <w:color w:val="000000" w:themeColor="text1"/>
          <w:sz w:val="22"/>
          <w:szCs w:val="22"/>
        </w:rPr>
      </w:pPr>
    </w:p>
    <w:tbl>
      <w:tblPr>
        <w:tblW w:w="9074" w:type="dxa"/>
        <w:jc w:val="center"/>
        <w:tblLook w:val="04A0" w:firstRow="1" w:lastRow="0" w:firstColumn="1" w:lastColumn="0" w:noHBand="0" w:noVBand="1"/>
      </w:tblPr>
      <w:tblGrid>
        <w:gridCol w:w="2542"/>
        <w:gridCol w:w="1134"/>
        <w:gridCol w:w="1276"/>
        <w:gridCol w:w="1052"/>
        <w:gridCol w:w="1048"/>
        <w:gridCol w:w="974"/>
        <w:gridCol w:w="1048"/>
      </w:tblGrid>
      <w:tr w:rsidR="001A2F19" w:rsidRPr="001A2F19" w:rsidTr="00E8541C">
        <w:trPr>
          <w:trHeight w:val="948"/>
          <w:jc w:val="center"/>
        </w:trPr>
        <w:tc>
          <w:tcPr>
            <w:tcW w:w="2542" w:type="dxa"/>
            <w:tcBorders>
              <w:top w:val="single" w:sz="8" w:space="0" w:color="auto"/>
              <w:left w:val="single" w:sz="8" w:space="0" w:color="auto"/>
              <w:bottom w:val="single" w:sz="8" w:space="0" w:color="auto"/>
              <w:right w:val="single" w:sz="4" w:space="0" w:color="auto"/>
            </w:tcBorders>
            <w:shd w:val="clear" w:color="auto" w:fill="DEEAF6" w:themeFill="accent1" w:themeFillTint="33"/>
            <w:noWrap/>
            <w:vAlign w:val="center"/>
            <w:hideMark/>
          </w:tcPr>
          <w:p w:rsidR="001A2F19" w:rsidRPr="001A2F19" w:rsidRDefault="001A2F19" w:rsidP="00770C19">
            <w:pPr>
              <w:jc w:val="center"/>
              <w:rPr>
                <w:rFonts w:ascii="Arial" w:hAnsi="Arial" w:cs="Arial"/>
                <w:b/>
                <w:bCs/>
                <w:color w:val="000000" w:themeColor="text1"/>
                <w:sz w:val="22"/>
                <w:szCs w:val="22"/>
              </w:rPr>
            </w:pPr>
            <w:r w:rsidRPr="001A2F19">
              <w:rPr>
                <w:rFonts w:ascii="Arial" w:hAnsi="Arial" w:cs="Arial"/>
                <w:b/>
                <w:bCs/>
                <w:color w:val="000000" w:themeColor="text1"/>
                <w:sz w:val="22"/>
                <w:szCs w:val="22"/>
              </w:rPr>
              <w:t>Studii</w:t>
            </w:r>
          </w:p>
        </w:tc>
        <w:tc>
          <w:tcPr>
            <w:tcW w:w="1134" w:type="dxa"/>
            <w:tcBorders>
              <w:top w:val="single" w:sz="8" w:space="0" w:color="auto"/>
              <w:left w:val="nil"/>
              <w:bottom w:val="single" w:sz="8" w:space="0" w:color="auto"/>
              <w:right w:val="single" w:sz="4" w:space="0" w:color="auto"/>
            </w:tcBorders>
            <w:shd w:val="clear" w:color="auto" w:fill="DEEAF6" w:themeFill="accent1" w:themeFillTint="33"/>
            <w:noWrap/>
            <w:vAlign w:val="center"/>
            <w:hideMark/>
          </w:tcPr>
          <w:p w:rsidR="001A2F19" w:rsidRPr="001A2F19" w:rsidRDefault="001A2F19" w:rsidP="00934797">
            <w:pPr>
              <w:jc w:val="center"/>
              <w:rPr>
                <w:rFonts w:ascii="Arial" w:hAnsi="Arial" w:cs="Arial"/>
                <w:b/>
                <w:bCs/>
                <w:color w:val="000000" w:themeColor="text1"/>
                <w:sz w:val="22"/>
                <w:szCs w:val="22"/>
              </w:rPr>
            </w:pPr>
            <w:r w:rsidRPr="001A2F19">
              <w:rPr>
                <w:rFonts w:ascii="Arial" w:hAnsi="Arial" w:cs="Arial"/>
                <w:b/>
                <w:bCs/>
                <w:color w:val="000000" w:themeColor="text1"/>
                <w:sz w:val="22"/>
                <w:szCs w:val="22"/>
              </w:rPr>
              <w:t xml:space="preserve">Total </w:t>
            </w:r>
          </w:p>
        </w:tc>
        <w:tc>
          <w:tcPr>
            <w:tcW w:w="1276" w:type="dxa"/>
            <w:tcBorders>
              <w:top w:val="single" w:sz="8" w:space="0" w:color="auto"/>
              <w:left w:val="nil"/>
              <w:bottom w:val="single" w:sz="8" w:space="0" w:color="auto"/>
              <w:right w:val="single" w:sz="4" w:space="0" w:color="auto"/>
            </w:tcBorders>
            <w:shd w:val="clear" w:color="auto" w:fill="DEEAF6" w:themeFill="accent1" w:themeFillTint="33"/>
            <w:noWrap/>
            <w:vAlign w:val="center"/>
            <w:hideMark/>
          </w:tcPr>
          <w:p w:rsidR="001A2F19" w:rsidRPr="001A2F19" w:rsidRDefault="00770C19" w:rsidP="00934797">
            <w:pPr>
              <w:jc w:val="center"/>
              <w:rPr>
                <w:rFonts w:ascii="Arial" w:hAnsi="Arial" w:cs="Arial"/>
                <w:b/>
                <w:bCs/>
                <w:color w:val="000000" w:themeColor="text1"/>
                <w:sz w:val="22"/>
                <w:szCs w:val="22"/>
              </w:rPr>
            </w:pPr>
            <w:r w:rsidRPr="001A2F19">
              <w:rPr>
                <w:rFonts w:ascii="Arial" w:hAnsi="Arial" w:cs="Arial"/>
                <w:b/>
                <w:bCs/>
                <w:color w:val="000000" w:themeColor="text1"/>
                <w:sz w:val="22"/>
                <w:szCs w:val="22"/>
              </w:rPr>
              <w:t>% în total angajați</w:t>
            </w:r>
          </w:p>
        </w:tc>
        <w:tc>
          <w:tcPr>
            <w:tcW w:w="1052" w:type="dxa"/>
            <w:tcBorders>
              <w:top w:val="single" w:sz="8" w:space="0" w:color="auto"/>
              <w:left w:val="nil"/>
              <w:bottom w:val="single" w:sz="8" w:space="0" w:color="auto"/>
              <w:right w:val="single" w:sz="4" w:space="0" w:color="auto"/>
            </w:tcBorders>
            <w:shd w:val="clear" w:color="auto" w:fill="DEEAF6" w:themeFill="accent1" w:themeFillTint="33"/>
            <w:noWrap/>
            <w:vAlign w:val="center"/>
            <w:hideMark/>
          </w:tcPr>
          <w:p w:rsidR="001A2F19" w:rsidRPr="001A2F19" w:rsidRDefault="001A2F19" w:rsidP="00934797">
            <w:pPr>
              <w:jc w:val="center"/>
              <w:rPr>
                <w:rFonts w:ascii="Arial" w:hAnsi="Arial" w:cs="Arial"/>
                <w:b/>
                <w:bCs/>
                <w:color w:val="000000" w:themeColor="text1"/>
                <w:sz w:val="22"/>
                <w:szCs w:val="22"/>
              </w:rPr>
            </w:pPr>
            <w:r w:rsidRPr="001A2F19">
              <w:rPr>
                <w:rFonts w:ascii="Arial" w:hAnsi="Arial" w:cs="Arial"/>
                <w:b/>
                <w:bCs/>
                <w:color w:val="000000" w:themeColor="text1"/>
                <w:sz w:val="22"/>
                <w:szCs w:val="22"/>
              </w:rPr>
              <w:t>Femei</w:t>
            </w:r>
          </w:p>
        </w:tc>
        <w:tc>
          <w:tcPr>
            <w:tcW w:w="1048" w:type="dxa"/>
            <w:tcBorders>
              <w:top w:val="single" w:sz="8" w:space="0" w:color="auto"/>
              <w:left w:val="nil"/>
              <w:bottom w:val="single" w:sz="8" w:space="0" w:color="auto"/>
              <w:right w:val="single" w:sz="4" w:space="0" w:color="auto"/>
            </w:tcBorders>
            <w:shd w:val="clear" w:color="auto" w:fill="DEEAF6" w:themeFill="accent1" w:themeFillTint="33"/>
            <w:vAlign w:val="center"/>
            <w:hideMark/>
          </w:tcPr>
          <w:p w:rsidR="001A2F19" w:rsidRPr="001A2F19" w:rsidRDefault="001A2F19" w:rsidP="00934797">
            <w:pPr>
              <w:jc w:val="center"/>
              <w:rPr>
                <w:rFonts w:ascii="Arial" w:hAnsi="Arial" w:cs="Arial"/>
                <w:b/>
                <w:bCs/>
                <w:color w:val="000000" w:themeColor="text1"/>
                <w:sz w:val="22"/>
                <w:szCs w:val="22"/>
              </w:rPr>
            </w:pPr>
            <w:r w:rsidRPr="001A2F19">
              <w:rPr>
                <w:rFonts w:ascii="Arial" w:hAnsi="Arial" w:cs="Arial"/>
                <w:b/>
                <w:bCs/>
                <w:color w:val="000000" w:themeColor="text1"/>
                <w:sz w:val="22"/>
                <w:szCs w:val="22"/>
              </w:rPr>
              <w:t>% în total angajați</w:t>
            </w:r>
          </w:p>
        </w:tc>
        <w:tc>
          <w:tcPr>
            <w:tcW w:w="974" w:type="dxa"/>
            <w:tcBorders>
              <w:top w:val="single" w:sz="8" w:space="0" w:color="auto"/>
              <w:left w:val="nil"/>
              <w:bottom w:val="single" w:sz="8" w:space="0" w:color="auto"/>
              <w:right w:val="single" w:sz="4" w:space="0" w:color="auto"/>
            </w:tcBorders>
            <w:shd w:val="clear" w:color="auto" w:fill="DEEAF6" w:themeFill="accent1" w:themeFillTint="33"/>
            <w:noWrap/>
            <w:vAlign w:val="center"/>
            <w:hideMark/>
          </w:tcPr>
          <w:p w:rsidR="001A2F19" w:rsidRPr="001A2F19" w:rsidRDefault="001A2F19" w:rsidP="002F3868">
            <w:pPr>
              <w:jc w:val="center"/>
              <w:rPr>
                <w:rFonts w:ascii="Arial" w:hAnsi="Arial" w:cs="Arial"/>
                <w:b/>
                <w:bCs/>
                <w:color w:val="000000" w:themeColor="text1"/>
                <w:sz w:val="22"/>
                <w:szCs w:val="22"/>
              </w:rPr>
            </w:pPr>
            <w:r w:rsidRPr="001A2F19">
              <w:rPr>
                <w:rFonts w:ascii="Arial" w:hAnsi="Arial" w:cs="Arial"/>
                <w:b/>
                <w:bCs/>
                <w:color w:val="000000" w:themeColor="text1"/>
                <w:sz w:val="22"/>
                <w:szCs w:val="22"/>
              </w:rPr>
              <w:t>B</w:t>
            </w:r>
            <w:r w:rsidR="002F3868">
              <w:rPr>
                <w:rFonts w:ascii="Arial" w:hAnsi="Arial" w:cs="Arial"/>
                <w:b/>
                <w:bCs/>
                <w:color w:val="000000" w:themeColor="text1"/>
                <w:sz w:val="22"/>
                <w:szCs w:val="22"/>
              </w:rPr>
              <w:t>ă</w:t>
            </w:r>
            <w:r w:rsidRPr="001A2F19">
              <w:rPr>
                <w:rFonts w:ascii="Arial" w:hAnsi="Arial" w:cs="Arial"/>
                <w:b/>
                <w:bCs/>
                <w:color w:val="000000" w:themeColor="text1"/>
                <w:sz w:val="22"/>
                <w:szCs w:val="22"/>
              </w:rPr>
              <w:t>rba</w:t>
            </w:r>
            <w:r w:rsidR="002F3868">
              <w:rPr>
                <w:rFonts w:ascii="Arial" w:hAnsi="Arial" w:cs="Arial"/>
                <w:b/>
                <w:bCs/>
                <w:color w:val="000000" w:themeColor="text1"/>
                <w:sz w:val="22"/>
                <w:szCs w:val="22"/>
              </w:rPr>
              <w:t>ț</w:t>
            </w:r>
            <w:r w:rsidRPr="001A2F19">
              <w:rPr>
                <w:rFonts w:ascii="Arial" w:hAnsi="Arial" w:cs="Arial"/>
                <w:b/>
                <w:bCs/>
                <w:color w:val="000000" w:themeColor="text1"/>
                <w:sz w:val="22"/>
                <w:szCs w:val="22"/>
              </w:rPr>
              <w:t>i</w:t>
            </w:r>
          </w:p>
        </w:tc>
        <w:tc>
          <w:tcPr>
            <w:tcW w:w="1048"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rsidR="001A2F19" w:rsidRPr="001A2F19" w:rsidRDefault="001A2F19" w:rsidP="00934797">
            <w:pPr>
              <w:jc w:val="center"/>
              <w:rPr>
                <w:rFonts w:ascii="Arial" w:hAnsi="Arial" w:cs="Arial"/>
                <w:b/>
                <w:bCs/>
                <w:color w:val="000000" w:themeColor="text1"/>
                <w:sz w:val="22"/>
                <w:szCs w:val="22"/>
              </w:rPr>
            </w:pPr>
            <w:r w:rsidRPr="001A2F19">
              <w:rPr>
                <w:rFonts w:ascii="Arial" w:hAnsi="Arial" w:cs="Arial"/>
                <w:b/>
                <w:bCs/>
                <w:color w:val="000000" w:themeColor="text1"/>
                <w:sz w:val="22"/>
                <w:szCs w:val="22"/>
              </w:rPr>
              <w:t>% în total angajați</w:t>
            </w:r>
          </w:p>
        </w:tc>
      </w:tr>
      <w:tr w:rsidR="001A2F19" w:rsidRPr="001A2F19" w:rsidTr="00E8541C">
        <w:trPr>
          <w:trHeight w:val="324"/>
          <w:jc w:val="center"/>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rsidR="001A2F19" w:rsidRPr="001A2F19" w:rsidRDefault="001A2F19" w:rsidP="00934797">
            <w:pPr>
              <w:rPr>
                <w:rFonts w:ascii="Arial" w:hAnsi="Arial" w:cs="Arial"/>
                <w:color w:val="000000"/>
                <w:sz w:val="22"/>
                <w:szCs w:val="22"/>
              </w:rPr>
            </w:pPr>
            <w:r w:rsidRPr="001A2F19">
              <w:rPr>
                <w:rFonts w:ascii="Arial" w:hAnsi="Arial" w:cs="Arial"/>
                <w:color w:val="000000"/>
                <w:sz w:val="22"/>
                <w:szCs w:val="22"/>
              </w:rPr>
              <w:t>generale (8-10 clase)</w:t>
            </w:r>
          </w:p>
        </w:tc>
        <w:tc>
          <w:tcPr>
            <w:tcW w:w="1134" w:type="dxa"/>
            <w:tcBorders>
              <w:top w:val="nil"/>
              <w:left w:val="nil"/>
              <w:bottom w:val="single" w:sz="4" w:space="0" w:color="auto"/>
              <w:right w:val="single" w:sz="4" w:space="0" w:color="auto"/>
            </w:tcBorders>
            <w:shd w:val="clear" w:color="auto" w:fill="auto"/>
            <w:noWrap/>
            <w:vAlign w:val="center"/>
            <w:hideMark/>
          </w:tcPr>
          <w:p w:rsidR="001A2F19" w:rsidRPr="001A2F19" w:rsidRDefault="00770C19" w:rsidP="00934797">
            <w:pPr>
              <w:jc w:val="right"/>
              <w:rPr>
                <w:rFonts w:ascii="Arial" w:hAnsi="Arial" w:cs="Arial"/>
                <w:color w:val="000000"/>
                <w:sz w:val="22"/>
                <w:szCs w:val="22"/>
              </w:rPr>
            </w:pPr>
            <w:r>
              <w:rPr>
                <w:rFonts w:ascii="Arial" w:hAnsi="Arial" w:cs="Arial"/>
                <w:color w:val="000000"/>
                <w:sz w:val="22"/>
                <w:szCs w:val="22"/>
              </w:rPr>
              <w:t>137</w:t>
            </w:r>
          </w:p>
        </w:tc>
        <w:tc>
          <w:tcPr>
            <w:tcW w:w="1276" w:type="dxa"/>
            <w:tcBorders>
              <w:top w:val="nil"/>
              <w:left w:val="nil"/>
              <w:bottom w:val="single" w:sz="4" w:space="0" w:color="auto"/>
              <w:right w:val="single" w:sz="4" w:space="0" w:color="auto"/>
            </w:tcBorders>
            <w:shd w:val="clear" w:color="auto" w:fill="auto"/>
            <w:noWrap/>
            <w:vAlign w:val="center"/>
            <w:hideMark/>
          </w:tcPr>
          <w:p w:rsidR="001A2F19" w:rsidRPr="001A2F19" w:rsidRDefault="00770C19" w:rsidP="00934797">
            <w:pPr>
              <w:jc w:val="center"/>
              <w:rPr>
                <w:rFonts w:ascii="Arial" w:hAnsi="Arial" w:cs="Arial"/>
                <w:color w:val="000000"/>
                <w:sz w:val="22"/>
                <w:szCs w:val="22"/>
              </w:rPr>
            </w:pPr>
            <w:r>
              <w:rPr>
                <w:rFonts w:ascii="Arial" w:hAnsi="Arial" w:cs="Arial"/>
                <w:color w:val="000000"/>
                <w:sz w:val="22"/>
                <w:szCs w:val="22"/>
              </w:rPr>
              <w:t>8,15</w:t>
            </w:r>
            <w:r w:rsidR="001A2F19" w:rsidRPr="001A2F19">
              <w:rPr>
                <w:rFonts w:ascii="Arial" w:hAnsi="Arial" w:cs="Arial"/>
                <w:color w:val="000000"/>
                <w:sz w:val="22"/>
                <w:szCs w:val="22"/>
              </w:rPr>
              <w:t>%</w:t>
            </w:r>
          </w:p>
        </w:tc>
        <w:tc>
          <w:tcPr>
            <w:tcW w:w="1052" w:type="dxa"/>
            <w:tcBorders>
              <w:top w:val="nil"/>
              <w:left w:val="nil"/>
              <w:bottom w:val="single" w:sz="4" w:space="0" w:color="auto"/>
              <w:right w:val="single" w:sz="4" w:space="0" w:color="auto"/>
            </w:tcBorders>
            <w:shd w:val="clear" w:color="auto" w:fill="auto"/>
            <w:noWrap/>
            <w:vAlign w:val="center"/>
            <w:hideMark/>
          </w:tcPr>
          <w:p w:rsidR="001A2F19" w:rsidRPr="002F3868" w:rsidRDefault="001A2F19" w:rsidP="00934797">
            <w:pPr>
              <w:jc w:val="center"/>
              <w:rPr>
                <w:rFonts w:ascii="Arial" w:hAnsi="Arial" w:cs="Arial"/>
                <w:bCs/>
                <w:color w:val="000000"/>
                <w:sz w:val="22"/>
                <w:szCs w:val="22"/>
              </w:rPr>
            </w:pPr>
            <w:r w:rsidRPr="002F3868">
              <w:rPr>
                <w:rFonts w:ascii="Arial" w:hAnsi="Arial" w:cs="Arial"/>
                <w:bCs/>
                <w:color w:val="000000"/>
                <w:sz w:val="22"/>
                <w:szCs w:val="22"/>
              </w:rPr>
              <w:t>14</w:t>
            </w:r>
          </w:p>
        </w:tc>
        <w:tc>
          <w:tcPr>
            <w:tcW w:w="1048" w:type="dxa"/>
            <w:tcBorders>
              <w:top w:val="nil"/>
              <w:left w:val="nil"/>
              <w:bottom w:val="single" w:sz="4" w:space="0" w:color="auto"/>
              <w:right w:val="single" w:sz="4" w:space="0" w:color="auto"/>
            </w:tcBorders>
            <w:shd w:val="clear" w:color="auto" w:fill="auto"/>
            <w:noWrap/>
            <w:vAlign w:val="center"/>
            <w:hideMark/>
          </w:tcPr>
          <w:p w:rsidR="001A2F19" w:rsidRPr="001A2F19" w:rsidRDefault="001A2F19" w:rsidP="00934797">
            <w:pPr>
              <w:jc w:val="center"/>
              <w:rPr>
                <w:rFonts w:ascii="Arial" w:hAnsi="Arial" w:cs="Arial"/>
                <w:color w:val="000000"/>
                <w:sz w:val="22"/>
                <w:szCs w:val="22"/>
              </w:rPr>
            </w:pPr>
            <w:r w:rsidRPr="001A2F19">
              <w:rPr>
                <w:rFonts w:ascii="Arial" w:hAnsi="Arial" w:cs="Arial"/>
                <w:color w:val="000000"/>
                <w:sz w:val="22"/>
                <w:szCs w:val="22"/>
              </w:rPr>
              <w:t>0,83%</w:t>
            </w:r>
          </w:p>
        </w:tc>
        <w:tc>
          <w:tcPr>
            <w:tcW w:w="974" w:type="dxa"/>
            <w:tcBorders>
              <w:top w:val="nil"/>
              <w:left w:val="nil"/>
              <w:bottom w:val="single" w:sz="4" w:space="0" w:color="auto"/>
              <w:right w:val="single" w:sz="4" w:space="0" w:color="auto"/>
            </w:tcBorders>
            <w:shd w:val="clear" w:color="auto" w:fill="auto"/>
            <w:noWrap/>
            <w:vAlign w:val="center"/>
            <w:hideMark/>
          </w:tcPr>
          <w:p w:rsidR="001A2F19" w:rsidRPr="002F3868" w:rsidRDefault="001A2F19" w:rsidP="00770C19">
            <w:pPr>
              <w:jc w:val="center"/>
              <w:rPr>
                <w:rFonts w:ascii="Arial" w:hAnsi="Arial" w:cs="Arial"/>
                <w:bCs/>
                <w:color w:val="000000"/>
                <w:sz w:val="22"/>
                <w:szCs w:val="22"/>
              </w:rPr>
            </w:pPr>
            <w:r w:rsidRPr="002F3868">
              <w:rPr>
                <w:rFonts w:ascii="Arial" w:hAnsi="Arial" w:cs="Arial"/>
                <w:bCs/>
                <w:color w:val="000000"/>
                <w:sz w:val="22"/>
                <w:szCs w:val="22"/>
              </w:rPr>
              <w:t>12</w:t>
            </w:r>
            <w:r w:rsidR="006D72EC">
              <w:rPr>
                <w:rFonts w:ascii="Arial" w:hAnsi="Arial" w:cs="Arial"/>
                <w:bCs/>
                <w:color w:val="000000"/>
                <w:sz w:val="22"/>
                <w:szCs w:val="22"/>
              </w:rPr>
              <w:t>4</w:t>
            </w:r>
          </w:p>
        </w:tc>
        <w:tc>
          <w:tcPr>
            <w:tcW w:w="1048" w:type="dxa"/>
            <w:tcBorders>
              <w:top w:val="nil"/>
              <w:left w:val="nil"/>
              <w:bottom w:val="single" w:sz="4" w:space="0" w:color="auto"/>
              <w:right w:val="single" w:sz="8" w:space="0" w:color="auto"/>
            </w:tcBorders>
            <w:shd w:val="clear" w:color="auto" w:fill="auto"/>
            <w:noWrap/>
            <w:vAlign w:val="center"/>
            <w:hideMark/>
          </w:tcPr>
          <w:p w:rsidR="001A2F19" w:rsidRPr="001A2F19" w:rsidRDefault="001A2F19" w:rsidP="00934797">
            <w:pPr>
              <w:jc w:val="center"/>
              <w:rPr>
                <w:rFonts w:ascii="Arial" w:hAnsi="Arial" w:cs="Arial"/>
                <w:color w:val="000000"/>
                <w:sz w:val="22"/>
                <w:szCs w:val="22"/>
              </w:rPr>
            </w:pPr>
            <w:r w:rsidRPr="001A2F19">
              <w:rPr>
                <w:rFonts w:ascii="Arial" w:hAnsi="Arial" w:cs="Arial"/>
                <w:color w:val="000000"/>
                <w:sz w:val="22"/>
                <w:szCs w:val="22"/>
              </w:rPr>
              <w:t>7,38%</w:t>
            </w:r>
          </w:p>
        </w:tc>
      </w:tr>
      <w:tr w:rsidR="001A2F19" w:rsidRPr="001A2F19" w:rsidTr="00E8541C">
        <w:trPr>
          <w:trHeight w:val="312"/>
          <w:jc w:val="center"/>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rsidR="001A2F19" w:rsidRPr="001A2F19" w:rsidRDefault="001A2F19" w:rsidP="00934797">
            <w:pPr>
              <w:rPr>
                <w:rFonts w:ascii="Arial" w:hAnsi="Arial" w:cs="Arial"/>
                <w:color w:val="000000" w:themeColor="text1"/>
                <w:sz w:val="22"/>
                <w:szCs w:val="22"/>
              </w:rPr>
            </w:pPr>
            <w:r w:rsidRPr="001A2F19">
              <w:rPr>
                <w:rFonts w:ascii="Arial" w:hAnsi="Arial" w:cs="Arial"/>
                <w:color w:val="000000" w:themeColor="text1"/>
                <w:sz w:val="22"/>
                <w:szCs w:val="22"/>
              </w:rPr>
              <w:t>medii</w:t>
            </w:r>
          </w:p>
        </w:tc>
        <w:tc>
          <w:tcPr>
            <w:tcW w:w="1134" w:type="dxa"/>
            <w:tcBorders>
              <w:top w:val="nil"/>
              <w:left w:val="nil"/>
              <w:bottom w:val="single" w:sz="4" w:space="0" w:color="auto"/>
              <w:right w:val="single" w:sz="4" w:space="0" w:color="auto"/>
            </w:tcBorders>
            <w:shd w:val="clear" w:color="auto" w:fill="auto"/>
            <w:noWrap/>
            <w:vAlign w:val="center"/>
            <w:hideMark/>
          </w:tcPr>
          <w:p w:rsidR="001A2F19" w:rsidRPr="001A2F19" w:rsidRDefault="001A2F19" w:rsidP="00934797">
            <w:pPr>
              <w:jc w:val="right"/>
              <w:rPr>
                <w:rFonts w:ascii="Arial" w:hAnsi="Arial" w:cs="Arial"/>
                <w:color w:val="000000" w:themeColor="text1"/>
                <w:sz w:val="22"/>
                <w:szCs w:val="22"/>
              </w:rPr>
            </w:pPr>
            <w:r w:rsidRPr="001A2F19">
              <w:rPr>
                <w:rFonts w:ascii="Arial" w:hAnsi="Arial" w:cs="Arial"/>
                <w:color w:val="000000" w:themeColor="text1"/>
                <w:sz w:val="22"/>
                <w:szCs w:val="22"/>
              </w:rPr>
              <w:t>1</w:t>
            </w:r>
            <w:r w:rsidR="00770C19">
              <w:rPr>
                <w:rFonts w:ascii="Arial" w:hAnsi="Arial" w:cs="Arial"/>
                <w:color w:val="000000" w:themeColor="text1"/>
                <w:sz w:val="22"/>
                <w:szCs w:val="22"/>
              </w:rPr>
              <w:t>.</w:t>
            </w:r>
            <w:r w:rsidRPr="001A2F19">
              <w:rPr>
                <w:rFonts w:ascii="Arial" w:hAnsi="Arial" w:cs="Arial"/>
                <w:color w:val="000000" w:themeColor="text1"/>
                <w:sz w:val="22"/>
                <w:szCs w:val="22"/>
              </w:rPr>
              <w:t>016</w:t>
            </w:r>
          </w:p>
        </w:tc>
        <w:tc>
          <w:tcPr>
            <w:tcW w:w="1276" w:type="dxa"/>
            <w:tcBorders>
              <w:top w:val="nil"/>
              <w:left w:val="nil"/>
              <w:bottom w:val="single" w:sz="4" w:space="0" w:color="auto"/>
              <w:right w:val="single" w:sz="4" w:space="0" w:color="auto"/>
            </w:tcBorders>
            <w:shd w:val="clear" w:color="auto" w:fill="auto"/>
            <w:noWrap/>
            <w:vAlign w:val="center"/>
            <w:hideMark/>
          </w:tcPr>
          <w:p w:rsidR="001A2F19" w:rsidRPr="001A2F19" w:rsidRDefault="00770C19" w:rsidP="00934797">
            <w:pPr>
              <w:jc w:val="center"/>
              <w:rPr>
                <w:rFonts w:ascii="Arial" w:hAnsi="Arial" w:cs="Arial"/>
                <w:color w:val="000000" w:themeColor="text1"/>
                <w:sz w:val="22"/>
                <w:szCs w:val="22"/>
              </w:rPr>
            </w:pPr>
            <w:r>
              <w:rPr>
                <w:rFonts w:ascii="Arial" w:hAnsi="Arial" w:cs="Arial"/>
                <w:color w:val="000000" w:themeColor="text1"/>
                <w:sz w:val="22"/>
                <w:szCs w:val="22"/>
              </w:rPr>
              <w:t>60,48</w:t>
            </w:r>
            <w:r w:rsidR="001A2F19" w:rsidRPr="001A2F19">
              <w:rPr>
                <w:rFonts w:ascii="Arial" w:hAnsi="Arial" w:cs="Arial"/>
                <w:color w:val="000000" w:themeColor="text1"/>
                <w:sz w:val="22"/>
                <w:szCs w:val="22"/>
              </w:rPr>
              <w:t>%</w:t>
            </w:r>
          </w:p>
        </w:tc>
        <w:tc>
          <w:tcPr>
            <w:tcW w:w="1052" w:type="dxa"/>
            <w:tcBorders>
              <w:top w:val="nil"/>
              <w:left w:val="nil"/>
              <w:bottom w:val="single" w:sz="4" w:space="0" w:color="auto"/>
              <w:right w:val="single" w:sz="4" w:space="0" w:color="auto"/>
            </w:tcBorders>
            <w:shd w:val="clear" w:color="auto" w:fill="auto"/>
            <w:noWrap/>
            <w:vAlign w:val="center"/>
            <w:hideMark/>
          </w:tcPr>
          <w:p w:rsidR="001A2F19" w:rsidRPr="002F3868" w:rsidRDefault="001A2F19" w:rsidP="00934797">
            <w:pPr>
              <w:jc w:val="center"/>
              <w:rPr>
                <w:rFonts w:ascii="Arial" w:hAnsi="Arial" w:cs="Arial"/>
                <w:bCs/>
                <w:color w:val="000000" w:themeColor="text1"/>
                <w:sz w:val="22"/>
                <w:szCs w:val="22"/>
              </w:rPr>
            </w:pPr>
            <w:r w:rsidRPr="002F3868">
              <w:rPr>
                <w:rFonts w:ascii="Arial" w:hAnsi="Arial" w:cs="Arial"/>
                <w:bCs/>
                <w:color w:val="000000" w:themeColor="text1"/>
                <w:sz w:val="22"/>
                <w:szCs w:val="22"/>
              </w:rPr>
              <w:t>88</w:t>
            </w:r>
          </w:p>
        </w:tc>
        <w:tc>
          <w:tcPr>
            <w:tcW w:w="1048" w:type="dxa"/>
            <w:tcBorders>
              <w:top w:val="nil"/>
              <w:left w:val="nil"/>
              <w:bottom w:val="single" w:sz="4" w:space="0" w:color="auto"/>
              <w:right w:val="single" w:sz="4" w:space="0" w:color="auto"/>
            </w:tcBorders>
            <w:shd w:val="clear" w:color="auto" w:fill="auto"/>
            <w:noWrap/>
            <w:vAlign w:val="center"/>
            <w:hideMark/>
          </w:tcPr>
          <w:p w:rsidR="001A2F19" w:rsidRPr="001A2F19" w:rsidRDefault="001A2F19" w:rsidP="00934797">
            <w:pPr>
              <w:jc w:val="center"/>
              <w:rPr>
                <w:rFonts w:ascii="Arial" w:hAnsi="Arial" w:cs="Arial"/>
                <w:color w:val="000000" w:themeColor="text1"/>
                <w:sz w:val="22"/>
                <w:szCs w:val="22"/>
              </w:rPr>
            </w:pPr>
            <w:r w:rsidRPr="001A2F19">
              <w:rPr>
                <w:rFonts w:ascii="Arial" w:hAnsi="Arial" w:cs="Arial"/>
                <w:color w:val="000000" w:themeColor="text1"/>
                <w:sz w:val="22"/>
                <w:szCs w:val="22"/>
              </w:rPr>
              <w:t>5,23%</w:t>
            </w:r>
          </w:p>
        </w:tc>
        <w:tc>
          <w:tcPr>
            <w:tcW w:w="974" w:type="dxa"/>
            <w:tcBorders>
              <w:top w:val="nil"/>
              <w:left w:val="nil"/>
              <w:bottom w:val="single" w:sz="4" w:space="0" w:color="auto"/>
              <w:right w:val="single" w:sz="4" w:space="0" w:color="auto"/>
            </w:tcBorders>
            <w:shd w:val="clear" w:color="auto" w:fill="auto"/>
            <w:noWrap/>
            <w:vAlign w:val="center"/>
            <w:hideMark/>
          </w:tcPr>
          <w:p w:rsidR="001A2F19" w:rsidRPr="002F3868" w:rsidRDefault="001A2F19" w:rsidP="00934797">
            <w:pPr>
              <w:jc w:val="center"/>
              <w:rPr>
                <w:rFonts w:ascii="Arial" w:hAnsi="Arial" w:cs="Arial"/>
                <w:bCs/>
                <w:color w:val="000000" w:themeColor="text1"/>
                <w:sz w:val="22"/>
                <w:szCs w:val="22"/>
              </w:rPr>
            </w:pPr>
            <w:r w:rsidRPr="002F3868">
              <w:rPr>
                <w:rFonts w:ascii="Arial" w:hAnsi="Arial" w:cs="Arial"/>
                <w:bCs/>
                <w:color w:val="000000" w:themeColor="text1"/>
                <w:sz w:val="22"/>
                <w:szCs w:val="22"/>
              </w:rPr>
              <w:t>928</w:t>
            </w:r>
          </w:p>
        </w:tc>
        <w:tc>
          <w:tcPr>
            <w:tcW w:w="1048" w:type="dxa"/>
            <w:tcBorders>
              <w:top w:val="nil"/>
              <w:left w:val="nil"/>
              <w:bottom w:val="single" w:sz="4" w:space="0" w:color="auto"/>
              <w:right w:val="single" w:sz="8" w:space="0" w:color="auto"/>
            </w:tcBorders>
            <w:shd w:val="clear" w:color="auto" w:fill="auto"/>
            <w:noWrap/>
            <w:vAlign w:val="center"/>
            <w:hideMark/>
          </w:tcPr>
          <w:p w:rsidR="001A2F19" w:rsidRPr="001A2F19" w:rsidRDefault="001A2F19" w:rsidP="00934797">
            <w:pPr>
              <w:jc w:val="center"/>
              <w:rPr>
                <w:rFonts w:ascii="Arial" w:hAnsi="Arial" w:cs="Arial"/>
                <w:color w:val="000000" w:themeColor="text1"/>
                <w:sz w:val="22"/>
                <w:szCs w:val="22"/>
              </w:rPr>
            </w:pPr>
            <w:r w:rsidRPr="001A2F19">
              <w:rPr>
                <w:rFonts w:ascii="Arial" w:hAnsi="Arial" w:cs="Arial"/>
                <w:color w:val="000000" w:themeColor="text1"/>
                <w:sz w:val="22"/>
                <w:szCs w:val="22"/>
              </w:rPr>
              <w:t>55,21%</w:t>
            </w:r>
          </w:p>
        </w:tc>
      </w:tr>
      <w:tr w:rsidR="001A2F19" w:rsidRPr="001A2F19" w:rsidTr="00E8541C">
        <w:trPr>
          <w:trHeight w:val="324"/>
          <w:jc w:val="center"/>
        </w:trPr>
        <w:tc>
          <w:tcPr>
            <w:tcW w:w="2542" w:type="dxa"/>
            <w:tcBorders>
              <w:top w:val="nil"/>
              <w:left w:val="single" w:sz="8" w:space="0" w:color="auto"/>
              <w:bottom w:val="single" w:sz="8" w:space="0" w:color="auto"/>
              <w:right w:val="single" w:sz="4" w:space="0" w:color="auto"/>
            </w:tcBorders>
            <w:shd w:val="clear" w:color="auto" w:fill="auto"/>
            <w:noWrap/>
            <w:vAlign w:val="center"/>
            <w:hideMark/>
          </w:tcPr>
          <w:p w:rsidR="001A2F19" w:rsidRPr="001A2F19" w:rsidRDefault="001A2F19" w:rsidP="00934797">
            <w:pPr>
              <w:rPr>
                <w:rFonts w:ascii="Arial" w:hAnsi="Arial" w:cs="Arial"/>
                <w:color w:val="000000" w:themeColor="text1"/>
                <w:sz w:val="22"/>
                <w:szCs w:val="22"/>
              </w:rPr>
            </w:pPr>
            <w:r w:rsidRPr="001A2F19">
              <w:rPr>
                <w:rFonts w:ascii="Arial" w:hAnsi="Arial" w:cs="Arial"/>
                <w:color w:val="000000" w:themeColor="text1"/>
                <w:sz w:val="22"/>
                <w:szCs w:val="22"/>
              </w:rPr>
              <w:t>superioare</w:t>
            </w:r>
          </w:p>
        </w:tc>
        <w:tc>
          <w:tcPr>
            <w:tcW w:w="1134" w:type="dxa"/>
            <w:tcBorders>
              <w:top w:val="nil"/>
              <w:left w:val="nil"/>
              <w:bottom w:val="single" w:sz="8" w:space="0" w:color="auto"/>
              <w:right w:val="single" w:sz="4" w:space="0" w:color="auto"/>
            </w:tcBorders>
            <w:shd w:val="clear" w:color="auto" w:fill="auto"/>
            <w:noWrap/>
            <w:vAlign w:val="center"/>
            <w:hideMark/>
          </w:tcPr>
          <w:p w:rsidR="001A2F19" w:rsidRPr="001A2F19" w:rsidRDefault="001A2F19" w:rsidP="00934797">
            <w:pPr>
              <w:jc w:val="right"/>
              <w:rPr>
                <w:rFonts w:ascii="Arial" w:hAnsi="Arial" w:cs="Arial"/>
                <w:color w:val="000000" w:themeColor="text1"/>
                <w:sz w:val="22"/>
                <w:szCs w:val="22"/>
              </w:rPr>
            </w:pPr>
            <w:r w:rsidRPr="001A2F19">
              <w:rPr>
                <w:rFonts w:ascii="Arial" w:hAnsi="Arial" w:cs="Arial"/>
                <w:color w:val="000000" w:themeColor="text1"/>
                <w:sz w:val="22"/>
                <w:szCs w:val="22"/>
              </w:rPr>
              <w:t>527</w:t>
            </w:r>
          </w:p>
        </w:tc>
        <w:tc>
          <w:tcPr>
            <w:tcW w:w="1276" w:type="dxa"/>
            <w:tcBorders>
              <w:top w:val="nil"/>
              <w:left w:val="nil"/>
              <w:bottom w:val="single" w:sz="8" w:space="0" w:color="auto"/>
              <w:right w:val="single" w:sz="4" w:space="0" w:color="auto"/>
            </w:tcBorders>
            <w:shd w:val="clear" w:color="auto" w:fill="auto"/>
            <w:noWrap/>
            <w:vAlign w:val="center"/>
            <w:hideMark/>
          </w:tcPr>
          <w:p w:rsidR="001A2F19" w:rsidRPr="001A2F19" w:rsidRDefault="00770C19" w:rsidP="00934797">
            <w:pPr>
              <w:jc w:val="center"/>
              <w:rPr>
                <w:rFonts w:ascii="Arial" w:hAnsi="Arial" w:cs="Arial"/>
                <w:color w:val="000000" w:themeColor="text1"/>
                <w:sz w:val="22"/>
                <w:szCs w:val="22"/>
              </w:rPr>
            </w:pPr>
            <w:r>
              <w:rPr>
                <w:rFonts w:ascii="Arial" w:hAnsi="Arial" w:cs="Arial"/>
                <w:color w:val="000000" w:themeColor="text1"/>
                <w:sz w:val="22"/>
                <w:szCs w:val="22"/>
              </w:rPr>
              <w:t>31,37</w:t>
            </w:r>
            <w:r w:rsidR="001A2F19" w:rsidRPr="001A2F19">
              <w:rPr>
                <w:rFonts w:ascii="Arial" w:hAnsi="Arial" w:cs="Arial"/>
                <w:color w:val="000000" w:themeColor="text1"/>
                <w:sz w:val="22"/>
                <w:szCs w:val="22"/>
              </w:rPr>
              <w:t>%</w:t>
            </w:r>
          </w:p>
        </w:tc>
        <w:tc>
          <w:tcPr>
            <w:tcW w:w="1052" w:type="dxa"/>
            <w:tcBorders>
              <w:top w:val="nil"/>
              <w:left w:val="nil"/>
              <w:bottom w:val="single" w:sz="8" w:space="0" w:color="auto"/>
              <w:right w:val="single" w:sz="4" w:space="0" w:color="auto"/>
            </w:tcBorders>
            <w:shd w:val="clear" w:color="auto" w:fill="auto"/>
            <w:noWrap/>
            <w:vAlign w:val="center"/>
            <w:hideMark/>
          </w:tcPr>
          <w:p w:rsidR="001A2F19" w:rsidRPr="002F3868" w:rsidRDefault="001A2F19" w:rsidP="00934797">
            <w:pPr>
              <w:jc w:val="center"/>
              <w:rPr>
                <w:rFonts w:ascii="Arial" w:hAnsi="Arial" w:cs="Arial"/>
                <w:bCs/>
                <w:color w:val="000000" w:themeColor="text1"/>
                <w:sz w:val="22"/>
                <w:szCs w:val="22"/>
              </w:rPr>
            </w:pPr>
            <w:r w:rsidRPr="002F3868">
              <w:rPr>
                <w:rFonts w:ascii="Arial" w:hAnsi="Arial" w:cs="Arial"/>
                <w:bCs/>
                <w:color w:val="000000" w:themeColor="text1"/>
                <w:sz w:val="22"/>
                <w:szCs w:val="22"/>
              </w:rPr>
              <w:t>190</w:t>
            </w:r>
          </w:p>
        </w:tc>
        <w:tc>
          <w:tcPr>
            <w:tcW w:w="1048" w:type="dxa"/>
            <w:tcBorders>
              <w:top w:val="nil"/>
              <w:left w:val="nil"/>
              <w:bottom w:val="single" w:sz="8" w:space="0" w:color="auto"/>
              <w:right w:val="single" w:sz="4" w:space="0" w:color="auto"/>
            </w:tcBorders>
            <w:shd w:val="clear" w:color="auto" w:fill="auto"/>
            <w:noWrap/>
            <w:vAlign w:val="center"/>
            <w:hideMark/>
          </w:tcPr>
          <w:p w:rsidR="001A2F19" w:rsidRPr="001A2F19" w:rsidRDefault="001A2F19" w:rsidP="00934797">
            <w:pPr>
              <w:jc w:val="center"/>
              <w:rPr>
                <w:rFonts w:ascii="Arial" w:hAnsi="Arial" w:cs="Arial"/>
                <w:color w:val="000000" w:themeColor="text1"/>
                <w:sz w:val="22"/>
                <w:szCs w:val="22"/>
              </w:rPr>
            </w:pPr>
            <w:r w:rsidRPr="001A2F19">
              <w:rPr>
                <w:rFonts w:ascii="Arial" w:hAnsi="Arial" w:cs="Arial"/>
                <w:color w:val="000000" w:themeColor="text1"/>
                <w:sz w:val="22"/>
                <w:szCs w:val="22"/>
              </w:rPr>
              <w:t>11,30%</w:t>
            </w:r>
          </w:p>
        </w:tc>
        <w:tc>
          <w:tcPr>
            <w:tcW w:w="974" w:type="dxa"/>
            <w:tcBorders>
              <w:top w:val="nil"/>
              <w:left w:val="nil"/>
              <w:bottom w:val="single" w:sz="8" w:space="0" w:color="auto"/>
              <w:right w:val="single" w:sz="4" w:space="0" w:color="auto"/>
            </w:tcBorders>
            <w:shd w:val="clear" w:color="auto" w:fill="auto"/>
            <w:noWrap/>
            <w:vAlign w:val="center"/>
            <w:hideMark/>
          </w:tcPr>
          <w:p w:rsidR="001A2F19" w:rsidRPr="002F3868" w:rsidRDefault="001A2F19" w:rsidP="00934797">
            <w:pPr>
              <w:jc w:val="center"/>
              <w:rPr>
                <w:rFonts w:ascii="Arial" w:hAnsi="Arial" w:cs="Arial"/>
                <w:bCs/>
                <w:color w:val="000000" w:themeColor="text1"/>
                <w:sz w:val="22"/>
                <w:szCs w:val="22"/>
              </w:rPr>
            </w:pPr>
            <w:r w:rsidRPr="002F3868">
              <w:rPr>
                <w:rFonts w:ascii="Arial" w:hAnsi="Arial" w:cs="Arial"/>
                <w:bCs/>
                <w:color w:val="000000" w:themeColor="text1"/>
                <w:sz w:val="22"/>
                <w:szCs w:val="22"/>
              </w:rPr>
              <w:t>337</w:t>
            </w:r>
          </w:p>
        </w:tc>
        <w:tc>
          <w:tcPr>
            <w:tcW w:w="1048" w:type="dxa"/>
            <w:tcBorders>
              <w:top w:val="nil"/>
              <w:left w:val="nil"/>
              <w:bottom w:val="single" w:sz="8" w:space="0" w:color="auto"/>
              <w:right w:val="single" w:sz="8" w:space="0" w:color="auto"/>
            </w:tcBorders>
            <w:shd w:val="clear" w:color="auto" w:fill="auto"/>
            <w:noWrap/>
            <w:vAlign w:val="center"/>
            <w:hideMark/>
          </w:tcPr>
          <w:p w:rsidR="001A2F19" w:rsidRPr="001A2F19" w:rsidRDefault="001A2F19" w:rsidP="00934797">
            <w:pPr>
              <w:jc w:val="center"/>
              <w:rPr>
                <w:rFonts w:ascii="Arial" w:hAnsi="Arial" w:cs="Arial"/>
                <w:color w:val="000000" w:themeColor="text1"/>
                <w:sz w:val="22"/>
                <w:szCs w:val="22"/>
              </w:rPr>
            </w:pPr>
            <w:r w:rsidRPr="001A2F19">
              <w:rPr>
                <w:rFonts w:ascii="Arial" w:hAnsi="Arial" w:cs="Arial"/>
                <w:color w:val="000000" w:themeColor="text1"/>
                <w:sz w:val="22"/>
                <w:szCs w:val="22"/>
              </w:rPr>
              <w:t>20,05%</w:t>
            </w:r>
          </w:p>
        </w:tc>
      </w:tr>
      <w:tr w:rsidR="001A2F19" w:rsidRPr="001A2F19" w:rsidTr="00E8541C">
        <w:trPr>
          <w:trHeight w:val="324"/>
          <w:jc w:val="center"/>
        </w:trPr>
        <w:tc>
          <w:tcPr>
            <w:tcW w:w="2542" w:type="dxa"/>
            <w:tcBorders>
              <w:top w:val="nil"/>
              <w:left w:val="single" w:sz="8" w:space="0" w:color="auto"/>
              <w:bottom w:val="single" w:sz="8" w:space="0" w:color="auto"/>
              <w:right w:val="single" w:sz="4" w:space="0" w:color="auto"/>
            </w:tcBorders>
            <w:shd w:val="clear" w:color="auto" w:fill="DEEAF6" w:themeFill="accent1" w:themeFillTint="33"/>
            <w:noWrap/>
            <w:vAlign w:val="center"/>
            <w:hideMark/>
          </w:tcPr>
          <w:p w:rsidR="001A2F19" w:rsidRPr="001A2F19" w:rsidRDefault="001A2F19" w:rsidP="00934797">
            <w:pPr>
              <w:rPr>
                <w:rFonts w:ascii="Arial" w:hAnsi="Arial" w:cs="Arial"/>
                <w:b/>
                <w:bCs/>
                <w:color w:val="000000"/>
                <w:sz w:val="22"/>
                <w:szCs w:val="22"/>
              </w:rPr>
            </w:pPr>
            <w:r w:rsidRPr="001A2F19">
              <w:rPr>
                <w:rFonts w:ascii="Arial" w:hAnsi="Arial" w:cs="Arial"/>
                <w:b/>
                <w:bCs/>
                <w:color w:val="000000"/>
                <w:sz w:val="22"/>
                <w:szCs w:val="22"/>
              </w:rPr>
              <w:t>Tot</w:t>
            </w:r>
            <w:r w:rsidR="00E8541C">
              <w:rPr>
                <w:rFonts w:ascii="Arial" w:hAnsi="Arial" w:cs="Arial"/>
                <w:b/>
                <w:bCs/>
                <w:color w:val="000000"/>
                <w:sz w:val="22"/>
                <w:szCs w:val="22"/>
              </w:rPr>
              <w:t>al</w:t>
            </w:r>
          </w:p>
        </w:tc>
        <w:tc>
          <w:tcPr>
            <w:tcW w:w="1134" w:type="dxa"/>
            <w:tcBorders>
              <w:top w:val="nil"/>
              <w:left w:val="nil"/>
              <w:bottom w:val="single" w:sz="8" w:space="0" w:color="auto"/>
              <w:right w:val="single" w:sz="4" w:space="0" w:color="auto"/>
            </w:tcBorders>
            <w:shd w:val="clear" w:color="auto" w:fill="DEEAF6" w:themeFill="accent1" w:themeFillTint="33"/>
            <w:noWrap/>
            <w:vAlign w:val="center"/>
            <w:hideMark/>
          </w:tcPr>
          <w:p w:rsidR="001A2F19" w:rsidRPr="001A2F19" w:rsidRDefault="001A2F19" w:rsidP="00770C19">
            <w:pPr>
              <w:jc w:val="right"/>
              <w:rPr>
                <w:rFonts w:ascii="Arial" w:hAnsi="Arial" w:cs="Arial"/>
                <w:b/>
                <w:color w:val="000000"/>
                <w:sz w:val="22"/>
                <w:szCs w:val="22"/>
              </w:rPr>
            </w:pPr>
            <w:r w:rsidRPr="001A2F19">
              <w:rPr>
                <w:rFonts w:ascii="Arial" w:hAnsi="Arial" w:cs="Arial"/>
                <w:b/>
                <w:color w:val="000000"/>
                <w:sz w:val="22"/>
                <w:szCs w:val="22"/>
              </w:rPr>
              <w:t>1</w:t>
            </w:r>
            <w:r w:rsidR="00770C19">
              <w:rPr>
                <w:rFonts w:ascii="Arial" w:hAnsi="Arial" w:cs="Arial"/>
                <w:b/>
                <w:color w:val="000000"/>
                <w:sz w:val="22"/>
                <w:szCs w:val="22"/>
              </w:rPr>
              <w:t>.</w:t>
            </w:r>
            <w:r w:rsidRPr="001A2F19">
              <w:rPr>
                <w:rFonts w:ascii="Arial" w:hAnsi="Arial" w:cs="Arial"/>
                <w:b/>
                <w:color w:val="000000"/>
                <w:sz w:val="22"/>
                <w:szCs w:val="22"/>
              </w:rPr>
              <w:t>68</w:t>
            </w:r>
            <w:r w:rsidR="00770C19">
              <w:rPr>
                <w:rFonts w:ascii="Arial" w:hAnsi="Arial" w:cs="Arial"/>
                <w:b/>
                <w:color w:val="000000"/>
                <w:sz w:val="22"/>
                <w:szCs w:val="22"/>
              </w:rPr>
              <w:t>0</w:t>
            </w:r>
          </w:p>
        </w:tc>
        <w:tc>
          <w:tcPr>
            <w:tcW w:w="1276" w:type="dxa"/>
            <w:tcBorders>
              <w:top w:val="nil"/>
              <w:left w:val="nil"/>
              <w:bottom w:val="single" w:sz="8" w:space="0" w:color="auto"/>
              <w:right w:val="single" w:sz="4" w:space="0" w:color="auto"/>
            </w:tcBorders>
            <w:shd w:val="clear" w:color="auto" w:fill="DEEAF6" w:themeFill="accent1" w:themeFillTint="33"/>
            <w:noWrap/>
            <w:vAlign w:val="center"/>
            <w:hideMark/>
          </w:tcPr>
          <w:p w:rsidR="001A2F19" w:rsidRPr="00770C19" w:rsidRDefault="001A2F19" w:rsidP="00934797">
            <w:pPr>
              <w:jc w:val="center"/>
              <w:rPr>
                <w:rFonts w:ascii="Arial" w:hAnsi="Arial" w:cs="Arial"/>
                <w:b/>
                <w:color w:val="000000"/>
                <w:sz w:val="22"/>
                <w:szCs w:val="22"/>
              </w:rPr>
            </w:pPr>
            <w:r w:rsidRPr="00770C19">
              <w:rPr>
                <w:rFonts w:ascii="Arial" w:hAnsi="Arial" w:cs="Arial"/>
                <w:b/>
                <w:color w:val="000000"/>
                <w:sz w:val="22"/>
                <w:szCs w:val="22"/>
              </w:rPr>
              <w:t>100</w:t>
            </w:r>
            <w:r w:rsidR="002F3868">
              <w:rPr>
                <w:rFonts w:ascii="Arial" w:hAnsi="Arial" w:cs="Arial"/>
                <w:b/>
                <w:color w:val="000000"/>
                <w:sz w:val="22"/>
                <w:szCs w:val="22"/>
              </w:rPr>
              <w:t>,00</w:t>
            </w:r>
            <w:r w:rsidRPr="00770C19">
              <w:rPr>
                <w:rFonts w:ascii="Arial" w:hAnsi="Arial" w:cs="Arial"/>
                <w:b/>
                <w:color w:val="000000"/>
                <w:sz w:val="22"/>
                <w:szCs w:val="22"/>
              </w:rPr>
              <w:t>%</w:t>
            </w:r>
          </w:p>
        </w:tc>
        <w:tc>
          <w:tcPr>
            <w:tcW w:w="1052" w:type="dxa"/>
            <w:tcBorders>
              <w:top w:val="nil"/>
              <w:left w:val="nil"/>
              <w:bottom w:val="single" w:sz="8" w:space="0" w:color="auto"/>
              <w:right w:val="single" w:sz="4" w:space="0" w:color="auto"/>
            </w:tcBorders>
            <w:shd w:val="clear" w:color="auto" w:fill="DEEAF6" w:themeFill="accent1" w:themeFillTint="33"/>
            <w:noWrap/>
            <w:vAlign w:val="center"/>
            <w:hideMark/>
          </w:tcPr>
          <w:p w:rsidR="001A2F19" w:rsidRPr="001A2F19" w:rsidRDefault="001A2F19" w:rsidP="00934797">
            <w:pPr>
              <w:jc w:val="center"/>
              <w:rPr>
                <w:rFonts w:ascii="Arial" w:hAnsi="Arial" w:cs="Arial"/>
                <w:b/>
                <w:bCs/>
                <w:color w:val="000000"/>
                <w:sz w:val="22"/>
                <w:szCs w:val="22"/>
              </w:rPr>
            </w:pPr>
            <w:r w:rsidRPr="001A2F19">
              <w:rPr>
                <w:rFonts w:ascii="Arial" w:hAnsi="Arial" w:cs="Arial"/>
                <w:b/>
                <w:bCs/>
                <w:color w:val="000000"/>
                <w:sz w:val="22"/>
                <w:szCs w:val="22"/>
              </w:rPr>
              <w:t>292</w:t>
            </w:r>
          </w:p>
        </w:tc>
        <w:tc>
          <w:tcPr>
            <w:tcW w:w="1048" w:type="dxa"/>
            <w:tcBorders>
              <w:top w:val="nil"/>
              <w:left w:val="nil"/>
              <w:bottom w:val="single" w:sz="8" w:space="0" w:color="auto"/>
              <w:right w:val="single" w:sz="4" w:space="0" w:color="auto"/>
            </w:tcBorders>
            <w:shd w:val="clear" w:color="auto" w:fill="DEEAF6" w:themeFill="accent1" w:themeFillTint="33"/>
            <w:noWrap/>
            <w:vAlign w:val="center"/>
            <w:hideMark/>
          </w:tcPr>
          <w:p w:rsidR="001A2F19" w:rsidRPr="002F3868" w:rsidRDefault="001A2F19" w:rsidP="00934797">
            <w:pPr>
              <w:jc w:val="center"/>
              <w:rPr>
                <w:rFonts w:ascii="Arial" w:hAnsi="Arial" w:cs="Arial"/>
                <w:b/>
                <w:color w:val="000000"/>
                <w:sz w:val="22"/>
                <w:szCs w:val="22"/>
              </w:rPr>
            </w:pPr>
            <w:r w:rsidRPr="002F3868">
              <w:rPr>
                <w:rFonts w:ascii="Arial" w:hAnsi="Arial" w:cs="Arial"/>
                <w:b/>
                <w:color w:val="000000"/>
                <w:sz w:val="22"/>
                <w:szCs w:val="22"/>
              </w:rPr>
              <w:t>17,37%</w:t>
            </w:r>
          </w:p>
        </w:tc>
        <w:tc>
          <w:tcPr>
            <w:tcW w:w="974" w:type="dxa"/>
            <w:tcBorders>
              <w:top w:val="nil"/>
              <w:left w:val="nil"/>
              <w:bottom w:val="single" w:sz="8" w:space="0" w:color="auto"/>
              <w:right w:val="single" w:sz="4" w:space="0" w:color="auto"/>
            </w:tcBorders>
            <w:shd w:val="clear" w:color="auto" w:fill="DEEAF6" w:themeFill="accent1" w:themeFillTint="33"/>
            <w:noWrap/>
            <w:vAlign w:val="center"/>
            <w:hideMark/>
          </w:tcPr>
          <w:p w:rsidR="001A2F19" w:rsidRPr="001A2F19" w:rsidRDefault="001A2F19" w:rsidP="00934797">
            <w:pPr>
              <w:jc w:val="center"/>
              <w:rPr>
                <w:rFonts w:ascii="Arial" w:hAnsi="Arial" w:cs="Arial"/>
                <w:b/>
                <w:bCs/>
                <w:color w:val="000000"/>
                <w:sz w:val="22"/>
                <w:szCs w:val="22"/>
              </w:rPr>
            </w:pPr>
            <w:r w:rsidRPr="001A2F19">
              <w:rPr>
                <w:rFonts w:ascii="Arial" w:hAnsi="Arial" w:cs="Arial"/>
                <w:b/>
                <w:bCs/>
                <w:color w:val="000000"/>
                <w:sz w:val="22"/>
                <w:szCs w:val="22"/>
              </w:rPr>
              <w:t>1</w:t>
            </w:r>
            <w:r w:rsidR="00791A10">
              <w:rPr>
                <w:rFonts w:ascii="Arial" w:hAnsi="Arial" w:cs="Arial"/>
                <w:b/>
                <w:bCs/>
                <w:color w:val="000000"/>
                <w:sz w:val="22"/>
                <w:szCs w:val="22"/>
              </w:rPr>
              <w:t>.</w:t>
            </w:r>
            <w:r w:rsidRPr="001A2F19">
              <w:rPr>
                <w:rFonts w:ascii="Arial" w:hAnsi="Arial" w:cs="Arial"/>
                <w:b/>
                <w:bCs/>
                <w:color w:val="000000"/>
                <w:sz w:val="22"/>
                <w:szCs w:val="22"/>
              </w:rPr>
              <w:t>389</w:t>
            </w:r>
          </w:p>
        </w:tc>
        <w:tc>
          <w:tcPr>
            <w:tcW w:w="1048" w:type="dxa"/>
            <w:tcBorders>
              <w:top w:val="nil"/>
              <w:left w:val="nil"/>
              <w:bottom w:val="single" w:sz="8" w:space="0" w:color="auto"/>
              <w:right w:val="single" w:sz="8" w:space="0" w:color="auto"/>
            </w:tcBorders>
            <w:shd w:val="clear" w:color="auto" w:fill="DEEAF6" w:themeFill="accent1" w:themeFillTint="33"/>
            <w:noWrap/>
            <w:vAlign w:val="center"/>
            <w:hideMark/>
          </w:tcPr>
          <w:p w:rsidR="001A2F19" w:rsidRPr="002F3868" w:rsidRDefault="001A2F19" w:rsidP="00934797">
            <w:pPr>
              <w:jc w:val="center"/>
              <w:rPr>
                <w:rFonts w:ascii="Arial" w:hAnsi="Arial" w:cs="Arial"/>
                <w:b/>
                <w:color w:val="000000"/>
                <w:sz w:val="22"/>
                <w:szCs w:val="22"/>
              </w:rPr>
            </w:pPr>
            <w:r w:rsidRPr="002F3868">
              <w:rPr>
                <w:rFonts w:ascii="Arial" w:hAnsi="Arial" w:cs="Arial"/>
                <w:b/>
                <w:color w:val="000000"/>
                <w:sz w:val="22"/>
                <w:szCs w:val="22"/>
              </w:rPr>
              <w:t>82,63%</w:t>
            </w:r>
          </w:p>
        </w:tc>
      </w:tr>
    </w:tbl>
    <w:p w:rsidR="001A2F19" w:rsidRPr="001A2F19" w:rsidRDefault="001A2F19" w:rsidP="001A2F19">
      <w:pPr>
        <w:jc w:val="both"/>
        <w:rPr>
          <w:rFonts w:ascii="Arial" w:hAnsi="Arial" w:cs="Arial"/>
          <w:b/>
          <w:bCs/>
          <w:iCs/>
          <w:color w:val="000000" w:themeColor="text1"/>
          <w:sz w:val="22"/>
          <w:szCs w:val="22"/>
        </w:rPr>
      </w:pPr>
    </w:p>
    <w:p w:rsidR="001A2F19" w:rsidRPr="00591C58" w:rsidRDefault="00E8541C" w:rsidP="00306393">
      <w:pPr>
        <w:jc w:val="center"/>
        <w:rPr>
          <w:rFonts w:ascii="Arial" w:hAnsi="Arial" w:cs="Arial"/>
          <w:bCs/>
          <w:iCs/>
          <w:color w:val="000000" w:themeColor="text1"/>
          <w:sz w:val="16"/>
          <w:szCs w:val="16"/>
        </w:rPr>
      </w:pPr>
      <w:r w:rsidRPr="00591C58">
        <w:rPr>
          <w:rFonts w:ascii="Arial" w:hAnsi="Arial" w:cs="Arial"/>
          <w:bCs/>
          <w:iCs/>
          <w:color w:val="000000" w:themeColor="text1"/>
          <w:sz w:val="16"/>
          <w:szCs w:val="16"/>
        </w:rPr>
        <w:t>Tabel</w:t>
      </w:r>
      <w:r w:rsidR="007239FA" w:rsidRPr="00591C58">
        <w:rPr>
          <w:rFonts w:ascii="Arial" w:hAnsi="Arial" w:cs="Arial"/>
          <w:bCs/>
          <w:iCs/>
          <w:color w:val="000000" w:themeColor="text1"/>
          <w:sz w:val="16"/>
          <w:szCs w:val="16"/>
        </w:rPr>
        <w:t xml:space="preserve"> 8</w:t>
      </w:r>
      <w:r w:rsidR="00591C58">
        <w:rPr>
          <w:rFonts w:ascii="Arial" w:hAnsi="Arial" w:cs="Arial"/>
          <w:bCs/>
          <w:iCs/>
          <w:color w:val="000000" w:themeColor="text1"/>
          <w:sz w:val="16"/>
          <w:szCs w:val="16"/>
        </w:rPr>
        <w:t xml:space="preserve"> -</w:t>
      </w:r>
      <w:r w:rsidRPr="00591C58">
        <w:rPr>
          <w:rFonts w:ascii="Arial" w:hAnsi="Arial" w:cs="Arial"/>
          <w:bCs/>
          <w:iCs/>
          <w:color w:val="000000" w:themeColor="text1"/>
          <w:sz w:val="16"/>
          <w:szCs w:val="16"/>
        </w:rPr>
        <w:t xml:space="preserve"> Structură personal după studii ș</w:t>
      </w:r>
      <w:r w:rsidR="00306393" w:rsidRPr="00591C58">
        <w:rPr>
          <w:rFonts w:ascii="Arial" w:hAnsi="Arial" w:cs="Arial"/>
          <w:bCs/>
          <w:iCs/>
          <w:color w:val="000000" w:themeColor="text1"/>
          <w:sz w:val="16"/>
          <w:szCs w:val="16"/>
        </w:rPr>
        <w:t>i sexe</w:t>
      </w:r>
    </w:p>
    <w:p w:rsidR="00E8541C" w:rsidRPr="00306393" w:rsidRDefault="00E8541C" w:rsidP="00306393">
      <w:pPr>
        <w:jc w:val="center"/>
        <w:rPr>
          <w:rFonts w:ascii="Arial" w:hAnsi="Arial" w:cs="Arial"/>
          <w:bCs/>
          <w:iCs/>
          <w:color w:val="000000" w:themeColor="text1"/>
        </w:rPr>
      </w:pPr>
    </w:p>
    <w:p w:rsidR="001A2F19" w:rsidRPr="00D349AF" w:rsidRDefault="00B33DBA" w:rsidP="00B33DBA">
      <w:pPr>
        <w:jc w:val="center"/>
        <w:rPr>
          <w:rFonts w:ascii="Arial" w:hAnsi="Arial" w:cs="Arial"/>
          <w:bCs/>
          <w:iCs/>
          <w:color w:val="FF0000"/>
        </w:rPr>
      </w:pPr>
      <w:r w:rsidRPr="00D349AF">
        <w:rPr>
          <w:rFonts w:ascii="Arial" w:hAnsi="Arial" w:cs="Arial"/>
          <w:noProof/>
          <w:lang w:val="en-US" w:eastAsia="en-US"/>
        </w:rPr>
        <w:drawing>
          <wp:inline distT="0" distB="0" distL="0" distR="0" wp14:anchorId="58F31D35" wp14:editId="01B44E67">
            <wp:extent cx="3968262" cy="2373923"/>
            <wp:effectExtent l="0" t="0" r="13335" b="7620"/>
            <wp:docPr id="7" name="Chart 7">
              <a:extLst xmlns:a="http://schemas.openxmlformats.org/drawingml/2006/main">
                <a:ext uri="{FF2B5EF4-FFF2-40B4-BE49-F238E27FC236}">
                  <a16:creationId xmlns:a16="http://schemas.microsoft.com/office/drawing/2014/main" id="{B0E0BD45-D929-4461-BC8E-E5D8DC65C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A2F19" w:rsidRPr="00591C58" w:rsidRDefault="001E1D94" w:rsidP="00306393">
      <w:pPr>
        <w:jc w:val="center"/>
        <w:rPr>
          <w:rFonts w:ascii="Arial" w:hAnsi="Arial" w:cs="Arial"/>
          <w:bCs/>
          <w:iCs/>
          <w:sz w:val="16"/>
          <w:szCs w:val="16"/>
        </w:rPr>
      </w:pPr>
      <w:r w:rsidRPr="00591C58">
        <w:rPr>
          <w:rFonts w:ascii="Arial" w:hAnsi="Arial" w:cs="Arial"/>
          <w:bCs/>
          <w:iCs/>
          <w:sz w:val="16"/>
          <w:szCs w:val="16"/>
        </w:rPr>
        <w:t xml:space="preserve">Grafic </w:t>
      </w:r>
      <w:r w:rsidR="008F5405" w:rsidRPr="00591C58">
        <w:rPr>
          <w:rFonts w:ascii="Arial" w:hAnsi="Arial" w:cs="Arial"/>
          <w:bCs/>
          <w:iCs/>
          <w:sz w:val="16"/>
          <w:szCs w:val="16"/>
        </w:rPr>
        <w:t xml:space="preserve">8 - </w:t>
      </w:r>
      <w:r w:rsidRPr="00591C58">
        <w:rPr>
          <w:rFonts w:ascii="Arial" w:hAnsi="Arial" w:cs="Arial"/>
          <w:bCs/>
          <w:iCs/>
          <w:sz w:val="16"/>
          <w:szCs w:val="16"/>
        </w:rPr>
        <w:t>N</w:t>
      </w:r>
      <w:r w:rsidR="00306393" w:rsidRPr="00591C58">
        <w:rPr>
          <w:rFonts w:ascii="Arial" w:hAnsi="Arial" w:cs="Arial"/>
          <w:bCs/>
          <w:iCs/>
          <w:sz w:val="16"/>
          <w:szCs w:val="16"/>
        </w:rPr>
        <w:t xml:space="preserve">ivel de studii salariați </w:t>
      </w:r>
      <w:r w:rsidR="000F38DA">
        <w:rPr>
          <w:rFonts w:ascii="Arial" w:hAnsi="Arial" w:cs="Arial"/>
          <w:bCs/>
          <w:iCs/>
          <w:sz w:val="16"/>
          <w:szCs w:val="16"/>
        </w:rPr>
        <w:t>femei/bărbați</w:t>
      </w:r>
    </w:p>
    <w:p w:rsidR="00306393" w:rsidRPr="00D349AF" w:rsidRDefault="00306393" w:rsidP="001A2F19">
      <w:pPr>
        <w:jc w:val="both"/>
        <w:rPr>
          <w:rFonts w:ascii="Arial" w:hAnsi="Arial" w:cs="Arial"/>
          <w:bCs/>
          <w:iCs/>
          <w:color w:val="FF0000"/>
        </w:rPr>
      </w:pPr>
    </w:p>
    <w:p w:rsidR="001A2F19" w:rsidRDefault="001A2F19" w:rsidP="001A2F19">
      <w:pPr>
        <w:jc w:val="both"/>
        <w:rPr>
          <w:rFonts w:ascii="Arial" w:hAnsi="Arial" w:cs="Arial"/>
          <w:bCs/>
          <w:iCs/>
          <w:color w:val="000000" w:themeColor="text1"/>
          <w:sz w:val="22"/>
          <w:szCs w:val="22"/>
        </w:rPr>
      </w:pPr>
      <w:r w:rsidRPr="00E028FD">
        <w:rPr>
          <w:rFonts w:ascii="Arial" w:hAnsi="Arial" w:cs="Arial"/>
          <w:bCs/>
          <w:iCs/>
          <w:color w:val="000000" w:themeColor="text1"/>
          <w:sz w:val="22"/>
          <w:szCs w:val="22"/>
        </w:rPr>
        <w:t xml:space="preserve">Comparativ cu anul 2017 situaṭia pe nivel de studii ṣi sexe în semestrul </w:t>
      </w:r>
      <w:r w:rsidR="007B08C9">
        <w:rPr>
          <w:rFonts w:ascii="Arial" w:hAnsi="Arial" w:cs="Arial"/>
          <w:bCs/>
          <w:iCs/>
          <w:color w:val="000000" w:themeColor="text1"/>
          <w:sz w:val="22"/>
          <w:szCs w:val="22"/>
        </w:rPr>
        <w:t>I</w:t>
      </w:r>
      <w:r w:rsidRPr="00E028FD">
        <w:rPr>
          <w:rFonts w:ascii="Arial" w:hAnsi="Arial" w:cs="Arial"/>
          <w:bCs/>
          <w:iCs/>
          <w:color w:val="000000" w:themeColor="text1"/>
          <w:sz w:val="22"/>
          <w:szCs w:val="22"/>
        </w:rPr>
        <w:t xml:space="preserve"> al anului 2018 se prezintă astfel:</w:t>
      </w:r>
    </w:p>
    <w:p w:rsidR="00C62024" w:rsidRPr="00E028FD" w:rsidRDefault="00C62024" w:rsidP="001A2F19">
      <w:pPr>
        <w:jc w:val="both"/>
        <w:rPr>
          <w:rFonts w:ascii="Arial" w:hAnsi="Arial" w:cs="Arial"/>
          <w:bCs/>
          <w:iCs/>
          <w:color w:val="000000" w:themeColor="text1"/>
          <w:sz w:val="22"/>
          <w:szCs w:val="22"/>
        </w:rPr>
      </w:pPr>
    </w:p>
    <w:p w:rsidR="00C60CD4" w:rsidRDefault="001A2F19" w:rsidP="00C60CD4">
      <w:pPr>
        <w:jc w:val="center"/>
        <w:rPr>
          <w:rFonts w:ascii="Arial" w:hAnsi="Arial" w:cs="Arial"/>
          <w:bCs/>
          <w:iCs/>
          <w:color w:val="FF0000"/>
        </w:rPr>
      </w:pPr>
      <w:r w:rsidRPr="00D349AF">
        <w:rPr>
          <w:rFonts w:ascii="Arial" w:hAnsi="Arial" w:cs="Arial"/>
          <w:noProof/>
          <w:lang w:val="en-US" w:eastAsia="en-US"/>
        </w:rPr>
        <w:drawing>
          <wp:inline distT="0" distB="0" distL="0" distR="0" wp14:anchorId="45BE6814" wp14:editId="34ABA59A">
            <wp:extent cx="5111750" cy="2433600"/>
            <wp:effectExtent l="0" t="0" r="12700" b="508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A5D9D" w:rsidRDefault="004A5D9D" w:rsidP="00C60CD4">
      <w:pPr>
        <w:jc w:val="center"/>
        <w:rPr>
          <w:rFonts w:ascii="Arial" w:hAnsi="Arial" w:cs="Arial"/>
          <w:bCs/>
          <w:iCs/>
          <w:sz w:val="16"/>
          <w:szCs w:val="16"/>
        </w:rPr>
      </w:pPr>
    </w:p>
    <w:p w:rsidR="001A2F19" w:rsidRPr="00591C58" w:rsidRDefault="00306393" w:rsidP="00C60CD4">
      <w:pPr>
        <w:jc w:val="center"/>
        <w:rPr>
          <w:rFonts w:ascii="Arial" w:hAnsi="Arial" w:cs="Arial"/>
          <w:bCs/>
          <w:iCs/>
          <w:sz w:val="16"/>
          <w:szCs w:val="16"/>
        </w:rPr>
      </w:pPr>
      <w:r w:rsidRPr="00591C58">
        <w:rPr>
          <w:rFonts w:ascii="Arial" w:hAnsi="Arial" w:cs="Arial"/>
          <w:bCs/>
          <w:iCs/>
          <w:sz w:val="16"/>
          <w:szCs w:val="16"/>
        </w:rPr>
        <w:t>Grafic</w:t>
      </w:r>
      <w:r w:rsidR="00C60CD4" w:rsidRPr="00591C58">
        <w:rPr>
          <w:rFonts w:ascii="Arial" w:hAnsi="Arial" w:cs="Arial"/>
          <w:bCs/>
          <w:iCs/>
          <w:sz w:val="16"/>
          <w:szCs w:val="16"/>
        </w:rPr>
        <w:t xml:space="preserve"> </w:t>
      </w:r>
      <w:r w:rsidR="008F5405" w:rsidRPr="00591C58">
        <w:rPr>
          <w:rFonts w:ascii="Arial" w:hAnsi="Arial" w:cs="Arial"/>
          <w:bCs/>
          <w:iCs/>
          <w:sz w:val="16"/>
          <w:szCs w:val="16"/>
        </w:rPr>
        <w:t>9</w:t>
      </w:r>
      <w:r w:rsidR="008B7231">
        <w:rPr>
          <w:rFonts w:ascii="Arial" w:hAnsi="Arial" w:cs="Arial"/>
          <w:bCs/>
          <w:iCs/>
          <w:sz w:val="16"/>
          <w:szCs w:val="16"/>
        </w:rPr>
        <w:t xml:space="preserve"> - </w:t>
      </w:r>
      <w:r w:rsidR="00C60CD4" w:rsidRPr="00591C58">
        <w:rPr>
          <w:rFonts w:ascii="Arial" w:hAnsi="Arial" w:cs="Arial"/>
          <w:bCs/>
          <w:iCs/>
          <w:sz w:val="16"/>
          <w:szCs w:val="16"/>
        </w:rPr>
        <w:t xml:space="preserve">Structură personal pe nivel de studii </w:t>
      </w:r>
      <w:r w:rsidR="008B7231">
        <w:rPr>
          <w:rFonts w:ascii="Arial" w:hAnsi="Arial" w:cs="Arial"/>
          <w:bCs/>
          <w:iCs/>
          <w:sz w:val="16"/>
          <w:szCs w:val="16"/>
        </w:rPr>
        <w:t>salariați femei/bărbați</w:t>
      </w:r>
      <w:r w:rsidRPr="00591C58">
        <w:rPr>
          <w:rFonts w:ascii="Arial" w:hAnsi="Arial" w:cs="Arial"/>
          <w:bCs/>
          <w:iCs/>
          <w:sz w:val="16"/>
          <w:szCs w:val="16"/>
        </w:rPr>
        <w:t xml:space="preserve"> </w:t>
      </w:r>
    </w:p>
    <w:p w:rsidR="00306393" w:rsidRDefault="00306393" w:rsidP="001A2F19">
      <w:pPr>
        <w:jc w:val="both"/>
        <w:rPr>
          <w:rFonts w:ascii="Arial" w:hAnsi="Arial" w:cs="Arial"/>
          <w:bCs/>
          <w:iCs/>
          <w:color w:val="FF0000"/>
        </w:rPr>
      </w:pPr>
    </w:p>
    <w:p w:rsidR="00E028FD" w:rsidRPr="00E028FD" w:rsidRDefault="00E028FD" w:rsidP="00E028FD">
      <w:pPr>
        <w:spacing w:line="276" w:lineRule="auto"/>
        <w:jc w:val="both"/>
        <w:rPr>
          <w:rFonts w:ascii="Arial" w:hAnsi="Arial" w:cs="Arial"/>
          <w:sz w:val="22"/>
          <w:szCs w:val="22"/>
          <w:lang w:val="fr-FR"/>
        </w:rPr>
      </w:pPr>
      <w:r w:rsidRPr="00E028FD">
        <w:rPr>
          <w:rFonts w:ascii="Arial" w:hAnsi="Arial" w:cs="Arial"/>
          <w:sz w:val="22"/>
          <w:szCs w:val="22"/>
        </w:rPr>
        <w:lastRenderedPageBreak/>
        <w:t xml:space="preserve">Gradul de sindicalizare al forţei de muncă </w:t>
      </w:r>
      <w:r w:rsidR="007B08C9">
        <w:rPr>
          <w:rFonts w:ascii="Arial" w:hAnsi="Arial" w:cs="Arial"/>
          <w:sz w:val="22"/>
          <w:szCs w:val="22"/>
        </w:rPr>
        <w:t>în</w:t>
      </w:r>
      <w:r w:rsidRPr="00E028FD">
        <w:rPr>
          <w:rFonts w:ascii="Arial" w:hAnsi="Arial" w:cs="Arial"/>
          <w:sz w:val="22"/>
          <w:szCs w:val="22"/>
        </w:rPr>
        <w:t xml:space="preserve"> primul semestru al anului 2018 este </w:t>
      </w:r>
      <w:r w:rsidRPr="00E028FD">
        <w:rPr>
          <w:rFonts w:ascii="Arial" w:hAnsi="Arial" w:cs="Arial"/>
          <w:sz w:val="22"/>
          <w:szCs w:val="22"/>
          <w:lang w:val="fr-FR"/>
        </w:rPr>
        <w:t xml:space="preserve">99,76 %.  Pe parcursul semestrului </w:t>
      </w:r>
      <w:r w:rsidR="007B08C9">
        <w:rPr>
          <w:rFonts w:ascii="Arial" w:hAnsi="Arial" w:cs="Arial"/>
          <w:sz w:val="22"/>
          <w:szCs w:val="22"/>
          <w:lang w:val="fr-FR"/>
        </w:rPr>
        <w:t>I</w:t>
      </w:r>
      <w:r w:rsidR="00C15F0D">
        <w:rPr>
          <w:rFonts w:ascii="Arial" w:hAnsi="Arial" w:cs="Arial"/>
          <w:sz w:val="22"/>
          <w:szCs w:val="22"/>
          <w:lang w:val="fr-FR"/>
        </w:rPr>
        <w:t xml:space="preserve"> 2018</w:t>
      </w:r>
      <w:r w:rsidR="000A01F8">
        <w:rPr>
          <w:rFonts w:ascii="Arial" w:hAnsi="Arial" w:cs="Arial"/>
          <w:sz w:val="22"/>
          <w:szCs w:val="22"/>
          <w:lang w:val="fr-FR"/>
        </w:rPr>
        <w:t xml:space="preserve"> </w:t>
      </w:r>
      <w:r w:rsidRPr="00E028FD">
        <w:rPr>
          <w:rFonts w:ascii="Arial" w:hAnsi="Arial" w:cs="Arial"/>
          <w:sz w:val="22"/>
          <w:szCs w:val="22"/>
          <w:lang w:val="fr-FR"/>
        </w:rPr>
        <w:t>nu au existat elemente de natu</w:t>
      </w:r>
      <w:r>
        <w:rPr>
          <w:rFonts w:ascii="Arial" w:hAnsi="Arial" w:cs="Arial"/>
          <w:sz w:val="22"/>
          <w:szCs w:val="22"/>
          <w:lang w:val="fr-FR"/>
        </w:rPr>
        <w:t xml:space="preserve">ră conflictuală între salariați </w:t>
      </w:r>
      <w:r w:rsidRPr="00E028FD">
        <w:rPr>
          <w:rFonts w:ascii="Arial" w:hAnsi="Arial" w:cs="Arial"/>
          <w:sz w:val="22"/>
          <w:szCs w:val="22"/>
          <w:lang w:val="fr-FR"/>
        </w:rPr>
        <w:t>și conducerea societății.</w:t>
      </w:r>
    </w:p>
    <w:p w:rsidR="00E028FD" w:rsidRPr="00E028FD" w:rsidRDefault="00E028FD" w:rsidP="00E028FD">
      <w:pPr>
        <w:spacing w:line="276" w:lineRule="auto"/>
        <w:jc w:val="both"/>
        <w:rPr>
          <w:rFonts w:ascii="Arial" w:hAnsi="Arial" w:cs="Arial"/>
          <w:bCs/>
          <w:iCs/>
          <w:color w:val="FF0000"/>
          <w:sz w:val="22"/>
          <w:szCs w:val="22"/>
        </w:rPr>
      </w:pPr>
    </w:p>
    <w:p w:rsidR="00E028FD" w:rsidRPr="009828D6" w:rsidRDefault="00E028FD" w:rsidP="00E028FD">
      <w:pPr>
        <w:spacing w:line="276" w:lineRule="auto"/>
        <w:ind w:left="360" w:hanging="360"/>
        <w:jc w:val="both"/>
        <w:rPr>
          <w:rFonts w:ascii="Arial" w:hAnsi="Arial" w:cs="Arial"/>
          <w:b/>
          <w:color w:val="1F4E79" w:themeColor="accent1" w:themeShade="80"/>
          <w:sz w:val="22"/>
          <w:szCs w:val="22"/>
          <w:lang w:val="fr-FR"/>
        </w:rPr>
      </w:pPr>
      <w:r w:rsidRPr="009828D6">
        <w:rPr>
          <w:rFonts w:ascii="Arial" w:hAnsi="Arial" w:cs="Arial"/>
          <w:b/>
          <w:color w:val="1F4E79" w:themeColor="accent1" w:themeShade="80"/>
          <w:sz w:val="22"/>
          <w:szCs w:val="22"/>
        </w:rPr>
        <w:t xml:space="preserve">Riscul de personal și sistemul de salarizare </w:t>
      </w:r>
    </w:p>
    <w:p w:rsidR="00C16D1E" w:rsidRDefault="00C16D1E" w:rsidP="00E028FD">
      <w:pPr>
        <w:spacing w:line="276" w:lineRule="auto"/>
        <w:jc w:val="both"/>
        <w:rPr>
          <w:rFonts w:ascii="Arial" w:hAnsi="Arial" w:cs="Arial"/>
          <w:color w:val="000000" w:themeColor="text1"/>
          <w:sz w:val="22"/>
          <w:szCs w:val="22"/>
          <w:lang w:val="fr-FR"/>
        </w:rPr>
      </w:pPr>
    </w:p>
    <w:p w:rsidR="00E028FD" w:rsidRPr="00E028FD" w:rsidRDefault="00E028FD" w:rsidP="00E028FD">
      <w:pPr>
        <w:spacing w:line="276" w:lineRule="auto"/>
        <w:jc w:val="both"/>
        <w:rPr>
          <w:rFonts w:ascii="Arial" w:hAnsi="Arial" w:cs="Arial"/>
          <w:color w:val="000000" w:themeColor="text1"/>
          <w:sz w:val="22"/>
          <w:szCs w:val="22"/>
          <w:lang w:val="fr-FR"/>
        </w:rPr>
      </w:pPr>
      <w:r w:rsidRPr="00E028FD">
        <w:rPr>
          <w:rFonts w:ascii="Arial" w:hAnsi="Arial" w:cs="Arial"/>
          <w:color w:val="000000" w:themeColor="text1"/>
          <w:sz w:val="22"/>
          <w:szCs w:val="22"/>
          <w:lang w:val="fr-FR"/>
        </w:rPr>
        <w:t xml:space="preserve">La 30 iunie 2018 structura pe vârste nu este echilibrată, categoria de vârstă cu ponderea cea mai mare în societate a avut-o personalul cu vârsta cuprinsă între 41-50 ani (41%), urmată de cea între 51-60 ani (36%)  și  între 31-40 ani (12%). </w:t>
      </w:r>
    </w:p>
    <w:p w:rsidR="00934797" w:rsidRPr="00E028FD" w:rsidRDefault="00934797" w:rsidP="00E028FD">
      <w:pPr>
        <w:spacing w:line="276" w:lineRule="auto"/>
        <w:jc w:val="both"/>
        <w:rPr>
          <w:rFonts w:ascii="Arial" w:hAnsi="Arial" w:cs="Arial"/>
          <w:color w:val="000000" w:themeColor="text1"/>
          <w:sz w:val="22"/>
          <w:szCs w:val="22"/>
          <w:lang w:val="fr-FR"/>
        </w:rPr>
      </w:pPr>
    </w:p>
    <w:p w:rsidR="00E028FD" w:rsidRPr="00D349AF" w:rsidRDefault="00E028FD" w:rsidP="00E028FD">
      <w:pPr>
        <w:jc w:val="center"/>
        <w:rPr>
          <w:rFonts w:ascii="Arial" w:hAnsi="Arial" w:cs="Arial"/>
          <w:color w:val="000000" w:themeColor="text1"/>
          <w:lang w:val="fr-FR"/>
        </w:rPr>
      </w:pPr>
      <w:r w:rsidRPr="00D349AF">
        <w:rPr>
          <w:rFonts w:ascii="Arial" w:hAnsi="Arial" w:cs="Arial"/>
          <w:noProof/>
          <w:lang w:val="en-US" w:eastAsia="en-US"/>
        </w:rPr>
        <w:drawing>
          <wp:inline distT="0" distB="0" distL="0" distR="0" wp14:anchorId="5A165EC2" wp14:editId="273E0FB2">
            <wp:extent cx="3598985" cy="2039815"/>
            <wp:effectExtent l="0" t="0" r="1905" b="17780"/>
            <wp:docPr id="32" name="Chart 32">
              <a:extLst xmlns:a="http://schemas.openxmlformats.org/drawingml/2006/main">
                <a:ext uri="{FF2B5EF4-FFF2-40B4-BE49-F238E27FC236}">
                  <a16:creationId xmlns:a16="http://schemas.microsoft.com/office/drawing/2014/main" id="{0ADE732C-2757-4A93-A765-B6C1EB4AE5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028FD" w:rsidRDefault="00E028FD" w:rsidP="00E028FD">
      <w:pPr>
        <w:jc w:val="both"/>
        <w:rPr>
          <w:rFonts w:ascii="Arial" w:hAnsi="Arial" w:cs="Arial"/>
          <w:color w:val="000000" w:themeColor="text1"/>
          <w:lang w:val="fr-FR"/>
        </w:rPr>
      </w:pPr>
    </w:p>
    <w:p w:rsidR="00306393" w:rsidRPr="00591C58" w:rsidRDefault="00306393" w:rsidP="00306393">
      <w:pPr>
        <w:jc w:val="center"/>
        <w:rPr>
          <w:rFonts w:ascii="Arial" w:hAnsi="Arial" w:cs="Arial"/>
          <w:color w:val="000000" w:themeColor="text1"/>
          <w:sz w:val="16"/>
          <w:szCs w:val="16"/>
          <w:lang w:val="fr-FR"/>
        </w:rPr>
      </w:pPr>
      <w:r w:rsidRPr="00591C58">
        <w:rPr>
          <w:rFonts w:ascii="Arial" w:hAnsi="Arial" w:cs="Arial"/>
          <w:color w:val="000000" w:themeColor="text1"/>
          <w:sz w:val="16"/>
          <w:szCs w:val="16"/>
          <w:lang w:val="fr-FR"/>
        </w:rPr>
        <w:t>Grafic</w:t>
      </w:r>
      <w:r w:rsidR="008F5405" w:rsidRPr="00591C58">
        <w:rPr>
          <w:rFonts w:ascii="Arial" w:hAnsi="Arial" w:cs="Arial"/>
          <w:color w:val="000000" w:themeColor="text1"/>
          <w:sz w:val="16"/>
          <w:szCs w:val="16"/>
          <w:lang w:val="fr-FR"/>
        </w:rPr>
        <w:t xml:space="preserve"> 10 - </w:t>
      </w:r>
      <w:r w:rsidRPr="00591C58">
        <w:rPr>
          <w:rFonts w:ascii="Arial" w:hAnsi="Arial" w:cs="Arial"/>
          <w:color w:val="000000" w:themeColor="text1"/>
          <w:sz w:val="16"/>
          <w:szCs w:val="16"/>
          <w:lang w:val="fr-FR"/>
        </w:rPr>
        <w:t>Structura pe grupe de vârstă</w:t>
      </w:r>
    </w:p>
    <w:p w:rsidR="00E028FD" w:rsidRPr="00D349AF" w:rsidRDefault="00E028FD" w:rsidP="00E028FD">
      <w:pPr>
        <w:jc w:val="both"/>
        <w:rPr>
          <w:rFonts w:ascii="Arial" w:hAnsi="Arial" w:cs="Arial"/>
          <w:color w:val="000000" w:themeColor="text1"/>
          <w:lang w:val="fr-FR"/>
        </w:rPr>
      </w:pPr>
    </w:p>
    <w:p w:rsidR="00E028FD" w:rsidRPr="00E028FD" w:rsidRDefault="00E028FD" w:rsidP="00E028FD">
      <w:pPr>
        <w:spacing w:line="276" w:lineRule="auto"/>
        <w:jc w:val="both"/>
        <w:rPr>
          <w:rFonts w:ascii="Arial" w:hAnsi="Arial" w:cs="Arial"/>
          <w:color w:val="000000" w:themeColor="text1"/>
          <w:sz w:val="22"/>
          <w:szCs w:val="22"/>
          <w:lang w:val="it-IT"/>
        </w:rPr>
      </w:pPr>
      <w:r w:rsidRPr="00E028FD">
        <w:rPr>
          <w:rFonts w:ascii="Arial" w:hAnsi="Arial" w:cs="Arial"/>
          <w:color w:val="000000" w:themeColor="text1"/>
          <w:sz w:val="22"/>
          <w:szCs w:val="22"/>
          <w:lang w:val="fr-FR"/>
        </w:rPr>
        <w:t>Media de vârstă a personalului CONPET este destul de ridicată (</w:t>
      </w:r>
      <w:r w:rsidRPr="00E028FD">
        <w:rPr>
          <w:rFonts w:ascii="Arial" w:hAnsi="Arial" w:cs="Arial"/>
          <w:color w:val="000000" w:themeColor="text1"/>
          <w:sz w:val="22"/>
          <w:szCs w:val="22"/>
          <w:lang w:val="it-IT"/>
        </w:rPr>
        <w:t xml:space="preserve">48 </w:t>
      </w:r>
      <w:r w:rsidRPr="00E028FD">
        <w:rPr>
          <w:rFonts w:ascii="Arial" w:hAnsi="Arial" w:cs="Arial"/>
          <w:color w:val="000000" w:themeColor="text1"/>
          <w:sz w:val="22"/>
          <w:szCs w:val="22"/>
          <w:lang w:val="fr-FR"/>
        </w:rPr>
        <w:t>de ani), avantajul constă în faptul că 53,30</w:t>
      </w:r>
      <w:r w:rsidRPr="00E028FD">
        <w:rPr>
          <w:rFonts w:ascii="Arial" w:hAnsi="Arial" w:cs="Arial"/>
          <w:color w:val="000000" w:themeColor="text1"/>
          <w:sz w:val="22"/>
          <w:szCs w:val="22"/>
          <w:lang w:val="it-IT"/>
        </w:rPr>
        <w:t>%</w:t>
      </w:r>
      <w:r>
        <w:rPr>
          <w:rFonts w:ascii="Arial" w:hAnsi="Arial" w:cs="Arial"/>
          <w:color w:val="000000" w:themeColor="text1"/>
          <w:sz w:val="22"/>
          <w:szCs w:val="22"/>
          <w:lang w:val="fr-FR"/>
        </w:rPr>
        <w:t xml:space="preserve"> </w:t>
      </w:r>
      <w:r w:rsidRPr="00E028FD">
        <w:rPr>
          <w:rFonts w:ascii="Arial" w:hAnsi="Arial" w:cs="Arial"/>
          <w:color w:val="000000" w:themeColor="text1"/>
          <w:sz w:val="22"/>
          <w:szCs w:val="22"/>
          <w:lang w:val="fr-FR"/>
        </w:rPr>
        <w:t>din personal are o experienṭă de p</w:t>
      </w:r>
      <w:r w:rsidR="000A01F8">
        <w:rPr>
          <w:rFonts w:ascii="Arial" w:hAnsi="Arial" w:cs="Arial"/>
          <w:color w:val="000000" w:themeColor="text1"/>
          <w:sz w:val="22"/>
          <w:szCs w:val="22"/>
          <w:lang w:val="fr-FR"/>
        </w:rPr>
        <w:t>este 20 de ani în cadrul socie</w:t>
      </w:r>
      <w:r w:rsidRPr="00E028FD">
        <w:rPr>
          <w:rFonts w:ascii="Arial" w:hAnsi="Arial" w:cs="Arial"/>
          <w:color w:val="000000" w:themeColor="text1"/>
          <w:sz w:val="22"/>
          <w:szCs w:val="22"/>
          <w:lang w:val="fr-FR"/>
        </w:rPr>
        <w:t xml:space="preserve">tății, </w:t>
      </w:r>
      <w:r w:rsidRPr="00E028FD">
        <w:rPr>
          <w:rFonts w:ascii="Arial" w:hAnsi="Arial" w:cs="Arial"/>
          <w:color w:val="000000" w:themeColor="text1"/>
          <w:sz w:val="22"/>
          <w:szCs w:val="22"/>
          <w:lang w:val="it-IT"/>
        </w:rPr>
        <w:t xml:space="preserve">ceea ce </w:t>
      </w:r>
      <w:r w:rsidR="007B08C9">
        <w:rPr>
          <w:rFonts w:ascii="Arial" w:hAnsi="Arial" w:cs="Arial"/>
          <w:color w:val="000000" w:themeColor="text1"/>
          <w:sz w:val="22"/>
          <w:szCs w:val="22"/>
          <w:lang w:val="it-IT"/>
        </w:rPr>
        <w:t xml:space="preserve">relevă </w:t>
      </w:r>
      <w:r w:rsidRPr="00E028FD">
        <w:rPr>
          <w:rFonts w:ascii="Arial" w:hAnsi="Arial" w:cs="Arial"/>
          <w:color w:val="000000" w:themeColor="text1"/>
          <w:sz w:val="22"/>
          <w:szCs w:val="22"/>
          <w:lang w:val="it-IT"/>
        </w:rPr>
        <w:t xml:space="preserve"> stabilitate  și </w:t>
      </w:r>
      <w:r w:rsidR="007B08C9">
        <w:rPr>
          <w:rFonts w:ascii="Arial" w:hAnsi="Arial" w:cs="Arial"/>
          <w:color w:val="000000" w:themeColor="text1"/>
          <w:sz w:val="22"/>
          <w:szCs w:val="22"/>
          <w:lang w:val="it-IT"/>
        </w:rPr>
        <w:t xml:space="preserve">un nivel ridicat de </w:t>
      </w:r>
      <w:r w:rsidRPr="00E028FD">
        <w:rPr>
          <w:rFonts w:ascii="Arial" w:hAnsi="Arial" w:cs="Arial"/>
          <w:color w:val="000000" w:themeColor="text1"/>
          <w:sz w:val="22"/>
          <w:szCs w:val="22"/>
          <w:lang w:val="it-IT"/>
        </w:rPr>
        <w:t>profesionalis</w:t>
      </w:r>
      <w:r w:rsidR="000A01F8">
        <w:rPr>
          <w:rFonts w:ascii="Arial" w:hAnsi="Arial" w:cs="Arial"/>
          <w:color w:val="000000" w:themeColor="text1"/>
          <w:sz w:val="22"/>
          <w:szCs w:val="22"/>
          <w:lang w:val="it-IT"/>
        </w:rPr>
        <w:t>m</w:t>
      </w:r>
      <w:r w:rsidR="007B08C9">
        <w:rPr>
          <w:rFonts w:ascii="Arial" w:hAnsi="Arial" w:cs="Arial"/>
          <w:color w:val="000000" w:themeColor="text1"/>
          <w:sz w:val="22"/>
          <w:szCs w:val="22"/>
          <w:lang w:val="it-IT"/>
        </w:rPr>
        <w:t xml:space="preserve"> al</w:t>
      </w:r>
      <w:r w:rsidRPr="00E028FD">
        <w:rPr>
          <w:rFonts w:ascii="Arial" w:hAnsi="Arial" w:cs="Arial"/>
          <w:color w:val="000000" w:themeColor="text1"/>
          <w:sz w:val="22"/>
          <w:szCs w:val="22"/>
          <w:lang w:val="it-IT"/>
        </w:rPr>
        <w:t xml:space="preserve"> salariaților.</w:t>
      </w:r>
    </w:p>
    <w:p w:rsidR="00E028FD" w:rsidRDefault="00E028FD" w:rsidP="00E028FD">
      <w:pPr>
        <w:spacing w:line="276" w:lineRule="auto"/>
        <w:contextualSpacing/>
        <w:jc w:val="both"/>
        <w:rPr>
          <w:rFonts w:ascii="Arial" w:hAnsi="Arial" w:cs="Arial"/>
          <w:color w:val="000000" w:themeColor="text1"/>
          <w:sz w:val="22"/>
          <w:szCs w:val="22"/>
        </w:rPr>
      </w:pPr>
    </w:p>
    <w:p w:rsidR="00E028FD" w:rsidRPr="00E028FD" w:rsidRDefault="00E028FD" w:rsidP="00E028FD">
      <w:pPr>
        <w:spacing w:line="276" w:lineRule="auto"/>
        <w:contextualSpacing/>
        <w:jc w:val="both"/>
        <w:rPr>
          <w:rFonts w:ascii="Arial" w:hAnsi="Arial" w:cs="Arial"/>
          <w:color w:val="000000" w:themeColor="text1"/>
          <w:sz w:val="22"/>
          <w:szCs w:val="22"/>
        </w:rPr>
      </w:pPr>
      <w:r w:rsidRPr="00E028FD">
        <w:rPr>
          <w:rFonts w:ascii="Arial" w:hAnsi="Arial" w:cs="Arial"/>
          <w:color w:val="000000" w:themeColor="text1"/>
          <w:sz w:val="22"/>
          <w:szCs w:val="22"/>
        </w:rPr>
        <w:t>Riscul legat de personal</w:t>
      </w:r>
      <w:r w:rsidR="00306393">
        <w:rPr>
          <w:rFonts w:ascii="Arial" w:hAnsi="Arial" w:cs="Arial"/>
          <w:color w:val="000000" w:themeColor="text1"/>
          <w:sz w:val="22"/>
          <w:szCs w:val="22"/>
        </w:rPr>
        <w:t xml:space="preserve"> </w:t>
      </w:r>
      <w:r w:rsidRPr="00E028FD">
        <w:rPr>
          <w:rFonts w:ascii="Arial" w:hAnsi="Arial" w:cs="Arial"/>
          <w:color w:val="000000" w:themeColor="text1"/>
          <w:sz w:val="22"/>
          <w:szCs w:val="22"/>
        </w:rPr>
        <w:t xml:space="preserve">îl reprezintă ca în viitor societatea să se confrunte cu o lipsă de personal </w:t>
      </w:r>
      <w:r w:rsidR="007B08C9">
        <w:rPr>
          <w:rFonts w:ascii="Arial" w:hAnsi="Arial" w:cs="Arial"/>
          <w:color w:val="000000" w:themeColor="text1"/>
          <w:sz w:val="22"/>
          <w:szCs w:val="22"/>
        </w:rPr>
        <w:t xml:space="preserve">specializat </w:t>
      </w:r>
      <w:r w:rsidRPr="00E028FD">
        <w:rPr>
          <w:rFonts w:ascii="Arial" w:hAnsi="Arial" w:cs="Arial"/>
          <w:color w:val="000000" w:themeColor="text1"/>
          <w:sz w:val="22"/>
          <w:szCs w:val="22"/>
        </w:rPr>
        <w:t>datorită</w:t>
      </w:r>
      <w:r w:rsidR="007B08C9">
        <w:rPr>
          <w:rFonts w:ascii="Arial" w:hAnsi="Arial" w:cs="Arial"/>
          <w:color w:val="000000" w:themeColor="text1"/>
          <w:sz w:val="22"/>
          <w:szCs w:val="22"/>
        </w:rPr>
        <w:t xml:space="preserve"> ieșirii la </w:t>
      </w:r>
      <w:r w:rsidRPr="00E028FD">
        <w:rPr>
          <w:rFonts w:ascii="Arial" w:hAnsi="Arial" w:cs="Arial"/>
          <w:color w:val="000000" w:themeColor="text1"/>
          <w:sz w:val="22"/>
          <w:szCs w:val="22"/>
        </w:rPr>
        <w:t>p</w:t>
      </w:r>
      <w:r w:rsidR="007B08C9">
        <w:rPr>
          <w:rFonts w:ascii="Arial" w:hAnsi="Arial" w:cs="Arial"/>
          <w:color w:val="000000" w:themeColor="text1"/>
          <w:sz w:val="22"/>
          <w:szCs w:val="22"/>
        </w:rPr>
        <w:t xml:space="preserve">ensie a </w:t>
      </w:r>
      <w:r w:rsidRPr="00E028FD">
        <w:rPr>
          <w:rFonts w:ascii="Arial" w:hAnsi="Arial" w:cs="Arial"/>
          <w:color w:val="000000" w:themeColor="text1"/>
          <w:sz w:val="22"/>
          <w:szCs w:val="22"/>
        </w:rPr>
        <w:t>angajaților cu experienṭă</w:t>
      </w:r>
      <w:r w:rsidR="007B08C9">
        <w:rPr>
          <w:rFonts w:ascii="Arial" w:hAnsi="Arial" w:cs="Arial"/>
          <w:color w:val="000000" w:themeColor="text1"/>
          <w:sz w:val="22"/>
          <w:szCs w:val="22"/>
        </w:rPr>
        <w:t>.</w:t>
      </w:r>
    </w:p>
    <w:p w:rsidR="000A01F8" w:rsidRDefault="000A01F8" w:rsidP="00C16D1E">
      <w:pPr>
        <w:widowControl/>
        <w:autoSpaceDE/>
        <w:autoSpaceDN/>
        <w:adjustRightInd/>
        <w:spacing w:line="276" w:lineRule="auto"/>
        <w:jc w:val="both"/>
        <w:rPr>
          <w:rFonts w:ascii="Arial" w:hAnsi="Arial" w:cs="Arial"/>
          <w:b/>
          <w:color w:val="5B9BD5" w:themeColor="accent1"/>
          <w:sz w:val="24"/>
          <w:szCs w:val="24"/>
          <w:lang w:val="en-US" w:eastAsia="en-US"/>
        </w:rPr>
      </w:pPr>
    </w:p>
    <w:p w:rsidR="00C16D1E" w:rsidRPr="009828D6" w:rsidRDefault="00C16D1E" w:rsidP="00C16D1E">
      <w:pPr>
        <w:widowControl/>
        <w:autoSpaceDE/>
        <w:autoSpaceDN/>
        <w:adjustRightInd/>
        <w:spacing w:line="276" w:lineRule="auto"/>
        <w:jc w:val="both"/>
        <w:rPr>
          <w:rFonts w:ascii="Arial" w:hAnsi="Arial" w:cs="Arial"/>
          <w:b/>
          <w:color w:val="1F4E79" w:themeColor="accent1" w:themeShade="80"/>
          <w:sz w:val="24"/>
          <w:szCs w:val="24"/>
          <w:lang w:eastAsia="en-US"/>
        </w:rPr>
      </w:pPr>
      <w:r w:rsidRPr="009828D6">
        <w:rPr>
          <w:rFonts w:ascii="Arial" w:hAnsi="Arial" w:cs="Arial"/>
          <w:b/>
          <w:color w:val="1F4E79" w:themeColor="accent1" w:themeShade="80"/>
          <w:sz w:val="24"/>
          <w:szCs w:val="24"/>
          <w:lang w:val="en-US" w:eastAsia="en-US"/>
        </w:rPr>
        <w:t>Negocierea și încheierea unui nou Contract Colectiv de muncă</w:t>
      </w:r>
    </w:p>
    <w:p w:rsidR="000A01F8" w:rsidRPr="00C15F0D" w:rsidRDefault="000A01F8" w:rsidP="00E028FD">
      <w:pPr>
        <w:spacing w:line="276" w:lineRule="auto"/>
        <w:jc w:val="both"/>
        <w:rPr>
          <w:rFonts w:ascii="Arial" w:hAnsi="Arial" w:cs="Arial"/>
          <w:sz w:val="22"/>
          <w:szCs w:val="22"/>
          <w:lang w:val="fr-FR"/>
        </w:rPr>
      </w:pPr>
    </w:p>
    <w:p w:rsidR="00E028FD" w:rsidRPr="00C15F0D" w:rsidRDefault="00892963" w:rsidP="00E028FD">
      <w:pPr>
        <w:spacing w:line="276" w:lineRule="auto"/>
        <w:jc w:val="both"/>
        <w:rPr>
          <w:rFonts w:ascii="Arial" w:hAnsi="Arial" w:cs="Arial"/>
          <w:sz w:val="22"/>
          <w:szCs w:val="22"/>
          <w:lang w:val="fr-FR"/>
        </w:rPr>
      </w:pPr>
      <w:r w:rsidRPr="00C15F0D">
        <w:rPr>
          <w:rFonts w:ascii="Arial" w:hAnsi="Arial" w:cs="Arial"/>
          <w:sz w:val="22"/>
          <w:szCs w:val="22"/>
          <w:lang w:val="fr-FR"/>
        </w:rPr>
        <w:t xml:space="preserve">Durata </w:t>
      </w:r>
      <w:r w:rsidR="00C15F0D" w:rsidRPr="00C15F0D">
        <w:rPr>
          <w:rFonts w:ascii="Arial" w:hAnsi="Arial" w:cs="Arial"/>
          <w:sz w:val="22"/>
          <w:szCs w:val="22"/>
          <w:lang w:val="fr-FR"/>
        </w:rPr>
        <w:t>contractului colectiv de muncă (C</w:t>
      </w:r>
      <w:r w:rsidR="000A01F8" w:rsidRPr="00C15F0D">
        <w:rPr>
          <w:rFonts w:ascii="Arial" w:hAnsi="Arial" w:cs="Arial"/>
          <w:sz w:val="22"/>
          <w:szCs w:val="22"/>
          <w:lang w:val="fr-FR"/>
        </w:rPr>
        <w:t>CM</w:t>
      </w:r>
      <w:r w:rsidR="00C15F0D" w:rsidRPr="00C15F0D">
        <w:rPr>
          <w:rFonts w:ascii="Arial" w:hAnsi="Arial" w:cs="Arial"/>
          <w:sz w:val="22"/>
          <w:szCs w:val="22"/>
          <w:lang w:val="fr-FR"/>
        </w:rPr>
        <w:t>)</w:t>
      </w:r>
      <w:r w:rsidR="000A01F8" w:rsidRPr="00C15F0D">
        <w:rPr>
          <w:rFonts w:ascii="Arial" w:hAnsi="Arial" w:cs="Arial"/>
          <w:sz w:val="22"/>
          <w:szCs w:val="22"/>
          <w:lang w:val="fr-FR"/>
        </w:rPr>
        <w:t xml:space="preserve"> î</w:t>
      </w:r>
      <w:r w:rsidRPr="00C15F0D">
        <w:rPr>
          <w:rFonts w:ascii="Arial" w:hAnsi="Arial" w:cs="Arial"/>
          <w:sz w:val="22"/>
          <w:szCs w:val="22"/>
          <w:lang w:val="fr-FR"/>
        </w:rPr>
        <w:t>nche</w:t>
      </w:r>
      <w:r w:rsidR="000A01F8" w:rsidRPr="00C15F0D">
        <w:rPr>
          <w:rFonts w:ascii="Arial" w:hAnsi="Arial" w:cs="Arial"/>
          <w:sz w:val="22"/>
          <w:szCs w:val="22"/>
          <w:lang w:val="fr-FR"/>
        </w:rPr>
        <w:t>iat de societate cu reprezentanții sindicatului expiră</w:t>
      </w:r>
      <w:r w:rsidRPr="00C15F0D">
        <w:rPr>
          <w:rFonts w:ascii="Arial" w:hAnsi="Arial" w:cs="Arial"/>
          <w:sz w:val="22"/>
          <w:szCs w:val="22"/>
          <w:lang w:val="fr-FR"/>
        </w:rPr>
        <w:t xml:space="preserve"> la </w:t>
      </w:r>
      <w:r w:rsidR="00C15F0D" w:rsidRPr="00C15F0D">
        <w:rPr>
          <w:rFonts w:ascii="Arial" w:hAnsi="Arial" w:cs="Arial"/>
          <w:sz w:val="22"/>
          <w:szCs w:val="22"/>
          <w:lang w:val="fr-FR"/>
        </w:rPr>
        <w:t xml:space="preserve">data de </w:t>
      </w:r>
      <w:r w:rsidRPr="00C15F0D">
        <w:rPr>
          <w:rFonts w:ascii="Arial" w:hAnsi="Arial" w:cs="Arial"/>
          <w:sz w:val="22"/>
          <w:szCs w:val="22"/>
          <w:lang w:val="fr-FR"/>
        </w:rPr>
        <w:t>31 aug</w:t>
      </w:r>
      <w:r w:rsidR="00C15F0D" w:rsidRPr="00C15F0D">
        <w:rPr>
          <w:rFonts w:ascii="Arial" w:hAnsi="Arial" w:cs="Arial"/>
          <w:sz w:val="22"/>
          <w:szCs w:val="22"/>
          <w:lang w:val="fr-FR"/>
        </w:rPr>
        <w:t>ust</w:t>
      </w:r>
      <w:r w:rsidRPr="00C15F0D">
        <w:rPr>
          <w:rFonts w:ascii="Arial" w:hAnsi="Arial" w:cs="Arial"/>
          <w:sz w:val="22"/>
          <w:szCs w:val="22"/>
          <w:lang w:val="fr-FR"/>
        </w:rPr>
        <w:t xml:space="preserve"> 2018</w:t>
      </w:r>
      <w:r w:rsidR="000A01F8" w:rsidRPr="00C15F0D">
        <w:rPr>
          <w:rFonts w:ascii="Arial" w:hAnsi="Arial" w:cs="Arial"/>
          <w:sz w:val="22"/>
          <w:szCs w:val="22"/>
          <w:lang w:val="fr-FR"/>
        </w:rPr>
        <w:t>.</w:t>
      </w:r>
    </w:p>
    <w:p w:rsidR="00892963" w:rsidRPr="00C15F0D" w:rsidRDefault="00892963" w:rsidP="00E028FD">
      <w:pPr>
        <w:spacing w:line="276" w:lineRule="auto"/>
        <w:jc w:val="both"/>
        <w:rPr>
          <w:rFonts w:ascii="Arial" w:hAnsi="Arial" w:cs="Arial"/>
          <w:sz w:val="22"/>
          <w:szCs w:val="22"/>
          <w:lang w:val="fr-FR"/>
        </w:rPr>
      </w:pPr>
    </w:p>
    <w:p w:rsidR="00E028FD" w:rsidRPr="00C15F0D" w:rsidRDefault="00892963" w:rsidP="00306393">
      <w:pPr>
        <w:spacing w:line="276" w:lineRule="auto"/>
        <w:jc w:val="both"/>
        <w:rPr>
          <w:rFonts w:ascii="Arial" w:hAnsi="Arial" w:cs="Arial"/>
          <w:sz w:val="22"/>
          <w:szCs w:val="22"/>
        </w:rPr>
      </w:pPr>
      <w:r w:rsidRPr="00C15F0D">
        <w:rPr>
          <w:rFonts w:ascii="Arial" w:hAnsi="Arial" w:cs="Arial"/>
          <w:sz w:val="22"/>
          <w:szCs w:val="22"/>
        </w:rPr>
        <w:t>U</w:t>
      </w:r>
      <w:r w:rsidR="00A15095" w:rsidRPr="00C15F0D">
        <w:rPr>
          <w:rFonts w:ascii="Arial" w:hAnsi="Arial" w:cs="Arial"/>
          <w:sz w:val="22"/>
          <w:szCs w:val="22"/>
        </w:rPr>
        <w:t>rmare a propunerii conducerii executive,</w:t>
      </w:r>
      <w:r w:rsidR="00306393" w:rsidRPr="00C15F0D">
        <w:rPr>
          <w:rFonts w:ascii="Arial" w:hAnsi="Arial" w:cs="Arial"/>
          <w:sz w:val="22"/>
          <w:szCs w:val="22"/>
        </w:rPr>
        <w:t xml:space="preserve"> </w:t>
      </w:r>
      <w:r w:rsidR="000A01F8" w:rsidRPr="00C15F0D">
        <w:rPr>
          <w:rFonts w:ascii="Arial" w:hAnsi="Arial" w:cs="Arial"/>
          <w:sz w:val="22"/>
          <w:szCs w:val="22"/>
        </w:rPr>
        <w:t>Consiliul de A</w:t>
      </w:r>
      <w:r w:rsidR="00EB6CFC" w:rsidRPr="00C15F0D">
        <w:rPr>
          <w:rFonts w:ascii="Arial" w:hAnsi="Arial" w:cs="Arial"/>
          <w:sz w:val="22"/>
          <w:szCs w:val="22"/>
        </w:rPr>
        <w:t>dministra</w:t>
      </w:r>
      <w:r w:rsidR="00306393" w:rsidRPr="00C15F0D">
        <w:rPr>
          <w:rFonts w:ascii="Arial" w:hAnsi="Arial" w:cs="Arial"/>
          <w:sz w:val="22"/>
          <w:szCs w:val="22"/>
        </w:rPr>
        <w:t>ț</w:t>
      </w:r>
      <w:r w:rsidR="00EB6CFC" w:rsidRPr="00C15F0D">
        <w:rPr>
          <w:rFonts w:ascii="Arial" w:hAnsi="Arial" w:cs="Arial"/>
          <w:sz w:val="22"/>
          <w:szCs w:val="22"/>
        </w:rPr>
        <w:t>ie</w:t>
      </w:r>
      <w:r w:rsidR="00A15095" w:rsidRPr="00C15F0D">
        <w:rPr>
          <w:rFonts w:ascii="Arial" w:hAnsi="Arial" w:cs="Arial"/>
          <w:sz w:val="22"/>
          <w:szCs w:val="22"/>
        </w:rPr>
        <w:t xml:space="preserve">, în </w:t>
      </w:r>
      <w:r w:rsidR="00306393" w:rsidRPr="00C15F0D">
        <w:rPr>
          <w:rFonts w:ascii="Arial" w:hAnsi="Arial" w:cs="Arial"/>
          <w:sz w:val="22"/>
          <w:szCs w:val="22"/>
        </w:rPr>
        <w:t>ș</w:t>
      </w:r>
      <w:r w:rsidR="00A15095" w:rsidRPr="00C15F0D">
        <w:rPr>
          <w:rFonts w:ascii="Arial" w:hAnsi="Arial" w:cs="Arial"/>
          <w:sz w:val="22"/>
          <w:szCs w:val="22"/>
        </w:rPr>
        <w:t>edin</w:t>
      </w:r>
      <w:r w:rsidR="00306393" w:rsidRPr="00C15F0D">
        <w:rPr>
          <w:rFonts w:ascii="Arial" w:hAnsi="Arial" w:cs="Arial"/>
          <w:sz w:val="22"/>
          <w:szCs w:val="22"/>
        </w:rPr>
        <w:t>ț</w:t>
      </w:r>
      <w:r w:rsidR="00A15095" w:rsidRPr="00C15F0D">
        <w:rPr>
          <w:rFonts w:ascii="Arial" w:hAnsi="Arial" w:cs="Arial"/>
          <w:sz w:val="22"/>
          <w:szCs w:val="22"/>
        </w:rPr>
        <w:t>a din data de 26.07.2018</w:t>
      </w:r>
      <w:r w:rsidR="00306393" w:rsidRPr="00C15F0D">
        <w:rPr>
          <w:rFonts w:ascii="Arial" w:hAnsi="Arial" w:cs="Arial"/>
          <w:sz w:val="22"/>
          <w:szCs w:val="22"/>
        </w:rPr>
        <w:t xml:space="preserve">, </w:t>
      </w:r>
      <w:r w:rsidR="007B08C9" w:rsidRPr="00C15F0D">
        <w:rPr>
          <w:rFonts w:ascii="Arial" w:hAnsi="Arial" w:cs="Arial"/>
          <w:sz w:val="22"/>
          <w:szCs w:val="22"/>
        </w:rPr>
        <w:t xml:space="preserve">a </w:t>
      </w:r>
      <w:r w:rsidR="00EB6CFC" w:rsidRPr="00C15F0D">
        <w:rPr>
          <w:rFonts w:ascii="Arial" w:hAnsi="Arial" w:cs="Arial"/>
          <w:sz w:val="22"/>
          <w:szCs w:val="22"/>
        </w:rPr>
        <w:t>mandat</w:t>
      </w:r>
      <w:r w:rsidR="007B08C9" w:rsidRPr="00C15F0D">
        <w:rPr>
          <w:rFonts w:ascii="Arial" w:hAnsi="Arial" w:cs="Arial"/>
          <w:sz w:val="22"/>
          <w:szCs w:val="22"/>
        </w:rPr>
        <w:t>at d</w:t>
      </w:r>
      <w:r w:rsidR="00EB6CFC" w:rsidRPr="00C15F0D">
        <w:rPr>
          <w:rFonts w:ascii="Arial" w:hAnsi="Arial" w:cs="Arial"/>
          <w:sz w:val="22"/>
          <w:szCs w:val="22"/>
        </w:rPr>
        <w:t xml:space="preserve">irectorul general </w:t>
      </w:r>
      <w:r w:rsidRPr="00C15F0D">
        <w:rPr>
          <w:rFonts w:ascii="Arial" w:hAnsi="Arial" w:cs="Arial"/>
          <w:sz w:val="22"/>
          <w:szCs w:val="22"/>
        </w:rPr>
        <w:t>s</w:t>
      </w:r>
      <w:r w:rsidR="000A01F8" w:rsidRPr="00C15F0D">
        <w:rPr>
          <w:rFonts w:ascii="Arial" w:hAnsi="Arial" w:cs="Arial"/>
          <w:sz w:val="22"/>
          <w:szCs w:val="22"/>
        </w:rPr>
        <w:t>ă negocieze și să încheie un act adiț</w:t>
      </w:r>
      <w:r w:rsidRPr="00C15F0D">
        <w:rPr>
          <w:rFonts w:ascii="Arial" w:hAnsi="Arial" w:cs="Arial"/>
          <w:sz w:val="22"/>
          <w:szCs w:val="22"/>
        </w:rPr>
        <w:t xml:space="preserve">ional de prelungire a duratei </w:t>
      </w:r>
      <w:r w:rsidR="00EB6CFC" w:rsidRPr="00C15F0D">
        <w:rPr>
          <w:rFonts w:ascii="Arial" w:hAnsi="Arial" w:cs="Arial"/>
          <w:sz w:val="22"/>
          <w:szCs w:val="22"/>
        </w:rPr>
        <w:t>CCM p</w:t>
      </w:r>
      <w:r w:rsidR="00306393" w:rsidRPr="00C15F0D">
        <w:rPr>
          <w:rFonts w:ascii="Arial" w:hAnsi="Arial" w:cs="Arial"/>
          <w:sz w:val="22"/>
          <w:szCs w:val="22"/>
        </w:rPr>
        <w:t>ână</w:t>
      </w:r>
      <w:r w:rsidR="00EB6CFC" w:rsidRPr="00C15F0D">
        <w:rPr>
          <w:rFonts w:ascii="Arial" w:hAnsi="Arial" w:cs="Arial"/>
          <w:sz w:val="22"/>
          <w:szCs w:val="22"/>
        </w:rPr>
        <w:t xml:space="preserve"> la data de 31.12.2018.</w:t>
      </w:r>
    </w:p>
    <w:p w:rsidR="001A2F19" w:rsidRPr="00EB6CFC" w:rsidRDefault="001A2F19" w:rsidP="00EB6CFC">
      <w:pPr>
        <w:widowControl/>
        <w:overflowPunct w:val="0"/>
        <w:spacing w:line="276" w:lineRule="auto"/>
        <w:jc w:val="both"/>
        <w:textAlignment w:val="baseline"/>
        <w:rPr>
          <w:rFonts w:ascii="Arial" w:hAnsi="Arial" w:cs="Arial"/>
          <w:b/>
          <w:color w:val="FF0000"/>
          <w:sz w:val="22"/>
          <w:szCs w:val="22"/>
          <w:lang w:eastAsia="en-US"/>
        </w:rPr>
      </w:pPr>
    </w:p>
    <w:p w:rsidR="00EB6CFC" w:rsidRPr="009828D6" w:rsidRDefault="00792F20" w:rsidP="00170D7E">
      <w:pPr>
        <w:pStyle w:val="ListParagraph"/>
        <w:numPr>
          <w:ilvl w:val="1"/>
          <w:numId w:val="28"/>
        </w:numPr>
        <w:spacing w:before="144"/>
        <w:ind w:left="450" w:hanging="450"/>
        <w:rPr>
          <w:rFonts w:ascii="Arial" w:hAnsi="Arial" w:cs="Arial"/>
          <w:b/>
          <w:color w:val="1F4E79" w:themeColor="accent1" w:themeShade="80"/>
        </w:rPr>
      </w:pPr>
      <w:r w:rsidRPr="009828D6">
        <w:rPr>
          <w:rFonts w:ascii="Arial" w:hAnsi="Arial" w:cs="Arial"/>
          <w:b/>
          <w:color w:val="1F4E79" w:themeColor="accent1" w:themeShade="80"/>
          <w:sz w:val="24"/>
          <w:szCs w:val="24"/>
        </w:rPr>
        <w:t xml:space="preserve">Investiții realizate în semestrul </w:t>
      </w:r>
      <w:r w:rsidR="00EE1578" w:rsidRPr="009828D6">
        <w:rPr>
          <w:rFonts w:ascii="Arial" w:hAnsi="Arial" w:cs="Arial"/>
          <w:b/>
          <w:color w:val="1F4E79" w:themeColor="accent1" w:themeShade="80"/>
          <w:sz w:val="24"/>
          <w:szCs w:val="24"/>
        </w:rPr>
        <w:t>I</w:t>
      </w:r>
      <w:r w:rsidRPr="009828D6">
        <w:rPr>
          <w:rFonts w:ascii="Arial" w:hAnsi="Arial" w:cs="Arial"/>
          <w:b/>
          <w:color w:val="1F4E79" w:themeColor="accent1" w:themeShade="80"/>
          <w:sz w:val="24"/>
          <w:szCs w:val="24"/>
        </w:rPr>
        <w:t xml:space="preserve"> 2018 comparativ cu programul semestrului I </w:t>
      </w:r>
      <w:r w:rsidRPr="009828D6">
        <w:rPr>
          <w:rFonts w:ascii="Arial" w:hAnsi="Arial" w:cs="Arial"/>
          <w:b/>
          <w:color w:val="1F4E79" w:themeColor="accent1" w:themeShade="80"/>
        </w:rPr>
        <w:t xml:space="preserve">2018 </w:t>
      </w:r>
    </w:p>
    <w:p w:rsidR="00EB6CFC" w:rsidRPr="002C3508" w:rsidRDefault="00EB6CFC" w:rsidP="002C3508">
      <w:pPr>
        <w:widowControl/>
        <w:adjustRightInd/>
        <w:spacing w:line="276" w:lineRule="auto"/>
        <w:jc w:val="both"/>
        <w:rPr>
          <w:rFonts w:ascii="Arial" w:eastAsia="Calibri" w:hAnsi="Arial" w:cs="Arial"/>
          <w:sz w:val="22"/>
          <w:szCs w:val="22"/>
          <w:lang w:val="nb-NO"/>
        </w:rPr>
      </w:pPr>
      <w:r w:rsidRPr="002C3508">
        <w:rPr>
          <w:rFonts w:ascii="Arial" w:eastAsia="Calibri" w:hAnsi="Arial" w:cs="Arial"/>
          <w:sz w:val="22"/>
          <w:szCs w:val="22"/>
          <w:lang w:val="nb-NO"/>
        </w:rPr>
        <w:t>Proiectele de investiții în cadrul CONPET vizează, atât creșterea eficienței activității de transport, cât și operarea în siguranță a Sistemului Național de Transport.</w:t>
      </w:r>
    </w:p>
    <w:p w:rsidR="00EB6CFC" w:rsidRPr="002C3508" w:rsidRDefault="00EB6CFC" w:rsidP="002C3508">
      <w:pPr>
        <w:widowControl/>
        <w:adjustRightInd/>
        <w:spacing w:line="276" w:lineRule="auto"/>
        <w:jc w:val="both"/>
        <w:rPr>
          <w:rFonts w:ascii="Arial" w:eastAsia="Calibri" w:hAnsi="Arial" w:cs="Arial"/>
          <w:sz w:val="22"/>
          <w:szCs w:val="22"/>
          <w:lang w:val="nb-NO"/>
        </w:rPr>
      </w:pPr>
    </w:p>
    <w:p w:rsidR="00EB6CFC" w:rsidRPr="002C3508" w:rsidRDefault="00EB6CFC" w:rsidP="002C3508">
      <w:pPr>
        <w:widowControl/>
        <w:adjustRightInd/>
        <w:spacing w:line="276" w:lineRule="auto"/>
        <w:jc w:val="both"/>
        <w:rPr>
          <w:rFonts w:ascii="Arial" w:eastAsia="Calibri" w:hAnsi="Arial" w:cs="Arial"/>
          <w:sz w:val="22"/>
          <w:szCs w:val="22"/>
          <w:lang w:val="nb-NO"/>
        </w:rPr>
      </w:pPr>
      <w:r w:rsidRPr="002C3508">
        <w:rPr>
          <w:rFonts w:ascii="Arial" w:eastAsia="Calibri" w:hAnsi="Arial" w:cs="Arial"/>
          <w:sz w:val="22"/>
          <w:szCs w:val="22"/>
          <w:lang w:val="nb-NO"/>
        </w:rPr>
        <w:t>Investițiile sunt finanțate din surse proprii care se compun din: cota de modernizare</w:t>
      </w:r>
      <w:r w:rsidR="00A15095" w:rsidRPr="002C3508">
        <w:rPr>
          <w:rFonts w:ascii="Arial" w:eastAsia="Calibri" w:hAnsi="Arial" w:cs="Arial"/>
          <w:sz w:val="22"/>
          <w:szCs w:val="22"/>
          <w:lang w:val="nb-NO"/>
        </w:rPr>
        <w:t xml:space="preserve"> utilizată exclusiv</w:t>
      </w:r>
      <w:r w:rsidRPr="002C3508">
        <w:rPr>
          <w:rFonts w:ascii="Arial" w:eastAsia="Calibri" w:hAnsi="Arial" w:cs="Arial"/>
          <w:sz w:val="22"/>
          <w:szCs w:val="22"/>
          <w:lang w:val="nb-NO"/>
        </w:rPr>
        <w:t xml:space="preserve"> pentru </w:t>
      </w:r>
      <w:r w:rsidR="00A15095" w:rsidRPr="002C3508">
        <w:rPr>
          <w:rFonts w:ascii="Arial" w:eastAsia="Calibri" w:hAnsi="Arial" w:cs="Arial"/>
          <w:sz w:val="22"/>
          <w:szCs w:val="22"/>
          <w:lang w:val="nb-NO"/>
        </w:rPr>
        <w:t xml:space="preserve">investiții destinate modernizării </w:t>
      </w:r>
      <w:r w:rsidRPr="002C3508">
        <w:rPr>
          <w:rFonts w:ascii="Arial" w:eastAsia="Calibri" w:hAnsi="Arial" w:cs="Arial"/>
          <w:sz w:val="22"/>
          <w:szCs w:val="22"/>
          <w:lang w:val="nb-NO"/>
        </w:rPr>
        <w:t xml:space="preserve">activelor din domeniul public și </w:t>
      </w:r>
      <w:r w:rsidR="00A15095" w:rsidRPr="002C3508">
        <w:rPr>
          <w:rFonts w:ascii="Arial" w:eastAsia="Calibri" w:hAnsi="Arial" w:cs="Arial"/>
          <w:sz w:val="22"/>
          <w:szCs w:val="22"/>
          <w:lang w:val="nb-NO"/>
        </w:rPr>
        <w:t xml:space="preserve">pentru </w:t>
      </w:r>
      <w:r w:rsidRPr="002C3508">
        <w:rPr>
          <w:rFonts w:ascii="Arial" w:eastAsia="Calibri" w:hAnsi="Arial" w:cs="Arial"/>
          <w:sz w:val="22"/>
          <w:szCs w:val="22"/>
          <w:lang w:val="nb-NO"/>
        </w:rPr>
        <w:t>investiții noi</w:t>
      </w:r>
      <w:r w:rsidR="00A15095" w:rsidRPr="002C3508">
        <w:rPr>
          <w:rFonts w:ascii="Arial" w:eastAsia="Calibri" w:hAnsi="Arial" w:cs="Arial"/>
          <w:sz w:val="22"/>
          <w:szCs w:val="22"/>
          <w:lang w:val="nb-NO"/>
        </w:rPr>
        <w:t xml:space="preserve"> aferente SNT </w:t>
      </w:r>
      <w:r w:rsidRPr="002C3508">
        <w:rPr>
          <w:rFonts w:ascii="Arial" w:eastAsia="Calibri" w:hAnsi="Arial" w:cs="Arial"/>
          <w:sz w:val="22"/>
          <w:szCs w:val="22"/>
          <w:lang w:val="nb-NO"/>
        </w:rPr>
        <w:t>și alte surse</w:t>
      </w:r>
      <w:r w:rsidR="00A15095" w:rsidRPr="002C3508">
        <w:rPr>
          <w:rFonts w:ascii="Arial" w:eastAsia="Calibri" w:hAnsi="Arial" w:cs="Arial"/>
          <w:sz w:val="22"/>
          <w:szCs w:val="22"/>
          <w:lang w:val="nb-NO"/>
        </w:rPr>
        <w:t xml:space="preserve"> </w:t>
      </w:r>
      <w:r w:rsidR="00DF0868" w:rsidRPr="002C3508">
        <w:rPr>
          <w:rFonts w:ascii="Arial" w:eastAsia="Calibri" w:hAnsi="Arial" w:cs="Arial"/>
          <w:sz w:val="22"/>
          <w:szCs w:val="22"/>
          <w:lang w:val="nb-NO"/>
        </w:rPr>
        <w:t xml:space="preserve">proprii </w:t>
      </w:r>
      <w:r w:rsidR="00792F20" w:rsidRPr="002C3508">
        <w:rPr>
          <w:rFonts w:ascii="Arial" w:eastAsia="Calibri" w:hAnsi="Arial" w:cs="Arial"/>
          <w:sz w:val="22"/>
          <w:szCs w:val="22"/>
          <w:lang w:val="nb-NO"/>
        </w:rPr>
        <w:t>(profit și amortizare)</w:t>
      </w:r>
      <w:r w:rsidRPr="002C3508">
        <w:rPr>
          <w:rFonts w:ascii="Arial" w:eastAsia="Calibri" w:hAnsi="Arial" w:cs="Arial"/>
          <w:sz w:val="22"/>
          <w:szCs w:val="22"/>
          <w:lang w:val="nb-NO"/>
        </w:rPr>
        <w:t>.</w:t>
      </w:r>
    </w:p>
    <w:p w:rsidR="00EB6CFC" w:rsidRPr="002C3508" w:rsidRDefault="00EB6CFC" w:rsidP="002C3508">
      <w:pPr>
        <w:widowControl/>
        <w:autoSpaceDE/>
        <w:adjustRightInd/>
        <w:spacing w:line="276" w:lineRule="auto"/>
        <w:ind w:right="399"/>
        <w:jc w:val="both"/>
        <w:rPr>
          <w:rFonts w:ascii="Arial" w:eastAsia="Calibri" w:hAnsi="Arial" w:cs="Arial"/>
          <w:sz w:val="22"/>
          <w:szCs w:val="22"/>
          <w:lang w:val="it-IT" w:eastAsia="en-US"/>
        </w:rPr>
      </w:pPr>
      <w:r w:rsidRPr="002C3508">
        <w:rPr>
          <w:rFonts w:ascii="Arial" w:eastAsia="Calibri" w:hAnsi="Arial" w:cs="Arial"/>
          <w:sz w:val="22"/>
          <w:szCs w:val="22"/>
          <w:lang w:val="it-IT" w:eastAsia="en-US"/>
        </w:rPr>
        <w:lastRenderedPageBreak/>
        <w:t xml:space="preserve">Pentru </w:t>
      </w:r>
      <w:r w:rsidR="00DF0868" w:rsidRPr="002C3508">
        <w:rPr>
          <w:rFonts w:ascii="Arial" w:eastAsia="Calibri" w:hAnsi="Arial" w:cs="Arial"/>
          <w:sz w:val="22"/>
          <w:szCs w:val="22"/>
          <w:lang w:val="it-IT" w:eastAsia="en-US"/>
        </w:rPr>
        <w:t>s</w:t>
      </w:r>
      <w:r w:rsidRPr="002C3508">
        <w:rPr>
          <w:rFonts w:ascii="Arial" w:eastAsia="Calibri" w:hAnsi="Arial" w:cs="Arial"/>
          <w:sz w:val="22"/>
          <w:szCs w:val="22"/>
          <w:lang w:val="it-IT" w:eastAsia="en-US"/>
        </w:rPr>
        <w:t>emestrul I al anului 2018, CONPET a programat investiții în valoare de 35.495 mii lei și a realizat 32.317 mii lei</w:t>
      </w:r>
      <w:r w:rsidR="00DF0868" w:rsidRPr="002C3508">
        <w:rPr>
          <w:rFonts w:ascii="Arial" w:eastAsia="Calibri" w:hAnsi="Arial" w:cs="Arial"/>
          <w:sz w:val="22"/>
          <w:szCs w:val="22"/>
          <w:lang w:val="it-IT" w:eastAsia="en-US"/>
        </w:rPr>
        <w:t xml:space="preserve"> (91%)</w:t>
      </w:r>
      <w:r w:rsidRPr="002C3508">
        <w:rPr>
          <w:rFonts w:ascii="Arial" w:eastAsia="Calibri" w:hAnsi="Arial" w:cs="Arial"/>
          <w:sz w:val="22"/>
          <w:szCs w:val="22"/>
          <w:lang w:val="it-IT" w:eastAsia="en-US"/>
        </w:rPr>
        <w:t xml:space="preserve">. </w:t>
      </w:r>
    </w:p>
    <w:p w:rsidR="00EB6CFC" w:rsidRPr="002C3508" w:rsidRDefault="00EB6CFC" w:rsidP="002C3508">
      <w:pPr>
        <w:widowControl/>
        <w:autoSpaceDE/>
        <w:adjustRightInd/>
        <w:spacing w:line="276" w:lineRule="auto"/>
        <w:ind w:right="399"/>
        <w:jc w:val="both"/>
        <w:rPr>
          <w:rFonts w:ascii="Arial" w:eastAsia="Calibri" w:hAnsi="Arial" w:cs="Arial"/>
          <w:sz w:val="22"/>
          <w:szCs w:val="22"/>
          <w:lang w:val="it-IT" w:eastAsia="en-US"/>
        </w:rPr>
      </w:pPr>
    </w:p>
    <w:p w:rsidR="00EB6CFC" w:rsidRPr="002C3508" w:rsidRDefault="00DF0868" w:rsidP="002C3508">
      <w:pPr>
        <w:widowControl/>
        <w:autoSpaceDE/>
        <w:adjustRightInd/>
        <w:spacing w:line="276" w:lineRule="auto"/>
        <w:jc w:val="both"/>
        <w:rPr>
          <w:rFonts w:ascii="Arial" w:eastAsia="Calibri" w:hAnsi="Arial" w:cs="Arial"/>
          <w:sz w:val="22"/>
          <w:szCs w:val="22"/>
          <w:lang w:val="it-IT" w:eastAsia="en-US"/>
        </w:rPr>
      </w:pPr>
      <w:r w:rsidRPr="002C3508">
        <w:rPr>
          <w:rFonts w:ascii="Arial" w:eastAsia="Calibri" w:hAnsi="Arial" w:cs="Arial"/>
          <w:sz w:val="22"/>
          <w:szCs w:val="22"/>
          <w:lang w:val="it-IT" w:eastAsia="en-US"/>
        </w:rPr>
        <w:t xml:space="preserve">Valoarea </w:t>
      </w:r>
      <w:r w:rsidR="00EB6CFC" w:rsidRPr="002C3508">
        <w:rPr>
          <w:rFonts w:ascii="Arial" w:eastAsia="Calibri" w:hAnsi="Arial" w:cs="Arial"/>
          <w:sz w:val="22"/>
          <w:szCs w:val="22"/>
          <w:lang w:val="it-IT" w:eastAsia="en-US"/>
        </w:rPr>
        <w:t xml:space="preserve">obiectivelor de investiții realizate în </w:t>
      </w:r>
      <w:r w:rsidRPr="002C3508">
        <w:rPr>
          <w:rFonts w:ascii="Arial" w:eastAsia="Calibri" w:hAnsi="Arial" w:cs="Arial"/>
          <w:sz w:val="22"/>
          <w:szCs w:val="22"/>
          <w:lang w:val="it-IT" w:eastAsia="en-US"/>
        </w:rPr>
        <w:t>s</w:t>
      </w:r>
      <w:r w:rsidR="00EB6CFC" w:rsidRPr="002C3508">
        <w:rPr>
          <w:rFonts w:ascii="Arial" w:eastAsia="Calibri" w:hAnsi="Arial" w:cs="Arial"/>
          <w:sz w:val="22"/>
          <w:szCs w:val="22"/>
          <w:lang w:val="it-IT" w:eastAsia="en-US"/>
        </w:rPr>
        <w:t xml:space="preserve">emestrul I al anului 2018, </w:t>
      </w:r>
      <w:r w:rsidR="00792F20" w:rsidRPr="002C3508">
        <w:rPr>
          <w:rFonts w:ascii="Arial" w:eastAsia="Calibri" w:hAnsi="Arial" w:cs="Arial"/>
          <w:sz w:val="22"/>
          <w:szCs w:val="22"/>
          <w:lang w:val="it-IT" w:eastAsia="en-US"/>
        </w:rPr>
        <w:t>după</w:t>
      </w:r>
      <w:r w:rsidR="00EB6CFC" w:rsidRPr="002C3508">
        <w:rPr>
          <w:rFonts w:ascii="Arial" w:eastAsia="Calibri" w:hAnsi="Arial" w:cs="Arial"/>
          <w:sz w:val="22"/>
          <w:szCs w:val="22"/>
          <w:lang w:val="it-IT" w:eastAsia="en-US"/>
        </w:rPr>
        <w:t xml:space="preserve"> apartenența activelor, comparativ cu programul </w:t>
      </w:r>
      <w:r w:rsidRPr="002C3508">
        <w:rPr>
          <w:rFonts w:ascii="Arial" w:eastAsia="Calibri" w:hAnsi="Arial" w:cs="Arial"/>
          <w:sz w:val="22"/>
          <w:szCs w:val="22"/>
          <w:lang w:val="it-IT" w:eastAsia="en-US"/>
        </w:rPr>
        <w:t>din</w:t>
      </w:r>
      <w:r w:rsidR="00EB6CFC" w:rsidRPr="002C3508">
        <w:rPr>
          <w:rFonts w:ascii="Arial" w:eastAsia="Calibri" w:hAnsi="Arial" w:cs="Arial"/>
          <w:sz w:val="22"/>
          <w:szCs w:val="22"/>
          <w:lang w:val="it-IT" w:eastAsia="en-US"/>
        </w:rPr>
        <w:t xml:space="preserve"> </w:t>
      </w:r>
      <w:r w:rsidRPr="002C3508">
        <w:rPr>
          <w:rFonts w:ascii="Arial" w:eastAsia="Calibri" w:hAnsi="Arial" w:cs="Arial"/>
          <w:sz w:val="22"/>
          <w:szCs w:val="22"/>
          <w:lang w:val="it-IT" w:eastAsia="en-US"/>
        </w:rPr>
        <w:t>s</w:t>
      </w:r>
      <w:r w:rsidR="00EB6CFC" w:rsidRPr="002C3508">
        <w:rPr>
          <w:rFonts w:ascii="Arial" w:eastAsia="Calibri" w:hAnsi="Arial" w:cs="Arial"/>
          <w:sz w:val="22"/>
          <w:szCs w:val="22"/>
          <w:lang w:val="it-IT" w:eastAsia="en-US"/>
        </w:rPr>
        <w:t xml:space="preserve">emestrul I </w:t>
      </w:r>
      <w:r w:rsidR="00EB6CFC" w:rsidRPr="002C3508">
        <w:rPr>
          <w:rFonts w:ascii="Arial" w:eastAsia="Calibri" w:hAnsi="Arial" w:cs="Arial"/>
          <w:sz w:val="22"/>
          <w:szCs w:val="22"/>
          <w:lang w:eastAsia="en-US"/>
        </w:rPr>
        <w:t xml:space="preserve">și </w:t>
      </w:r>
      <w:r w:rsidRPr="002C3508">
        <w:rPr>
          <w:rFonts w:ascii="Arial" w:eastAsia="Calibri" w:hAnsi="Arial" w:cs="Arial"/>
          <w:sz w:val="22"/>
          <w:szCs w:val="22"/>
          <w:lang w:eastAsia="en-US"/>
        </w:rPr>
        <w:t xml:space="preserve">aceeași perioadă a </w:t>
      </w:r>
      <w:r w:rsidR="00EB6CFC" w:rsidRPr="002C3508">
        <w:rPr>
          <w:rFonts w:ascii="Arial" w:eastAsia="Calibri" w:hAnsi="Arial" w:cs="Arial"/>
          <w:sz w:val="22"/>
          <w:szCs w:val="22"/>
          <w:lang w:val="it-IT" w:eastAsia="en-US"/>
        </w:rPr>
        <w:t>anul</w:t>
      </w:r>
      <w:r w:rsidRPr="002C3508">
        <w:rPr>
          <w:rFonts w:ascii="Arial" w:eastAsia="Calibri" w:hAnsi="Arial" w:cs="Arial"/>
          <w:sz w:val="22"/>
          <w:szCs w:val="22"/>
          <w:lang w:val="it-IT" w:eastAsia="en-US"/>
        </w:rPr>
        <w:t>ui</w:t>
      </w:r>
      <w:r w:rsidR="00EB6CFC" w:rsidRPr="002C3508">
        <w:rPr>
          <w:rFonts w:ascii="Arial" w:eastAsia="Calibri" w:hAnsi="Arial" w:cs="Arial"/>
          <w:sz w:val="22"/>
          <w:szCs w:val="22"/>
          <w:lang w:val="it-IT" w:eastAsia="en-US"/>
        </w:rPr>
        <w:t xml:space="preserve">  2017, se prezintă astfel: </w:t>
      </w:r>
    </w:p>
    <w:p w:rsidR="00EB6CFC" w:rsidRPr="00F5447A" w:rsidRDefault="00EB6CFC" w:rsidP="00EB6CFC">
      <w:pPr>
        <w:widowControl/>
        <w:autoSpaceDE/>
        <w:adjustRightInd/>
        <w:spacing w:line="276" w:lineRule="auto"/>
        <w:jc w:val="both"/>
        <w:rPr>
          <w:rFonts w:ascii="Arial" w:eastAsia="Calibri" w:hAnsi="Arial" w:cs="Arial"/>
          <w:lang w:val="it-IT" w:eastAsia="en-US"/>
        </w:rPr>
      </w:pP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050"/>
        <w:gridCol w:w="972"/>
        <w:gridCol w:w="1039"/>
        <w:gridCol w:w="700"/>
        <w:gridCol w:w="1039"/>
        <w:gridCol w:w="1050"/>
        <w:gridCol w:w="1039"/>
        <w:gridCol w:w="757"/>
      </w:tblGrid>
      <w:tr w:rsidR="00EB6CFC" w:rsidRPr="007A616D" w:rsidTr="00F43345">
        <w:trPr>
          <w:trHeight w:val="257"/>
          <w:jc w:val="center"/>
        </w:trPr>
        <w:tc>
          <w:tcPr>
            <w:tcW w:w="1946" w:type="dxa"/>
            <w:vMerge w:val="restart"/>
            <w:shd w:val="clear" w:color="auto" w:fill="DEEAF6" w:themeFill="accent1" w:themeFillTint="33"/>
            <w:noWrap/>
            <w:vAlign w:val="center"/>
            <w:hideMark/>
          </w:tcPr>
          <w:p w:rsidR="00EB6CFC" w:rsidRPr="0082056F" w:rsidRDefault="00EB6CFC" w:rsidP="00934797">
            <w:pPr>
              <w:widowControl/>
              <w:autoSpaceDE/>
              <w:autoSpaceDN/>
              <w:adjustRightInd/>
              <w:jc w:val="center"/>
              <w:rPr>
                <w:rFonts w:ascii="Arial" w:hAnsi="Arial" w:cs="Arial"/>
                <w:b/>
                <w:bCs/>
                <w:color w:val="000000"/>
                <w:lang w:val="en-US" w:eastAsia="en-US"/>
              </w:rPr>
            </w:pPr>
            <w:r w:rsidRPr="0082056F">
              <w:rPr>
                <w:rFonts w:ascii="Arial" w:hAnsi="Arial" w:cs="Arial"/>
                <w:b/>
                <w:bCs/>
                <w:color w:val="000000"/>
                <w:lang w:val="en-US" w:eastAsia="en-US"/>
              </w:rPr>
              <w:t>Denumire</w:t>
            </w:r>
            <w:r w:rsidR="00792F20">
              <w:rPr>
                <w:rFonts w:ascii="Arial" w:hAnsi="Arial" w:cs="Arial"/>
                <w:b/>
                <w:bCs/>
                <w:color w:val="000000"/>
                <w:lang w:val="en-US" w:eastAsia="en-US"/>
              </w:rPr>
              <w:t xml:space="preserve"> (mii lei)</w:t>
            </w:r>
            <w:r w:rsidRPr="0082056F">
              <w:rPr>
                <w:rFonts w:ascii="Arial" w:hAnsi="Arial" w:cs="Arial"/>
                <w:b/>
                <w:bCs/>
                <w:color w:val="000000"/>
                <w:lang w:val="en-US" w:eastAsia="en-US"/>
              </w:rPr>
              <w:t xml:space="preserve"> </w:t>
            </w:r>
          </w:p>
        </w:tc>
        <w:tc>
          <w:tcPr>
            <w:tcW w:w="1050" w:type="dxa"/>
            <w:shd w:val="clear" w:color="auto" w:fill="DEEAF6" w:themeFill="accent1" w:themeFillTint="33"/>
            <w:noWrap/>
            <w:vAlign w:val="bottom"/>
            <w:hideMark/>
          </w:tcPr>
          <w:p w:rsidR="00EB6CFC" w:rsidRPr="0082056F" w:rsidRDefault="00EB6CFC" w:rsidP="00934797">
            <w:pPr>
              <w:widowControl/>
              <w:autoSpaceDE/>
              <w:autoSpaceDN/>
              <w:adjustRightInd/>
              <w:jc w:val="center"/>
              <w:rPr>
                <w:rFonts w:ascii="Arial" w:hAnsi="Arial" w:cs="Arial"/>
                <w:b/>
                <w:color w:val="000000"/>
                <w:lang w:val="en-US" w:eastAsia="en-US"/>
              </w:rPr>
            </w:pPr>
            <w:r w:rsidRPr="0082056F">
              <w:rPr>
                <w:rFonts w:ascii="Arial" w:hAnsi="Arial" w:cs="Arial"/>
                <w:b/>
                <w:color w:val="000000"/>
                <w:lang w:val="en-US" w:eastAsia="en-US"/>
              </w:rPr>
              <w:t>Program</w:t>
            </w:r>
          </w:p>
        </w:tc>
        <w:tc>
          <w:tcPr>
            <w:tcW w:w="2622" w:type="dxa"/>
            <w:gridSpan w:val="3"/>
            <w:shd w:val="clear" w:color="auto" w:fill="DEEAF6" w:themeFill="accent1" w:themeFillTint="33"/>
            <w:noWrap/>
            <w:vAlign w:val="bottom"/>
            <w:hideMark/>
          </w:tcPr>
          <w:p w:rsidR="00EB6CFC" w:rsidRPr="0082056F" w:rsidRDefault="00792F20" w:rsidP="00934797">
            <w:pPr>
              <w:widowControl/>
              <w:autoSpaceDE/>
              <w:autoSpaceDN/>
              <w:adjustRightInd/>
              <w:jc w:val="center"/>
              <w:rPr>
                <w:rFonts w:ascii="Arial" w:hAnsi="Arial" w:cs="Arial"/>
                <w:b/>
                <w:color w:val="000000"/>
                <w:lang w:val="en-US" w:eastAsia="en-US"/>
              </w:rPr>
            </w:pPr>
            <w:r>
              <w:rPr>
                <w:rFonts w:ascii="Arial" w:hAnsi="Arial" w:cs="Arial"/>
                <w:b/>
                <w:color w:val="000000"/>
                <w:lang w:val="en-US" w:eastAsia="en-US"/>
              </w:rPr>
              <w:t>Sem.I</w:t>
            </w:r>
            <w:r w:rsidR="00EB6CFC" w:rsidRPr="0082056F">
              <w:rPr>
                <w:rFonts w:ascii="Arial" w:hAnsi="Arial" w:cs="Arial"/>
                <w:b/>
                <w:color w:val="000000"/>
                <w:lang w:val="en-US" w:eastAsia="en-US"/>
              </w:rPr>
              <w:t xml:space="preserve"> 2018</w:t>
            </w:r>
          </w:p>
        </w:tc>
        <w:tc>
          <w:tcPr>
            <w:tcW w:w="1039" w:type="dxa"/>
            <w:shd w:val="clear" w:color="auto" w:fill="DEEAF6" w:themeFill="accent1" w:themeFillTint="33"/>
            <w:noWrap/>
            <w:vAlign w:val="bottom"/>
            <w:hideMark/>
          </w:tcPr>
          <w:p w:rsidR="00EB6CFC" w:rsidRPr="0082056F" w:rsidRDefault="00EB6CFC" w:rsidP="00934797">
            <w:pPr>
              <w:widowControl/>
              <w:autoSpaceDE/>
              <w:autoSpaceDN/>
              <w:adjustRightInd/>
              <w:jc w:val="center"/>
              <w:rPr>
                <w:rFonts w:ascii="Arial" w:hAnsi="Arial" w:cs="Arial"/>
                <w:b/>
                <w:color w:val="000000"/>
                <w:lang w:val="en-US" w:eastAsia="en-US"/>
              </w:rPr>
            </w:pPr>
            <w:r w:rsidRPr="0082056F">
              <w:rPr>
                <w:rFonts w:ascii="Arial" w:hAnsi="Arial" w:cs="Arial"/>
                <w:b/>
                <w:color w:val="000000"/>
                <w:lang w:val="en-US" w:eastAsia="en-US"/>
              </w:rPr>
              <w:t>Program</w:t>
            </w:r>
          </w:p>
        </w:tc>
        <w:tc>
          <w:tcPr>
            <w:tcW w:w="2790" w:type="dxa"/>
            <w:gridSpan w:val="3"/>
            <w:shd w:val="clear" w:color="auto" w:fill="DEEAF6" w:themeFill="accent1" w:themeFillTint="33"/>
            <w:noWrap/>
            <w:vAlign w:val="bottom"/>
            <w:hideMark/>
          </w:tcPr>
          <w:p w:rsidR="00EB6CFC" w:rsidRPr="0082056F" w:rsidRDefault="00792F20" w:rsidP="00934797">
            <w:pPr>
              <w:widowControl/>
              <w:autoSpaceDE/>
              <w:autoSpaceDN/>
              <w:adjustRightInd/>
              <w:jc w:val="center"/>
              <w:rPr>
                <w:rFonts w:ascii="Arial" w:hAnsi="Arial" w:cs="Arial"/>
                <w:b/>
                <w:color w:val="000000"/>
                <w:lang w:val="en-US" w:eastAsia="en-US"/>
              </w:rPr>
            </w:pPr>
            <w:r>
              <w:rPr>
                <w:rFonts w:ascii="Arial" w:hAnsi="Arial" w:cs="Arial"/>
                <w:b/>
                <w:color w:val="000000"/>
                <w:lang w:val="en-US" w:eastAsia="en-US"/>
              </w:rPr>
              <w:t>Sem. I</w:t>
            </w:r>
            <w:r w:rsidR="00EB6CFC" w:rsidRPr="0082056F">
              <w:rPr>
                <w:rFonts w:ascii="Arial" w:hAnsi="Arial" w:cs="Arial"/>
                <w:b/>
                <w:color w:val="000000"/>
                <w:lang w:val="en-US" w:eastAsia="en-US"/>
              </w:rPr>
              <w:t xml:space="preserve"> 2017</w:t>
            </w:r>
          </w:p>
        </w:tc>
      </w:tr>
      <w:tr w:rsidR="00EB6CFC" w:rsidRPr="00355E15" w:rsidTr="00F43345">
        <w:trPr>
          <w:trHeight w:val="257"/>
          <w:jc w:val="center"/>
        </w:trPr>
        <w:tc>
          <w:tcPr>
            <w:tcW w:w="1946" w:type="dxa"/>
            <w:vMerge/>
            <w:shd w:val="clear" w:color="auto" w:fill="DEEAF6" w:themeFill="accent1" w:themeFillTint="33"/>
            <w:vAlign w:val="center"/>
            <w:hideMark/>
          </w:tcPr>
          <w:p w:rsidR="00EB6CFC" w:rsidRPr="0082056F" w:rsidRDefault="00EB6CFC" w:rsidP="00934797">
            <w:pPr>
              <w:widowControl/>
              <w:autoSpaceDE/>
              <w:autoSpaceDN/>
              <w:adjustRightInd/>
              <w:rPr>
                <w:rFonts w:ascii="Arial" w:hAnsi="Arial" w:cs="Arial"/>
                <w:b/>
                <w:bCs/>
                <w:color w:val="000000"/>
                <w:lang w:val="en-US" w:eastAsia="en-US"/>
              </w:rPr>
            </w:pPr>
          </w:p>
        </w:tc>
        <w:tc>
          <w:tcPr>
            <w:tcW w:w="1050" w:type="dxa"/>
            <w:shd w:val="clear" w:color="auto" w:fill="DEEAF6" w:themeFill="accent1" w:themeFillTint="33"/>
            <w:noWrap/>
            <w:vAlign w:val="bottom"/>
            <w:hideMark/>
          </w:tcPr>
          <w:p w:rsidR="00EB6CFC" w:rsidRPr="00F43E8E" w:rsidRDefault="00792F20" w:rsidP="00934797">
            <w:pPr>
              <w:widowControl/>
              <w:autoSpaceDE/>
              <w:autoSpaceDN/>
              <w:adjustRightInd/>
              <w:jc w:val="center"/>
              <w:rPr>
                <w:rFonts w:ascii="Arial" w:hAnsi="Arial" w:cs="Arial"/>
                <w:b/>
                <w:color w:val="000000"/>
                <w:lang w:val="en-US" w:eastAsia="en-US"/>
              </w:rPr>
            </w:pPr>
            <w:r w:rsidRPr="00F43E8E">
              <w:rPr>
                <w:rFonts w:ascii="Arial" w:hAnsi="Arial" w:cs="Arial"/>
                <w:b/>
                <w:color w:val="000000"/>
                <w:lang w:val="en-US" w:eastAsia="en-US"/>
              </w:rPr>
              <w:t>AN</w:t>
            </w:r>
            <w:r w:rsidR="00EB6CFC" w:rsidRPr="00F43E8E">
              <w:rPr>
                <w:rFonts w:ascii="Arial" w:hAnsi="Arial" w:cs="Arial"/>
                <w:b/>
                <w:color w:val="000000"/>
                <w:lang w:val="en-US" w:eastAsia="en-US"/>
              </w:rPr>
              <w:t xml:space="preserve"> 2018</w:t>
            </w:r>
          </w:p>
        </w:tc>
        <w:tc>
          <w:tcPr>
            <w:tcW w:w="939" w:type="dxa"/>
            <w:shd w:val="clear" w:color="auto" w:fill="DEEAF6" w:themeFill="accent1" w:themeFillTint="33"/>
            <w:noWrap/>
            <w:vAlign w:val="center"/>
            <w:hideMark/>
          </w:tcPr>
          <w:p w:rsidR="00EB6CFC" w:rsidRPr="00F43E8E" w:rsidRDefault="00EB6CFC" w:rsidP="00934797">
            <w:pPr>
              <w:widowControl/>
              <w:autoSpaceDE/>
              <w:autoSpaceDN/>
              <w:adjustRightInd/>
              <w:jc w:val="center"/>
              <w:rPr>
                <w:rFonts w:ascii="Arial" w:hAnsi="Arial" w:cs="Arial"/>
                <w:b/>
                <w:color w:val="000000"/>
                <w:lang w:val="en-US" w:eastAsia="en-US"/>
              </w:rPr>
            </w:pPr>
            <w:r w:rsidRPr="00F43E8E">
              <w:rPr>
                <w:rFonts w:ascii="Arial" w:hAnsi="Arial" w:cs="Arial"/>
                <w:b/>
                <w:color w:val="000000"/>
                <w:lang w:val="en-US" w:eastAsia="en-US"/>
              </w:rPr>
              <w:t>Realizat</w:t>
            </w:r>
          </w:p>
        </w:tc>
        <w:tc>
          <w:tcPr>
            <w:tcW w:w="983" w:type="dxa"/>
            <w:shd w:val="clear" w:color="auto" w:fill="DEEAF6" w:themeFill="accent1" w:themeFillTint="33"/>
            <w:noWrap/>
            <w:vAlign w:val="center"/>
            <w:hideMark/>
          </w:tcPr>
          <w:p w:rsidR="00EB6CFC" w:rsidRPr="00F43E8E" w:rsidRDefault="00EB6CFC" w:rsidP="00934797">
            <w:pPr>
              <w:widowControl/>
              <w:autoSpaceDE/>
              <w:autoSpaceDN/>
              <w:adjustRightInd/>
              <w:jc w:val="center"/>
              <w:rPr>
                <w:rFonts w:ascii="Arial" w:hAnsi="Arial" w:cs="Arial"/>
                <w:b/>
                <w:color w:val="000000"/>
                <w:lang w:val="en-US" w:eastAsia="en-US"/>
              </w:rPr>
            </w:pPr>
            <w:r w:rsidRPr="00F43E8E">
              <w:rPr>
                <w:rFonts w:ascii="Arial" w:hAnsi="Arial" w:cs="Arial"/>
                <w:b/>
                <w:color w:val="000000"/>
                <w:lang w:val="en-US" w:eastAsia="en-US"/>
              </w:rPr>
              <w:t>Program</w:t>
            </w:r>
          </w:p>
        </w:tc>
        <w:tc>
          <w:tcPr>
            <w:tcW w:w="700" w:type="dxa"/>
            <w:shd w:val="clear" w:color="auto" w:fill="DEEAF6" w:themeFill="accent1" w:themeFillTint="33"/>
            <w:noWrap/>
            <w:vAlign w:val="bottom"/>
            <w:hideMark/>
          </w:tcPr>
          <w:p w:rsidR="00EB6CFC" w:rsidRPr="00F43E8E" w:rsidRDefault="00EB6CFC" w:rsidP="00934797">
            <w:pPr>
              <w:widowControl/>
              <w:autoSpaceDE/>
              <w:autoSpaceDN/>
              <w:adjustRightInd/>
              <w:jc w:val="center"/>
              <w:rPr>
                <w:rFonts w:ascii="Arial" w:hAnsi="Arial" w:cs="Arial"/>
                <w:b/>
                <w:color w:val="000000"/>
                <w:lang w:val="en-US" w:eastAsia="en-US"/>
              </w:rPr>
            </w:pPr>
            <w:r w:rsidRPr="00F43E8E">
              <w:rPr>
                <w:rFonts w:ascii="Arial" w:hAnsi="Arial" w:cs="Arial"/>
                <w:b/>
                <w:color w:val="000000"/>
                <w:lang w:val="en-US" w:eastAsia="en-US"/>
              </w:rPr>
              <w:t>%</w:t>
            </w:r>
          </w:p>
        </w:tc>
        <w:tc>
          <w:tcPr>
            <w:tcW w:w="1039" w:type="dxa"/>
            <w:shd w:val="clear" w:color="auto" w:fill="DEEAF6" w:themeFill="accent1" w:themeFillTint="33"/>
            <w:noWrap/>
            <w:vAlign w:val="bottom"/>
            <w:hideMark/>
          </w:tcPr>
          <w:p w:rsidR="00EB6CFC" w:rsidRPr="00F43E8E" w:rsidRDefault="00792F20" w:rsidP="00934797">
            <w:pPr>
              <w:widowControl/>
              <w:autoSpaceDE/>
              <w:autoSpaceDN/>
              <w:adjustRightInd/>
              <w:jc w:val="center"/>
              <w:rPr>
                <w:rFonts w:ascii="Arial" w:hAnsi="Arial" w:cs="Arial"/>
                <w:b/>
                <w:color w:val="000000"/>
                <w:lang w:val="en-US" w:eastAsia="en-US"/>
              </w:rPr>
            </w:pPr>
            <w:r w:rsidRPr="00F43E8E">
              <w:rPr>
                <w:rFonts w:ascii="Arial" w:hAnsi="Arial" w:cs="Arial"/>
                <w:b/>
                <w:color w:val="000000"/>
                <w:lang w:val="en-US" w:eastAsia="en-US"/>
              </w:rPr>
              <w:t>AN</w:t>
            </w:r>
            <w:r w:rsidR="00EB6CFC" w:rsidRPr="00F43E8E">
              <w:rPr>
                <w:rFonts w:ascii="Arial" w:hAnsi="Arial" w:cs="Arial"/>
                <w:b/>
                <w:color w:val="000000"/>
                <w:lang w:val="en-US" w:eastAsia="en-US"/>
              </w:rPr>
              <w:t xml:space="preserve"> 2017</w:t>
            </w:r>
          </w:p>
        </w:tc>
        <w:tc>
          <w:tcPr>
            <w:tcW w:w="1050" w:type="dxa"/>
            <w:shd w:val="clear" w:color="auto" w:fill="DEEAF6" w:themeFill="accent1" w:themeFillTint="33"/>
            <w:noWrap/>
            <w:vAlign w:val="center"/>
            <w:hideMark/>
          </w:tcPr>
          <w:p w:rsidR="00EB6CFC" w:rsidRPr="00F43E8E" w:rsidRDefault="00EB6CFC" w:rsidP="00934797">
            <w:pPr>
              <w:widowControl/>
              <w:autoSpaceDE/>
              <w:autoSpaceDN/>
              <w:adjustRightInd/>
              <w:jc w:val="center"/>
              <w:rPr>
                <w:rFonts w:ascii="Arial" w:hAnsi="Arial" w:cs="Arial"/>
                <w:b/>
                <w:color w:val="000000"/>
                <w:lang w:val="en-US" w:eastAsia="en-US"/>
              </w:rPr>
            </w:pPr>
            <w:r w:rsidRPr="00F43E8E">
              <w:rPr>
                <w:rFonts w:ascii="Arial" w:hAnsi="Arial" w:cs="Arial"/>
                <w:b/>
                <w:color w:val="000000"/>
                <w:lang w:val="en-US" w:eastAsia="en-US"/>
              </w:rPr>
              <w:t>Realizat</w:t>
            </w:r>
          </w:p>
        </w:tc>
        <w:tc>
          <w:tcPr>
            <w:tcW w:w="983" w:type="dxa"/>
            <w:shd w:val="clear" w:color="auto" w:fill="DEEAF6" w:themeFill="accent1" w:themeFillTint="33"/>
            <w:noWrap/>
            <w:vAlign w:val="center"/>
            <w:hideMark/>
          </w:tcPr>
          <w:p w:rsidR="00EB6CFC" w:rsidRPr="00F43E8E" w:rsidRDefault="00EB6CFC" w:rsidP="00934797">
            <w:pPr>
              <w:widowControl/>
              <w:autoSpaceDE/>
              <w:autoSpaceDN/>
              <w:adjustRightInd/>
              <w:jc w:val="center"/>
              <w:rPr>
                <w:rFonts w:ascii="Arial" w:hAnsi="Arial" w:cs="Arial"/>
                <w:b/>
                <w:color w:val="000000"/>
                <w:lang w:val="en-US" w:eastAsia="en-US"/>
              </w:rPr>
            </w:pPr>
            <w:r w:rsidRPr="00F43E8E">
              <w:rPr>
                <w:rFonts w:ascii="Arial" w:hAnsi="Arial" w:cs="Arial"/>
                <w:b/>
                <w:color w:val="000000"/>
                <w:lang w:val="en-US" w:eastAsia="en-US"/>
              </w:rPr>
              <w:t>Program</w:t>
            </w:r>
          </w:p>
        </w:tc>
        <w:tc>
          <w:tcPr>
            <w:tcW w:w="757" w:type="dxa"/>
            <w:shd w:val="clear" w:color="auto" w:fill="DEEAF6" w:themeFill="accent1" w:themeFillTint="33"/>
            <w:noWrap/>
            <w:vAlign w:val="bottom"/>
            <w:hideMark/>
          </w:tcPr>
          <w:p w:rsidR="00EB6CFC" w:rsidRPr="00F43E8E" w:rsidRDefault="00EB6CFC" w:rsidP="00934797">
            <w:pPr>
              <w:widowControl/>
              <w:autoSpaceDE/>
              <w:autoSpaceDN/>
              <w:adjustRightInd/>
              <w:jc w:val="center"/>
              <w:rPr>
                <w:rFonts w:ascii="Arial" w:hAnsi="Arial" w:cs="Arial"/>
                <w:b/>
                <w:color w:val="000000"/>
                <w:lang w:val="en-US" w:eastAsia="en-US"/>
              </w:rPr>
            </w:pPr>
            <w:r w:rsidRPr="00F43E8E">
              <w:rPr>
                <w:rFonts w:ascii="Arial" w:hAnsi="Arial" w:cs="Arial"/>
                <w:b/>
                <w:color w:val="000000"/>
                <w:lang w:val="en-US" w:eastAsia="en-US"/>
              </w:rPr>
              <w:t>%</w:t>
            </w:r>
          </w:p>
        </w:tc>
      </w:tr>
      <w:tr w:rsidR="00EB6CFC" w:rsidRPr="00355E15" w:rsidTr="00F43345">
        <w:trPr>
          <w:trHeight w:val="257"/>
          <w:jc w:val="center"/>
        </w:trPr>
        <w:tc>
          <w:tcPr>
            <w:tcW w:w="1946" w:type="dxa"/>
            <w:shd w:val="clear" w:color="auto" w:fill="auto"/>
            <w:vAlign w:val="center"/>
            <w:hideMark/>
          </w:tcPr>
          <w:p w:rsidR="00EB6CFC" w:rsidRPr="0082056F" w:rsidRDefault="00EB6CFC" w:rsidP="00792F20">
            <w:pPr>
              <w:widowControl/>
              <w:autoSpaceDE/>
              <w:autoSpaceDN/>
              <w:adjustRightInd/>
              <w:rPr>
                <w:rFonts w:ascii="Arial" w:hAnsi="Arial" w:cs="Arial"/>
                <w:b/>
                <w:bCs/>
                <w:color w:val="000000"/>
                <w:lang w:val="en-US" w:eastAsia="en-US"/>
              </w:rPr>
            </w:pPr>
            <w:r w:rsidRPr="0082056F">
              <w:rPr>
                <w:rFonts w:ascii="Arial" w:hAnsi="Arial" w:cs="Arial"/>
                <w:b/>
                <w:bCs/>
                <w:color w:val="000000"/>
                <w:lang w:val="en-US" w:eastAsia="en-US"/>
              </w:rPr>
              <w:t>Total investiții, din care:</w:t>
            </w:r>
          </w:p>
        </w:tc>
        <w:tc>
          <w:tcPr>
            <w:tcW w:w="1050" w:type="dxa"/>
            <w:shd w:val="clear" w:color="auto" w:fill="auto"/>
            <w:noWrap/>
            <w:vAlign w:val="center"/>
            <w:hideMark/>
          </w:tcPr>
          <w:p w:rsidR="00EB6CFC" w:rsidRPr="0082056F" w:rsidRDefault="00EB6CFC" w:rsidP="00934797">
            <w:pPr>
              <w:widowControl/>
              <w:autoSpaceDE/>
              <w:autoSpaceDN/>
              <w:adjustRightInd/>
              <w:jc w:val="right"/>
              <w:rPr>
                <w:rFonts w:ascii="Arial" w:hAnsi="Arial" w:cs="Arial"/>
                <w:b/>
                <w:color w:val="000000"/>
                <w:lang w:val="en-US" w:eastAsia="en-US"/>
              </w:rPr>
            </w:pPr>
            <w:r w:rsidRPr="0082056F">
              <w:rPr>
                <w:rFonts w:ascii="Arial" w:hAnsi="Arial" w:cs="Arial"/>
                <w:b/>
                <w:color w:val="000000"/>
                <w:lang w:val="en-US" w:eastAsia="en-US"/>
              </w:rPr>
              <w:t>76.625</w:t>
            </w:r>
          </w:p>
        </w:tc>
        <w:tc>
          <w:tcPr>
            <w:tcW w:w="939" w:type="dxa"/>
            <w:shd w:val="clear" w:color="auto" w:fill="auto"/>
            <w:vAlign w:val="center"/>
            <w:hideMark/>
          </w:tcPr>
          <w:p w:rsidR="00EB6CFC" w:rsidRPr="0082056F" w:rsidRDefault="00EB6CFC" w:rsidP="00934797">
            <w:pPr>
              <w:widowControl/>
              <w:autoSpaceDE/>
              <w:autoSpaceDN/>
              <w:adjustRightInd/>
              <w:jc w:val="center"/>
              <w:rPr>
                <w:rFonts w:ascii="Arial" w:hAnsi="Arial" w:cs="Arial"/>
                <w:b/>
                <w:bCs/>
                <w:color w:val="000000"/>
                <w:lang w:val="en-US" w:eastAsia="en-US"/>
              </w:rPr>
            </w:pPr>
            <w:r w:rsidRPr="0082056F">
              <w:rPr>
                <w:rFonts w:ascii="Arial" w:hAnsi="Arial" w:cs="Arial"/>
                <w:b/>
                <w:bCs/>
                <w:color w:val="000000"/>
                <w:lang w:eastAsia="en-US"/>
              </w:rPr>
              <w:t>32.317</w:t>
            </w:r>
          </w:p>
        </w:tc>
        <w:tc>
          <w:tcPr>
            <w:tcW w:w="983" w:type="dxa"/>
            <w:shd w:val="clear" w:color="auto" w:fill="auto"/>
            <w:vAlign w:val="center"/>
            <w:hideMark/>
          </w:tcPr>
          <w:p w:rsidR="00EB6CFC" w:rsidRPr="0082056F" w:rsidRDefault="00EB6CFC" w:rsidP="00934797">
            <w:pPr>
              <w:widowControl/>
              <w:autoSpaceDE/>
              <w:autoSpaceDN/>
              <w:adjustRightInd/>
              <w:jc w:val="center"/>
              <w:rPr>
                <w:rFonts w:ascii="Arial" w:hAnsi="Arial" w:cs="Arial"/>
                <w:b/>
                <w:bCs/>
                <w:color w:val="000000"/>
                <w:lang w:val="en-US" w:eastAsia="en-US"/>
              </w:rPr>
            </w:pPr>
            <w:r w:rsidRPr="0082056F">
              <w:rPr>
                <w:rFonts w:ascii="Arial" w:hAnsi="Arial" w:cs="Arial"/>
                <w:b/>
                <w:bCs/>
                <w:color w:val="000000"/>
                <w:lang w:val="en-US" w:eastAsia="en-US"/>
              </w:rPr>
              <w:t>35.495</w:t>
            </w:r>
          </w:p>
        </w:tc>
        <w:tc>
          <w:tcPr>
            <w:tcW w:w="700" w:type="dxa"/>
            <w:shd w:val="clear" w:color="auto" w:fill="auto"/>
            <w:noWrap/>
            <w:vAlign w:val="center"/>
            <w:hideMark/>
          </w:tcPr>
          <w:p w:rsidR="00EB6CFC" w:rsidRPr="0082056F" w:rsidRDefault="00EB6CFC" w:rsidP="00934797">
            <w:pPr>
              <w:widowControl/>
              <w:autoSpaceDE/>
              <w:autoSpaceDN/>
              <w:adjustRightInd/>
              <w:jc w:val="right"/>
              <w:rPr>
                <w:rFonts w:ascii="Arial" w:hAnsi="Arial" w:cs="Arial"/>
                <w:b/>
                <w:color w:val="000000"/>
              </w:rPr>
            </w:pPr>
            <w:r w:rsidRPr="0082056F">
              <w:rPr>
                <w:rFonts w:ascii="Arial" w:hAnsi="Arial" w:cs="Arial"/>
                <w:b/>
                <w:color w:val="000000"/>
              </w:rPr>
              <w:t>91%</w:t>
            </w:r>
          </w:p>
        </w:tc>
        <w:tc>
          <w:tcPr>
            <w:tcW w:w="1039" w:type="dxa"/>
            <w:shd w:val="clear" w:color="auto" w:fill="auto"/>
            <w:noWrap/>
            <w:vAlign w:val="center"/>
            <w:hideMark/>
          </w:tcPr>
          <w:p w:rsidR="00EB6CFC" w:rsidRPr="0082056F" w:rsidRDefault="00EB6CFC" w:rsidP="00934797">
            <w:pPr>
              <w:widowControl/>
              <w:autoSpaceDE/>
              <w:autoSpaceDN/>
              <w:adjustRightInd/>
              <w:jc w:val="right"/>
              <w:rPr>
                <w:rFonts w:ascii="Arial" w:hAnsi="Arial" w:cs="Arial"/>
                <w:b/>
                <w:bCs/>
                <w:color w:val="000000"/>
                <w:lang w:val="en-US" w:eastAsia="en-US"/>
              </w:rPr>
            </w:pPr>
            <w:r w:rsidRPr="0082056F">
              <w:rPr>
                <w:rFonts w:ascii="Arial" w:hAnsi="Arial" w:cs="Arial"/>
                <w:b/>
                <w:bCs/>
                <w:color w:val="000000"/>
                <w:lang w:val="en-US" w:eastAsia="en-US"/>
              </w:rPr>
              <w:t>64.269</w:t>
            </w:r>
          </w:p>
        </w:tc>
        <w:tc>
          <w:tcPr>
            <w:tcW w:w="1050" w:type="dxa"/>
            <w:shd w:val="clear" w:color="auto" w:fill="auto"/>
            <w:noWrap/>
            <w:vAlign w:val="center"/>
            <w:hideMark/>
          </w:tcPr>
          <w:p w:rsidR="00EB6CFC" w:rsidRPr="0082056F" w:rsidRDefault="00EB6CFC" w:rsidP="00934797">
            <w:pPr>
              <w:widowControl/>
              <w:autoSpaceDE/>
              <w:autoSpaceDN/>
              <w:adjustRightInd/>
              <w:jc w:val="center"/>
              <w:rPr>
                <w:rFonts w:ascii="Arial" w:hAnsi="Arial" w:cs="Arial"/>
                <w:b/>
                <w:bCs/>
                <w:lang w:val="en-US" w:eastAsia="en-US"/>
              </w:rPr>
            </w:pPr>
            <w:r w:rsidRPr="0082056F">
              <w:rPr>
                <w:rFonts w:ascii="Arial" w:hAnsi="Arial" w:cs="Arial"/>
                <w:b/>
                <w:bCs/>
                <w:lang w:val="en-US" w:eastAsia="en-US"/>
              </w:rPr>
              <w:t>14.719</w:t>
            </w:r>
          </w:p>
        </w:tc>
        <w:tc>
          <w:tcPr>
            <w:tcW w:w="983" w:type="dxa"/>
            <w:shd w:val="clear" w:color="auto" w:fill="auto"/>
            <w:noWrap/>
            <w:vAlign w:val="center"/>
            <w:hideMark/>
          </w:tcPr>
          <w:p w:rsidR="00EB6CFC" w:rsidRPr="0082056F" w:rsidRDefault="00EB6CFC" w:rsidP="00934797">
            <w:pPr>
              <w:widowControl/>
              <w:autoSpaceDE/>
              <w:autoSpaceDN/>
              <w:adjustRightInd/>
              <w:jc w:val="center"/>
              <w:rPr>
                <w:rFonts w:ascii="Arial" w:hAnsi="Arial" w:cs="Arial"/>
                <w:b/>
                <w:bCs/>
                <w:lang w:val="en-US" w:eastAsia="en-US"/>
              </w:rPr>
            </w:pPr>
            <w:r w:rsidRPr="0082056F">
              <w:rPr>
                <w:rFonts w:ascii="Arial" w:hAnsi="Arial" w:cs="Arial"/>
                <w:b/>
                <w:bCs/>
                <w:color w:val="000000"/>
                <w:lang w:val="en-US" w:eastAsia="en-US"/>
              </w:rPr>
              <w:t>19.108</w:t>
            </w:r>
          </w:p>
        </w:tc>
        <w:tc>
          <w:tcPr>
            <w:tcW w:w="757" w:type="dxa"/>
            <w:shd w:val="clear" w:color="auto" w:fill="auto"/>
            <w:noWrap/>
            <w:vAlign w:val="center"/>
            <w:hideMark/>
          </w:tcPr>
          <w:p w:rsidR="00EB6CFC" w:rsidRPr="0082056F" w:rsidRDefault="00EB6CFC" w:rsidP="00934797">
            <w:pPr>
              <w:widowControl/>
              <w:autoSpaceDE/>
              <w:autoSpaceDN/>
              <w:adjustRightInd/>
              <w:jc w:val="right"/>
              <w:rPr>
                <w:rFonts w:ascii="Arial" w:hAnsi="Arial" w:cs="Arial"/>
                <w:b/>
              </w:rPr>
            </w:pPr>
            <w:r w:rsidRPr="0082056F">
              <w:rPr>
                <w:rFonts w:ascii="Arial" w:hAnsi="Arial" w:cs="Arial"/>
                <w:b/>
              </w:rPr>
              <w:t>77%</w:t>
            </w:r>
          </w:p>
        </w:tc>
      </w:tr>
      <w:tr w:rsidR="00EB6CFC" w:rsidRPr="00355E15" w:rsidTr="00F43345">
        <w:trPr>
          <w:trHeight w:val="257"/>
          <w:jc w:val="center"/>
        </w:trPr>
        <w:tc>
          <w:tcPr>
            <w:tcW w:w="1946" w:type="dxa"/>
            <w:shd w:val="clear" w:color="auto" w:fill="auto"/>
            <w:vAlign w:val="center"/>
            <w:hideMark/>
          </w:tcPr>
          <w:p w:rsidR="00EB6CFC" w:rsidRPr="0082056F" w:rsidRDefault="00EB6CFC" w:rsidP="00934797">
            <w:pPr>
              <w:widowControl/>
              <w:autoSpaceDE/>
              <w:autoSpaceDN/>
              <w:adjustRightInd/>
              <w:jc w:val="both"/>
              <w:rPr>
                <w:rFonts w:ascii="Arial" w:hAnsi="Arial" w:cs="Arial"/>
                <w:color w:val="000000"/>
                <w:lang w:val="en-US" w:eastAsia="en-US"/>
              </w:rPr>
            </w:pPr>
            <w:r w:rsidRPr="0082056F">
              <w:rPr>
                <w:rFonts w:ascii="Arial" w:hAnsi="Arial" w:cs="Arial"/>
                <w:color w:val="000000"/>
                <w:lang w:val="en-US" w:eastAsia="en-US"/>
              </w:rPr>
              <w:t>Domeniul public</w:t>
            </w:r>
          </w:p>
        </w:tc>
        <w:tc>
          <w:tcPr>
            <w:tcW w:w="1050" w:type="dxa"/>
            <w:shd w:val="clear" w:color="auto" w:fill="auto"/>
            <w:noWrap/>
            <w:vAlign w:val="center"/>
            <w:hideMark/>
          </w:tcPr>
          <w:p w:rsidR="00EB6CFC" w:rsidRPr="0082056F" w:rsidRDefault="00EB6CFC" w:rsidP="00934797">
            <w:pPr>
              <w:widowControl/>
              <w:autoSpaceDE/>
              <w:autoSpaceDN/>
              <w:adjustRightInd/>
              <w:jc w:val="right"/>
              <w:rPr>
                <w:rFonts w:ascii="Arial" w:hAnsi="Arial" w:cs="Arial"/>
                <w:color w:val="000000"/>
                <w:lang w:val="en-US" w:eastAsia="en-US"/>
              </w:rPr>
            </w:pPr>
            <w:r w:rsidRPr="0082056F">
              <w:rPr>
                <w:rFonts w:ascii="Arial" w:hAnsi="Arial" w:cs="Arial"/>
                <w:color w:val="000000"/>
                <w:lang w:val="en-US" w:eastAsia="en-US"/>
              </w:rPr>
              <w:t>64.521</w:t>
            </w:r>
          </w:p>
        </w:tc>
        <w:tc>
          <w:tcPr>
            <w:tcW w:w="939" w:type="dxa"/>
            <w:shd w:val="clear" w:color="auto" w:fill="auto"/>
            <w:vAlign w:val="center"/>
            <w:hideMark/>
          </w:tcPr>
          <w:p w:rsidR="00EB6CFC" w:rsidRPr="0082056F" w:rsidRDefault="00EB6CFC" w:rsidP="00934797">
            <w:pPr>
              <w:widowControl/>
              <w:autoSpaceDE/>
              <w:autoSpaceDN/>
              <w:adjustRightInd/>
              <w:jc w:val="center"/>
              <w:rPr>
                <w:rFonts w:ascii="Arial" w:hAnsi="Arial" w:cs="Arial"/>
                <w:color w:val="000000"/>
                <w:lang w:val="en-US" w:eastAsia="en-US"/>
              </w:rPr>
            </w:pPr>
            <w:r w:rsidRPr="0082056F">
              <w:rPr>
                <w:rFonts w:ascii="Arial" w:hAnsi="Arial" w:cs="Arial"/>
                <w:color w:val="000000"/>
                <w:lang w:eastAsia="en-US"/>
              </w:rPr>
              <w:t>30.121</w:t>
            </w:r>
          </w:p>
        </w:tc>
        <w:tc>
          <w:tcPr>
            <w:tcW w:w="983" w:type="dxa"/>
            <w:shd w:val="clear" w:color="auto" w:fill="auto"/>
            <w:vAlign w:val="center"/>
            <w:hideMark/>
          </w:tcPr>
          <w:p w:rsidR="00EB6CFC" w:rsidRPr="0082056F" w:rsidRDefault="00EB6CFC" w:rsidP="00934797">
            <w:pPr>
              <w:widowControl/>
              <w:autoSpaceDE/>
              <w:autoSpaceDN/>
              <w:adjustRightInd/>
              <w:jc w:val="center"/>
              <w:rPr>
                <w:rFonts w:ascii="Arial" w:hAnsi="Arial" w:cs="Arial"/>
                <w:color w:val="000000"/>
                <w:lang w:val="en-US" w:eastAsia="en-US"/>
              </w:rPr>
            </w:pPr>
            <w:r w:rsidRPr="0082056F">
              <w:rPr>
                <w:rFonts w:ascii="Arial" w:hAnsi="Arial" w:cs="Arial"/>
                <w:color w:val="000000"/>
                <w:lang w:val="en-US" w:eastAsia="en-US"/>
              </w:rPr>
              <w:t>32.902</w:t>
            </w:r>
          </w:p>
        </w:tc>
        <w:tc>
          <w:tcPr>
            <w:tcW w:w="700" w:type="dxa"/>
            <w:shd w:val="clear" w:color="auto" w:fill="auto"/>
            <w:noWrap/>
            <w:vAlign w:val="center"/>
            <w:hideMark/>
          </w:tcPr>
          <w:p w:rsidR="00EB6CFC" w:rsidRPr="0082056F" w:rsidRDefault="00EB6CFC" w:rsidP="00934797">
            <w:pPr>
              <w:jc w:val="right"/>
              <w:rPr>
                <w:rFonts w:ascii="Arial" w:hAnsi="Arial" w:cs="Arial"/>
                <w:color w:val="000000"/>
              </w:rPr>
            </w:pPr>
            <w:r w:rsidRPr="0082056F">
              <w:rPr>
                <w:rFonts w:ascii="Arial" w:hAnsi="Arial" w:cs="Arial"/>
                <w:color w:val="000000"/>
              </w:rPr>
              <w:t>92%</w:t>
            </w:r>
          </w:p>
        </w:tc>
        <w:tc>
          <w:tcPr>
            <w:tcW w:w="1039" w:type="dxa"/>
            <w:shd w:val="clear" w:color="auto" w:fill="auto"/>
            <w:noWrap/>
            <w:vAlign w:val="center"/>
            <w:hideMark/>
          </w:tcPr>
          <w:p w:rsidR="00EB6CFC" w:rsidRPr="0082056F" w:rsidRDefault="00EB6CFC" w:rsidP="00934797">
            <w:pPr>
              <w:widowControl/>
              <w:autoSpaceDE/>
              <w:autoSpaceDN/>
              <w:adjustRightInd/>
              <w:jc w:val="right"/>
              <w:rPr>
                <w:rFonts w:ascii="Arial" w:hAnsi="Arial" w:cs="Arial"/>
                <w:color w:val="000000"/>
                <w:lang w:val="en-US" w:eastAsia="en-US"/>
              </w:rPr>
            </w:pPr>
            <w:r w:rsidRPr="0082056F">
              <w:rPr>
                <w:rFonts w:ascii="Arial" w:hAnsi="Arial" w:cs="Arial"/>
                <w:color w:val="000000"/>
                <w:lang w:val="en-US" w:eastAsia="en-US"/>
              </w:rPr>
              <w:t>51.317</w:t>
            </w:r>
          </w:p>
        </w:tc>
        <w:tc>
          <w:tcPr>
            <w:tcW w:w="1050" w:type="dxa"/>
            <w:shd w:val="clear" w:color="auto" w:fill="auto"/>
            <w:vAlign w:val="center"/>
            <w:hideMark/>
          </w:tcPr>
          <w:p w:rsidR="00EB6CFC" w:rsidRPr="0082056F" w:rsidRDefault="00EB6CFC" w:rsidP="00934797">
            <w:pPr>
              <w:widowControl/>
              <w:autoSpaceDE/>
              <w:autoSpaceDN/>
              <w:adjustRightInd/>
              <w:jc w:val="center"/>
              <w:rPr>
                <w:rFonts w:ascii="Arial" w:hAnsi="Arial" w:cs="Arial"/>
                <w:b/>
                <w:bCs/>
                <w:lang w:val="en-US" w:eastAsia="en-US"/>
              </w:rPr>
            </w:pPr>
            <w:r w:rsidRPr="0082056F">
              <w:rPr>
                <w:rFonts w:ascii="Arial" w:hAnsi="Arial" w:cs="Arial"/>
                <w:bCs/>
                <w:lang w:eastAsia="en-US"/>
              </w:rPr>
              <w:t>11.695</w:t>
            </w:r>
          </w:p>
        </w:tc>
        <w:tc>
          <w:tcPr>
            <w:tcW w:w="983" w:type="dxa"/>
            <w:shd w:val="clear" w:color="auto" w:fill="auto"/>
            <w:vAlign w:val="center"/>
            <w:hideMark/>
          </w:tcPr>
          <w:p w:rsidR="00EB6CFC" w:rsidRPr="0082056F" w:rsidRDefault="00EB6CFC" w:rsidP="00934797">
            <w:pPr>
              <w:widowControl/>
              <w:autoSpaceDE/>
              <w:autoSpaceDN/>
              <w:adjustRightInd/>
              <w:jc w:val="center"/>
              <w:rPr>
                <w:rFonts w:ascii="Arial" w:hAnsi="Arial" w:cs="Arial"/>
                <w:b/>
                <w:bCs/>
                <w:lang w:val="en-US" w:eastAsia="en-US"/>
              </w:rPr>
            </w:pPr>
            <w:r w:rsidRPr="0082056F">
              <w:rPr>
                <w:rFonts w:ascii="Arial" w:hAnsi="Arial" w:cs="Arial"/>
                <w:color w:val="000000"/>
                <w:lang w:val="en-US" w:eastAsia="en-US"/>
              </w:rPr>
              <w:t>16.834</w:t>
            </w:r>
          </w:p>
        </w:tc>
        <w:tc>
          <w:tcPr>
            <w:tcW w:w="757" w:type="dxa"/>
            <w:shd w:val="clear" w:color="auto" w:fill="auto"/>
            <w:noWrap/>
            <w:vAlign w:val="center"/>
            <w:hideMark/>
          </w:tcPr>
          <w:p w:rsidR="00EB6CFC" w:rsidRPr="0082056F" w:rsidRDefault="00EB6CFC" w:rsidP="00934797">
            <w:pPr>
              <w:jc w:val="right"/>
              <w:rPr>
                <w:rFonts w:ascii="Arial" w:hAnsi="Arial" w:cs="Arial"/>
              </w:rPr>
            </w:pPr>
            <w:r w:rsidRPr="0082056F">
              <w:rPr>
                <w:rFonts w:ascii="Arial" w:hAnsi="Arial" w:cs="Arial"/>
              </w:rPr>
              <w:t>69%</w:t>
            </w:r>
          </w:p>
        </w:tc>
      </w:tr>
      <w:tr w:rsidR="00EB6CFC" w:rsidRPr="00355E15" w:rsidTr="00F43345">
        <w:trPr>
          <w:trHeight w:val="257"/>
          <w:jc w:val="center"/>
        </w:trPr>
        <w:tc>
          <w:tcPr>
            <w:tcW w:w="1946" w:type="dxa"/>
            <w:shd w:val="clear" w:color="auto" w:fill="auto"/>
            <w:vAlign w:val="center"/>
            <w:hideMark/>
          </w:tcPr>
          <w:p w:rsidR="00EB6CFC" w:rsidRPr="0082056F" w:rsidRDefault="00EB6CFC" w:rsidP="00934797">
            <w:pPr>
              <w:widowControl/>
              <w:autoSpaceDE/>
              <w:autoSpaceDN/>
              <w:adjustRightInd/>
              <w:jc w:val="both"/>
              <w:rPr>
                <w:rFonts w:ascii="Arial" w:hAnsi="Arial" w:cs="Arial"/>
                <w:color w:val="000000"/>
                <w:lang w:val="en-US" w:eastAsia="en-US"/>
              </w:rPr>
            </w:pPr>
            <w:r w:rsidRPr="0082056F">
              <w:rPr>
                <w:rFonts w:ascii="Arial" w:hAnsi="Arial" w:cs="Arial"/>
                <w:color w:val="000000"/>
                <w:lang w:val="en-US" w:eastAsia="en-US"/>
              </w:rPr>
              <w:t>Domeniul operator</w:t>
            </w:r>
          </w:p>
        </w:tc>
        <w:tc>
          <w:tcPr>
            <w:tcW w:w="1050" w:type="dxa"/>
            <w:shd w:val="clear" w:color="auto" w:fill="auto"/>
            <w:noWrap/>
            <w:vAlign w:val="center"/>
            <w:hideMark/>
          </w:tcPr>
          <w:p w:rsidR="00EB6CFC" w:rsidRPr="0082056F" w:rsidRDefault="00EB6CFC" w:rsidP="00934797">
            <w:pPr>
              <w:widowControl/>
              <w:autoSpaceDE/>
              <w:autoSpaceDN/>
              <w:adjustRightInd/>
              <w:jc w:val="right"/>
              <w:rPr>
                <w:rFonts w:ascii="Arial" w:hAnsi="Arial" w:cs="Arial"/>
                <w:color w:val="000000"/>
                <w:lang w:val="en-US" w:eastAsia="en-US"/>
              </w:rPr>
            </w:pPr>
            <w:r w:rsidRPr="0082056F">
              <w:rPr>
                <w:rFonts w:ascii="Arial" w:hAnsi="Arial" w:cs="Arial"/>
                <w:color w:val="000000"/>
                <w:lang w:val="en-US" w:eastAsia="en-US"/>
              </w:rPr>
              <w:t>12.104</w:t>
            </w:r>
          </w:p>
        </w:tc>
        <w:tc>
          <w:tcPr>
            <w:tcW w:w="939" w:type="dxa"/>
            <w:shd w:val="clear" w:color="auto" w:fill="auto"/>
            <w:vAlign w:val="center"/>
            <w:hideMark/>
          </w:tcPr>
          <w:p w:rsidR="00EB6CFC" w:rsidRPr="0082056F" w:rsidRDefault="00EB6CFC" w:rsidP="00934797">
            <w:pPr>
              <w:widowControl/>
              <w:autoSpaceDE/>
              <w:autoSpaceDN/>
              <w:adjustRightInd/>
              <w:jc w:val="center"/>
              <w:rPr>
                <w:rFonts w:ascii="Arial" w:hAnsi="Arial" w:cs="Arial"/>
                <w:color w:val="000000"/>
                <w:lang w:val="en-US" w:eastAsia="en-US"/>
              </w:rPr>
            </w:pPr>
            <w:r w:rsidRPr="0082056F">
              <w:rPr>
                <w:rFonts w:ascii="Arial" w:hAnsi="Arial" w:cs="Arial"/>
                <w:color w:val="000000"/>
                <w:lang w:eastAsia="en-US"/>
              </w:rPr>
              <w:t>2.196</w:t>
            </w:r>
          </w:p>
        </w:tc>
        <w:tc>
          <w:tcPr>
            <w:tcW w:w="983" w:type="dxa"/>
            <w:shd w:val="clear" w:color="auto" w:fill="auto"/>
            <w:vAlign w:val="center"/>
            <w:hideMark/>
          </w:tcPr>
          <w:p w:rsidR="00EB6CFC" w:rsidRPr="0082056F" w:rsidRDefault="00EB6CFC" w:rsidP="00934797">
            <w:pPr>
              <w:widowControl/>
              <w:autoSpaceDE/>
              <w:autoSpaceDN/>
              <w:adjustRightInd/>
              <w:jc w:val="center"/>
              <w:rPr>
                <w:rFonts w:ascii="Arial" w:hAnsi="Arial" w:cs="Arial"/>
                <w:color w:val="000000"/>
                <w:lang w:val="en-US" w:eastAsia="en-US"/>
              </w:rPr>
            </w:pPr>
            <w:r w:rsidRPr="0082056F">
              <w:rPr>
                <w:rFonts w:ascii="Arial" w:hAnsi="Arial" w:cs="Arial"/>
                <w:color w:val="000000"/>
                <w:lang w:val="en-US" w:eastAsia="en-US"/>
              </w:rPr>
              <w:t>2.593</w:t>
            </w:r>
          </w:p>
        </w:tc>
        <w:tc>
          <w:tcPr>
            <w:tcW w:w="700" w:type="dxa"/>
            <w:shd w:val="clear" w:color="auto" w:fill="auto"/>
            <w:noWrap/>
            <w:vAlign w:val="center"/>
            <w:hideMark/>
          </w:tcPr>
          <w:p w:rsidR="00EB6CFC" w:rsidRPr="0082056F" w:rsidRDefault="00EB6CFC" w:rsidP="00934797">
            <w:pPr>
              <w:jc w:val="right"/>
              <w:rPr>
                <w:rFonts w:ascii="Arial" w:hAnsi="Arial" w:cs="Arial"/>
                <w:color w:val="000000"/>
              </w:rPr>
            </w:pPr>
            <w:r w:rsidRPr="0082056F">
              <w:rPr>
                <w:rFonts w:ascii="Arial" w:hAnsi="Arial" w:cs="Arial"/>
                <w:color w:val="000000"/>
              </w:rPr>
              <w:t>85%</w:t>
            </w:r>
          </w:p>
        </w:tc>
        <w:tc>
          <w:tcPr>
            <w:tcW w:w="1039" w:type="dxa"/>
            <w:shd w:val="clear" w:color="auto" w:fill="auto"/>
            <w:noWrap/>
            <w:vAlign w:val="center"/>
            <w:hideMark/>
          </w:tcPr>
          <w:p w:rsidR="00EB6CFC" w:rsidRPr="0082056F" w:rsidRDefault="00EB6CFC" w:rsidP="00934797">
            <w:pPr>
              <w:widowControl/>
              <w:autoSpaceDE/>
              <w:autoSpaceDN/>
              <w:adjustRightInd/>
              <w:jc w:val="right"/>
              <w:rPr>
                <w:rFonts w:ascii="Arial" w:hAnsi="Arial" w:cs="Arial"/>
                <w:color w:val="000000"/>
                <w:lang w:val="en-US" w:eastAsia="en-US"/>
              </w:rPr>
            </w:pPr>
            <w:r w:rsidRPr="0082056F">
              <w:rPr>
                <w:rFonts w:ascii="Arial" w:hAnsi="Arial" w:cs="Arial"/>
                <w:color w:val="000000"/>
                <w:lang w:val="en-US" w:eastAsia="en-US"/>
              </w:rPr>
              <w:t>12.952</w:t>
            </w:r>
          </w:p>
        </w:tc>
        <w:tc>
          <w:tcPr>
            <w:tcW w:w="1050" w:type="dxa"/>
            <w:shd w:val="clear" w:color="auto" w:fill="auto"/>
            <w:vAlign w:val="center"/>
            <w:hideMark/>
          </w:tcPr>
          <w:p w:rsidR="00EB6CFC" w:rsidRPr="0082056F" w:rsidRDefault="00EB6CFC" w:rsidP="00934797">
            <w:pPr>
              <w:widowControl/>
              <w:autoSpaceDE/>
              <w:autoSpaceDN/>
              <w:adjustRightInd/>
              <w:jc w:val="center"/>
              <w:rPr>
                <w:rFonts w:ascii="Arial" w:hAnsi="Arial" w:cs="Arial"/>
                <w:lang w:val="en-US" w:eastAsia="en-US"/>
              </w:rPr>
            </w:pPr>
            <w:r w:rsidRPr="0082056F">
              <w:rPr>
                <w:rFonts w:ascii="Arial" w:hAnsi="Arial" w:cs="Arial"/>
                <w:lang w:eastAsia="en-US"/>
              </w:rPr>
              <w:t>3.024</w:t>
            </w:r>
          </w:p>
        </w:tc>
        <w:tc>
          <w:tcPr>
            <w:tcW w:w="983" w:type="dxa"/>
            <w:shd w:val="clear" w:color="auto" w:fill="auto"/>
            <w:vAlign w:val="center"/>
            <w:hideMark/>
          </w:tcPr>
          <w:p w:rsidR="00EB6CFC" w:rsidRPr="0082056F" w:rsidRDefault="00EB6CFC" w:rsidP="00934797">
            <w:pPr>
              <w:widowControl/>
              <w:autoSpaceDE/>
              <w:autoSpaceDN/>
              <w:adjustRightInd/>
              <w:jc w:val="center"/>
              <w:rPr>
                <w:rFonts w:ascii="Arial" w:hAnsi="Arial" w:cs="Arial"/>
                <w:lang w:val="en-US" w:eastAsia="en-US"/>
              </w:rPr>
            </w:pPr>
            <w:r w:rsidRPr="0082056F">
              <w:rPr>
                <w:rFonts w:ascii="Arial" w:hAnsi="Arial" w:cs="Arial"/>
                <w:color w:val="000000"/>
                <w:lang w:val="en-US" w:eastAsia="en-US"/>
              </w:rPr>
              <w:t>2.274</w:t>
            </w:r>
          </w:p>
        </w:tc>
        <w:tc>
          <w:tcPr>
            <w:tcW w:w="757" w:type="dxa"/>
            <w:shd w:val="clear" w:color="auto" w:fill="auto"/>
            <w:noWrap/>
            <w:vAlign w:val="center"/>
            <w:hideMark/>
          </w:tcPr>
          <w:p w:rsidR="00EB6CFC" w:rsidRPr="0082056F" w:rsidRDefault="00EB6CFC" w:rsidP="00934797">
            <w:pPr>
              <w:jc w:val="right"/>
              <w:rPr>
                <w:rFonts w:ascii="Arial" w:hAnsi="Arial" w:cs="Arial"/>
              </w:rPr>
            </w:pPr>
            <w:r w:rsidRPr="0082056F">
              <w:rPr>
                <w:rFonts w:ascii="Arial" w:hAnsi="Arial" w:cs="Arial"/>
              </w:rPr>
              <w:t>133%</w:t>
            </w:r>
          </w:p>
        </w:tc>
      </w:tr>
    </w:tbl>
    <w:p w:rsidR="00EB6CFC" w:rsidRPr="00F43345" w:rsidRDefault="00306393" w:rsidP="00EB6CFC">
      <w:pPr>
        <w:widowControl/>
        <w:adjustRightInd/>
        <w:spacing w:line="276" w:lineRule="auto"/>
        <w:jc w:val="center"/>
        <w:rPr>
          <w:rFonts w:ascii="Arial" w:eastAsia="Calibri" w:hAnsi="Arial" w:cs="Arial"/>
          <w:bCs/>
          <w:sz w:val="16"/>
          <w:szCs w:val="16"/>
        </w:rPr>
      </w:pPr>
      <w:r>
        <w:rPr>
          <w:rFonts w:ascii="Arial" w:eastAsia="Calibri" w:hAnsi="Arial" w:cs="Arial"/>
          <w:bCs/>
          <w:i/>
          <w:color w:val="FF0000"/>
          <w:sz w:val="18"/>
          <w:szCs w:val="18"/>
        </w:rPr>
        <w:br/>
      </w:r>
      <w:r w:rsidR="002228A3" w:rsidRPr="00F43345">
        <w:rPr>
          <w:rFonts w:ascii="Arial" w:eastAsia="Calibri" w:hAnsi="Arial" w:cs="Arial"/>
          <w:bCs/>
          <w:sz w:val="16"/>
          <w:szCs w:val="16"/>
        </w:rPr>
        <w:t xml:space="preserve">Tabel </w:t>
      </w:r>
      <w:r w:rsidR="007239FA" w:rsidRPr="00F43345">
        <w:rPr>
          <w:rFonts w:ascii="Arial" w:eastAsia="Calibri" w:hAnsi="Arial" w:cs="Arial"/>
          <w:bCs/>
          <w:sz w:val="16"/>
          <w:szCs w:val="16"/>
        </w:rPr>
        <w:t xml:space="preserve">9 </w:t>
      </w:r>
      <w:r w:rsidR="00EB6CFC" w:rsidRPr="00F43345">
        <w:rPr>
          <w:rFonts w:ascii="Arial" w:eastAsia="Calibri" w:hAnsi="Arial" w:cs="Arial"/>
          <w:bCs/>
          <w:sz w:val="16"/>
          <w:szCs w:val="16"/>
        </w:rPr>
        <w:t>-Investiții realizate în Semestrul I 2018 față de B</w:t>
      </w:r>
      <w:r w:rsidR="00F43E8E">
        <w:rPr>
          <w:rFonts w:ascii="Arial" w:eastAsia="Calibri" w:hAnsi="Arial" w:cs="Arial"/>
          <w:bCs/>
          <w:sz w:val="16"/>
          <w:szCs w:val="16"/>
        </w:rPr>
        <w:t>.</w:t>
      </w:r>
      <w:r w:rsidR="00EB6CFC" w:rsidRPr="00F43345">
        <w:rPr>
          <w:rFonts w:ascii="Arial" w:eastAsia="Calibri" w:hAnsi="Arial" w:cs="Arial"/>
          <w:bCs/>
          <w:sz w:val="16"/>
          <w:szCs w:val="16"/>
        </w:rPr>
        <w:t>V</w:t>
      </w:r>
      <w:r w:rsidR="00F43E8E">
        <w:rPr>
          <w:rFonts w:ascii="Arial" w:eastAsia="Calibri" w:hAnsi="Arial" w:cs="Arial"/>
          <w:bCs/>
          <w:sz w:val="16"/>
          <w:szCs w:val="16"/>
        </w:rPr>
        <w:t>.</w:t>
      </w:r>
      <w:r w:rsidR="00EB6CFC" w:rsidRPr="00F43345">
        <w:rPr>
          <w:rFonts w:ascii="Arial" w:eastAsia="Calibri" w:hAnsi="Arial" w:cs="Arial"/>
          <w:bCs/>
          <w:sz w:val="16"/>
          <w:szCs w:val="16"/>
        </w:rPr>
        <w:t>C</w:t>
      </w:r>
      <w:r w:rsidR="00F43E8E">
        <w:rPr>
          <w:rFonts w:ascii="Arial" w:eastAsia="Calibri" w:hAnsi="Arial" w:cs="Arial"/>
          <w:bCs/>
          <w:sz w:val="16"/>
          <w:szCs w:val="16"/>
        </w:rPr>
        <w:t>.</w:t>
      </w:r>
      <w:r w:rsidR="00EB6CFC" w:rsidRPr="00F43345">
        <w:rPr>
          <w:rFonts w:ascii="Arial" w:eastAsia="Calibri" w:hAnsi="Arial" w:cs="Arial"/>
          <w:bCs/>
          <w:sz w:val="16"/>
          <w:szCs w:val="16"/>
        </w:rPr>
        <w:t xml:space="preserve"> și aceeași perioadă 2017</w:t>
      </w:r>
    </w:p>
    <w:p w:rsidR="00EB6CFC" w:rsidRPr="005F4F15" w:rsidRDefault="00EB6CFC" w:rsidP="00EB6CFC">
      <w:pPr>
        <w:widowControl/>
        <w:adjustRightInd/>
        <w:spacing w:line="276" w:lineRule="auto"/>
        <w:ind w:right="397"/>
        <w:jc w:val="center"/>
        <w:rPr>
          <w:rFonts w:ascii="Arial" w:eastAsia="Calibri" w:hAnsi="Arial" w:cs="Arial"/>
          <w:bCs/>
          <w:i/>
          <w:sz w:val="18"/>
          <w:szCs w:val="18"/>
        </w:rPr>
      </w:pPr>
    </w:p>
    <w:p w:rsidR="00EB6CFC" w:rsidRPr="00555F32" w:rsidRDefault="00EB6CFC" w:rsidP="002C3508">
      <w:pPr>
        <w:widowControl/>
        <w:adjustRightInd/>
        <w:spacing w:line="276" w:lineRule="auto"/>
        <w:ind w:right="397"/>
        <w:jc w:val="both"/>
        <w:rPr>
          <w:rFonts w:ascii="Arial" w:eastAsia="Calibri" w:hAnsi="Arial" w:cs="Arial"/>
          <w:sz w:val="22"/>
          <w:szCs w:val="22"/>
        </w:rPr>
      </w:pPr>
      <w:r w:rsidRPr="00555F32">
        <w:rPr>
          <w:rFonts w:ascii="Arial" w:eastAsia="Calibri" w:hAnsi="Arial" w:cs="Arial"/>
          <w:sz w:val="22"/>
          <w:szCs w:val="22"/>
        </w:rPr>
        <w:t xml:space="preserve">Investițiile realizate în </w:t>
      </w:r>
      <w:r>
        <w:rPr>
          <w:rFonts w:ascii="Arial" w:eastAsia="Calibri" w:hAnsi="Arial" w:cs="Arial"/>
          <w:sz w:val="22"/>
          <w:szCs w:val="22"/>
        </w:rPr>
        <w:t>s</w:t>
      </w:r>
      <w:r w:rsidRPr="00555F32">
        <w:rPr>
          <w:rFonts w:ascii="Arial" w:eastAsia="Calibri" w:hAnsi="Arial" w:cs="Arial"/>
          <w:sz w:val="22"/>
          <w:szCs w:val="22"/>
        </w:rPr>
        <w:t>emestrul I al anului 2018</w:t>
      </w:r>
      <w:r w:rsidR="00DF0868">
        <w:rPr>
          <w:rFonts w:ascii="Arial" w:eastAsia="Calibri" w:hAnsi="Arial" w:cs="Arial"/>
          <w:sz w:val="22"/>
          <w:szCs w:val="22"/>
        </w:rPr>
        <w:t>,</w:t>
      </w:r>
      <w:r w:rsidRPr="00555F32">
        <w:rPr>
          <w:rFonts w:ascii="Arial" w:eastAsia="Calibri" w:hAnsi="Arial" w:cs="Arial"/>
          <w:sz w:val="22"/>
          <w:szCs w:val="22"/>
        </w:rPr>
        <w:t xml:space="preserve"> comparativ cu programul și aceeași perioadă a anului precedent, pe surse de finanțare</w:t>
      </w:r>
      <w:r>
        <w:rPr>
          <w:rFonts w:ascii="Arial" w:eastAsia="Calibri" w:hAnsi="Arial" w:cs="Arial"/>
          <w:sz w:val="22"/>
          <w:szCs w:val="22"/>
        </w:rPr>
        <w:t>,</w:t>
      </w:r>
      <w:r w:rsidRPr="00555F32">
        <w:rPr>
          <w:rFonts w:ascii="Arial" w:eastAsia="Calibri" w:hAnsi="Arial" w:cs="Arial"/>
          <w:sz w:val="22"/>
          <w:szCs w:val="22"/>
        </w:rPr>
        <w:t xml:space="preserve"> sunt prezentate în graficul de mai jos:</w:t>
      </w:r>
    </w:p>
    <w:p w:rsidR="00EB6CFC" w:rsidRDefault="007173C6" w:rsidP="00EB6CFC">
      <w:pPr>
        <w:widowControl/>
        <w:autoSpaceDE/>
        <w:autoSpaceDN/>
        <w:adjustRightInd/>
        <w:spacing w:after="160" w:line="276" w:lineRule="auto"/>
        <w:jc w:val="center"/>
        <w:rPr>
          <w:rFonts w:ascii="Arial" w:eastAsia="Calibri" w:hAnsi="Arial" w:cs="Arial"/>
          <w:color w:val="FF0000"/>
          <w:sz w:val="22"/>
          <w:szCs w:val="22"/>
          <w:lang w:val="en-US" w:eastAsia="en-US"/>
        </w:rPr>
      </w:pPr>
      <w:r>
        <w:rPr>
          <w:rFonts w:ascii="Arial" w:eastAsia="Calibri" w:hAnsi="Arial" w:cs="Arial"/>
          <w:color w:val="FF0000"/>
          <w:sz w:val="22"/>
          <w:szCs w:val="22"/>
          <w:lang w:val="en-US" w:eastAsia="en-US"/>
        </w:rPr>
        <w:t xml:space="preserve">                </w:t>
      </w:r>
      <w:r>
        <w:rPr>
          <w:noProof/>
          <w:lang w:val="en-US" w:eastAsia="en-US"/>
        </w:rPr>
        <w:drawing>
          <wp:inline distT="0" distB="0" distL="0" distR="0" wp14:anchorId="0A4B2096" wp14:editId="5E834B36">
            <wp:extent cx="3391010" cy="27712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01398" cy="2779734"/>
                    </a:xfrm>
                    <a:prstGeom prst="rect">
                      <a:avLst/>
                    </a:prstGeom>
                  </pic:spPr>
                </pic:pic>
              </a:graphicData>
            </a:graphic>
          </wp:inline>
        </w:drawing>
      </w:r>
    </w:p>
    <w:p w:rsidR="00EB6CFC" w:rsidRPr="00D92A87" w:rsidRDefault="00EB6CFC" w:rsidP="00D92A87">
      <w:pPr>
        <w:widowControl/>
        <w:autoSpaceDE/>
        <w:autoSpaceDN/>
        <w:adjustRightInd/>
        <w:spacing w:after="160" w:line="276" w:lineRule="auto"/>
        <w:jc w:val="center"/>
        <w:rPr>
          <w:rFonts w:ascii="Arial" w:eastAsia="Calibri" w:hAnsi="Arial" w:cs="Arial"/>
          <w:sz w:val="16"/>
          <w:szCs w:val="16"/>
          <w:lang w:val="en-US" w:eastAsia="en-US"/>
        </w:rPr>
      </w:pPr>
      <w:r w:rsidRPr="00F43345">
        <w:rPr>
          <w:rFonts w:ascii="Arial" w:eastAsia="Calibri" w:hAnsi="Arial" w:cs="Arial"/>
          <w:sz w:val="16"/>
          <w:szCs w:val="16"/>
          <w:lang w:val="en-US" w:eastAsia="en-US"/>
        </w:rPr>
        <w:t xml:space="preserve">Grafic </w:t>
      </w:r>
      <w:r w:rsidR="008F5405" w:rsidRPr="00F43345">
        <w:rPr>
          <w:rFonts w:ascii="Arial" w:eastAsia="Calibri" w:hAnsi="Arial" w:cs="Arial"/>
          <w:sz w:val="16"/>
          <w:szCs w:val="16"/>
          <w:lang w:val="en-US" w:eastAsia="en-US"/>
        </w:rPr>
        <w:t xml:space="preserve">11 </w:t>
      </w:r>
      <w:r w:rsidRPr="00F43345">
        <w:rPr>
          <w:rFonts w:ascii="Arial" w:eastAsia="Calibri" w:hAnsi="Arial" w:cs="Arial"/>
          <w:sz w:val="16"/>
          <w:szCs w:val="16"/>
          <w:lang w:val="en-US" w:eastAsia="en-US"/>
        </w:rPr>
        <w:t>-Investiții r</w:t>
      </w:r>
      <w:r w:rsidR="00D92A87">
        <w:rPr>
          <w:rFonts w:ascii="Arial" w:eastAsia="Calibri" w:hAnsi="Arial" w:cs="Arial"/>
          <w:sz w:val="16"/>
          <w:szCs w:val="16"/>
          <w:lang w:val="en-US" w:eastAsia="en-US"/>
        </w:rPr>
        <w:t xml:space="preserve">ealizate pe surse de finanțare </w:t>
      </w:r>
    </w:p>
    <w:p w:rsidR="00EB6CFC" w:rsidRPr="00493218" w:rsidRDefault="00DF0868" w:rsidP="002C3508">
      <w:pPr>
        <w:widowControl/>
        <w:tabs>
          <w:tab w:val="left" w:pos="8931"/>
        </w:tabs>
        <w:autoSpaceDE/>
        <w:autoSpaceDN/>
        <w:adjustRightInd/>
        <w:spacing w:line="276" w:lineRule="auto"/>
        <w:ind w:right="43"/>
        <w:jc w:val="both"/>
        <w:rPr>
          <w:rFonts w:ascii="Arial" w:eastAsia="Calibri" w:hAnsi="Arial" w:cs="Arial"/>
          <w:sz w:val="22"/>
          <w:szCs w:val="22"/>
          <w:lang w:eastAsia="en-US"/>
        </w:rPr>
      </w:pPr>
      <w:r>
        <w:rPr>
          <w:rFonts w:ascii="Arial" w:eastAsia="Calibri" w:hAnsi="Arial" w:cs="Arial"/>
          <w:sz w:val="22"/>
          <w:szCs w:val="22"/>
          <w:lang w:val="it-IT" w:eastAsia="en-US"/>
        </w:rPr>
        <w:t>În s</w:t>
      </w:r>
      <w:r w:rsidRPr="00555F32">
        <w:rPr>
          <w:rFonts w:ascii="Arial" w:eastAsia="Calibri" w:hAnsi="Arial" w:cs="Arial"/>
          <w:sz w:val="22"/>
          <w:szCs w:val="22"/>
          <w:lang w:val="it-IT" w:eastAsia="en-US"/>
        </w:rPr>
        <w:t>intez</w:t>
      </w:r>
      <w:r w:rsidR="002C3508">
        <w:rPr>
          <w:rFonts w:ascii="Arial" w:eastAsia="Calibri" w:hAnsi="Arial" w:cs="Arial"/>
          <w:sz w:val="22"/>
          <w:szCs w:val="22"/>
          <w:lang w:val="it-IT" w:eastAsia="en-US"/>
        </w:rPr>
        <w:t>ă</w:t>
      </w:r>
      <w:r>
        <w:rPr>
          <w:rFonts w:ascii="Arial" w:eastAsia="Calibri" w:hAnsi="Arial" w:cs="Arial"/>
          <w:sz w:val="22"/>
          <w:szCs w:val="22"/>
          <w:lang w:val="it-IT" w:eastAsia="en-US"/>
        </w:rPr>
        <w:t>, situația</w:t>
      </w:r>
      <w:r w:rsidRPr="00555F32">
        <w:rPr>
          <w:rFonts w:ascii="Arial" w:eastAsia="Calibri" w:hAnsi="Arial" w:cs="Arial"/>
          <w:sz w:val="22"/>
          <w:szCs w:val="22"/>
          <w:lang w:val="it-IT" w:eastAsia="en-US"/>
        </w:rPr>
        <w:t xml:space="preserve"> </w:t>
      </w:r>
      <w:r w:rsidR="00EB6CFC" w:rsidRPr="00493218">
        <w:rPr>
          <w:rFonts w:ascii="Arial" w:eastAsia="Calibri" w:hAnsi="Arial" w:cs="Arial"/>
          <w:sz w:val="22"/>
          <w:szCs w:val="22"/>
          <w:lang w:eastAsia="en-US"/>
        </w:rPr>
        <w:t xml:space="preserve">realizării investițiilor în primul </w:t>
      </w:r>
      <w:r w:rsidR="00EB6CFC">
        <w:rPr>
          <w:rFonts w:ascii="Arial" w:eastAsia="Calibri" w:hAnsi="Arial" w:cs="Arial"/>
          <w:sz w:val="22"/>
          <w:szCs w:val="22"/>
          <w:lang w:eastAsia="en-US"/>
        </w:rPr>
        <w:t>s</w:t>
      </w:r>
      <w:r w:rsidR="00EB6CFC" w:rsidRPr="00493218">
        <w:rPr>
          <w:rFonts w:ascii="Arial" w:eastAsia="Calibri" w:hAnsi="Arial" w:cs="Arial"/>
          <w:sz w:val="22"/>
          <w:szCs w:val="22"/>
          <w:lang w:eastAsia="en-US"/>
        </w:rPr>
        <w:t>emestru al anului 2018 se prezintă după cum urmează:</w:t>
      </w:r>
    </w:p>
    <w:p w:rsidR="00EB6CFC" w:rsidRPr="00493218" w:rsidRDefault="00EB6CFC" w:rsidP="002C3508">
      <w:pPr>
        <w:widowControl/>
        <w:tabs>
          <w:tab w:val="left" w:pos="8931"/>
        </w:tabs>
        <w:autoSpaceDE/>
        <w:autoSpaceDN/>
        <w:adjustRightInd/>
        <w:spacing w:line="276" w:lineRule="auto"/>
        <w:ind w:right="43"/>
        <w:jc w:val="both"/>
        <w:rPr>
          <w:rFonts w:ascii="Arial" w:eastAsia="Calibri" w:hAnsi="Arial" w:cs="Arial"/>
          <w:sz w:val="22"/>
          <w:szCs w:val="22"/>
          <w:lang w:eastAsia="en-US"/>
        </w:rPr>
      </w:pPr>
    </w:p>
    <w:p w:rsidR="00EB6CFC" w:rsidRPr="009828D6" w:rsidRDefault="00EB6CFC" w:rsidP="002C3508">
      <w:pPr>
        <w:widowControl/>
        <w:tabs>
          <w:tab w:val="left" w:pos="8931"/>
        </w:tabs>
        <w:autoSpaceDE/>
        <w:autoSpaceDN/>
        <w:adjustRightInd/>
        <w:spacing w:line="276" w:lineRule="auto"/>
        <w:ind w:right="43"/>
        <w:jc w:val="both"/>
        <w:rPr>
          <w:rFonts w:ascii="Arial" w:eastAsia="Calibri" w:hAnsi="Arial" w:cs="Arial"/>
          <w:color w:val="1F4E79" w:themeColor="accent1" w:themeShade="80"/>
          <w:sz w:val="22"/>
          <w:szCs w:val="22"/>
          <w:lang w:eastAsia="en-US"/>
        </w:rPr>
      </w:pPr>
      <w:r w:rsidRPr="009828D6">
        <w:rPr>
          <w:rFonts w:ascii="Arial" w:eastAsia="Calibri" w:hAnsi="Arial" w:cs="Arial"/>
          <w:b/>
          <w:color w:val="1F4E79" w:themeColor="accent1" w:themeShade="80"/>
          <w:sz w:val="22"/>
          <w:szCs w:val="22"/>
          <w:lang w:eastAsia="en-US"/>
        </w:rPr>
        <w:t>Obiective de investiții în continuare</w:t>
      </w:r>
      <w:r w:rsidRPr="009828D6">
        <w:rPr>
          <w:rFonts w:ascii="Arial" w:eastAsia="Calibri" w:hAnsi="Arial" w:cs="Arial"/>
          <w:color w:val="1F4E79" w:themeColor="accent1" w:themeShade="80"/>
          <w:sz w:val="22"/>
          <w:szCs w:val="22"/>
          <w:lang w:eastAsia="en-US"/>
        </w:rPr>
        <w:t xml:space="preserve"> </w:t>
      </w:r>
    </w:p>
    <w:p w:rsidR="005460F2" w:rsidRPr="00493218" w:rsidRDefault="005460F2" w:rsidP="002C3508">
      <w:pPr>
        <w:widowControl/>
        <w:tabs>
          <w:tab w:val="left" w:pos="8931"/>
        </w:tabs>
        <w:autoSpaceDE/>
        <w:autoSpaceDN/>
        <w:adjustRightInd/>
        <w:spacing w:line="276" w:lineRule="auto"/>
        <w:ind w:right="43"/>
        <w:jc w:val="both"/>
        <w:rPr>
          <w:rFonts w:ascii="Arial" w:eastAsia="Calibri" w:hAnsi="Arial" w:cs="Arial"/>
          <w:sz w:val="22"/>
          <w:szCs w:val="22"/>
          <w:lang w:eastAsia="en-US"/>
        </w:rPr>
      </w:pPr>
    </w:p>
    <w:p w:rsidR="00EB6CFC" w:rsidRPr="00493218" w:rsidRDefault="00EB6CFC" w:rsidP="002C3508">
      <w:pPr>
        <w:widowControl/>
        <w:tabs>
          <w:tab w:val="left" w:pos="8931"/>
        </w:tabs>
        <w:autoSpaceDE/>
        <w:autoSpaceDN/>
        <w:adjustRightInd/>
        <w:spacing w:line="276" w:lineRule="auto"/>
        <w:ind w:right="43"/>
        <w:jc w:val="both"/>
        <w:rPr>
          <w:rFonts w:ascii="Arial" w:hAnsi="Arial" w:cs="Arial"/>
          <w:sz w:val="22"/>
          <w:szCs w:val="22"/>
          <w:lang w:eastAsia="en-US"/>
        </w:rPr>
      </w:pPr>
      <w:r w:rsidRPr="00493218">
        <w:rPr>
          <w:rFonts w:ascii="Arial" w:eastAsia="Calibri" w:hAnsi="Arial" w:cs="Arial"/>
          <w:sz w:val="22"/>
          <w:szCs w:val="22"/>
          <w:lang w:eastAsia="en-US"/>
        </w:rPr>
        <w:t xml:space="preserve">În primul </w:t>
      </w:r>
      <w:r>
        <w:rPr>
          <w:rFonts w:ascii="Arial" w:eastAsia="Calibri" w:hAnsi="Arial" w:cs="Arial"/>
          <w:sz w:val="22"/>
          <w:szCs w:val="22"/>
          <w:lang w:eastAsia="en-US"/>
        </w:rPr>
        <w:t>s</w:t>
      </w:r>
      <w:r w:rsidRPr="00493218">
        <w:rPr>
          <w:rFonts w:ascii="Arial" w:eastAsia="Calibri" w:hAnsi="Arial" w:cs="Arial"/>
          <w:sz w:val="22"/>
          <w:szCs w:val="22"/>
          <w:lang w:eastAsia="en-US"/>
        </w:rPr>
        <w:t>emestru 2018 s-au realizat obiective de investiții în continuare în valoare de 30.365 mii lei,</w:t>
      </w:r>
      <w:r w:rsidR="00EE1578">
        <w:rPr>
          <w:rFonts w:ascii="Arial" w:eastAsia="Calibri" w:hAnsi="Arial" w:cs="Arial"/>
          <w:sz w:val="22"/>
          <w:szCs w:val="22"/>
          <w:lang w:eastAsia="en-US"/>
        </w:rPr>
        <w:t xml:space="preserve"> față de un </w:t>
      </w:r>
      <w:r w:rsidRPr="00493218">
        <w:rPr>
          <w:rFonts w:ascii="Arial" w:eastAsia="Calibri" w:hAnsi="Arial" w:cs="Arial"/>
          <w:sz w:val="22"/>
          <w:szCs w:val="22"/>
          <w:lang w:eastAsia="en-US"/>
        </w:rPr>
        <w:t xml:space="preserve">program </w:t>
      </w:r>
      <w:r w:rsidR="00EE1578">
        <w:rPr>
          <w:rFonts w:ascii="Arial" w:eastAsia="Calibri" w:hAnsi="Arial" w:cs="Arial"/>
          <w:sz w:val="22"/>
          <w:szCs w:val="22"/>
          <w:lang w:eastAsia="en-US"/>
        </w:rPr>
        <w:t>semestrial de</w:t>
      </w:r>
      <w:r w:rsidR="005460F2">
        <w:rPr>
          <w:rFonts w:ascii="Arial" w:eastAsia="Calibri" w:hAnsi="Arial" w:cs="Arial"/>
          <w:sz w:val="22"/>
          <w:szCs w:val="22"/>
          <w:lang w:eastAsia="en-US"/>
        </w:rPr>
        <w:t xml:space="preserve"> </w:t>
      </w:r>
      <w:r w:rsidRPr="00493218">
        <w:rPr>
          <w:rFonts w:ascii="Arial" w:eastAsia="Calibri" w:hAnsi="Arial" w:cs="Arial"/>
          <w:sz w:val="22"/>
          <w:szCs w:val="22"/>
          <w:lang w:eastAsia="en-US"/>
        </w:rPr>
        <w:t>33.734 mii lei</w:t>
      </w:r>
      <w:r w:rsidR="00EE1578">
        <w:rPr>
          <w:rFonts w:ascii="Arial" w:eastAsia="Calibri" w:hAnsi="Arial" w:cs="Arial"/>
          <w:sz w:val="22"/>
          <w:szCs w:val="22"/>
          <w:lang w:eastAsia="en-US"/>
        </w:rPr>
        <w:t xml:space="preserve"> și anual de</w:t>
      </w:r>
      <w:r w:rsidRPr="00493218">
        <w:rPr>
          <w:rFonts w:ascii="Arial" w:eastAsia="Calibri" w:hAnsi="Arial" w:cs="Arial"/>
          <w:sz w:val="22"/>
          <w:szCs w:val="22"/>
          <w:lang w:eastAsia="en-US"/>
        </w:rPr>
        <w:t xml:space="preserve"> 65.101 mii lei.</w:t>
      </w:r>
    </w:p>
    <w:p w:rsidR="00EB6CFC" w:rsidRPr="00493218" w:rsidRDefault="00EB6CFC" w:rsidP="002C3508">
      <w:pPr>
        <w:widowControl/>
        <w:tabs>
          <w:tab w:val="left" w:pos="8931"/>
        </w:tabs>
        <w:autoSpaceDE/>
        <w:autoSpaceDN/>
        <w:adjustRightInd/>
        <w:spacing w:line="276" w:lineRule="auto"/>
        <w:ind w:left="360" w:right="43"/>
        <w:jc w:val="both"/>
        <w:rPr>
          <w:rFonts w:ascii="Arial" w:hAnsi="Arial" w:cs="Arial"/>
          <w:sz w:val="16"/>
          <w:szCs w:val="16"/>
          <w:lang w:eastAsia="en-US"/>
        </w:rPr>
      </w:pPr>
    </w:p>
    <w:p w:rsidR="00EB6CFC" w:rsidRDefault="00EB6CFC" w:rsidP="002C3508">
      <w:pPr>
        <w:widowControl/>
        <w:tabs>
          <w:tab w:val="left" w:pos="8931"/>
        </w:tabs>
        <w:autoSpaceDE/>
        <w:autoSpaceDN/>
        <w:adjustRightInd/>
        <w:spacing w:line="276" w:lineRule="auto"/>
        <w:ind w:right="43"/>
        <w:jc w:val="both"/>
        <w:rPr>
          <w:rFonts w:ascii="Arial" w:hAnsi="Arial" w:cs="Arial"/>
          <w:sz w:val="22"/>
          <w:szCs w:val="22"/>
          <w:lang w:eastAsia="en-US"/>
        </w:rPr>
      </w:pPr>
      <w:r w:rsidRPr="00493218">
        <w:rPr>
          <w:rFonts w:ascii="Arial" w:hAnsi="Arial" w:cs="Arial"/>
          <w:sz w:val="22"/>
          <w:szCs w:val="22"/>
          <w:lang w:eastAsia="en-US"/>
        </w:rPr>
        <w:t>Principalele obiect</w:t>
      </w:r>
      <w:r w:rsidR="005460F2">
        <w:rPr>
          <w:rFonts w:ascii="Arial" w:hAnsi="Arial" w:cs="Arial"/>
          <w:sz w:val="22"/>
          <w:szCs w:val="22"/>
          <w:lang w:eastAsia="en-US"/>
        </w:rPr>
        <w:t>ive de investiții în continuare sunt:</w:t>
      </w:r>
    </w:p>
    <w:p w:rsidR="005460F2" w:rsidRPr="00493218" w:rsidRDefault="005460F2" w:rsidP="002C3508">
      <w:pPr>
        <w:widowControl/>
        <w:tabs>
          <w:tab w:val="left" w:pos="8931"/>
        </w:tabs>
        <w:autoSpaceDE/>
        <w:autoSpaceDN/>
        <w:adjustRightInd/>
        <w:spacing w:line="276" w:lineRule="auto"/>
        <w:ind w:right="43"/>
        <w:jc w:val="both"/>
        <w:rPr>
          <w:rFonts w:ascii="Arial" w:hAnsi="Arial" w:cs="Arial"/>
          <w:sz w:val="22"/>
          <w:szCs w:val="22"/>
          <w:lang w:eastAsia="en-US"/>
        </w:rPr>
      </w:pPr>
    </w:p>
    <w:p w:rsidR="00D92A87" w:rsidRDefault="005460F2" w:rsidP="00D92A87">
      <w:pPr>
        <w:widowControl/>
        <w:numPr>
          <w:ilvl w:val="0"/>
          <w:numId w:val="9"/>
        </w:numPr>
        <w:autoSpaceDE/>
        <w:autoSpaceDN/>
        <w:adjustRightInd/>
        <w:spacing w:after="160"/>
        <w:jc w:val="both"/>
        <w:rPr>
          <w:rFonts w:ascii="Arial" w:eastAsia="Calibri" w:hAnsi="Arial" w:cs="Arial"/>
          <w:sz w:val="22"/>
          <w:szCs w:val="22"/>
          <w:lang w:eastAsia="en-US"/>
        </w:rPr>
      </w:pPr>
      <w:r>
        <w:rPr>
          <w:rFonts w:ascii="Arial" w:eastAsia="Calibri" w:hAnsi="Arial" w:cs="Arial"/>
          <w:sz w:val="22"/>
          <w:szCs w:val="22"/>
          <w:lang w:eastAsia="en-US"/>
        </w:rPr>
        <w:t>î</w:t>
      </w:r>
      <w:r w:rsidR="00EB6CFC" w:rsidRPr="00493218">
        <w:rPr>
          <w:rFonts w:ascii="Arial" w:eastAsia="Calibri" w:hAnsi="Arial" w:cs="Arial"/>
          <w:sz w:val="22"/>
          <w:szCs w:val="22"/>
          <w:lang w:eastAsia="en-US"/>
        </w:rPr>
        <w:t>nlocuire conductă țiței Ø 24” Constanța - Midia,  în zona oraș Ovidiu, jud. Constanța pe o lungime de cca. 1.140 m</w:t>
      </w:r>
      <w:r>
        <w:rPr>
          <w:rFonts w:ascii="Arial" w:eastAsia="Calibri" w:hAnsi="Arial" w:cs="Arial"/>
          <w:sz w:val="22"/>
          <w:szCs w:val="22"/>
          <w:lang w:eastAsia="en-US"/>
        </w:rPr>
        <w:t>;</w:t>
      </w:r>
    </w:p>
    <w:p w:rsidR="00D92A87" w:rsidRDefault="005460F2" w:rsidP="00D92A87">
      <w:pPr>
        <w:widowControl/>
        <w:numPr>
          <w:ilvl w:val="0"/>
          <w:numId w:val="9"/>
        </w:numPr>
        <w:autoSpaceDE/>
        <w:autoSpaceDN/>
        <w:adjustRightInd/>
        <w:spacing w:after="160"/>
        <w:jc w:val="both"/>
        <w:rPr>
          <w:rFonts w:ascii="Arial" w:eastAsia="Calibri" w:hAnsi="Arial" w:cs="Arial"/>
          <w:sz w:val="22"/>
          <w:szCs w:val="22"/>
          <w:lang w:eastAsia="en-US"/>
        </w:rPr>
      </w:pPr>
      <w:r w:rsidRPr="00D92A87">
        <w:rPr>
          <w:rFonts w:ascii="Arial" w:eastAsia="Calibri" w:hAnsi="Arial" w:cs="Arial"/>
          <w:sz w:val="22"/>
          <w:szCs w:val="22"/>
          <w:lang w:eastAsia="en-US"/>
        </w:rPr>
        <w:t>î</w:t>
      </w:r>
      <w:r w:rsidR="00EB6CFC" w:rsidRPr="00D92A87">
        <w:rPr>
          <w:rFonts w:ascii="Arial" w:eastAsia="Calibri" w:hAnsi="Arial" w:cs="Arial"/>
          <w:sz w:val="22"/>
          <w:szCs w:val="22"/>
          <w:lang w:eastAsia="en-US"/>
        </w:rPr>
        <w:t>nlocuire conductă țiței Ø 14” Constanța - Bărăganu, în zona Castelu - Cuza Vodă - Mircea Vodă, jud. Constanța pe o lungime de cca. 12.580 m</w:t>
      </w:r>
      <w:r w:rsidR="00D92A87" w:rsidRPr="00D92A87">
        <w:rPr>
          <w:rFonts w:ascii="Arial" w:eastAsia="Calibri" w:hAnsi="Arial" w:cs="Arial"/>
          <w:sz w:val="22"/>
          <w:szCs w:val="22"/>
          <w:lang w:eastAsia="en-US"/>
        </w:rPr>
        <w:t>;</w:t>
      </w:r>
    </w:p>
    <w:p w:rsidR="00E20FB9" w:rsidRPr="00E20FB9" w:rsidRDefault="00E20FB9" w:rsidP="00E20FB9">
      <w:pPr>
        <w:widowControl/>
        <w:autoSpaceDE/>
        <w:autoSpaceDN/>
        <w:adjustRightInd/>
        <w:spacing w:after="160"/>
        <w:ind w:left="360"/>
        <w:jc w:val="both"/>
        <w:rPr>
          <w:rFonts w:ascii="Arial" w:eastAsia="Calibri" w:hAnsi="Arial" w:cs="Arial"/>
          <w:sz w:val="22"/>
          <w:szCs w:val="22"/>
          <w:lang w:eastAsia="en-US"/>
        </w:rPr>
      </w:pPr>
    </w:p>
    <w:p w:rsidR="00EB6CFC" w:rsidRPr="00493218" w:rsidRDefault="00EB6CFC" w:rsidP="00D92A87">
      <w:pPr>
        <w:widowControl/>
        <w:autoSpaceDE/>
        <w:autoSpaceDN/>
        <w:adjustRightInd/>
        <w:ind w:left="720"/>
        <w:contextualSpacing/>
        <w:jc w:val="both"/>
        <w:rPr>
          <w:rFonts w:ascii="Arial" w:eastAsia="Calibri" w:hAnsi="Arial" w:cs="Arial"/>
          <w:sz w:val="4"/>
          <w:szCs w:val="4"/>
          <w:lang w:eastAsia="en-US"/>
        </w:rPr>
      </w:pPr>
    </w:p>
    <w:p w:rsidR="00EB6CFC" w:rsidRPr="00493218" w:rsidRDefault="005460F2" w:rsidP="00D92A87">
      <w:pPr>
        <w:widowControl/>
        <w:numPr>
          <w:ilvl w:val="0"/>
          <w:numId w:val="9"/>
        </w:numPr>
        <w:autoSpaceDE/>
        <w:autoSpaceDN/>
        <w:adjustRightInd/>
        <w:spacing w:after="160"/>
        <w:jc w:val="both"/>
        <w:rPr>
          <w:rFonts w:ascii="Arial" w:eastAsia="Calibri" w:hAnsi="Arial" w:cs="Arial"/>
          <w:sz w:val="22"/>
          <w:szCs w:val="22"/>
          <w:lang w:eastAsia="en-US"/>
        </w:rPr>
      </w:pPr>
      <w:r>
        <w:rPr>
          <w:rFonts w:ascii="Arial" w:eastAsia="Calibri" w:hAnsi="Arial" w:cs="Arial"/>
          <w:sz w:val="22"/>
          <w:szCs w:val="22"/>
          <w:lang w:eastAsia="en-US"/>
        </w:rPr>
        <w:t>î</w:t>
      </w:r>
      <w:r w:rsidR="00EB6CFC" w:rsidRPr="00493218">
        <w:rPr>
          <w:rFonts w:ascii="Arial" w:eastAsia="Calibri" w:hAnsi="Arial" w:cs="Arial"/>
          <w:sz w:val="22"/>
          <w:szCs w:val="22"/>
          <w:lang w:eastAsia="en-US"/>
        </w:rPr>
        <w:t>nlocuire conductă țiței 14” Bărăganu-Călăreți rezultată în urma godevilării inteligente în lungime de 7,5 km (pe tronsoane)</w:t>
      </w:r>
      <w:r>
        <w:rPr>
          <w:rFonts w:ascii="Arial" w:eastAsia="Calibri" w:hAnsi="Arial" w:cs="Arial"/>
          <w:sz w:val="22"/>
          <w:szCs w:val="22"/>
          <w:lang w:eastAsia="en-US"/>
        </w:rPr>
        <w:t>;</w:t>
      </w:r>
    </w:p>
    <w:p w:rsidR="00EB6CFC" w:rsidRPr="00493218" w:rsidRDefault="005460F2" w:rsidP="00D92A87">
      <w:pPr>
        <w:widowControl/>
        <w:numPr>
          <w:ilvl w:val="0"/>
          <w:numId w:val="9"/>
        </w:numPr>
        <w:autoSpaceDE/>
        <w:autoSpaceDN/>
        <w:adjustRightInd/>
        <w:spacing w:after="160"/>
        <w:jc w:val="both"/>
        <w:rPr>
          <w:rFonts w:ascii="Arial" w:eastAsia="Calibri" w:hAnsi="Arial" w:cs="Arial"/>
          <w:sz w:val="22"/>
          <w:szCs w:val="22"/>
          <w:lang w:eastAsia="en-US"/>
        </w:rPr>
      </w:pPr>
      <w:r>
        <w:rPr>
          <w:rFonts w:ascii="Arial" w:eastAsia="Calibri" w:hAnsi="Arial" w:cs="Arial"/>
          <w:sz w:val="22"/>
          <w:szCs w:val="22"/>
          <w:lang w:eastAsia="en-US"/>
        </w:rPr>
        <w:t>l</w:t>
      </w:r>
      <w:r w:rsidR="00EB6CFC" w:rsidRPr="00493218">
        <w:rPr>
          <w:rFonts w:ascii="Arial" w:eastAsia="Calibri" w:hAnsi="Arial" w:cs="Arial"/>
          <w:sz w:val="22"/>
          <w:szCs w:val="22"/>
          <w:lang w:eastAsia="en-US"/>
        </w:rPr>
        <w:t>ucrări de punere în siguranță traversare râu Argeș, zona Căteasca, jud Argeș, etapa 2</w:t>
      </w:r>
      <w:r>
        <w:rPr>
          <w:rFonts w:ascii="Arial" w:eastAsia="Calibri" w:hAnsi="Arial" w:cs="Arial"/>
          <w:sz w:val="22"/>
          <w:szCs w:val="22"/>
          <w:lang w:eastAsia="en-US"/>
        </w:rPr>
        <w:t>;</w:t>
      </w:r>
    </w:p>
    <w:p w:rsidR="00EB6CFC" w:rsidRPr="00493218" w:rsidRDefault="00EB6CFC" w:rsidP="00D92A87">
      <w:pPr>
        <w:widowControl/>
        <w:autoSpaceDE/>
        <w:autoSpaceDN/>
        <w:adjustRightInd/>
        <w:ind w:left="720"/>
        <w:contextualSpacing/>
        <w:jc w:val="both"/>
        <w:rPr>
          <w:rFonts w:ascii="Arial" w:eastAsia="Calibri" w:hAnsi="Arial" w:cs="Arial"/>
          <w:sz w:val="4"/>
          <w:szCs w:val="4"/>
          <w:lang w:eastAsia="en-US"/>
        </w:rPr>
      </w:pPr>
    </w:p>
    <w:p w:rsidR="00EB6CFC" w:rsidRPr="00493218" w:rsidRDefault="005460F2" w:rsidP="00D92A87">
      <w:pPr>
        <w:widowControl/>
        <w:numPr>
          <w:ilvl w:val="0"/>
          <w:numId w:val="9"/>
        </w:numPr>
        <w:autoSpaceDE/>
        <w:autoSpaceDN/>
        <w:adjustRightInd/>
        <w:spacing w:after="160"/>
        <w:jc w:val="both"/>
        <w:rPr>
          <w:rFonts w:ascii="Arial" w:eastAsia="Calibri" w:hAnsi="Arial" w:cs="Arial"/>
          <w:sz w:val="22"/>
          <w:szCs w:val="22"/>
          <w:lang w:eastAsia="en-US"/>
        </w:rPr>
      </w:pPr>
      <w:r>
        <w:rPr>
          <w:rFonts w:ascii="Arial" w:eastAsia="Calibri" w:hAnsi="Arial" w:cs="Arial"/>
          <w:sz w:val="22"/>
          <w:szCs w:val="22"/>
          <w:lang w:eastAsia="en-US"/>
        </w:rPr>
        <w:t>p</w:t>
      </w:r>
      <w:r w:rsidR="00EB6CFC" w:rsidRPr="00493218">
        <w:rPr>
          <w:rFonts w:ascii="Arial" w:eastAsia="Calibri" w:hAnsi="Arial" w:cs="Arial"/>
          <w:sz w:val="22"/>
          <w:szCs w:val="22"/>
          <w:lang w:eastAsia="en-US"/>
        </w:rPr>
        <w:t>unere în siguranță traversare aeriană a râului Prahova cu conductele de 12 3/4" și 14 3/4" Cartojani-Ploiești, sat Stejaru, com. Brazi, jud. Prahova</w:t>
      </w:r>
      <w:r>
        <w:rPr>
          <w:rFonts w:ascii="Arial" w:eastAsia="Calibri" w:hAnsi="Arial" w:cs="Arial"/>
          <w:sz w:val="22"/>
          <w:szCs w:val="22"/>
          <w:lang w:eastAsia="en-US"/>
        </w:rPr>
        <w:t>;</w:t>
      </w:r>
    </w:p>
    <w:p w:rsidR="00EB6CFC" w:rsidRPr="00493218" w:rsidRDefault="00EB6CFC" w:rsidP="00D92A87">
      <w:pPr>
        <w:widowControl/>
        <w:autoSpaceDE/>
        <w:autoSpaceDN/>
        <w:adjustRightInd/>
        <w:ind w:firstLine="360"/>
        <w:jc w:val="both"/>
        <w:rPr>
          <w:rFonts w:ascii="Arial" w:eastAsia="Calibri" w:hAnsi="Arial" w:cs="Arial"/>
          <w:sz w:val="4"/>
          <w:szCs w:val="4"/>
          <w:lang w:eastAsia="en-US"/>
        </w:rPr>
      </w:pPr>
    </w:p>
    <w:p w:rsidR="00EB6CFC" w:rsidRPr="00493218" w:rsidRDefault="005460F2" w:rsidP="00D92A87">
      <w:pPr>
        <w:widowControl/>
        <w:numPr>
          <w:ilvl w:val="0"/>
          <w:numId w:val="9"/>
        </w:numPr>
        <w:autoSpaceDE/>
        <w:autoSpaceDN/>
        <w:adjustRightInd/>
        <w:spacing w:after="160"/>
        <w:jc w:val="both"/>
        <w:rPr>
          <w:rFonts w:ascii="Arial" w:eastAsia="Calibri" w:hAnsi="Arial" w:cs="Arial"/>
          <w:sz w:val="22"/>
          <w:szCs w:val="22"/>
          <w:lang w:eastAsia="en-US"/>
        </w:rPr>
      </w:pPr>
      <w:r>
        <w:rPr>
          <w:rFonts w:ascii="Arial" w:eastAsia="Calibri" w:hAnsi="Arial" w:cs="Arial"/>
          <w:sz w:val="22"/>
          <w:szCs w:val="22"/>
          <w:lang w:eastAsia="en-US"/>
        </w:rPr>
        <w:t>m</w:t>
      </w:r>
      <w:r w:rsidR="00EB6CFC" w:rsidRPr="00493218">
        <w:rPr>
          <w:rFonts w:ascii="Arial" w:eastAsia="Calibri" w:hAnsi="Arial" w:cs="Arial"/>
          <w:sz w:val="22"/>
          <w:szCs w:val="22"/>
          <w:lang w:eastAsia="en-US"/>
        </w:rPr>
        <w:t>odernizare și monitorizare a sistemului de protecție catodică aferent SNT țară și import</w:t>
      </w:r>
      <w:r>
        <w:rPr>
          <w:rFonts w:ascii="Arial" w:eastAsia="Calibri" w:hAnsi="Arial" w:cs="Arial"/>
          <w:sz w:val="22"/>
          <w:szCs w:val="22"/>
          <w:lang w:eastAsia="en-US"/>
        </w:rPr>
        <w:t>;</w:t>
      </w:r>
    </w:p>
    <w:p w:rsidR="00EB6CFC" w:rsidRPr="00493218" w:rsidRDefault="00EB6CFC" w:rsidP="00D92A87">
      <w:pPr>
        <w:widowControl/>
        <w:autoSpaceDE/>
        <w:autoSpaceDN/>
        <w:adjustRightInd/>
        <w:ind w:left="720"/>
        <w:contextualSpacing/>
        <w:jc w:val="both"/>
        <w:rPr>
          <w:rFonts w:ascii="Arial" w:eastAsia="Calibri" w:hAnsi="Arial" w:cs="Arial"/>
          <w:sz w:val="4"/>
          <w:szCs w:val="4"/>
          <w:lang w:eastAsia="en-US"/>
        </w:rPr>
      </w:pPr>
    </w:p>
    <w:p w:rsidR="00EB6CFC" w:rsidRPr="00493218" w:rsidRDefault="005460F2" w:rsidP="00D92A87">
      <w:pPr>
        <w:widowControl/>
        <w:numPr>
          <w:ilvl w:val="0"/>
          <w:numId w:val="9"/>
        </w:numPr>
        <w:autoSpaceDE/>
        <w:autoSpaceDN/>
        <w:adjustRightInd/>
        <w:spacing w:after="160"/>
        <w:jc w:val="both"/>
        <w:rPr>
          <w:rFonts w:ascii="Arial" w:eastAsia="Calibri" w:hAnsi="Arial" w:cs="Arial"/>
          <w:sz w:val="22"/>
          <w:szCs w:val="22"/>
          <w:lang w:eastAsia="en-US"/>
        </w:rPr>
      </w:pPr>
      <w:r>
        <w:rPr>
          <w:rFonts w:ascii="Arial" w:eastAsia="Calibri" w:hAnsi="Arial" w:cs="Arial"/>
          <w:sz w:val="22"/>
          <w:szCs w:val="22"/>
          <w:lang w:eastAsia="en-US"/>
        </w:rPr>
        <w:t>s</w:t>
      </w:r>
      <w:r w:rsidR="00EB6CFC" w:rsidRPr="00493218">
        <w:rPr>
          <w:rFonts w:ascii="Arial" w:eastAsia="Calibri" w:hAnsi="Arial" w:cs="Arial"/>
          <w:sz w:val="22"/>
          <w:szCs w:val="22"/>
          <w:lang w:eastAsia="en-US"/>
        </w:rPr>
        <w:t>istem pilot pentru detectarea și localizarea scurgerilor de produs din sistemul de conducte magistrale de transport țiței Poiana Lacului - Siliște – Ploiești</w:t>
      </w:r>
      <w:r>
        <w:rPr>
          <w:rFonts w:ascii="Arial" w:eastAsia="Calibri" w:hAnsi="Arial" w:cs="Arial"/>
          <w:sz w:val="22"/>
          <w:szCs w:val="22"/>
          <w:lang w:eastAsia="en-US"/>
        </w:rPr>
        <w:t>;</w:t>
      </w:r>
    </w:p>
    <w:p w:rsidR="00EB6CFC" w:rsidRPr="00493218" w:rsidRDefault="00EB6CFC" w:rsidP="00D92A87">
      <w:pPr>
        <w:widowControl/>
        <w:autoSpaceDE/>
        <w:autoSpaceDN/>
        <w:adjustRightInd/>
        <w:ind w:left="720"/>
        <w:contextualSpacing/>
        <w:jc w:val="both"/>
        <w:rPr>
          <w:rFonts w:ascii="Arial" w:eastAsia="Calibri" w:hAnsi="Arial" w:cs="Arial"/>
          <w:sz w:val="4"/>
          <w:szCs w:val="4"/>
          <w:lang w:eastAsia="en-US"/>
        </w:rPr>
      </w:pPr>
    </w:p>
    <w:p w:rsidR="00EB6CFC" w:rsidRPr="00493218" w:rsidRDefault="005460F2" w:rsidP="00D92A87">
      <w:pPr>
        <w:widowControl/>
        <w:numPr>
          <w:ilvl w:val="0"/>
          <w:numId w:val="9"/>
        </w:numPr>
        <w:autoSpaceDE/>
        <w:autoSpaceDN/>
        <w:adjustRightInd/>
        <w:spacing w:after="160"/>
        <w:jc w:val="both"/>
        <w:rPr>
          <w:rFonts w:ascii="Arial" w:eastAsia="Calibri" w:hAnsi="Arial" w:cs="Arial"/>
          <w:sz w:val="22"/>
          <w:szCs w:val="22"/>
          <w:lang w:eastAsia="en-US"/>
        </w:rPr>
      </w:pPr>
      <w:r>
        <w:rPr>
          <w:rFonts w:ascii="Arial" w:eastAsia="Calibri" w:hAnsi="Arial" w:cs="Arial"/>
          <w:sz w:val="22"/>
          <w:szCs w:val="22"/>
          <w:lang w:eastAsia="en-US"/>
        </w:rPr>
        <w:t>m</w:t>
      </w:r>
      <w:r w:rsidR="00EB6CFC" w:rsidRPr="00493218">
        <w:rPr>
          <w:rFonts w:ascii="Arial" w:eastAsia="Calibri" w:hAnsi="Arial" w:cs="Arial"/>
          <w:sz w:val="22"/>
          <w:szCs w:val="22"/>
          <w:lang w:eastAsia="en-US"/>
        </w:rPr>
        <w:t>odernizare sisteme pompare în locațiile Moreni, Oprișenești, Mădulari</w:t>
      </w:r>
      <w:r>
        <w:rPr>
          <w:rFonts w:ascii="Arial" w:eastAsia="Calibri" w:hAnsi="Arial" w:cs="Arial"/>
          <w:sz w:val="22"/>
          <w:szCs w:val="22"/>
          <w:lang w:eastAsia="en-US"/>
        </w:rPr>
        <w:t>.</w:t>
      </w:r>
    </w:p>
    <w:p w:rsidR="00EB6CFC" w:rsidRPr="00625062" w:rsidRDefault="00EB6CFC" w:rsidP="002C3508">
      <w:pPr>
        <w:widowControl/>
        <w:tabs>
          <w:tab w:val="left" w:pos="8931"/>
        </w:tabs>
        <w:autoSpaceDE/>
        <w:autoSpaceDN/>
        <w:adjustRightInd/>
        <w:spacing w:line="276" w:lineRule="auto"/>
        <w:ind w:right="43"/>
        <w:jc w:val="both"/>
        <w:rPr>
          <w:rFonts w:ascii="Arial" w:hAnsi="Arial" w:cs="Arial"/>
          <w:sz w:val="22"/>
          <w:szCs w:val="22"/>
          <w:lang w:eastAsia="en-US"/>
        </w:rPr>
      </w:pPr>
      <w:r w:rsidRPr="00625062">
        <w:rPr>
          <w:rFonts w:ascii="Arial" w:hAnsi="Arial" w:cs="Arial"/>
          <w:sz w:val="22"/>
          <w:szCs w:val="22"/>
          <w:lang w:eastAsia="en-US"/>
        </w:rPr>
        <w:t xml:space="preserve">În primul semestru al anului 2018, în cadrul Direcției Dezvoltare Mentenanță au fost în lucru un număr de 37 lucrări de proiectare, din care s-au avizat în CTE CONPET un număr de 14 lucrări cu o valoare totală a investiției de </w:t>
      </w:r>
      <w:r w:rsidRPr="009C2595">
        <w:rPr>
          <w:rFonts w:ascii="Arial" w:hAnsi="Arial" w:cs="Arial"/>
          <w:sz w:val="22"/>
          <w:szCs w:val="22"/>
          <w:lang w:eastAsia="en-US"/>
        </w:rPr>
        <w:t>39.904</w:t>
      </w:r>
      <w:r w:rsidR="00604269">
        <w:rPr>
          <w:rFonts w:ascii="Arial" w:hAnsi="Arial" w:cs="Arial"/>
          <w:sz w:val="22"/>
          <w:szCs w:val="22"/>
          <w:lang w:eastAsia="en-US"/>
        </w:rPr>
        <w:t>,14 mii</w:t>
      </w:r>
      <w:r w:rsidR="00F80BC9">
        <w:rPr>
          <w:rFonts w:ascii="Arial" w:hAnsi="Arial" w:cs="Arial"/>
          <w:sz w:val="22"/>
          <w:szCs w:val="22"/>
          <w:lang w:eastAsia="en-US"/>
        </w:rPr>
        <w:t xml:space="preserve"> </w:t>
      </w:r>
      <w:r w:rsidRPr="009C2595">
        <w:rPr>
          <w:rFonts w:ascii="Arial" w:hAnsi="Arial" w:cs="Arial"/>
          <w:sz w:val="22"/>
          <w:szCs w:val="22"/>
          <w:lang w:eastAsia="en-US"/>
        </w:rPr>
        <w:t>lei</w:t>
      </w:r>
      <w:r w:rsidRPr="00625062">
        <w:rPr>
          <w:rFonts w:ascii="Arial" w:hAnsi="Arial" w:cs="Arial"/>
          <w:sz w:val="22"/>
          <w:szCs w:val="22"/>
          <w:lang w:eastAsia="en-US"/>
        </w:rPr>
        <w:t>, astfel:</w:t>
      </w:r>
    </w:p>
    <w:p w:rsidR="00EB6CFC" w:rsidRPr="00625062" w:rsidRDefault="00EB6CFC" w:rsidP="002C3508">
      <w:pPr>
        <w:widowControl/>
        <w:tabs>
          <w:tab w:val="left" w:pos="8931"/>
        </w:tabs>
        <w:autoSpaceDE/>
        <w:autoSpaceDN/>
        <w:adjustRightInd/>
        <w:spacing w:line="276" w:lineRule="auto"/>
        <w:ind w:right="43"/>
        <w:jc w:val="both"/>
        <w:rPr>
          <w:rFonts w:ascii="Arial" w:hAnsi="Arial" w:cs="Arial"/>
          <w:sz w:val="22"/>
          <w:szCs w:val="22"/>
          <w:lang w:eastAsia="en-US"/>
        </w:rPr>
      </w:pPr>
    </w:p>
    <w:p w:rsidR="00EB6CFC" w:rsidRDefault="005460F2" w:rsidP="002C3508">
      <w:pPr>
        <w:pStyle w:val="ListParagraph"/>
        <w:numPr>
          <w:ilvl w:val="0"/>
          <w:numId w:val="9"/>
        </w:numPr>
        <w:tabs>
          <w:tab w:val="left" w:pos="8931"/>
        </w:tabs>
        <w:ind w:right="43"/>
        <w:jc w:val="both"/>
        <w:rPr>
          <w:rFonts w:ascii="Arial" w:hAnsi="Arial" w:cs="Arial"/>
        </w:rPr>
      </w:pPr>
      <w:r w:rsidRPr="005460F2">
        <w:rPr>
          <w:rFonts w:ascii="Arial" w:hAnsi="Arial" w:cs="Arial"/>
        </w:rPr>
        <w:t>î</w:t>
      </w:r>
      <w:r w:rsidR="00EB6CFC" w:rsidRPr="005460F2">
        <w:rPr>
          <w:rFonts w:ascii="Arial" w:hAnsi="Arial" w:cs="Arial"/>
        </w:rPr>
        <w:t>nlocuire tronson conductă de țiței Ø10</w:t>
      </w:r>
      <w:r>
        <w:rPr>
          <w:rFonts w:ascii="Arial" w:hAnsi="Arial" w:cs="Arial"/>
        </w:rPr>
        <w:t xml:space="preserve"> </w:t>
      </w:r>
      <w:r w:rsidR="00EB6CFC" w:rsidRPr="005460F2">
        <w:rPr>
          <w:rFonts w:ascii="Arial" w:hAnsi="Arial" w:cs="Arial"/>
        </w:rPr>
        <w:t>3/4” F1 Bărbătești-Orlești în zona B</w:t>
      </w:r>
      <w:r>
        <w:rPr>
          <w:rFonts w:ascii="Arial" w:hAnsi="Arial" w:cs="Arial"/>
        </w:rPr>
        <w:t>u</w:t>
      </w:r>
      <w:r w:rsidR="00EB6CFC" w:rsidRPr="005460F2">
        <w:rPr>
          <w:rFonts w:ascii="Arial" w:hAnsi="Arial" w:cs="Arial"/>
        </w:rPr>
        <w:t>cșani – mal drept râu Cerna, comuna Fârtățești, jud. Vâlcea 500 m de la grădina Suvăr – V.S. mal drept râu Cerna</w:t>
      </w:r>
      <w:r w:rsidR="00EB6CFC" w:rsidRPr="005460F2">
        <w:rPr>
          <w:rFonts w:ascii="Arial" w:hAnsi="Arial" w:cs="Arial"/>
          <w:lang w:val="en-US"/>
        </w:rPr>
        <w:t xml:space="preserve">, </w:t>
      </w:r>
      <w:r w:rsidR="00EB6CFC" w:rsidRPr="005460F2">
        <w:rPr>
          <w:rFonts w:ascii="Arial" w:hAnsi="Arial" w:cs="Arial"/>
        </w:rPr>
        <w:t>cu o valoare estimată de proiectant de 422</w:t>
      </w:r>
      <w:r w:rsidR="00604269">
        <w:rPr>
          <w:rFonts w:ascii="Arial" w:hAnsi="Arial" w:cs="Arial"/>
        </w:rPr>
        <w:t>,</w:t>
      </w:r>
      <w:r w:rsidR="00EB6CFC" w:rsidRPr="005460F2">
        <w:rPr>
          <w:rFonts w:ascii="Arial" w:hAnsi="Arial" w:cs="Arial"/>
        </w:rPr>
        <w:t>36</w:t>
      </w:r>
      <w:r w:rsidR="00604269">
        <w:rPr>
          <w:rFonts w:ascii="Arial" w:hAnsi="Arial" w:cs="Arial"/>
        </w:rPr>
        <w:t xml:space="preserve"> mii</w:t>
      </w:r>
      <w:r w:rsidR="00EB6CFC" w:rsidRPr="005460F2">
        <w:rPr>
          <w:rFonts w:ascii="Arial" w:hAnsi="Arial" w:cs="Arial"/>
        </w:rPr>
        <w:t xml:space="preserve"> lei;</w:t>
      </w:r>
    </w:p>
    <w:p w:rsidR="00EB6CFC" w:rsidRPr="005460F2" w:rsidRDefault="005460F2" w:rsidP="002C3508">
      <w:pPr>
        <w:pStyle w:val="ListParagraph"/>
        <w:numPr>
          <w:ilvl w:val="0"/>
          <w:numId w:val="9"/>
        </w:numPr>
        <w:tabs>
          <w:tab w:val="left" w:pos="8931"/>
        </w:tabs>
        <w:ind w:right="43"/>
        <w:jc w:val="both"/>
        <w:rPr>
          <w:rFonts w:ascii="Arial" w:hAnsi="Arial" w:cs="Arial"/>
        </w:rPr>
      </w:pPr>
      <w:r>
        <w:rPr>
          <w:rFonts w:ascii="Arial" w:hAnsi="Arial" w:cs="Arial"/>
        </w:rPr>
        <w:t>p</w:t>
      </w:r>
      <w:r w:rsidR="00EB6CFC" w:rsidRPr="005460F2">
        <w:rPr>
          <w:rFonts w:ascii="Arial" w:hAnsi="Arial" w:cs="Arial"/>
        </w:rPr>
        <w:t>unere în siguranță Conducta de Ø4” Izvoru-Racord Ø10¾” Icoana-Cartojani în zona râului Teleorman,</w:t>
      </w:r>
      <w:r w:rsidR="00EB6CFC" w:rsidRPr="005460F2">
        <w:rPr>
          <w:rFonts w:ascii="Arial" w:hAnsi="Arial" w:cs="Arial"/>
          <w:lang w:val="en-US"/>
        </w:rPr>
        <w:t xml:space="preserve"> </w:t>
      </w:r>
      <w:r w:rsidR="00EB6CFC" w:rsidRPr="005460F2">
        <w:rPr>
          <w:rFonts w:ascii="Arial" w:hAnsi="Arial" w:cs="Arial"/>
        </w:rPr>
        <w:t>cu o valoare</w:t>
      </w:r>
      <w:r w:rsidR="00604269">
        <w:rPr>
          <w:rFonts w:ascii="Arial" w:hAnsi="Arial" w:cs="Arial"/>
        </w:rPr>
        <w:t xml:space="preserve"> estimată de proiectant de 200,</w:t>
      </w:r>
      <w:r w:rsidR="00EB6CFC" w:rsidRPr="005460F2">
        <w:rPr>
          <w:rFonts w:ascii="Arial" w:hAnsi="Arial" w:cs="Arial"/>
        </w:rPr>
        <w:t>05</w:t>
      </w:r>
      <w:r w:rsidR="00604269">
        <w:rPr>
          <w:rFonts w:ascii="Arial" w:hAnsi="Arial" w:cs="Arial"/>
        </w:rPr>
        <w:t xml:space="preserve"> mii</w:t>
      </w:r>
      <w:r w:rsidR="00F80BC9" w:rsidRPr="005460F2">
        <w:rPr>
          <w:rFonts w:ascii="Arial" w:hAnsi="Arial" w:cs="Arial"/>
        </w:rPr>
        <w:t xml:space="preserve"> </w:t>
      </w:r>
      <w:r w:rsidR="00EB6CFC" w:rsidRPr="005460F2">
        <w:rPr>
          <w:rFonts w:ascii="Arial" w:hAnsi="Arial" w:cs="Arial"/>
        </w:rPr>
        <w:t>lei;</w:t>
      </w:r>
    </w:p>
    <w:p w:rsidR="00EB6CFC" w:rsidRPr="00604269" w:rsidRDefault="00604269" w:rsidP="002C3508">
      <w:pPr>
        <w:pStyle w:val="ListParagraph"/>
        <w:numPr>
          <w:ilvl w:val="0"/>
          <w:numId w:val="9"/>
        </w:numPr>
        <w:tabs>
          <w:tab w:val="left" w:pos="8931"/>
        </w:tabs>
        <w:ind w:right="43"/>
        <w:jc w:val="both"/>
        <w:rPr>
          <w:rFonts w:ascii="Arial" w:hAnsi="Arial" w:cs="Arial"/>
          <w:b/>
          <w:i/>
        </w:rPr>
      </w:pPr>
      <w:r>
        <w:rPr>
          <w:rFonts w:ascii="Arial" w:hAnsi="Arial" w:cs="Arial"/>
        </w:rPr>
        <w:t>î</w:t>
      </w:r>
      <w:r w:rsidR="00EB6CFC" w:rsidRPr="00604269">
        <w:rPr>
          <w:rFonts w:ascii="Arial" w:hAnsi="Arial" w:cs="Arial"/>
        </w:rPr>
        <w:t>nlocuire conducta țiței Ø24” Constanța-Midia, în zona zona pod Năvodari – început traseu aerian în lungime de 405</w:t>
      </w:r>
      <w:r w:rsidR="00EC0212">
        <w:rPr>
          <w:rFonts w:ascii="Arial" w:hAnsi="Arial" w:cs="Arial"/>
        </w:rPr>
        <w:t xml:space="preserve"> </w:t>
      </w:r>
      <w:r w:rsidR="00EB6CFC" w:rsidRPr="00604269">
        <w:rPr>
          <w:rFonts w:ascii="Arial" w:hAnsi="Arial" w:cs="Arial"/>
        </w:rPr>
        <w:t>m,</w:t>
      </w:r>
      <w:r w:rsidR="00EB6CFC" w:rsidRPr="00604269">
        <w:rPr>
          <w:rFonts w:ascii="Arial" w:hAnsi="Arial" w:cs="Arial"/>
          <w:lang w:val="en-US"/>
        </w:rPr>
        <w:t xml:space="preserve"> </w:t>
      </w:r>
      <w:r w:rsidR="00EB6CFC" w:rsidRPr="00604269">
        <w:rPr>
          <w:rFonts w:ascii="Arial" w:hAnsi="Arial" w:cs="Arial"/>
        </w:rPr>
        <w:t xml:space="preserve">cu o valoare estimată de proiectant de </w:t>
      </w:r>
      <w:r>
        <w:rPr>
          <w:rFonts w:ascii="Arial" w:hAnsi="Arial" w:cs="Arial"/>
        </w:rPr>
        <w:t>1.238,</w:t>
      </w:r>
      <w:r w:rsidR="00EB6CFC" w:rsidRPr="00604269">
        <w:rPr>
          <w:rFonts w:ascii="Arial" w:hAnsi="Arial" w:cs="Arial"/>
        </w:rPr>
        <w:t>30</w:t>
      </w:r>
      <w:r>
        <w:rPr>
          <w:rFonts w:ascii="Arial" w:hAnsi="Arial" w:cs="Arial"/>
        </w:rPr>
        <w:t xml:space="preserve"> mii</w:t>
      </w:r>
      <w:r w:rsidR="00EB6CFC" w:rsidRPr="00604269">
        <w:rPr>
          <w:rFonts w:ascii="Arial" w:hAnsi="Arial" w:cs="Arial"/>
        </w:rPr>
        <w:t xml:space="preserve"> lei;</w:t>
      </w:r>
    </w:p>
    <w:p w:rsidR="00EB6CFC" w:rsidRPr="00604269" w:rsidRDefault="00604269" w:rsidP="002C3508">
      <w:pPr>
        <w:pStyle w:val="ListParagraph"/>
        <w:numPr>
          <w:ilvl w:val="0"/>
          <w:numId w:val="9"/>
        </w:numPr>
        <w:tabs>
          <w:tab w:val="left" w:pos="8931"/>
        </w:tabs>
        <w:ind w:right="43"/>
        <w:jc w:val="both"/>
        <w:rPr>
          <w:rFonts w:ascii="Arial" w:hAnsi="Arial" w:cs="Arial"/>
          <w:b/>
          <w:i/>
        </w:rPr>
      </w:pPr>
      <w:r>
        <w:rPr>
          <w:rFonts w:ascii="Arial" w:hAnsi="Arial" w:cs="Arial"/>
        </w:rPr>
        <w:t>p</w:t>
      </w:r>
      <w:r w:rsidR="00EB6CFC" w:rsidRPr="00604269">
        <w:rPr>
          <w:rFonts w:ascii="Arial" w:hAnsi="Arial" w:cs="Arial"/>
        </w:rPr>
        <w:t>unere în siguranță subtraversare nr. 2 conducta Ø10¾" Potlogi - P.F. Argeș, râu Sabar, localitatea  Găiseni, județul Giurgiu pe o lungime de 350 m</w:t>
      </w:r>
      <w:r w:rsidR="00EB6CFC" w:rsidRPr="00604269">
        <w:rPr>
          <w:rFonts w:ascii="Arial" w:hAnsi="Arial" w:cs="Arial"/>
          <w:lang w:val="en-US"/>
        </w:rPr>
        <w:t xml:space="preserve">, </w:t>
      </w:r>
      <w:r w:rsidR="00EB6CFC" w:rsidRPr="00604269">
        <w:rPr>
          <w:rFonts w:ascii="Arial" w:hAnsi="Arial" w:cs="Arial"/>
        </w:rPr>
        <w:t xml:space="preserve">cu o valoare estimată de proiectant de </w:t>
      </w:r>
      <w:r>
        <w:rPr>
          <w:rFonts w:ascii="Arial" w:hAnsi="Arial" w:cs="Arial"/>
        </w:rPr>
        <w:t>613,75 mii</w:t>
      </w:r>
      <w:r w:rsidR="00EC0212">
        <w:rPr>
          <w:rFonts w:ascii="Arial" w:hAnsi="Arial" w:cs="Arial"/>
        </w:rPr>
        <w:t xml:space="preserve"> lei;</w:t>
      </w:r>
    </w:p>
    <w:p w:rsidR="00EB6CFC" w:rsidRPr="00604269" w:rsidRDefault="00604269" w:rsidP="002C3508">
      <w:pPr>
        <w:pStyle w:val="ListParagraph"/>
        <w:numPr>
          <w:ilvl w:val="0"/>
          <w:numId w:val="9"/>
        </w:numPr>
        <w:tabs>
          <w:tab w:val="left" w:pos="8931"/>
        </w:tabs>
        <w:ind w:right="43"/>
        <w:jc w:val="both"/>
        <w:rPr>
          <w:rFonts w:ascii="Arial" w:hAnsi="Arial" w:cs="Arial"/>
        </w:rPr>
      </w:pPr>
      <w:r>
        <w:rPr>
          <w:rFonts w:ascii="Arial" w:hAnsi="Arial" w:cs="Arial"/>
        </w:rPr>
        <w:t>î</w:t>
      </w:r>
      <w:r w:rsidR="00EB6CFC" w:rsidRPr="00604269">
        <w:rPr>
          <w:rFonts w:ascii="Arial" w:hAnsi="Arial" w:cs="Arial"/>
        </w:rPr>
        <w:t>nlocuire conducte de transport țiței Ø12” și Ø14” Cartojani-Ploiești, în zona Crivăț-Cătunu, pe o lungime de cca. 550m+30m foraj orizontal subtraversare DN1A București-Ploiești, comuna Cornești, județul Dâmbovița, cu o valoare estimată de proiectant de 1.364</w:t>
      </w:r>
      <w:r>
        <w:rPr>
          <w:rFonts w:ascii="Arial" w:hAnsi="Arial" w:cs="Arial"/>
        </w:rPr>
        <w:t>,</w:t>
      </w:r>
      <w:r w:rsidR="00EB6CFC" w:rsidRPr="00604269">
        <w:rPr>
          <w:rFonts w:ascii="Arial" w:hAnsi="Arial" w:cs="Arial"/>
        </w:rPr>
        <w:t>3</w:t>
      </w:r>
      <w:r>
        <w:rPr>
          <w:rFonts w:ascii="Arial" w:hAnsi="Arial" w:cs="Arial"/>
        </w:rPr>
        <w:t>5 mii</w:t>
      </w:r>
      <w:r w:rsidR="00EB6CFC" w:rsidRPr="00604269">
        <w:rPr>
          <w:rFonts w:ascii="Arial" w:hAnsi="Arial" w:cs="Arial"/>
        </w:rPr>
        <w:t xml:space="preserve"> lei.</w:t>
      </w:r>
    </w:p>
    <w:p w:rsidR="00EC0212" w:rsidRPr="00EC0212" w:rsidRDefault="00604269" w:rsidP="002C3508">
      <w:pPr>
        <w:pStyle w:val="ListParagraph"/>
        <w:numPr>
          <w:ilvl w:val="0"/>
          <w:numId w:val="9"/>
        </w:numPr>
        <w:tabs>
          <w:tab w:val="left" w:pos="8931"/>
        </w:tabs>
        <w:ind w:right="43"/>
        <w:jc w:val="both"/>
        <w:rPr>
          <w:rFonts w:ascii="Arial" w:hAnsi="Arial" w:cs="Arial"/>
        </w:rPr>
      </w:pPr>
      <w:r w:rsidRPr="00EC0212">
        <w:rPr>
          <w:rFonts w:ascii="Arial" w:hAnsi="Arial" w:cs="Arial"/>
        </w:rPr>
        <w:t>m</w:t>
      </w:r>
      <w:r w:rsidR="00EB6CFC" w:rsidRPr="00EC0212">
        <w:rPr>
          <w:rFonts w:ascii="Arial" w:hAnsi="Arial" w:cs="Arial"/>
        </w:rPr>
        <w:t xml:space="preserve">odernizarea sistemului de monitorizare vibrații la utilajele de pompare din stațiile automatizate Călăreți și Constanța Sud, cu o valoare estimată de proiectant de </w:t>
      </w:r>
      <w:r w:rsidR="00EB6CFC" w:rsidRPr="00EC0212">
        <w:rPr>
          <w:rFonts w:ascii="Arial" w:hAnsi="Arial" w:cs="Arial"/>
          <w:lang w:val="en-US"/>
        </w:rPr>
        <w:t>572</w:t>
      </w:r>
      <w:r w:rsidRPr="00EC0212">
        <w:rPr>
          <w:rFonts w:ascii="Arial" w:hAnsi="Arial" w:cs="Arial"/>
          <w:lang w:val="en-US"/>
        </w:rPr>
        <w:t>,</w:t>
      </w:r>
      <w:r w:rsidR="00EB6CFC" w:rsidRPr="00EC0212">
        <w:rPr>
          <w:rFonts w:ascii="Arial" w:hAnsi="Arial" w:cs="Arial"/>
          <w:lang w:val="en-US"/>
        </w:rPr>
        <w:t>85</w:t>
      </w:r>
      <w:r w:rsidRPr="00EC0212">
        <w:rPr>
          <w:rFonts w:ascii="Arial" w:hAnsi="Arial" w:cs="Arial"/>
          <w:lang w:val="en-US"/>
        </w:rPr>
        <w:t xml:space="preserve"> mii</w:t>
      </w:r>
      <w:r w:rsidR="00EB6CFC" w:rsidRPr="00EC0212">
        <w:rPr>
          <w:rFonts w:ascii="Arial" w:hAnsi="Arial" w:cs="Arial"/>
          <w:lang w:val="en-US"/>
        </w:rPr>
        <w:t xml:space="preserve"> lei</w:t>
      </w:r>
      <w:r w:rsidR="00EC0212">
        <w:rPr>
          <w:rFonts w:ascii="Arial" w:hAnsi="Arial" w:cs="Arial"/>
          <w:lang w:val="en-US"/>
        </w:rPr>
        <w:t>;</w:t>
      </w:r>
    </w:p>
    <w:p w:rsidR="00EB6CFC" w:rsidRPr="00EC0212" w:rsidRDefault="00604269" w:rsidP="002C3508">
      <w:pPr>
        <w:pStyle w:val="ListParagraph"/>
        <w:numPr>
          <w:ilvl w:val="0"/>
          <w:numId w:val="9"/>
        </w:numPr>
        <w:tabs>
          <w:tab w:val="left" w:pos="8931"/>
        </w:tabs>
        <w:ind w:right="43"/>
        <w:jc w:val="both"/>
        <w:rPr>
          <w:rFonts w:ascii="Arial" w:hAnsi="Arial" w:cs="Arial"/>
        </w:rPr>
      </w:pPr>
      <w:r w:rsidRPr="00EC0212">
        <w:rPr>
          <w:rFonts w:ascii="Arial" w:hAnsi="Arial" w:cs="Arial"/>
        </w:rPr>
        <w:t>p</w:t>
      </w:r>
      <w:r w:rsidR="00EB6CFC" w:rsidRPr="00EC0212">
        <w:rPr>
          <w:rFonts w:ascii="Arial" w:hAnsi="Arial" w:cs="Arial"/>
        </w:rPr>
        <w:t xml:space="preserve">rotecția </w:t>
      </w:r>
      <w:r w:rsidR="00EC0212">
        <w:rPr>
          <w:rFonts w:ascii="Arial" w:hAnsi="Arial" w:cs="Arial"/>
        </w:rPr>
        <w:t>c</w:t>
      </w:r>
      <w:r w:rsidR="00EB6CFC" w:rsidRPr="00EC0212">
        <w:rPr>
          <w:rFonts w:ascii="Arial" w:hAnsi="Arial" w:cs="Arial"/>
        </w:rPr>
        <w:t xml:space="preserve">atodică și legare la pamânt a </w:t>
      </w:r>
      <w:r w:rsidR="00EC0212">
        <w:rPr>
          <w:rFonts w:ascii="Arial" w:hAnsi="Arial" w:cs="Arial"/>
        </w:rPr>
        <w:t>r</w:t>
      </w:r>
      <w:r w:rsidR="00EB6CFC" w:rsidRPr="00EC0212">
        <w:rPr>
          <w:rFonts w:ascii="Arial" w:hAnsi="Arial" w:cs="Arial"/>
        </w:rPr>
        <w:t xml:space="preserve">ezervorului de scursori de 500 mc de la Constanța, cu o valoare estimată de proiectant de </w:t>
      </w:r>
      <w:r w:rsidRPr="00EC0212">
        <w:rPr>
          <w:rFonts w:ascii="Arial" w:hAnsi="Arial" w:cs="Arial"/>
        </w:rPr>
        <w:t>60,90 mii</w:t>
      </w:r>
      <w:r w:rsidR="00EB6CFC" w:rsidRPr="00EC0212">
        <w:rPr>
          <w:rFonts w:ascii="Arial" w:hAnsi="Arial" w:cs="Arial"/>
        </w:rPr>
        <w:t xml:space="preserve"> lei</w:t>
      </w:r>
      <w:r w:rsidR="00EC0212">
        <w:rPr>
          <w:rFonts w:ascii="Arial" w:hAnsi="Arial" w:cs="Arial"/>
        </w:rPr>
        <w:t>;</w:t>
      </w:r>
    </w:p>
    <w:p w:rsidR="00EB6CFC" w:rsidRPr="00604269" w:rsidRDefault="00604269" w:rsidP="002C3508">
      <w:pPr>
        <w:pStyle w:val="ListParagraph"/>
        <w:numPr>
          <w:ilvl w:val="0"/>
          <w:numId w:val="9"/>
        </w:numPr>
        <w:tabs>
          <w:tab w:val="left" w:pos="8931"/>
        </w:tabs>
        <w:ind w:right="43"/>
        <w:jc w:val="both"/>
        <w:rPr>
          <w:rFonts w:ascii="Arial" w:hAnsi="Arial" w:cs="Arial"/>
          <w:b/>
          <w:i/>
        </w:rPr>
      </w:pPr>
      <w:r>
        <w:rPr>
          <w:rFonts w:ascii="Arial" w:hAnsi="Arial" w:cs="Arial"/>
        </w:rPr>
        <w:t>d</w:t>
      </w:r>
      <w:r w:rsidR="00EB6CFC" w:rsidRPr="00604269">
        <w:rPr>
          <w:rFonts w:ascii="Arial" w:hAnsi="Arial" w:cs="Arial"/>
        </w:rPr>
        <w:t>ocumentații tehnico-economice (PT - proiect tehnic, CS - caiet de sarcini, Cantități de lucrări, DDE - documentație detalii de execuție, DE - documentație economică) pentru 6 stații de Protecție Catodică a conductelor d</w:t>
      </w:r>
      <w:r w:rsidR="00EC0212">
        <w:rPr>
          <w:rFonts w:ascii="Arial" w:hAnsi="Arial" w:cs="Arial"/>
        </w:rPr>
        <w:t>e transport țiței import și țară</w:t>
      </w:r>
      <w:r w:rsidR="00EB6CFC" w:rsidRPr="00604269">
        <w:rPr>
          <w:rFonts w:ascii="Arial" w:hAnsi="Arial" w:cs="Arial"/>
        </w:rPr>
        <w:t xml:space="preserve"> (SPC lndependența, SPC Lucianca, SPC Chiroiu, SPC Poieni, SPC Parc 9 și SPC Parc 7 Roata) cu o valoare estimată de proiectant de 1.533</w:t>
      </w:r>
      <w:r>
        <w:rPr>
          <w:rFonts w:ascii="Arial" w:hAnsi="Arial" w:cs="Arial"/>
        </w:rPr>
        <w:t>,</w:t>
      </w:r>
      <w:r w:rsidR="00EB6CFC" w:rsidRPr="00604269">
        <w:rPr>
          <w:rFonts w:ascii="Arial" w:hAnsi="Arial" w:cs="Arial"/>
        </w:rPr>
        <w:t>7</w:t>
      </w:r>
      <w:r>
        <w:rPr>
          <w:rFonts w:ascii="Arial" w:hAnsi="Arial" w:cs="Arial"/>
        </w:rPr>
        <w:t>8 mii</w:t>
      </w:r>
      <w:r w:rsidR="00EC0212">
        <w:rPr>
          <w:rFonts w:ascii="Arial" w:hAnsi="Arial" w:cs="Arial"/>
        </w:rPr>
        <w:t xml:space="preserve"> lei;</w:t>
      </w:r>
    </w:p>
    <w:p w:rsidR="00F43345" w:rsidRPr="00D92A87" w:rsidRDefault="00604269" w:rsidP="00F43345">
      <w:pPr>
        <w:pStyle w:val="ListParagraph"/>
        <w:numPr>
          <w:ilvl w:val="0"/>
          <w:numId w:val="9"/>
        </w:numPr>
        <w:tabs>
          <w:tab w:val="left" w:pos="8931"/>
        </w:tabs>
        <w:ind w:right="43"/>
        <w:jc w:val="both"/>
        <w:rPr>
          <w:rFonts w:ascii="Arial" w:hAnsi="Arial" w:cs="Arial"/>
        </w:rPr>
      </w:pPr>
      <w:r>
        <w:rPr>
          <w:rFonts w:ascii="Arial" w:hAnsi="Arial" w:cs="Arial"/>
        </w:rPr>
        <w:t>î</w:t>
      </w:r>
      <w:r w:rsidR="00EB6CFC" w:rsidRPr="00604269">
        <w:rPr>
          <w:rFonts w:ascii="Arial" w:hAnsi="Arial" w:cs="Arial"/>
        </w:rPr>
        <w:t>nlocuirea conductei de transport țiței 10 ¾” F1 și F2 Siliște – Ploiești, L=2x3481 m, în zonele Ilfoveni-Pădure Iuda, fir de vale Racoviță, Hăbeni-Comișani, Mija, cu o valoare estimată de proiectant de 4.454</w:t>
      </w:r>
      <w:r>
        <w:rPr>
          <w:rFonts w:ascii="Arial" w:hAnsi="Arial" w:cs="Arial"/>
        </w:rPr>
        <w:t>,</w:t>
      </w:r>
      <w:r w:rsidR="00EB6CFC" w:rsidRPr="00604269">
        <w:rPr>
          <w:rFonts w:ascii="Arial" w:hAnsi="Arial" w:cs="Arial"/>
        </w:rPr>
        <w:t>01</w:t>
      </w:r>
      <w:r>
        <w:rPr>
          <w:rFonts w:ascii="Arial" w:hAnsi="Arial" w:cs="Arial"/>
        </w:rPr>
        <w:t xml:space="preserve"> mii</w:t>
      </w:r>
      <w:r w:rsidR="00EC0212">
        <w:rPr>
          <w:rFonts w:ascii="Arial" w:hAnsi="Arial" w:cs="Arial"/>
        </w:rPr>
        <w:t xml:space="preserve"> lei;</w:t>
      </w:r>
    </w:p>
    <w:p w:rsidR="00EB6CFC" w:rsidRPr="00604269" w:rsidRDefault="00604269" w:rsidP="002C3508">
      <w:pPr>
        <w:pStyle w:val="ListParagraph"/>
        <w:numPr>
          <w:ilvl w:val="0"/>
          <w:numId w:val="9"/>
        </w:numPr>
        <w:tabs>
          <w:tab w:val="left" w:pos="8931"/>
        </w:tabs>
        <w:ind w:right="43"/>
        <w:jc w:val="both"/>
        <w:rPr>
          <w:rFonts w:ascii="Arial" w:hAnsi="Arial" w:cs="Arial"/>
        </w:rPr>
      </w:pPr>
      <w:r>
        <w:rPr>
          <w:rFonts w:ascii="Arial" w:hAnsi="Arial" w:cs="Arial"/>
        </w:rPr>
        <w:t>p</w:t>
      </w:r>
      <w:r w:rsidR="00EB6CFC" w:rsidRPr="00604269">
        <w:rPr>
          <w:rFonts w:ascii="Arial" w:hAnsi="Arial" w:cs="Arial"/>
        </w:rPr>
        <w:t xml:space="preserve">unere în siguranţă traversare aeriană râu Argeş, zona Răteşti, jud. Argeş, cu o valoare estimată de proiectant de </w:t>
      </w:r>
      <w:r>
        <w:rPr>
          <w:rFonts w:ascii="Arial" w:hAnsi="Arial" w:cs="Arial"/>
          <w:lang w:val="en-US"/>
        </w:rPr>
        <w:t>3.722,</w:t>
      </w:r>
      <w:r w:rsidR="00EB6CFC" w:rsidRPr="00604269">
        <w:rPr>
          <w:rFonts w:ascii="Arial" w:hAnsi="Arial" w:cs="Arial"/>
          <w:lang w:val="en-US"/>
        </w:rPr>
        <w:t>21</w:t>
      </w:r>
      <w:r>
        <w:rPr>
          <w:rFonts w:ascii="Arial" w:hAnsi="Arial" w:cs="Arial"/>
          <w:lang w:val="en-US"/>
        </w:rPr>
        <w:t xml:space="preserve"> mii</w:t>
      </w:r>
      <w:r w:rsidR="00EB6CFC" w:rsidRPr="00604269">
        <w:rPr>
          <w:rFonts w:ascii="Arial" w:hAnsi="Arial" w:cs="Arial"/>
          <w:lang w:val="en-US"/>
        </w:rPr>
        <w:t xml:space="preserve"> lei</w:t>
      </w:r>
      <w:r w:rsidR="00EC0212">
        <w:rPr>
          <w:rFonts w:ascii="Arial" w:hAnsi="Arial" w:cs="Arial"/>
          <w:lang w:val="en-US"/>
        </w:rPr>
        <w:t>;</w:t>
      </w:r>
    </w:p>
    <w:p w:rsidR="00EB6CFC" w:rsidRDefault="00604269" w:rsidP="002C3508">
      <w:pPr>
        <w:pStyle w:val="ListParagraph"/>
        <w:numPr>
          <w:ilvl w:val="0"/>
          <w:numId w:val="9"/>
        </w:numPr>
        <w:tabs>
          <w:tab w:val="left" w:pos="8931"/>
        </w:tabs>
        <w:ind w:right="43"/>
        <w:jc w:val="both"/>
        <w:rPr>
          <w:rFonts w:ascii="Arial" w:hAnsi="Arial" w:cs="Arial"/>
        </w:rPr>
      </w:pPr>
      <w:r>
        <w:rPr>
          <w:rFonts w:ascii="Arial" w:hAnsi="Arial" w:cs="Arial"/>
        </w:rPr>
        <w:t>c</w:t>
      </w:r>
      <w:r w:rsidR="00EB6CFC" w:rsidRPr="00604269">
        <w:rPr>
          <w:rFonts w:ascii="Arial" w:hAnsi="Arial" w:cs="Arial"/>
        </w:rPr>
        <w:t xml:space="preserve">entrală termică pentru producere de abur tehnologic utilizat în stația (depozit) automatizată țiței Bărbătești, cu o valoare estimată de proiectant de </w:t>
      </w:r>
      <w:r>
        <w:rPr>
          <w:rFonts w:ascii="Arial" w:hAnsi="Arial" w:cs="Arial"/>
        </w:rPr>
        <w:t>4.707,</w:t>
      </w:r>
      <w:r w:rsidR="00EB6CFC" w:rsidRPr="00604269">
        <w:rPr>
          <w:rFonts w:ascii="Arial" w:hAnsi="Arial" w:cs="Arial"/>
        </w:rPr>
        <w:t>01</w:t>
      </w:r>
      <w:r>
        <w:rPr>
          <w:rFonts w:ascii="Arial" w:hAnsi="Arial" w:cs="Arial"/>
        </w:rPr>
        <w:t xml:space="preserve"> mii</w:t>
      </w:r>
      <w:r w:rsidR="00EC0212">
        <w:rPr>
          <w:rFonts w:ascii="Arial" w:hAnsi="Arial" w:cs="Arial"/>
        </w:rPr>
        <w:t xml:space="preserve"> lei;</w:t>
      </w:r>
    </w:p>
    <w:p w:rsidR="00E963DB" w:rsidRDefault="00E963DB" w:rsidP="00E963DB">
      <w:pPr>
        <w:pStyle w:val="ListParagraph"/>
        <w:tabs>
          <w:tab w:val="left" w:pos="8931"/>
        </w:tabs>
        <w:ind w:left="360" w:right="43"/>
        <w:jc w:val="both"/>
        <w:rPr>
          <w:rFonts w:ascii="Arial" w:hAnsi="Arial" w:cs="Arial"/>
        </w:rPr>
      </w:pPr>
    </w:p>
    <w:p w:rsidR="00E963DB" w:rsidRPr="00604269" w:rsidRDefault="00E963DB" w:rsidP="00E963DB">
      <w:pPr>
        <w:pStyle w:val="ListParagraph"/>
        <w:tabs>
          <w:tab w:val="left" w:pos="8931"/>
        </w:tabs>
        <w:ind w:left="360" w:right="43"/>
        <w:jc w:val="both"/>
        <w:rPr>
          <w:rFonts w:ascii="Arial" w:hAnsi="Arial" w:cs="Arial"/>
        </w:rPr>
      </w:pPr>
    </w:p>
    <w:p w:rsidR="00EB6CFC" w:rsidRPr="00604269" w:rsidRDefault="00604269" w:rsidP="002C3508">
      <w:pPr>
        <w:pStyle w:val="ListParagraph"/>
        <w:numPr>
          <w:ilvl w:val="0"/>
          <w:numId w:val="9"/>
        </w:numPr>
        <w:tabs>
          <w:tab w:val="left" w:pos="8931"/>
        </w:tabs>
        <w:ind w:right="43"/>
        <w:jc w:val="both"/>
        <w:rPr>
          <w:rFonts w:ascii="Arial" w:hAnsi="Arial" w:cs="Arial"/>
        </w:rPr>
      </w:pPr>
      <w:r>
        <w:rPr>
          <w:rFonts w:ascii="Arial" w:hAnsi="Arial" w:cs="Arial"/>
        </w:rPr>
        <w:lastRenderedPageBreak/>
        <w:t>l</w:t>
      </w:r>
      <w:r w:rsidR="00EB6CFC" w:rsidRPr="00604269">
        <w:rPr>
          <w:rFonts w:ascii="Arial" w:hAnsi="Arial" w:cs="Arial"/>
        </w:rPr>
        <w:t>ucrări hidrotehnice de punere în siguranță a traversării aeriene a râului Prahova cu conductele de transport țiței apar</w:t>
      </w:r>
      <w:r w:rsidR="00EC0212">
        <w:rPr>
          <w:rFonts w:ascii="Arial" w:hAnsi="Arial" w:cs="Arial"/>
        </w:rPr>
        <w:t>ț</w:t>
      </w:r>
      <w:r w:rsidR="00EB6CFC" w:rsidRPr="00604269">
        <w:rPr>
          <w:rFonts w:ascii="Arial" w:hAnsi="Arial" w:cs="Arial"/>
        </w:rPr>
        <w:t xml:space="preserve">inând Conpet S.A.-lucrări de intervenție în regim de extremă urgență pentru punerea în siguranță a pilelor metalice ce susțin traversarea aeriană a râului Prahova, în zona Stejaru, comuna Brazi a conductelor magistrale de transport țiței ø12 3/4" și ø14 3/4", cu o valoare estimată de proiectant de </w:t>
      </w:r>
      <w:r>
        <w:rPr>
          <w:rFonts w:ascii="Arial" w:hAnsi="Arial" w:cs="Arial"/>
        </w:rPr>
        <w:t>5.376,</w:t>
      </w:r>
      <w:r w:rsidR="00EB6CFC" w:rsidRPr="00604269">
        <w:rPr>
          <w:rFonts w:ascii="Arial" w:hAnsi="Arial" w:cs="Arial"/>
        </w:rPr>
        <w:t>6</w:t>
      </w:r>
      <w:r>
        <w:rPr>
          <w:rFonts w:ascii="Arial" w:hAnsi="Arial" w:cs="Arial"/>
        </w:rPr>
        <w:t>9 mii</w:t>
      </w:r>
      <w:r w:rsidR="00EB6CFC" w:rsidRPr="00604269">
        <w:rPr>
          <w:rFonts w:ascii="Arial" w:hAnsi="Arial" w:cs="Arial"/>
        </w:rPr>
        <w:t xml:space="preserve"> lei din care au fost executate in regim de extremă urgență lucrări în valoare de 2.773</w:t>
      </w:r>
      <w:r>
        <w:rPr>
          <w:rFonts w:ascii="Arial" w:hAnsi="Arial" w:cs="Arial"/>
        </w:rPr>
        <w:t>,</w:t>
      </w:r>
      <w:r w:rsidR="00EB6CFC" w:rsidRPr="00604269">
        <w:rPr>
          <w:rFonts w:ascii="Arial" w:hAnsi="Arial" w:cs="Arial"/>
        </w:rPr>
        <w:t>8</w:t>
      </w:r>
      <w:r>
        <w:rPr>
          <w:rFonts w:ascii="Arial" w:hAnsi="Arial" w:cs="Arial"/>
        </w:rPr>
        <w:t>4 mii</w:t>
      </w:r>
      <w:r w:rsidR="00EB6CFC" w:rsidRPr="00604269">
        <w:rPr>
          <w:rFonts w:ascii="Arial" w:hAnsi="Arial" w:cs="Arial"/>
        </w:rPr>
        <w:t xml:space="preserve"> urmând a fi licitate lucrări în valoare de </w:t>
      </w:r>
      <w:r w:rsidR="00EB6CFC" w:rsidRPr="00604269">
        <w:rPr>
          <w:rFonts w:ascii="Arial" w:hAnsi="Arial" w:cs="Arial"/>
          <w:lang w:val="en-US"/>
        </w:rPr>
        <w:t>2.602</w:t>
      </w:r>
      <w:r>
        <w:rPr>
          <w:rFonts w:ascii="Arial" w:hAnsi="Arial" w:cs="Arial"/>
          <w:lang w:val="en-US"/>
        </w:rPr>
        <w:t>,</w:t>
      </w:r>
      <w:r w:rsidR="00EB6CFC" w:rsidRPr="00604269">
        <w:rPr>
          <w:rFonts w:ascii="Arial" w:hAnsi="Arial" w:cs="Arial"/>
          <w:lang w:val="en-US"/>
        </w:rPr>
        <w:t>8</w:t>
      </w:r>
      <w:r>
        <w:rPr>
          <w:rFonts w:ascii="Arial" w:hAnsi="Arial" w:cs="Arial"/>
          <w:lang w:val="en-US"/>
        </w:rPr>
        <w:t>5 mii</w:t>
      </w:r>
      <w:r w:rsidR="00EB6CFC" w:rsidRPr="00604269">
        <w:rPr>
          <w:rFonts w:ascii="Arial" w:hAnsi="Arial" w:cs="Arial"/>
          <w:lang w:val="en-US"/>
        </w:rPr>
        <w:t xml:space="preserve"> lei</w:t>
      </w:r>
      <w:r w:rsidR="00EC0212">
        <w:rPr>
          <w:rFonts w:ascii="Arial" w:hAnsi="Arial" w:cs="Arial"/>
          <w:lang w:val="en-US"/>
        </w:rPr>
        <w:t>;</w:t>
      </w:r>
    </w:p>
    <w:p w:rsidR="00EB6CFC" w:rsidRPr="00604269" w:rsidRDefault="00604269" w:rsidP="002C3508">
      <w:pPr>
        <w:pStyle w:val="ListParagraph"/>
        <w:numPr>
          <w:ilvl w:val="0"/>
          <w:numId w:val="9"/>
        </w:numPr>
        <w:tabs>
          <w:tab w:val="left" w:pos="8931"/>
        </w:tabs>
        <w:ind w:right="43"/>
        <w:jc w:val="both"/>
        <w:rPr>
          <w:rFonts w:ascii="Arial" w:hAnsi="Arial" w:cs="Arial"/>
          <w:b/>
          <w:i/>
        </w:rPr>
      </w:pPr>
      <w:r>
        <w:rPr>
          <w:rFonts w:ascii="Arial" w:hAnsi="Arial" w:cs="Arial"/>
        </w:rPr>
        <w:t>î</w:t>
      </w:r>
      <w:r w:rsidR="00EB6CFC" w:rsidRPr="00604269">
        <w:rPr>
          <w:rFonts w:ascii="Arial" w:hAnsi="Arial" w:cs="Arial"/>
        </w:rPr>
        <w:t>nlocuire conductă țiței Ø 10</w:t>
      </w:r>
      <w:r w:rsidR="00EC0212">
        <w:rPr>
          <w:rFonts w:ascii="Arial" w:hAnsi="Arial" w:cs="Arial"/>
        </w:rPr>
        <w:t xml:space="preserve"> ¾" f1 Orlești - Poiana Lacului</w:t>
      </w:r>
      <w:r w:rsidR="00F80BC9" w:rsidRPr="00604269">
        <w:rPr>
          <w:rFonts w:ascii="Arial" w:hAnsi="Arial" w:cs="Arial"/>
        </w:rPr>
        <w:t xml:space="preserve">, pe o lungime de </w:t>
      </w:r>
      <w:r w:rsidR="00EB6CFC" w:rsidRPr="00604269">
        <w:rPr>
          <w:rFonts w:ascii="Arial" w:hAnsi="Arial" w:cs="Arial"/>
        </w:rPr>
        <w:t xml:space="preserve">295 m zona Izlaz Negrea - Poiana Lacului, județ Argeș, cu o valoare estimată de proiectant de </w:t>
      </w:r>
      <w:r w:rsidR="00EB6CFC" w:rsidRPr="00604269">
        <w:rPr>
          <w:rFonts w:ascii="Arial" w:hAnsi="Arial" w:cs="Arial"/>
          <w:lang w:val="en-US"/>
        </w:rPr>
        <w:t>427</w:t>
      </w:r>
      <w:r>
        <w:rPr>
          <w:rFonts w:ascii="Arial" w:hAnsi="Arial" w:cs="Arial"/>
          <w:lang w:val="en-US"/>
        </w:rPr>
        <w:t>,90 mii</w:t>
      </w:r>
      <w:r w:rsidR="00EB6CFC" w:rsidRPr="00604269">
        <w:rPr>
          <w:rFonts w:ascii="Arial" w:hAnsi="Arial" w:cs="Arial"/>
          <w:lang w:val="en-US"/>
        </w:rPr>
        <w:t xml:space="preserve"> lei</w:t>
      </w:r>
      <w:r w:rsidR="00EB6CFC" w:rsidRPr="00604269">
        <w:rPr>
          <w:rFonts w:ascii="Arial" w:hAnsi="Arial" w:cs="Arial"/>
        </w:rPr>
        <w:t>.</w:t>
      </w:r>
    </w:p>
    <w:p w:rsidR="00EB6CFC" w:rsidRPr="00604269" w:rsidRDefault="00604269" w:rsidP="002C3508">
      <w:pPr>
        <w:pStyle w:val="ListParagraph"/>
        <w:numPr>
          <w:ilvl w:val="0"/>
          <w:numId w:val="9"/>
        </w:numPr>
        <w:tabs>
          <w:tab w:val="left" w:pos="8931"/>
        </w:tabs>
        <w:ind w:right="43"/>
        <w:jc w:val="both"/>
        <w:rPr>
          <w:rFonts w:ascii="Arial" w:hAnsi="Arial" w:cs="Arial"/>
        </w:rPr>
      </w:pPr>
      <w:r w:rsidRPr="00604269">
        <w:rPr>
          <w:rFonts w:ascii="Arial" w:hAnsi="Arial" w:cs="Arial"/>
        </w:rPr>
        <w:t>o</w:t>
      </w:r>
      <w:r w:rsidR="00EB6CFC" w:rsidRPr="00604269">
        <w:rPr>
          <w:rFonts w:ascii="Arial" w:hAnsi="Arial" w:cs="Arial"/>
        </w:rPr>
        <w:t xml:space="preserve">ptimizare sistem SCADA și upgradare Hard și Soft a sistemului de transmisie date și automatizare, cu o valoare de </w:t>
      </w:r>
      <w:r>
        <w:rPr>
          <w:rFonts w:ascii="Arial" w:hAnsi="Arial" w:cs="Arial"/>
        </w:rPr>
        <w:t>15.210,</w:t>
      </w:r>
      <w:r w:rsidR="00EB6CFC" w:rsidRPr="00604269">
        <w:rPr>
          <w:rFonts w:ascii="Arial" w:hAnsi="Arial" w:cs="Arial"/>
        </w:rPr>
        <w:t>00</w:t>
      </w:r>
      <w:r>
        <w:rPr>
          <w:rFonts w:ascii="Arial" w:hAnsi="Arial" w:cs="Arial"/>
        </w:rPr>
        <w:t xml:space="preserve"> mii</w:t>
      </w:r>
      <w:r w:rsidR="00EC0212">
        <w:rPr>
          <w:rFonts w:ascii="Arial" w:hAnsi="Arial" w:cs="Arial"/>
        </w:rPr>
        <w:t xml:space="preserve"> lei;</w:t>
      </w:r>
    </w:p>
    <w:p w:rsidR="00EB6CFC" w:rsidRPr="00625062" w:rsidRDefault="00EB6CFC" w:rsidP="002C3508">
      <w:pPr>
        <w:widowControl/>
        <w:tabs>
          <w:tab w:val="left" w:pos="8931"/>
        </w:tabs>
        <w:autoSpaceDE/>
        <w:autoSpaceDN/>
        <w:adjustRightInd/>
        <w:spacing w:line="276" w:lineRule="auto"/>
        <w:ind w:right="43"/>
        <w:jc w:val="both"/>
        <w:rPr>
          <w:rFonts w:ascii="Arial" w:hAnsi="Arial" w:cs="Arial"/>
          <w:sz w:val="22"/>
          <w:szCs w:val="22"/>
          <w:lang w:eastAsia="en-US"/>
        </w:rPr>
      </w:pPr>
      <w:r w:rsidRPr="00625062">
        <w:rPr>
          <w:rFonts w:ascii="Arial" w:hAnsi="Arial" w:cs="Arial"/>
          <w:sz w:val="22"/>
          <w:szCs w:val="22"/>
          <w:lang w:eastAsia="en-US"/>
        </w:rPr>
        <w:t>În primul semestru al anului 2018 au fost obținute pentru obiective de investiții, un număr de 19 autorizații de construire, dintre care 10 pentru lucrări de reabilitare conducte.</w:t>
      </w:r>
    </w:p>
    <w:p w:rsidR="00EB6CFC" w:rsidRPr="00625062" w:rsidRDefault="00EB6CFC" w:rsidP="00EB6CFC">
      <w:pPr>
        <w:widowControl/>
        <w:tabs>
          <w:tab w:val="left" w:pos="8931"/>
        </w:tabs>
        <w:autoSpaceDE/>
        <w:autoSpaceDN/>
        <w:adjustRightInd/>
        <w:spacing w:line="276" w:lineRule="auto"/>
        <w:ind w:right="43"/>
        <w:jc w:val="both"/>
        <w:rPr>
          <w:rFonts w:ascii="Arial" w:hAnsi="Arial" w:cs="Arial"/>
          <w:sz w:val="22"/>
          <w:szCs w:val="22"/>
          <w:lang w:eastAsia="en-US"/>
        </w:rPr>
      </w:pPr>
    </w:p>
    <w:p w:rsidR="00EB6CFC" w:rsidRPr="00625062" w:rsidRDefault="00EB6CFC" w:rsidP="002C3508">
      <w:pPr>
        <w:widowControl/>
        <w:autoSpaceDE/>
        <w:autoSpaceDN/>
        <w:adjustRightInd/>
        <w:spacing w:line="276" w:lineRule="auto"/>
        <w:jc w:val="both"/>
        <w:rPr>
          <w:rFonts w:ascii="Arial" w:eastAsia="Calibri" w:hAnsi="Arial" w:cs="Arial"/>
          <w:sz w:val="22"/>
          <w:szCs w:val="22"/>
          <w:lang w:val="en-US" w:eastAsia="en-US"/>
        </w:rPr>
      </w:pPr>
      <w:r w:rsidRPr="00625062">
        <w:rPr>
          <w:rFonts w:ascii="Arial" w:eastAsia="Calibri" w:hAnsi="Arial" w:cs="Arial"/>
          <w:sz w:val="22"/>
          <w:szCs w:val="22"/>
          <w:lang w:val="en-US" w:eastAsia="en-US"/>
        </w:rPr>
        <w:t xml:space="preserve">În activitatea de avizare și încheiere </w:t>
      </w:r>
      <w:r w:rsidR="00F80BC9">
        <w:rPr>
          <w:rFonts w:ascii="Arial" w:eastAsia="Calibri" w:hAnsi="Arial" w:cs="Arial"/>
          <w:sz w:val="22"/>
          <w:szCs w:val="22"/>
          <w:lang w:val="en-US" w:eastAsia="en-US"/>
        </w:rPr>
        <w:t xml:space="preserve">de </w:t>
      </w:r>
      <w:r w:rsidRPr="00625062">
        <w:rPr>
          <w:rFonts w:ascii="Arial" w:eastAsia="Calibri" w:hAnsi="Arial" w:cs="Arial"/>
          <w:sz w:val="22"/>
          <w:szCs w:val="22"/>
          <w:lang w:val="en-US" w:eastAsia="en-US"/>
        </w:rPr>
        <w:t>acorduri privind accesul și folosința temporară a unor suprafețe de teren</w:t>
      </w:r>
      <w:r w:rsidR="00F80BC9">
        <w:rPr>
          <w:rFonts w:ascii="Arial" w:eastAsia="Calibri" w:hAnsi="Arial" w:cs="Arial"/>
          <w:sz w:val="22"/>
          <w:szCs w:val="22"/>
          <w:lang w:val="en-US" w:eastAsia="en-US"/>
        </w:rPr>
        <w:t>,</w:t>
      </w:r>
      <w:r w:rsidRPr="00625062">
        <w:rPr>
          <w:rFonts w:ascii="Arial" w:eastAsia="Calibri" w:hAnsi="Arial" w:cs="Arial"/>
          <w:sz w:val="22"/>
          <w:szCs w:val="22"/>
          <w:lang w:val="en-US" w:eastAsia="en-US"/>
        </w:rPr>
        <w:t xml:space="preserve"> în vederea realizării lucrărilor din cadrul programului de investiții</w:t>
      </w:r>
      <w:r w:rsidR="00F80BC9">
        <w:rPr>
          <w:rFonts w:ascii="Arial" w:eastAsia="Calibri" w:hAnsi="Arial" w:cs="Arial"/>
          <w:sz w:val="22"/>
          <w:szCs w:val="22"/>
          <w:lang w:val="en-US" w:eastAsia="en-US"/>
        </w:rPr>
        <w:t>,</w:t>
      </w:r>
      <w:r w:rsidRPr="00625062">
        <w:rPr>
          <w:rFonts w:ascii="Arial" w:eastAsia="Calibri" w:hAnsi="Arial" w:cs="Arial"/>
          <w:sz w:val="22"/>
          <w:szCs w:val="22"/>
          <w:lang w:val="en-US" w:eastAsia="en-US"/>
        </w:rPr>
        <w:t xml:space="preserve"> ne-am confruntat și încă ne confruntăm cu o </w:t>
      </w:r>
      <w:r w:rsidR="00D92A87">
        <w:rPr>
          <w:rFonts w:ascii="Arial" w:eastAsia="Calibri" w:hAnsi="Arial" w:cs="Arial"/>
          <w:sz w:val="22"/>
          <w:szCs w:val="22"/>
          <w:lang w:val="en-US" w:eastAsia="en-US"/>
        </w:rPr>
        <w:t>serie de dificultăți, și anume:</w:t>
      </w:r>
    </w:p>
    <w:p w:rsidR="00EB6CFC" w:rsidRPr="00EC0212" w:rsidRDefault="00EC0212" w:rsidP="00170D7E">
      <w:pPr>
        <w:pStyle w:val="ListParagraph"/>
        <w:numPr>
          <w:ilvl w:val="0"/>
          <w:numId w:val="32"/>
        </w:numPr>
        <w:spacing w:after="160"/>
        <w:jc w:val="both"/>
        <w:rPr>
          <w:rFonts w:ascii="Arial" w:hAnsi="Arial" w:cs="Arial"/>
          <w:lang w:val="en-US"/>
        </w:rPr>
      </w:pPr>
      <w:r>
        <w:rPr>
          <w:rFonts w:ascii="Arial" w:hAnsi="Arial" w:cs="Arial"/>
          <w:lang w:val="en-US"/>
        </w:rPr>
        <w:t>o</w:t>
      </w:r>
      <w:r w:rsidR="00EB6CFC" w:rsidRPr="00EC0212">
        <w:rPr>
          <w:rFonts w:ascii="Arial" w:hAnsi="Arial" w:cs="Arial"/>
          <w:lang w:val="en-US"/>
        </w:rPr>
        <w:t>bținerea avizelor pentru luc</w:t>
      </w:r>
      <w:r>
        <w:rPr>
          <w:rFonts w:ascii="Arial" w:hAnsi="Arial" w:cs="Arial"/>
          <w:lang w:val="en-US"/>
        </w:rPr>
        <w:t>rările ce urmează a se executa î</w:t>
      </w:r>
      <w:r w:rsidR="00EB6CFC" w:rsidRPr="00EC0212">
        <w:rPr>
          <w:rFonts w:ascii="Arial" w:hAnsi="Arial" w:cs="Arial"/>
          <w:lang w:val="en-US"/>
        </w:rPr>
        <w:t>n zona drumurilor naționale, cu trimitere la condiționalitatea încheierii Contractului de Utilizare a zonei drumul</w:t>
      </w:r>
      <w:r>
        <w:rPr>
          <w:rFonts w:ascii="Arial" w:hAnsi="Arial" w:cs="Arial"/>
          <w:lang w:val="en-US"/>
        </w:rPr>
        <w:t>ui pe toată perioada de existenț</w:t>
      </w:r>
      <w:r w:rsidR="00EB6CFC" w:rsidRPr="00EC0212">
        <w:rPr>
          <w:rFonts w:ascii="Arial" w:hAnsi="Arial" w:cs="Arial"/>
          <w:lang w:val="en-US"/>
        </w:rPr>
        <w:t>a a conductei SNTP;</w:t>
      </w:r>
    </w:p>
    <w:p w:rsidR="00EB6CFC" w:rsidRPr="00EC0212" w:rsidRDefault="00EC0212" w:rsidP="00170D7E">
      <w:pPr>
        <w:pStyle w:val="ListParagraph"/>
        <w:numPr>
          <w:ilvl w:val="0"/>
          <w:numId w:val="32"/>
        </w:numPr>
        <w:jc w:val="both"/>
        <w:rPr>
          <w:rFonts w:ascii="Arial" w:hAnsi="Arial" w:cs="Arial"/>
          <w:lang w:val="en-US"/>
        </w:rPr>
      </w:pPr>
      <w:r>
        <w:rPr>
          <w:rFonts w:ascii="Arial" w:hAnsi="Arial" w:cs="Arial"/>
          <w:lang w:val="en-US"/>
        </w:rPr>
        <w:t>c</w:t>
      </w:r>
      <w:r w:rsidR="00EB6CFC" w:rsidRPr="00EC0212">
        <w:rPr>
          <w:rFonts w:ascii="Arial" w:hAnsi="Arial" w:cs="Arial"/>
          <w:lang w:val="en-US"/>
        </w:rPr>
        <w:t xml:space="preserve">ondiționarea </w:t>
      </w:r>
      <w:r w:rsidR="00CA7691" w:rsidRPr="00EC0212">
        <w:rPr>
          <w:rFonts w:ascii="Arial" w:hAnsi="Arial" w:cs="Arial"/>
          <w:lang w:val="en-US"/>
        </w:rPr>
        <w:t xml:space="preserve">de către Garda Forestieră a </w:t>
      </w:r>
      <w:r w:rsidR="00EB6CFC" w:rsidRPr="00EC0212">
        <w:rPr>
          <w:rFonts w:ascii="Arial" w:hAnsi="Arial" w:cs="Arial"/>
          <w:lang w:val="en-US"/>
        </w:rPr>
        <w:t xml:space="preserve">emiterii  avizelor de  ocupare temporara a terenurilor din fondul forestier proprietate private in zonele afectate de investitiile CONPET, de </w:t>
      </w:r>
      <w:r w:rsidR="00CA7691" w:rsidRPr="00EC0212">
        <w:rPr>
          <w:rFonts w:ascii="Arial" w:hAnsi="Arial" w:cs="Arial"/>
          <w:lang w:val="en-US"/>
        </w:rPr>
        <w:t xml:space="preserve">obligația de a </w:t>
      </w:r>
      <w:r w:rsidR="00EB6CFC" w:rsidRPr="00EC0212">
        <w:rPr>
          <w:rFonts w:ascii="Arial" w:hAnsi="Arial" w:cs="Arial"/>
          <w:lang w:val="en-US"/>
        </w:rPr>
        <w:t xml:space="preserve">prezenta </w:t>
      </w:r>
      <w:r w:rsidR="00CA7691" w:rsidRPr="00EC0212">
        <w:rPr>
          <w:rFonts w:ascii="Arial" w:hAnsi="Arial" w:cs="Arial"/>
          <w:lang w:val="en-US"/>
        </w:rPr>
        <w:t>în</w:t>
      </w:r>
      <w:r w:rsidR="00EB6CFC" w:rsidRPr="00EC0212">
        <w:rPr>
          <w:rFonts w:ascii="Arial" w:hAnsi="Arial" w:cs="Arial"/>
          <w:lang w:val="en-US"/>
        </w:rPr>
        <w:t xml:space="preserve"> documentatia tehnica acordul proprietarului/proprietarilor in forma autentica;</w:t>
      </w:r>
    </w:p>
    <w:p w:rsidR="00EB6CFC" w:rsidRPr="00EC0212" w:rsidRDefault="00EC0212" w:rsidP="00170D7E">
      <w:pPr>
        <w:pStyle w:val="ListParagraph"/>
        <w:numPr>
          <w:ilvl w:val="0"/>
          <w:numId w:val="32"/>
        </w:numPr>
        <w:jc w:val="both"/>
        <w:rPr>
          <w:rFonts w:ascii="Arial" w:hAnsi="Arial" w:cs="Arial"/>
          <w:lang w:val="en-US"/>
        </w:rPr>
      </w:pPr>
      <w:r>
        <w:rPr>
          <w:rFonts w:ascii="Arial" w:hAnsi="Arial" w:cs="Arial"/>
          <w:lang w:val="en-US"/>
        </w:rPr>
        <w:t>p</w:t>
      </w:r>
      <w:r w:rsidR="00EB6CFC" w:rsidRPr="00EC0212">
        <w:rPr>
          <w:rFonts w:ascii="Arial" w:hAnsi="Arial" w:cs="Arial"/>
          <w:lang w:val="en-US"/>
        </w:rPr>
        <w:t>retenții financiare exagerate ale proprietarilor terenurilor, sau chiar refuzuri ale acestora de a permite accesul pe teren și execuția lucrărilor la componentele SNT.</w:t>
      </w:r>
    </w:p>
    <w:p w:rsidR="00EB6CFC" w:rsidRPr="00625062" w:rsidRDefault="00CA7691" w:rsidP="002C3508">
      <w:pPr>
        <w:widowControl/>
        <w:autoSpaceDE/>
        <w:autoSpaceDN/>
        <w:adjustRightInd/>
        <w:spacing w:after="200" w:line="276" w:lineRule="auto"/>
        <w:contextualSpacing/>
        <w:jc w:val="both"/>
        <w:rPr>
          <w:rFonts w:ascii="Arial" w:eastAsia="Calibri" w:hAnsi="Arial" w:cs="Arial"/>
          <w:sz w:val="22"/>
          <w:szCs w:val="22"/>
          <w:lang w:val="en-US" w:eastAsia="en-US"/>
        </w:rPr>
      </w:pPr>
      <w:r>
        <w:rPr>
          <w:rFonts w:ascii="Arial" w:eastAsia="Calibri" w:hAnsi="Arial" w:cs="Arial"/>
          <w:sz w:val="22"/>
          <w:szCs w:val="22"/>
          <w:lang w:val="en-US" w:eastAsia="en-US"/>
        </w:rPr>
        <w:t>Aceste situații au apărut în derularea investițiilor privind</w:t>
      </w:r>
      <w:r w:rsidR="00EB6CFC" w:rsidRPr="00625062">
        <w:rPr>
          <w:rFonts w:ascii="Arial" w:eastAsia="Calibri" w:hAnsi="Arial" w:cs="Arial"/>
          <w:sz w:val="22"/>
          <w:szCs w:val="22"/>
          <w:lang w:val="en-US" w:eastAsia="en-US"/>
        </w:rPr>
        <w:t xml:space="preserve">: </w:t>
      </w:r>
    </w:p>
    <w:p w:rsidR="00EB6CFC" w:rsidRPr="00625062" w:rsidRDefault="00EC0212" w:rsidP="0043777A">
      <w:pPr>
        <w:widowControl/>
        <w:numPr>
          <w:ilvl w:val="0"/>
          <w:numId w:val="16"/>
        </w:numPr>
        <w:autoSpaceDE/>
        <w:autoSpaceDN/>
        <w:adjustRightInd/>
        <w:spacing w:after="160" w:line="276" w:lineRule="auto"/>
        <w:ind w:left="720"/>
        <w:contextualSpacing/>
        <w:jc w:val="both"/>
        <w:rPr>
          <w:rFonts w:ascii="Arial" w:eastAsia="Calibri" w:hAnsi="Arial" w:cs="Arial"/>
          <w:sz w:val="22"/>
          <w:szCs w:val="22"/>
          <w:lang w:val="en-US" w:eastAsia="en-US"/>
        </w:rPr>
      </w:pPr>
      <w:r>
        <w:rPr>
          <w:rFonts w:ascii="Arial" w:eastAsia="Calibri" w:hAnsi="Arial" w:cs="Arial"/>
          <w:sz w:val="22"/>
          <w:szCs w:val="22"/>
          <w:lang w:val="en-US" w:eastAsia="en-US"/>
        </w:rPr>
        <w:t>î</w:t>
      </w:r>
      <w:r w:rsidR="00EB6CFC" w:rsidRPr="00625062">
        <w:rPr>
          <w:rFonts w:ascii="Arial" w:eastAsia="Calibri" w:hAnsi="Arial" w:cs="Arial"/>
          <w:sz w:val="22"/>
          <w:szCs w:val="22"/>
          <w:lang w:val="en-US" w:eastAsia="en-US"/>
        </w:rPr>
        <w:t>nlocuire a con</w:t>
      </w:r>
      <w:r>
        <w:rPr>
          <w:rFonts w:ascii="Arial" w:eastAsia="Calibri" w:hAnsi="Arial" w:cs="Arial"/>
          <w:sz w:val="22"/>
          <w:szCs w:val="22"/>
          <w:lang w:val="en-US" w:eastAsia="en-US"/>
        </w:rPr>
        <w:t>ductei de transport titei 14” Bărăganu Călăreți, rezultată în urma godevilarii inteligente î</w:t>
      </w:r>
      <w:r w:rsidR="00EB6CFC" w:rsidRPr="00625062">
        <w:rPr>
          <w:rFonts w:ascii="Arial" w:eastAsia="Calibri" w:hAnsi="Arial" w:cs="Arial"/>
          <w:sz w:val="22"/>
          <w:szCs w:val="22"/>
          <w:lang w:val="en-US" w:eastAsia="en-US"/>
        </w:rPr>
        <w:t>n lungime de 7,5 km, T6-Volanski Adrian;</w:t>
      </w:r>
    </w:p>
    <w:p w:rsidR="00EB6CFC" w:rsidRPr="00625062" w:rsidRDefault="00EC0212" w:rsidP="0043777A">
      <w:pPr>
        <w:widowControl/>
        <w:numPr>
          <w:ilvl w:val="0"/>
          <w:numId w:val="16"/>
        </w:numPr>
        <w:autoSpaceDE/>
        <w:autoSpaceDN/>
        <w:adjustRightInd/>
        <w:spacing w:after="160" w:line="276" w:lineRule="auto"/>
        <w:ind w:left="720"/>
        <w:contextualSpacing/>
        <w:jc w:val="both"/>
        <w:rPr>
          <w:rFonts w:ascii="Arial" w:eastAsia="Calibri" w:hAnsi="Arial" w:cs="Arial"/>
          <w:sz w:val="22"/>
          <w:szCs w:val="22"/>
          <w:lang w:val="en-US" w:eastAsia="en-US"/>
        </w:rPr>
      </w:pPr>
      <w:r>
        <w:rPr>
          <w:rFonts w:ascii="Arial" w:eastAsia="Calibri" w:hAnsi="Arial" w:cs="Arial"/>
          <w:sz w:val="22"/>
          <w:szCs w:val="22"/>
          <w:lang w:val="fr-FR" w:eastAsia="en-US"/>
        </w:rPr>
        <w:t>p</w:t>
      </w:r>
      <w:r w:rsidR="00EB6CFC" w:rsidRPr="00625062">
        <w:rPr>
          <w:rFonts w:ascii="Arial" w:eastAsia="Calibri" w:hAnsi="Arial" w:cs="Arial"/>
          <w:sz w:val="22"/>
          <w:szCs w:val="22"/>
          <w:lang w:val="fr-FR" w:eastAsia="en-US"/>
        </w:rPr>
        <w:t>unere în siguranţă subtraversare nr. 2 conductă de  Ø 10</w:t>
      </w:r>
      <w:r w:rsidR="00EB6CFC" w:rsidRPr="00625062">
        <w:rPr>
          <w:rFonts w:ascii="Arial" w:eastAsia="Calibri" w:hAnsi="Arial" w:cs="Arial"/>
          <w:sz w:val="22"/>
          <w:szCs w:val="22"/>
          <w:vertAlign w:val="superscript"/>
          <w:lang w:val="fr-FR" w:eastAsia="en-US"/>
        </w:rPr>
        <w:t>3/4 </w:t>
      </w:r>
      <w:r w:rsidR="00EB6CFC" w:rsidRPr="00625062">
        <w:rPr>
          <w:rFonts w:ascii="Arial" w:eastAsia="Calibri" w:hAnsi="Arial" w:cs="Arial"/>
          <w:sz w:val="22"/>
          <w:szCs w:val="22"/>
          <w:lang w:val="fr-FR" w:eastAsia="en-US"/>
        </w:rPr>
        <w:t>" Potlogi - P.F. Argeş, râu Sabar, loc. Găiseni, jud. Giurgiu pe o lungime de 350m;</w:t>
      </w:r>
    </w:p>
    <w:p w:rsidR="00EB6CFC" w:rsidRPr="00625062" w:rsidRDefault="00EC0212" w:rsidP="0043777A">
      <w:pPr>
        <w:widowControl/>
        <w:numPr>
          <w:ilvl w:val="0"/>
          <w:numId w:val="16"/>
        </w:numPr>
        <w:autoSpaceDE/>
        <w:autoSpaceDN/>
        <w:adjustRightInd/>
        <w:spacing w:after="160" w:line="276" w:lineRule="auto"/>
        <w:ind w:left="720"/>
        <w:contextualSpacing/>
        <w:jc w:val="both"/>
        <w:rPr>
          <w:rFonts w:ascii="Arial" w:eastAsia="Calibri" w:hAnsi="Arial" w:cs="Arial"/>
          <w:sz w:val="22"/>
          <w:szCs w:val="22"/>
          <w:lang w:val="en-US" w:eastAsia="en-US"/>
        </w:rPr>
      </w:pPr>
      <w:r>
        <w:rPr>
          <w:rFonts w:ascii="Arial" w:eastAsia="Calibri" w:hAnsi="Arial" w:cs="Arial"/>
          <w:sz w:val="22"/>
          <w:szCs w:val="22"/>
          <w:lang w:val="fr-FR" w:eastAsia="en-US"/>
        </w:rPr>
        <w:t>î</w:t>
      </w:r>
      <w:r w:rsidR="00EB6CFC" w:rsidRPr="00625062">
        <w:rPr>
          <w:rFonts w:ascii="Arial" w:eastAsia="Calibri" w:hAnsi="Arial" w:cs="Arial"/>
          <w:sz w:val="22"/>
          <w:szCs w:val="22"/>
          <w:lang w:val="fr-FR" w:eastAsia="en-US"/>
        </w:rPr>
        <w:t>nlocuire conduct</w:t>
      </w:r>
      <w:r>
        <w:rPr>
          <w:rFonts w:ascii="Arial" w:eastAsia="Calibri" w:hAnsi="Arial" w:cs="Arial"/>
          <w:sz w:val="22"/>
          <w:szCs w:val="22"/>
          <w:lang w:val="fr-FR" w:eastAsia="en-US"/>
        </w:rPr>
        <w:t>ă</w:t>
      </w:r>
      <w:r w:rsidR="00EB6CFC" w:rsidRPr="00625062">
        <w:rPr>
          <w:rFonts w:ascii="Arial" w:eastAsia="Calibri" w:hAnsi="Arial" w:cs="Arial"/>
          <w:sz w:val="22"/>
          <w:szCs w:val="22"/>
          <w:lang w:val="fr-FR" w:eastAsia="en-US"/>
        </w:rPr>
        <w:t xml:space="preserve"> </w:t>
      </w:r>
      <w:r>
        <w:rPr>
          <w:rFonts w:ascii="Arial" w:eastAsia="Calibri" w:hAnsi="Arial" w:cs="Arial"/>
          <w:sz w:val="22"/>
          <w:szCs w:val="22"/>
          <w:lang w:val="fr-FR" w:eastAsia="en-US"/>
        </w:rPr>
        <w:t>ț</w:t>
      </w:r>
      <w:r w:rsidR="00EB6CFC" w:rsidRPr="00625062">
        <w:rPr>
          <w:rFonts w:ascii="Arial" w:eastAsia="Calibri" w:hAnsi="Arial" w:cs="Arial"/>
          <w:sz w:val="22"/>
          <w:szCs w:val="22"/>
          <w:lang w:val="fr-FR" w:eastAsia="en-US"/>
        </w:rPr>
        <w:t>i</w:t>
      </w:r>
      <w:r>
        <w:rPr>
          <w:rFonts w:ascii="Arial" w:eastAsia="Calibri" w:hAnsi="Arial" w:cs="Arial"/>
          <w:sz w:val="22"/>
          <w:szCs w:val="22"/>
          <w:lang w:val="fr-FR" w:eastAsia="en-US"/>
        </w:rPr>
        <w:t>ț</w:t>
      </w:r>
      <w:r w:rsidR="00EB6CFC" w:rsidRPr="00625062">
        <w:rPr>
          <w:rFonts w:ascii="Arial" w:eastAsia="Calibri" w:hAnsi="Arial" w:cs="Arial"/>
          <w:sz w:val="22"/>
          <w:szCs w:val="22"/>
          <w:lang w:val="fr-FR" w:eastAsia="en-US"/>
        </w:rPr>
        <w:t>ei 10</w:t>
      </w:r>
      <w:r w:rsidR="00EB6CFC" w:rsidRPr="00625062">
        <w:rPr>
          <w:rFonts w:ascii="Arial" w:eastAsia="Calibri" w:hAnsi="Arial" w:cs="Arial"/>
          <w:sz w:val="22"/>
          <w:szCs w:val="22"/>
          <w:vertAlign w:val="superscript"/>
          <w:lang w:val="fr-FR" w:eastAsia="en-US"/>
        </w:rPr>
        <w:t>3/4 </w:t>
      </w:r>
      <w:r>
        <w:rPr>
          <w:rFonts w:ascii="Arial" w:eastAsia="Calibri" w:hAnsi="Arial" w:cs="Arial"/>
          <w:sz w:val="22"/>
          <w:szCs w:val="22"/>
          <w:lang w:val="fr-FR" w:eastAsia="en-US"/>
        </w:rPr>
        <w:t>" F1 Orleș</w:t>
      </w:r>
      <w:r w:rsidR="00EB6CFC" w:rsidRPr="00625062">
        <w:rPr>
          <w:rFonts w:ascii="Arial" w:eastAsia="Calibri" w:hAnsi="Arial" w:cs="Arial"/>
          <w:sz w:val="22"/>
          <w:szCs w:val="22"/>
          <w:lang w:val="fr-FR" w:eastAsia="en-US"/>
        </w:rPr>
        <w:t>ti-Poiana Lacului , L=295 m zona islaz Negrea –Poiana Lacului, jud. Arge</w:t>
      </w:r>
      <w:r>
        <w:rPr>
          <w:rFonts w:ascii="Arial" w:eastAsia="Calibri" w:hAnsi="Arial" w:cs="Arial"/>
          <w:sz w:val="22"/>
          <w:szCs w:val="22"/>
          <w:lang w:val="fr-FR" w:eastAsia="en-US"/>
        </w:rPr>
        <w:t>ș</w:t>
      </w:r>
      <w:r w:rsidR="00EB6CFC" w:rsidRPr="00625062">
        <w:rPr>
          <w:rFonts w:ascii="Arial" w:eastAsia="Calibri" w:hAnsi="Arial" w:cs="Arial"/>
          <w:sz w:val="22"/>
          <w:szCs w:val="22"/>
          <w:lang w:val="fr-FR" w:eastAsia="en-US"/>
        </w:rPr>
        <w:t xml:space="preserve"> -10 euro/mp ;</w:t>
      </w:r>
    </w:p>
    <w:p w:rsidR="00EB6CFC" w:rsidRPr="00625062" w:rsidRDefault="00EC0212" w:rsidP="0043777A">
      <w:pPr>
        <w:widowControl/>
        <w:numPr>
          <w:ilvl w:val="0"/>
          <w:numId w:val="16"/>
        </w:numPr>
        <w:autoSpaceDE/>
        <w:autoSpaceDN/>
        <w:adjustRightInd/>
        <w:spacing w:after="160" w:line="276" w:lineRule="auto"/>
        <w:ind w:left="720"/>
        <w:contextualSpacing/>
        <w:jc w:val="both"/>
        <w:rPr>
          <w:rFonts w:ascii="Arial" w:eastAsia="Calibri" w:hAnsi="Arial" w:cs="Arial"/>
          <w:sz w:val="22"/>
          <w:szCs w:val="22"/>
          <w:lang w:val="en-US" w:eastAsia="en-US"/>
        </w:rPr>
      </w:pPr>
      <w:r>
        <w:rPr>
          <w:rFonts w:ascii="Arial" w:eastAsia="Calibri" w:hAnsi="Arial" w:cs="Arial"/>
          <w:sz w:val="22"/>
          <w:szCs w:val="22"/>
          <w:lang w:val="en-US" w:eastAsia="en-US"/>
        </w:rPr>
        <w:t>î</w:t>
      </w:r>
      <w:r w:rsidR="00EB6CFC" w:rsidRPr="00625062">
        <w:rPr>
          <w:rFonts w:ascii="Arial" w:eastAsia="Calibri" w:hAnsi="Arial" w:cs="Arial"/>
          <w:sz w:val="22"/>
          <w:szCs w:val="22"/>
          <w:lang w:val="en-US" w:eastAsia="en-US"/>
        </w:rPr>
        <w:t>nlo</w:t>
      </w:r>
      <w:r>
        <w:rPr>
          <w:rFonts w:ascii="Arial" w:eastAsia="Calibri" w:hAnsi="Arial" w:cs="Arial"/>
          <w:sz w:val="22"/>
          <w:szCs w:val="22"/>
          <w:lang w:val="en-US" w:eastAsia="en-US"/>
        </w:rPr>
        <w:t>cuire a conductei de transport țiț</w:t>
      </w:r>
      <w:r w:rsidR="00EB6CFC" w:rsidRPr="00625062">
        <w:rPr>
          <w:rFonts w:ascii="Arial" w:eastAsia="Calibri" w:hAnsi="Arial" w:cs="Arial"/>
          <w:sz w:val="22"/>
          <w:szCs w:val="22"/>
          <w:lang w:val="en-US" w:eastAsia="en-US"/>
        </w:rPr>
        <w:t>ei Ø 24”</w:t>
      </w:r>
      <w:r w:rsidR="00EB6CFC" w:rsidRPr="00625062">
        <w:rPr>
          <w:rFonts w:ascii="Arial" w:eastAsia="Calibri" w:hAnsi="Arial" w:cs="Arial"/>
          <w:sz w:val="22"/>
          <w:szCs w:val="22"/>
          <w:vertAlign w:val="superscript"/>
          <w:lang w:val="en-US" w:eastAsia="en-US"/>
        </w:rPr>
        <w:t xml:space="preserve"> </w:t>
      </w:r>
      <w:r>
        <w:rPr>
          <w:rFonts w:ascii="Arial" w:eastAsia="Calibri" w:hAnsi="Arial" w:cs="Arial"/>
          <w:sz w:val="22"/>
          <w:szCs w:val="22"/>
          <w:lang w:val="en-US" w:eastAsia="en-US"/>
        </w:rPr>
        <w:t>Constanta-Midia, î</w:t>
      </w:r>
      <w:r w:rsidR="002C3508">
        <w:rPr>
          <w:rFonts w:ascii="Arial" w:eastAsia="Calibri" w:hAnsi="Arial" w:cs="Arial"/>
          <w:sz w:val="22"/>
          <w:szCs w:val="22"/>
          <w:lang w:val="en-US" w:eastAsia="en-US"/>
        </w:rPr>
        <w:t>n zona oraș Ovidiu, jud. Constanț</w:t>
      </w:r>
      <w:r w:rsidR="00EB6CFC" w:rsidRPr="00625062">
        <w:rPr>
          <w:rFonts w:ascii="Arial" w:eastAsia="Calibri" w:hAnsi="Arial" w:cs="Arial"/>
          <w:sz w:val="22"/>
          <w:szCs w:val="22"/>
          <w:lang w:val="en-US" w:eastAsia="en-US"/>
        </w:rPr>
        <w:t>a, pe o lungime de cca. 1140 m”</w:t>
      </w:r>
      <w:r w:rsidR="00EB6CFC" w:rsidRPr="00625062">
        <w:rPr>
          <w:rFonts w:ascii="Arial" w:eastAsia="Calibri" w:hAnsi="Arial" w:cs="Arial"/>
          <w:sz w:val="22"/>
          <w:szCs w:val="22"/>
          <w:lang w:val="pt-BR" w:eastAsia="en-US"/>
        </w:rPr>
        <w:t>-Pandichi Dumitru.</w:t>
      </w:r>
    </w:p>
    <w:p w:rsidR="00EB6CFC" w:rsidRPr="00625062" w:rsidRDefault="00EB6CFC" w:rsidP="002C3508">
      <w:pPr>
        <w:widowControl/>
        <w:tabs>
          <w:tab w:val="center" w:pos="4680"/>
          <w:tab w:val="right" w:pos="9360"/>
        </w:tabs>
        <w:autoSpaceDE/>
        <w:autoSpaceDN/>
        <w:adjustRightInd/>
        <w:spacing w:line="276" w:lineRule="auto"/>
        <w:jc w:val="both"/>
        <w:rPr>
          <w:rFonts w:ascii="Arial" w:eastAsia="Calibri" w:hAnsi="Arial" w:cs="Arial"/>
          <w:i/>
          <w:sz w:val="22"/>
          <w:szCs w:val="22"/>
          <w:lang w:val="pt-BR" w:eastAsia="en-US"/>
        </w:rPr>
      </w:pPr>
    </w:p>
    <w:p w:rsidR="00EB6CFC" w:rsidRDefault="00EB6CFC" w:rsidP="002C3508">
      <w:pPr>
        <w:widowControl/>
        <w:tabs>
          <w:tab w:val="center" w:pos="4680"/>
          <w:tab w:val="right" w:pos="9360"/>
        </w:tabs>
        <w:autoSpaceDE/>
        <w:autoSpaceDN/>
        <w:adjustRightInd/>
        <w:spacing w:line="276" w:lineRule="auto"/>
        <w:jc w:val="both"/>
        <w:rPr>
          <w:rFonts w:ascii="Arial" w:eastAsia="Calibri" w:hAnsi="Arial" w:cs="Arial"/>
          <w:sz w:val="22"/>
          <w:szCs w:val="22"/>
          <w:lang w:val="pt-BR" w:eastAsia="en-US"/>
        </w:rPr>
      </w:pPr>
      <w:r w:rsidRPr="00625062">
        <w:rPr>
          <w:rFonts w:ascii="Arial" w:eastAsia="Calibri" w:hAnsi="Arial" w:cs="Arial"/>
          <w:sz w:val="22"/>
          <w:szCs w:val="22"/>
          <w:lang w:val="pt-BR" w:eastAsia="en-US"/>
        </w:rPr>
        <w:t>Nesoluționarea cu celeritate a acestor cauze</w:t>
      </w:r>
      <w:r w:rsidR="00CA7691">
        <w:rPr>
          <w:rFonts w:ascii="Arial" w:eastAsia="Calibri" w:hAnsi="Arial" w:cs="Arial"/>
          <w:sz w:val="22"/>
          <w:szCs w:val="22"/>
          <w:lang w:val="pt-BR" w:eastAsia="en-US"/>
        </w:rPr>
        <w:t>,</w:t>
      </w:r>
      <w:r w:rsidRPr="00625062">
        <w:rPr>
          <w:rFonts w:ascii="Arial" w:eastAsia="Calibri" w:hAnsi="Arial" w:cs="Arial"/>
          <w:sz w:val="22"/>
          <w:szCs w:val="22"/>
          <w:lang w:val="pt-BR" w:eastAsia="en-US"/>
        </w:rPr>
        <w:t xml:space="preserve"> poate să influențeze gradul de realizarea a programului de investiții </w:t>
      </w:r>
      <w:r w:rsidR="00CA7691">
        <w:rPr>
          <w:rFonts w:ascii="Arial" w:eastAsia="Calibri" w:hAnsi="Arial" w:cs="Arial"/>
          <w:sz w:val="22"/>
          <w:szCs w:val="22"/>
          <w:lang w:val="pt-BR" w:eastAsia="en-US"/>
        </w:rPr>
        <w:t xml:space="preserve">stabilit pentru anul </w:t>
      </w:r>
      <w:r w:rsidRPr="00625062">
        <w:rPr>
          <w:rFonts w:ascii="Arial" w:eastAsia="Calibri" w:hAnsi="Arial" w:cs="Arial"/>
          <w:sz w:val="22"/>
          <w:szCs w:val="22"/>
          <w:lang w:val="pt-BR" w:eastAsia="en-US"/>
        </w:rPr>
        <w:t>2018.</w:t>
      </w:r>
    </w:p>
    <w:p w:rsidR="00F43345" w:rsidRPr="00625062" w:rsidRDefault="00F43345" w:rsidP="002C3508">
      <w:pPr>
        <w:widowControl/>
        <w:tabs>
          <w:tab w:val="center" w:pos="4680"/>
          <w:tab w:val="right" w:pos="9360"/>
        </w:tabs>
        <w:autoSpaceDE/>
        <w:autoSpaceDN/>
        <w:adjustRightInd/>
        <w:spacing w:line="276" w:lineRule="auto"/>
        <w:jc w:val="both"/>
        <w:rPr>
          <w:rFonts w:ascii="Arial" w:eastAsia="Calibri" w:hAnsi="Arial" w:cs="Arial"/>
          <w:b/>
          <w:sz w:val="22"/>
          <w:szCs w:val="22"/>
          <w:lang w:eastAsia="en-US"/>
        </w:rPr>
      </w:pPr>
    </w:p>
    <w:p w:rsidR="00EB6CFC" w:rsidRPr="009828D6" w:rsidRDefault="00EB6CFC" w:rsidP="002C3508">
      <w:pPr>
        <w:widowControl/>
        <w:tabs>
          <w:tab w:val="center" w:pos="4680"/>
          <w:tab w:val="right" w:pos="9360"/>
        </w:tabs>
        <w:autoSpaceDE/>
        <w:autoSpaceDN/>
        <w:adjustRightInd/>
        <w:spacing w:line="276" w:lineRule="auto"/>
        <w:jc w:val="both"/>
        <w:rPr>
          <w:rFonts w:ascii="Arial" w:eastAsia="Calibri" w:hAnsi="Arial" w:cs="Arial"/>
          <w:color w:val="1F4E79" w:themeColor="accent1" w:themeShade="80"/>
          <w:sz w:val="22"/>
          <w:szCs w:val="22"/>
          <w:lang w:val="pt-BR" w:eastAsia="en-US"/>
        </w:rPr>
      </w:pPr>
      <w:r w:rsidRPr="009828D6">
        <w:rPr>
          <w:rFonts w:ascii="Arial" w:eastAsia="Calibri" w:hAnsi="Arial" w:cs="Arial"/>
          <w:b/>
          <w:color w:val="1F4E79" w:themeColor="accent1" w:themeShade="80"/>
          <w:sz w:val="22"/>
          <w:szCs w:val="22"/>
          <w:lang w:eastAsia="en-US"/>
        </w:rPr>
        <w:t xml:space="preserve">Obiective noi de investiții </w:t>
      </w:r>
    </w:p>
    <w:p w:rsidR="00EB6CFC" w:rsidRPr="00625062" w:rsidRDefault="00EB6CFC" w:rsidP="002C3508">
      <w:pPr>
        <w:widowControl/>
        <w:tabs>
          <w:tab w:val="left" w:pos="8931"/>
        </w:tabs>
        <w:autoSpaceDE/>
        <w:autoSpaceDN/>
        <w:adjustRightInd/>
        <w:spacing w:line="276" w:lineRule="auto"/>
        <w:ind w:right="43"/>
        <w:jc w:val="both"/>
        <w:rPr>
          <w:rFonts w:ascii="Arial" w:eastAsia="Calibri" w:hAnsi="Arial" w:cs="Arial"/>
          <w:sz w:val="22"/>
          <w:szCs w:val="22"/>
          <w:lang w:eastAsia="en-US"/>
        </w:rPr>
      </w:pPr>
    </w:p>
    <w:p w:rsidR="00D92A87" w:rsidRDefault="00EB6CFC" w:rsidP="002C3508">
      <w:pPr>
        <w:widowControl/>
        <w:tabs>
          <w:tab w:val="left" w:pos="8931"/>
        </w:tabs>
        <w:autoSpaceDE/>
        <w:autoSpaceDN/>
        <w:adjustRightInd/>
        <w:spacing w:line="276" w:lineRule="auto"/>
        <w:ind w:right="43"/>
        <w:jc w:val="both"/>
        <w:rPr>
          <w:rFonts w:ascii="Arial" w:eastAsia="Calibri" w:hAnsi="Arial" w:cs="Arial"/>
          <w:sz w:val="22"/>
          <w:szCs w:val="22"/>
          <w:lang w:eastAsia="en-US"/>
        </w:rPr>
      </w:pPr>
      <w:r w:rsidRPr="00625062">
        <w:rPr>
          <w:rFonts w:ascii="Arial" w:eastAsia="Calibri" w:hAnsi="Arial" w:cs="Arial"/>
          <w:sz w:val="22"/>
          <w:szCs w:val="22"/>
          <w:lang w:eastAsia="en-US"/>
        </w:rPr>
        <w:t xml:space="preserve">În primul </w:t>
      </w:r>
      <w:r w:rsidR="00CA7691">
        <w:rPr>
          <w:rFonts w:ascii="Arial" w:eastAsia="Calibri" w:hAnsi="Arial" w:cs="Arial"/>
          <w:sz w:val="22"/>
          <w:szCs w:val="22"/>
          <w:lang w:eastAsia="en-US"/>
        </w:rPr>
        <w:t>s</w:t>
      </w:r>
      <w:r w:rsidRPr="00625062">
        <w:rPr>
          <w:rFonts w:ascii="Arial" w:eastAsia="Calibri" w:hAnsi="Arial" w:cs="Arial"/>
          <w:sz w:val="22"/>
          <w:szCs w:val="22"/>
          <w:lang w:eastAsia="en-US"/>
        </w:rPr>
        <w:t>emestru 2018 s-au realiz</w:t>
      </w:r>
      <w:r w:rsidR="002C3508">
        <w:rPr>
          <w:rFonts w:ascii="Arial" w:eastAsia="Calibri" w:hAnsi="Arial" w:cs="Arial"/>
          <w:sz w:val="22"/>
          <w:szCs w:val="22"/>
          <w:lang w:eastAsia="en-US"/>
        </w:rPr>
        <w:t>at obiective noi de investiții î</w:t>
      </w:r>
      <w:r w:rsidRPr="00625062">
        <w:rPr>
          <w:rFonts w:ascii="Arial" w:eastAsia="Calibri" w:hAnsi="Arial" w:cs="Arial"/>
          <w:sz w:val="22"/>
          <w:szCs w:val="22"/>
          <w:lang w:eastAsia="en-US"/>
        </w:rPr>
        <w:t xml:space="preserve">n </w:t>
      </w:r>
      <w:r w:rsidR="00CA7691">
        <w:rPr>
          <w:rFonts w:ascii="Arial" w:eastAsia="Calibri" w:hAnsi="Arial" w:cs="Arial"/>
          <w:sz w:val="22"/>
          <w:szCs w:val="22"/>
          <w:lang w:eastAsia="en-US"/>
        </w:rPr>
        <w:t xml:space="preserve">valoare </w:t>
      </w:r>
      <w:r w:rsidRPr="00625062">
        <w:rPr>
          <w:rFonts w:ascii="Arial" w:eastAsia="Calibri" w:hAnsi="Arial" w:cs="Arial"/>
          <w:sz w:val="22"/>
          <w:szCs w:val="22"/>
          <w:lang w:eastAsia="en-US"/>
        </w:rPr>
        <w:t xml:space="preserve">de 1.953 mii lei, </w:t>
      </w:r>
      <w:r w:rsidR="00281CAB">
        <w:rPr>
          <w:rFonts w:ascii="Arial" w:eastAsia="Calibri" w:hAnsi="Arial" w:cs="Arial"/>
          <w:sz w:val="22"/>
          <w:szCs w:val="22"/>
          <w:lang w:eastAsia="en-US"/>
        </w:rPr>
        <w:t>valoarea</w:t>
      </w:r>
      <w:r w:rsidRPr="00625062">
        <w:rPr>
          <w:rFonts w:ascii="Arial" w:eastAsia="Calibri" w:hAnsi="Arial" w:cs="Arial"/>
          <w:sz w:val="22"/>
          <w:szCs w:val="22"/>
          <w:lang w:eastAsia="en-US"/>
        </w:rPr>
        <w:t xml:space="preserve"> programat</w:t>
      </w:r>
      <w:r w:rsidR="00281CAB">
        <w:rPr>
          <w:rFonts w:ascii="Arial" w:eastAsia="Calibri" w:hAnsi="Arial" w:cs="Arial"/>
          <w:sz w:val="22"/>
          <w:szCs w:val="22"/>
          <w:lang w:eastAsia="en-US"/>
        </w:rPr>
        <w:t>ă în</w:t>
      </w:r>
      <w:r w:rsidRPr="00625062">
        <w:rPr>
          <w:rFonts w:ascii="Arial" w:eastAsia="Calibri" w:hAnsi="Arial" w:cs="Arial"/>
          <w:sz w:val="22"/>
          <w:szCs w:val="22"/>
          <w:lang w:eastAsia="en-US"/>
        </w:rPr>
        <w:t xml:space="preserve"> </w:t>
      </w:r>
      <w:r w:rsidR="00CA7691">
        <w:rPr>
          <w:rFonts w:ascii="Arial" w:eastAsia="Calibri" w:hAnsi="Arial" w:cs="Arial"/>
          <w:sz w:val="22"/>
          <w:szCs w:val="22"/>
          <w:lang w:eastAsia="en-US"/>
        </w:rPr>
        <w:t>s</w:t>
      </w:r>
      <w:r w:rsidRPr="00625062">
        <w:rPr>
          <w:rFonts w:ascii="Arial" w:eastAsia="Calibri" w:hAnsi="Arial" w:cs="Arial"/>
          <w:sz w:val="22"/>
          <w:szCs w:val="22"/>
          <w:lang w:eastAsia="en-US"/>
        </w:rPr>
        <w:t>emestr</w:t>
      </w:r>
      <w:r w:rsidR="00281CAB">
        <w:rPr>
          <w:rFonts w:ascii="Arial" w:eastAsia="Calibri" w:hAnsi="Arial" w:cs="Arial"/>
          <w:sz w:val="22"/>
          <w:szCs w:val="22"/>
          <w:lang w:eastAsia="en-US"/>
        </w:rPr>
        <w:t xml:space="preserve">ul </w:t>
      </w:r>
      <w:r w:rsidR="00EE1578">
        <w:rPr>
          <w:rFonts w:ascii="Arial" w:eastAsia="Calibri" w:hAnsi="Arial" w:cs="Arial"/>
          <w:sz w:val="22"/>
          <w:szCs w:val="22"/>
          <w:lang w:eastAsia="en-US"/>
        </w:rPr>
        <w:t xml:space="preserve">I </w:t>
      </w:r>
      <w:r w:rsidR="00281CAB">
        <w:rPr>
          <w:rFonts w:ascii="Arial" w:eastAsia="Calibri" w:hAnsi="Arial" w:cs="Arial"/>
          <w:sz w:val="22"/>
          <w:szCs w:val="22"/>
          <w:lang w:eastAsia="en-US"/>
        </w:rPr>
        <w:t xml:space="preserve">fiind </w:t>
      </w:r>
      <w:r w:rsidRPr="00625062">
        <w:rPr>
          <w:rFonts w:ascii="Arial" w:eastAsia="Calibri" w:hAnsi="Arial" w:cs="Arial"/>
          <w:sz w:val="22"/>
          <w:szCs w:val="22"/>
          <w:lang w:eastAsia="en-US"/>
        </w:rPr>
        <w:t>de 1.761 mii lei</w:t>
      </w:r>
      <w:r w:rsidR="00281CAB">
        <w:rPr>
          <w:rFonts w:ascii="Arial" w:eastAsia="Calibri" w:hAnsi="Arial" w:cs="Arial"/>
          <w:sz w:val="22"/>
          <w:szCs w:val="22"/>
          <w:lang w:eastAsia="en-US"/>
        </w:rPr>
        <w:t>, iar</w:t>
      </w:r>
      <w:r w:rsidRPr="00625062">
        <w:rPr>
          <w:rFonts w:ascii="Arial" w:eastAsia="Calibri" w:hAnsi="Arial" w:cs="Arial"/>
          <w:sz w:val="22"/>
          <w:szCs w:val="22"/>
          <w:lang w:eastAsia="en-US"/>
        </w:rPr>
        <w:t xml:space="preserve"> </w:t>
      </w:r>
      <w:r w:rsidR="00281CAB">
        <w:rPr>
          <w:rFonts w:ascii="Arial" w:eastAsia="Calibri" w:hAnsi="Arial" w:cs="Arial"/>
          <w:sz w:val="22"/>
          <w:szCs w:val="22"/>
          <w:lang w:eastAsia="en-US"/>
        </w:rPr>
        <w:t xml:space="preserve">pe total an programul </w:t>
      </w:r>
      <w:r w:rsidR="00EE1578">
        <w:rPr>
          <w:rFonts w:ascii="Arial" w:eastAsia="Calibri" w:hAnsi="Arial" w:cs="Arial"/>
          <w:sz w:val="22"/>
          <w:szCs w:val="22"/>
          <w:lang w:eastAsia="en-US"/>
        </w:rPr>
        <w:t xml:space="preserve">fiind </w:t>
      </w:r>
      <w:r w:rsidRPr="00625062">
        <w:rPr>
          <w:rFonts w:ascii="Arial" w:eastAsia="Calibri" w:hAnsi="Arial" w:cs="Arial"/>
          <w:sz w:val="22"/>
          <w:szCs w:val="22"/>
          <w:lang w:eastAsia="en-US"/>
        </w:rPr>
        <w:t>de 11.524 mii lei.</w:t>
      </w:r>
    </w:p>
    <w:p w:rsidR="00EB6CFC" w:rsidRPr="00625062" w:rsidRDefault="00EB6CFC" w:rsidP="002C3508">
      <w:pPr>
        <w:widowControl/>
        <w:autoSpaceDE/>
        <w:autoSpaceDN/>
        <w:adjustRightInd/>
        <w:spacing w:line="276" w:lineRule="auto"/>
        <w:jc w:val="both"/>
        <w:rPr>
          <w:rFonts w:ascii="Arial" w:hAnsi="Arial" w:cs="Arial"/>
          <w:sz w:val="22"/>
          <w:szCs w:val="22"/>
          <w:lang w:eastAsia="en-US"/>
        </w:rPr>
      </w:pPr>
      <w:r w:rsidRPr="00625062">
        <w:rPr>
          <w:rFonts w:ascii="Arial" w:hAnsi="Arial" w:cs="Arial"/>
          <w:sz w:val="22"/>
          <w:szCs w:val="22"/>
          <w:lang w:eastAsia="en-US"/>
        </w:rPr>
        <w:t xml:space="preserve">Obiectivele noi de investiții se află în </w:t>
      </w:r>
      <w:r w:rsidR="00281CAB">
        <w:rPr>
          <w:rFonts w:ascii="Arial" w:hAnsi="Arial" w:cs="Arial"/>
          <w:sz w:val="22"/>
          <w:szCs w:val="22"/>
          <w:lang w:eastAsia="en-US"/>
        </w:rPr>
        <w:t>cea mai mare parte</w:t>
      </w:r>
      <w:r w:rsidRPr="00625062">
        <w:rPr>
          <w:rFonts w:ascii="Arial" w:hAnsi="Arial" w:cs="Arial"/>
          <w:sz w:val="22"/>
          <w:szCs w:val="22"/>
          <w:lang w:eastAsia="en-US"/>
        </w:rPr>
        <w:t xml:space="preserve"> în faza de întocmire/avizare caiet de sarcini sau în faza de achiziție.</w:t>
      </w:r>
    </w:p>
    <w:p w:rsidR="00EB6CFC" w:rsidRPr="00625062" w:rsidRDefault="00EB6CFC" w:rsidP="002C3508">
      <w:pPr>
        <w:widowControl/>
        <w:autoSpaceDE/>
        <w:autoSpaceDN/>
        <w:adjustRightInd/>
        <w:spacing w:line="276" w:lineRule="auto"/>
        <w:jc w:val="both"/>
        <w:rPr>
          <w:rFonts w:ascii="Arial" w:hAnsi="Arial" w:cs="Arial"/>
          <w:sz w:val="22"/>
          <w:szCs w:val="22"/>
          <w:lang w:eastAsia="en-US"/>
        </w:rPr>
      </w:pPr>
    </w:p>
    <w:p w:rsidR="00EB6CFC" w:rsidRPr="00625062" w:rsidRDefault="00EB6CFC" w:rsidP="002C3508">
      <w:pPr>
        <w:widowControl/>
        <w:autoSpaceDE/>
        <w:autoSpaceDN/>
        <w:adjustRightInd/>
        <w:spacing w:line="276" w:lineRule="auto"/>
        <w:jc w:val="both"/>
        <w:rPr>
          <w:rFonts w:ascii="Arial" w:hAnsi="Arial" w:cs="Arial"/>
          <w:sz w:val="22"/>
          <w:szCs w:val="22"/>
          <w:lang w:eastAsia="en-US"/>
        </w:rPr>
      </w:pPr>
      <w:r w:rsidRPr="00625062">
        <w:rPr>
          <w:rFonts w:ascii="Arial" w:hAnsi="Arial" w:cs="Arial"/>
          <w:sz w:val="22"/>
          <w:szCs w:val="22"/>
          <w:lang w:eastAsia="en-US"/>
        </w:rPr>
        <w:lastRenderedPageBreak/>
        <w:t>În semestrul I 2018 s-au avizat în Consiliul Tehnico Economic un număr de 33 caiete de sarcini  pentru obiective noi de investiții (inclusiv dotări și utilaje independente).</w:t>
      </w:r>
      <w:r w:rsidRPr="00625062">
        <w:rPr>
          <w:rFonts w:ascii="Arial" w:hAnsi="Arial" w:cs="Arial"/>
          <w:sz w:val="22"/>
          <w:szCs w:val="22"/>
          <w:lang w:eastAsia="en-US"/>
        </w:rPr>
        <w:tab/>
      </w:r>
    </w:p>
    <w:p w:rsidR="00EB6CFC" w:rsidRPr="00625062" w:rsidRDefault="00EB6CFC" w:rsidP="002C3508">
      <w:pPr>
        <w:widowControl/>
        <w:adjustRightInd/>
        <w:spacing w:line="276" w:lineRule="auto"/>
        <w:jc w:val="both"/>
        <w:rPr>
          <w:rFonts w:ascii="Arial" w:hAnsi="Arial" w:cs="Arial"/>
          <w:sz w:val="22"/>
          <w:szCs w:val="22"/>
          <w:lang w:eastAsia="en-US"/>
        </w:rPr>
      </w:pPr>
    </w:p>
    <w:p w:rsidR="00EB6CFC" w:rsidRPr="00625062" w:rsidRDefault="00EB6CFC" w:rsidP="002C3508">
      <w:pPr>
        <w:widowControl/>
        <w:adjustRightInd/>
        <w:spacing w:line="276" w:lineRule="auto"/>
        <w:jc w:val="both"/>
        <w:rPr>
          <w:rFonts w:ascii="Arial" w:hAnsi="Arial" w:cs="Arial"/>
          <w:sz w:val="22"/>
          <w:szCs w:val="22"/>
          <w:lang w:eastAsia="en-US"/>
        </w:rPr>
      </w:pPr>
      <w:r w:rsidRPr="00625062">
        <w:rPr>
          <w:rFonts w:ascii="Arial" w:hAnsi="Arial" w:cs="Arial"/>
          <w:sz w:val="22"/>
          <w:szCs w:val="22"/>
          <w:lang w:eastAsia="en-US"/>
        </w:rPr>
        <w:t>Tot în aceeași perioadă, s-a finalizat procedura de achiziție pentru 34 obiective de investiții (inclusiv dotări și utilaje independente).</w:t>
      </w:r>
    </w:p>
    <w:p w:rsidR="00EB6CFC" w:rsidRPr="00625062" w:rsidRDefault="00EB6CFC" w:rsidP="002C3508">
      <w:pPr>
        <w:widowControl/>
        <w:adjustRightInd/>
        <w:spacing w:line="276" w:lineRule="auto"/>
        <w:jc w:val="both"/>
        <w:rPr>
          <w:rFonts w:ascii="Arial" w:eastAsia="Calibri" w:hAnsi="Arial" w:cs="Arial"/>
          <w:sz w:val="22"/>
          <w:szCs w:val="22"/>
          <w:lang w:val="fr-FR"/>
        </w:rPr>
      </w:pPr>
    </w:p>
    <w:p w:rsidR="00EB6CFC" w:rsidRPr="00625062" w:rsidRDefault="00EB6CFC" w:rsidP="002C3508">
      <w:pPr>
        <w:widowControl/>
        <w:adjustRightInd/>
        <w:spacing w:line="276" w:lineRule="auto"/>
        <w:jc w:val="both"/>
        <w:rPr>
          <w:rFonts w:ascii="Arial" w:eastAsia="Calibri" w:hAnsi="Arial" w:cs="Arial"/>
          <w:sz w:val="22"/>
          <w:szCs w:val="22"/>
          <w:lang w:val="fr-FR"/>
        </w:rPr>
      </w:pPr>
      <w:r w:rsidRPr="00625062">
        <w:rPr>
          <w:rFonts w:ascii="Arial" w:eastAsia="Calibri" w:hAnsi="Arial" w:cs="Arial"/>
          <w:sz w:val="22"/>
          <w:szCs w:val="22"/>
          <w:lang w:val="fr-FR"/>
        </w:rPr>
        <w:t>Punerile în funcțiune realizate în primul semestrul al anului 2018 au fost în valoare de 8.979 mii lei, din care, pe surse de finanțare :</w:t>
      </w:r>
    </w:p>
    <w:p w:rsidR="00EB6CFC" w:rsidRPr="00625062" w:rsidRDefault="00EB6CFC" w:rsidP="002C3508">
      <w:pPr>
        <w:widowControl/>
        <w:numPr>
          <w:ilvl w:val="0"/>
          <w:numId w:val="4"/>
        </w:numPr>
        <w:autoSpaceDE/>
        <w:autoSpaceDN/>
        <w:adjustRightInd/>
        <w:spacing w:line="276" w:lineRule="auto"/>
        <w:jc w:val="both"/>
        <w:rPr>
          <w:rFonts w:ascii="Arial" w:eastAsia="Calibri" w:hAnsi="Arial" w:cs="Arial"/>
          <w:sz w:val="22"/>
          <w:szCs w:val="22"/>
        </w:rPr>
      </w:pPr>
      <w:r w:rsidRPr="00625062">
        <w:rPr>
          <w:rFonts w:ascii="Arial" w:eastAsia="Calibri" w:hAnsi="Arial" w:cs="Arial"/>
          <w:sz w:val="22"/>
          <w:szCs w:val="22"/>
          <w:lang w:val="fr-FR"/>
        </w:rPr>
        <w:t>7.036 mii lei din cota de modernizare;</w:t>
      </w:r>
    </w:p>
    <w:p w:rsidR="00EB6CFC" w:rsidRPr="00D92A87" w:rsidRDefault="00EB6CFC" w:rsidP="002C3508">
      <w:pPr>
        <w:widowControl/>
        <w:numPr>
          <w:ilvl w:val="0"/>
          <w:numId w:val="4"/>
        </w:numPr>
        <w:autoSpaceDE/>
        <w:autoSpaceDN/>
        <w:adjustRightInd/>
        <w:spacing w:line="276" w:lineRule="auto"/>
        <w:jc w:val="both"/>
        <w:rPr>
          <w:rFonts w:ascii="Arial" w:eastAsia="Calibri" w:hAnsi="Arial" w:cs="Arial"/>
          <w:sz w:val="22"/>
          <w:szCs w:val="22"/>
        </w:rPr>
      </w:pPr>
      <w:r w:rsidRPr="00625062">
        <w:rPr>
          <w:rFonts w:ascii="Arial" w:eastAsia="Calibri" w:hAnsi="Arial" w:cs="Arial"/>
          <w:sz w:val="22"/>
          <w:szCs w:val="22"/>
          <w:lang w:val="fr-FR"/>
        </w:rPr>
        <w:t>1.943 mii lei din alte surse proprii.</w:t>
      </w:r>
    </w:p>
    <w:p w:rsidR="00D92A87" w:rsidRPr="00625062" w:rsidRDefault="00D92A87" w:rsidP="00D92A87">
      <w:pPr>
        <w:widowControl/>
        <w:autoSpaceDE/>
        <w:autoSpaceDN/>
        <w:adjustRightInd/>
        <w:spacing w:line="276" w:lineRule="auto"/>
        <w:ind w:left="720"/>
        <w:jc w:val="both"/>
        <w:rPr>
          <w:rFonts w:ascii="Arial" w:eastAsia="Calibri" w:hAnsi="Arial" w:cs="Arial"/>
          <w:sz w:val="22"/>
          <w:szCs w:val="22"/>
        </w:rPr>
      </w:pPr>
    </w:p>
    <w:p w:rsidR="00EB6CFC" w:rsidRPr="00625062" w:rsidRDefault="00281CAB" w:rsidP="002C3508">
      <w:pPr>
        <w:widowControl/>
        <w:adjustRightInd/>
        <w:spacing w:line="276" w:lineRule="auto"/>
        <w:jc w:val="both"/>
        <w:rPr>
          <w:rFonts w:ascii="Arial" w:eastAsia="Calibri" w:hAnsi="Arial" w:cs="Arial"/>
          <w:sz w:val="22"/>
          <w:szCs w:val="22"/>
        </w:rPr>
      </w:pPr>
      <w:r>
        <w:rPr>
          <w:rFonts w:ascii="Arial" w:eastAsia="Calibri" w:hAnsi="Arial" w:cs="Arial"/>
          <w:sz w:val="22"/>
          <w:szCs w:val="22"/>
        </w:rPr>
        <w:t>Principalele</w:t>
      </w:r>
      <w:r w:rsidR="00EB6CFC" w:rsidRPr="00625062">
        <w:rPr>
          <w:rFonts w:ascii="Arial" w:eastAsia="Calibri" w:hAnsi="Arial" w:cs="Arial"/>
          <w:sz w:val="22"/>
          <w:szCs w:val="22"/>
        </w:rPr>
        <w:t xml:space="preserve"> lucrările </w:t>
      </w:r>
      <w:r>
        <w:rPr>
          <w:rFonts w:ascii="Arial" w:eastAsia="Calibri" w:hAnsi="Arial" w:cs="Arial"/>
          <w:sz w:val="22"/>
          <w:szCs w:val="22"/>
        </w:rPr>
        <w:t>de investiții</w:t>
      </w:r>
      <w:r w:rsidR="00EB6CFC" w:rsidRPr="00625062">
        <w:rPr>
          <w:rFonts w:ascii="Arial" w:eastAsia="Calibri" w:hAnsi="Arial" w:cs="Arial"/>
          <w:sz w:val="22"/>
          <w:szCs w:val="22"/>
        </w:rPr>
        <w:t xml:space="preserve"> puse în funcțiune </w:t>
      </w:r>
      <w:r>
        <w:rPr>
          <w:rFonts w:ascii="Arial" w:eastAsia="Calibri" w:hAnsi="Arial" w:cs="Arial"/>
          <w:sz w:val="22"/>
          <w:szCs w:val="22"/>
        </w:rPr>
        <w:t xml:space="preserve">au fost </w:t>
      </w:r>
      <w:r w:rsidR="00EB6CFC" w:rsidRPr="00625062">
        <w:rPr>
          <w:rFonts w:ascii="Arial" w:eastAsia="Calibri" w:hAnsi="Arial" w:cs="Arial"/>
          <w:sz w:val="22"/>
          <w:szCs w:val="22"/>
        </w:rPr>
        <w:t>următoarele:</w:t>
      </w:r>
    </w:p>
    <w:p w:rsidR="00EB6CFC" w:rsidRPr="00625062" w:rsidRDefault="00D92A87" w:rsidP="002C3508">
      <w:pPr>
        <w:widowControl/>
        <w:numPr>
          <w:ilvl w:val="0"/>
          <w:numId w:val="5"/>
        </w:numPr>
        <w:autoSpaceDE/>
        <w:autoSpaceDN/>
        <w:adjustRightInd/>
        <w:spacing w:line="276" w:lineRule="auto"/>
        <w:jc w:val="both"/>
        <w:rPr>
          <w:rFonts w:ascii="Arial" w:hAnsi="Arial" w:cs="Arial"/>
          <w:sz w:val="22"/>
          <w:szCs w:val="22"/>
          <w:lang w:val="en-US"/>
        </w:rPr>
      </w:pPr>
      <w:r>
        <w:rPr>
          <w:rFonts w:ascii="Arial" w:eastAsia="Calibri" w:hAnsi="Arial" w:cs="Arial"/>
          <w:sz w:val="22"/>
          <w:szCs w:val="22"/>
          <w:lang w:val="it-IT"/>
        </w:rPr>
        <w:t>m</w:t>
      </w:r>
      <w:r w:rsidR="00EB6CFC" w:rsidRPr="00625062">
        <w:rPr>
          <w:rFonts w:ascii="Arial" w:eastAsia="Calibri" w:hAnsi="Arial" w:cs="Arial"/>
          <w:sz w:val="22"/>
          <w:szCs w:val="22"/>
          <w:lang w:val="it-IT"/>
        </w:rPr>
        <w:t>odernizare centrală termică și rețea termoficare Marghita</w:t>
      </w:r>
      <w:r w:rsidR="008559A6">
        <w:rPr>
          <w:rFonts w:ascii="Arial" w:eastAsia="Calibri" w:hAnsi="Arial" w:cs="Arial"/>
          <w:sz w:val="22"/>
          <w:szCs w:val="22"/>
          <w:lang w:val="it-IT"/>
        </w:rPr>
        <w:t>;</w:t>
      </w:r>
    </w:p>
    <w:p w:rsidR="00EB6CFC" w:rsidRPr="00625062" w:rsidRDefault="00D92A87" w:rsidP="002C3508">
      <w:pPr>
        <w:widowControl/>
        <w:numPr>
          <w:ilvl w:val="0"/>
          <w:numId w:val="5"/>
        </w:numPr>
        <w:autoSpaceDE/>
        <w:autoSpaceDN/>
        <w:adjustRightInd/>
        <w:spacing w:line="276" w:lineRule="auto"/>
        <w:jc w:val="both"/>
        <w:rPr>
          <w:rFonts w:ascii="Arial" w:hAnsi="Arial" w:cs="Arial"/>
          <w:sz w:val="22"/>
          <w:szCs w:val="22"/>
          <w:lang w:val="en-US"/>
        </w:rPr>
      </w:pPr>
      <w:r>
        <w:rPr>
          <w:rFonts w:ascii="Arial" w:hAnsi="Arial" w:cs="Arial"/>
          <w:sz w:val="22"/>
          <w:szCs w:val="22"/>
          <w:lang w:val="en-US"/>
        </w:rPr>
        <w:t>lucră</w:t>
      </w:r>
      <w:r w:rsidR="00281CAB">
        <w:rPr>
          <w:rFonts w:ascii="Arial" w:hAnsi="Arial" w:cs="Arial"/>
          <w:sz w:val="22"/>
          <w:szCs w:val="22"/>
          <w:lang w:val="en-US"/>
        </w:rPr>
        <w:t>ri de m</w:t>
      </w:r>
      <w:r w:rsidR="00EB6CFC" w:rsidRPr="00625062">
        <w:rPr>
          <w:rFonts w:ascii="Arial" w:hAnsi="Arial" w:cs="Arial"/>
          <w:sz w:val="22"/>
          <w:szCs w:val="22"/>
          <w:lang w:val="en-US"/>
        </w:rPr>
        <w:t xml:space="preserve">ărire </w:t>
      </w:r>
      <w:r w:rsidR="00281CAB">
        <w:rPr>
          <w:rFonts w:ascii="Arial" w:hAnsi="Arial" w:cs="Arial"/>
          <w:sz w:val="22"/>
          <w:szCs w:val="22"/>
          <w:lang w:val="en-US"/>
        </w:rPr>
        <w:t xml:space="preserve">a </w:t>
      </w:r>
      <w:r>
        <w:rPr>
          <w:rFonts w:ascii="Arial" w:hAnsi="Arial" w:cs="Arial"/>
          <w:sz w:val="22"/>
          <w:szCs w:val="22"/>
          <w:lang w:val="en-US"/>
        </w:rPr>
        <w:t>capacită</w:t>
      </w:r>
      <w:r w:rsidR="00281CAB">
        <w:rPr>
          <w:rFonts w:ascii="Arial" w:hAnsi="Arial" w:cs="Arial"/>
          <w:sz w:val="22"/>
          <w:szCs w:val="22"/>
          <w:lang w:val="en-US"/>
        </w:rPr>
        <w:t>ții de</w:t>
      </w:r>
      <w:r w:rsidR="00EB6CFC" w:rsidRPr="00625062">
        <w:rPr>
          <w:rFonts w:ascii="Arial" w:hAnsi="Arial" w:cs="Arial"/>
          <w:sz w:val="22"/>
          <w:szCs w:val="22"/>
          <w:lang w:val="en-US"/>
        </w:rPr>
        <w:t xml:space="preserve"> transport radiorelee microunde pe tronson</w:t>
      </w:r>
      <w:r w:rsidR="00281CAB">
        <w:rPr>
          <w:rFonts w:ascii="Arial" w:hAnsi="Arial" w:cs="Arial"/>
          <w:sz w:val="22"/>
          <w:szCs w:val="22"/>
          <w:lang w:val="en-US"/>
        </w:rPr>
        <w:t>ul de conduct</w:t>
      </w:r>
      <w:r w:rsidR="002C3508">
        <w:rPr>
          <w:rFonts w:ascii="Arial" w:hAnsi="Arial" w:cs="Arial"/>
          <w:sz w:val="22"/>
          <w:szCs w:val="22"/>
          <w:lang w:val="en-US"/>
        </w:rPr>
        <w:t>ă</w:t>
      </w:r>
      <w:r w:rsidR="00EB6CFC" w:rsidRPr="00625062">
        <w:rPr>
          <w:rFonts w:ascii="Arial" w:hAnsi="Arial" w:cs="Arial"/>
          <w:sz w:val="22"/>
          <w:szCs w:val="22"/>
          <w:lang w:val="en-US"/>
        </w:rPr>
        <w:t xml:space="preserve"> Bărăganu - Constanța și </w:t>
      </w:r>
      <w:r w:rsidR="00281CAB">
        <w:rPr>
          <w:rFonts w:ascii="Arial" w:hAnsi="Arial" w:cs="Arial"/>
          <w:sz w:val="22"/>
          <w:szCs w:val="22"/>
          <w:lang w:val="en-US"/>
        </w:rPr>
        <w:t>lucr</w:t>
      </w:r>
      <w:r w:rsidR="002C3508">
        <w:rPr>
          <w:rFonts w:ascii="Arial" w:hAnsi="Arial" w:cs="Arial"/>
          <w:sz w:val="22"/>
          <w:szCs w:val="22"/>
          <w:lang w:val="en-US"/>
        </w:rPr>
        <w:t>ă</w:t>
      </w:r>
      <w:r w:rsidR="00281CAB">
        <w:rPr>
          <w:rFonts w:ascii="Arial" w:hAnsi="Arial" w:cs="Arial"/>
          <w:sz w:val="22"/>
          <w:szCs w:val="22"/>
          <w:lang w:val="en-US"/>
        </w:rPr>
        <w:t xml:space="preserve">rile de relocare a stației </w:t>
      </w:r>
      <w:r w:rsidR="00EB6CFC" w:rsidRPr="00625062">
        <w:rPr>
          <w:rFonts w:ascii="Arial" w:hAnsi="Arial" w:cs="Arial"/>
          <w:sz w:val="22"/>
          <w:szCs w:val="22"/>
          <w:lang w:val="en-US"/>
        </w:rPr>
        <w:t xml:space="preserve">Constanța Nord </w:t>
      </w:r>
      <w:r w:rsidR="00281CAB">
        <w:rPr>
          <w:rFonts w:ascii="Arial" w:hAnsi="Arial" w:cs="Arial"/>
          <w:sz w:val="22"/>
          <w:szCs w:val="22"/>
          <w:lang w:val="en-US"/>
        </w:rPr>
        <w:t>și de u</w:t>
      </w:r>
      <w:r w:rsidR="00EB6CFC" w:rsidRPr="00625062">
        <w:rPr>
          <w:rFonts w:ascii="Arial" w:hAnsi="Arial" w:cs="Arial"/>
          <w:sz w:val="22"/>
          <w:szCs w:val="22"/>
          <w:lang w:val="en-US"/>
        </w:rPr>
        <w:t>pgrade software sistem radiorelee microunde</w:t>
      </w:r>
      <w:r w:rsidR="008559A6">
        <w:rPr>
          <w:rFonts w:ascii="Arial" w:hAnsi="Arial" w:cs="Arial"/>
          <w:sz w:val="22"/>
          <w:szCs w:val="22"/>
          <w:lang w:val="en-US"/>
        </w:rPr>
        <w:t>;</w:t>
      </w:r>
    </w:p>
    <w:p w:rsidR="00EB6CFC" w:rsidRPr="00625062" w:rsidRDefault="00D92A87" w:rsidP="002C3508">
      <w:pPr>
        <w:widowControl/>
        <w:numPr>
          <w:ilvl w:val="0"/>
          <w:numId w:val="5"/>
        </w:numPr>
        <w:autoSpaceDE/>
        <w:autoSpaceDN/>
        <w:adjustRightInd/>
        <w:spacing w:line="276" w:lineRule="auto"/>
        <w:jc w:val="both"/>
        <w:rPr>
          <w:rFonts w:ascii="Arial" w:hAnsi="Arial" w:cs="Arial"/>
          <w:sz w:val="22"/>
          <w:szCs w:val="22"/>
          <w:lang w:val="en-US"/>
        </w:rPr>
      </w:pPr>
      <w:r>
        <w:rPr>
          <w:rFonts w:ascii="Arial" w:hAnsi="Arial" w:cs="Arial"/>
          <w:sz w:val="22"/>
          <w:szCs w:val="22"/>
          <w:lang w:val="en-US"/>
        </w:rPr>
        <w:t>m</w:t>
      </w:r>
      <w:r w:rsidR="00EB6CFC" w:rsidRPr="00625062">
        <w:rPr>
          <w:rFonts w:ascii="Arial" w:hAnsi="Arial" w:cs="Arial"/>
          <w:sz w:val="22"/>
          <w:szCs w:val="22"/>
          <w:lang w:val="en-US"/>
        </w:rPr>
        <w:t>odernizare</w:t>
      </w:r>
      <w:r w:rsidR="00281CAB">
        <w:rPr>
          <w:rFonts w:ascii="Arial" w:hAnsi="Arial" w:cs="Arial"/>
          <w:sz w:val="22"/>
          <w:szCs w:val="22"/>
          <w:lang w:val="en-US"/>
        </w:rPr>
        <w:t>a</w:t>
      </w:r>
      <w:r w:rsidR="00EB6CFC" w:rsidRPr="00625062">
        <w:rPr>
          <w:rFonts w:ascii="Arial" w:hAnsi="Arial" w:cs="Arial"/>
          <w:sz w:val="22"/>
          <w:szCs w:val="22"/>
          <w:lang w:val="en-US"/>
        </w:rPr>
        <w:t xml:space="preserve"> instalații</w:t>
      </w:r>
      <w:r w:rsidR="00281CAB">
        <w:rPr>
          <w:rFonts w:ascii="Arial" w:hAnsi="Arial" w:cs="Arial"/>
          <w:sz w:val="22"/>
          <w:szCs w:val="22"/>
          <w:lang w:val="en-US"/>
        </w:rPr>
        <w:t>lor</w:t>
      </w:r>
      <w:r w:rsidR="00EB6CFC" w:rsidRPr="00625062">
        <w:rPr>
          <w:rFonts w:ascii="Arial" w:hAnsi="Arial" w:cs="Arial"/>
          <w:sz w:val="22"/>
          <w:szCs w:val="22"/>
          <w:lang w:val="en-US"/>
        </w:rPr>
        <w:t xml:space="preserve"> de iluminat exterior</w:t>
      </w:r>
      <w:r w:rsidR="001125AA">
        <w:rPr>
          <w:rFonts w:ascii="Arial" w:hAnsi="Arial" w:cs="Arial"/>
          <w:sz w:val="22"/>
          <w:szCs w:val="22"/>
          <w:lang w:val="en-US"/>
        </w:rPr>
        <w:t xml:space="preserve"> prin</w:t>
      </w:r>
      <w:r w:rsidR="00EB6CFC" w:rsidRPr="00625062">
        <w:rPr>
          <w:rFonts w:ascii="Arial" w:hAnsi="Arial" w:cs="Arial"/>
          <w:sz w:val="22"/>
          <w:szCs w:val="22"/>
          <w:lang w:val="en-US"/>
        </w:rPr>
        <w:t xml:space="preserve"> utilizare</w:t>
      </w:r>
      <w:r w:rsidR="001125AA">
        <w:rPr>
          <w:rFonts w:ascii="Arial" w:hAnsi="Arial" w:cs="Arial"/>
          <w:sz w:val="22"/>
          <w:szCs w:val="22"/>
          <w:lang w:val="en-US"/>
        </w:rPr>
        <w:t>a</w:t>
      </w:r>
      <w:r w:rsidR="00281CAB">
        <w:rPr>
          <w:rFonts w:ascii="Arial" w:hAnsi="Arial" w:cs="Arial"/>
          <w:sz w:val="22"/>
          <w:szCs w:val="22"/>
          <w:lang w:val="en-US"/>
        </w:rPr>
        <w:t xml:space="preserve"> de</w:t>
      </w:r>
      <w:r w:rsidR="00EB6CFC" w:rsidRPr="00625062">
        <w:rPr>
          <w:rFonts w:ascii="Arial" w:hAnsi="Arial" w:cs="Arial"/>
          <w:sz w:val="22"/>
          <w:szCs w:val="22"/>
          <w:lang w:val="en-US"/>
        </w:rPr>
        <w:t xml:space="preserve"> surse în tehnologie LED </w:t>
      </w:r>
      <w:r w:rsidR="00281CAB">
        <w:rPr>
          <w:rFonts w:ascii="Arial" w:hAnsi="Arial" w:cs="Arial"/>
          <w:sz w:val="22"/>
          <w:szCs w:val="22"/>
          <w:lang w:val="en-US"/>
        </w:rPr>
        <w:t xml:space="preserve">din </w:t>
      </w:r>
      <w:r w:rsidR="00EB6CFC" w:rsidRPr="00625062">
        <w:rPr>
          <w:rFonts w:ascii="Arial" w:hAnsi="Arial" w:cs="Arial"/>
          <w:sz w:val="22"/>
          <w:szCs w:val="22"/>
          <w:lang w:val="en-US"/>
        </w:rPr>
        <w:t xml:space="preserve">Divizia Vest și Divizia Import  –  locațiile Pecica, Orlești, Biled, Videle </w:t>
      </w:r>
      <w:r w:rsidR="00EB6CFC" w:rsidRPr="00625062">
        <w:rPr>
          <w:rFonts w:ascii="Arial" w:hAnsi="Arial" w:cs="Arial"/>
          <w:sz w:val="22"/>
          <w:szCs w:val="22"/>
        </w:rPr>
        <w:t>și Poiana Lacului</w:t>
      </w:r>
      <w:r w:rsidR="008559A6">
        <w:rPr>
          <w:rFonts w:ascii="Arial" w:hAnsi="Arial" w:cs="Arial"/>
          <w:sz w:val="22"/>
          <w:szCs w:val="22"/>
        </w:rPr>
        <w:t>;</w:t>
      </w:r>
    </w:p>
    <w:p w:rsidR="00EB6CFC" w:rsidRPr="00625062" w:rsidRDefault="00D92A87" w:rsidP="002C3508">
      <w:pPr>
        <w:widowControl/>
        <w:numPr>
          <w:ilvl w:val="0"/>
          <w:numId w:val="5"/>
        </w:numPr>
        <w:autoSpaceDE/>
        <w:autoSpaceDN/>
        <w:adjustRightInd/>
        <w:spacing w:line="276" w:lineRule="auto"/>
        <w:jc w:val="both"/>
        <w:rPr>
          <w:rFonts w:ascii="Arial" w:hAnsi="Arial" w:cs="Arial"/>
          <w:sz w:val="22"/>
          <w:szCs w:val="22"/>
          <w:lang w:val="en-US"/>
        </w:rPr>
      </w:pPr>
      <w:r>
        <w:rPr>
          <w:rFonts w:ascii="Arial" w:hAnsi="Arial" w:cs="Arial"/>
          <w:sz w:val="22"/>
          <w:szCs w:val="22"/>
          <w:lang w:val="en-US"/>
        </w:rPr>
        <w:t>m</w:t>
      </w:r>
      <w:r w:rsidR="00EB6CFC" w:rsidRPr="00625062">
        <w:rPr>
          <w:rFonts w:ascii="Arial" w:hAnsi="Arial" w:cs="Arial"/>
          <w:sz w:val="22"/>
          <w:szCs w:val="22"/>
          <w:lang w:val="en-US"/>
        </w:rPr>
        <w:t>odernizare</w:t>
      </w:r>
      <w:r w:rsidR="001125AA">
        <w:rPr>
          <w:rFonts w:ascii="Arial" w:hAnsi="Arial" w:cs="Arial"/>
          <w:sz w:val="22"/>
          <w:szCs w:val="22"/>
          <w:lang w:val="en-US"/>
        </w:rPr>
        <w:t>a</w:t>
      </w:r>
      <w:r w:rsidR="00EB6CFC" w:rsidRPr="00625062">
        <w:rPr>
          <w:rFonts w:ascii="Arial" w:hAnsi="Arial" w:cs="Arial"/>
          <w:sz w:val="22"/>
          <w:szCs w:val="22"/>
          <w:lang w:val="en-US"/>
        </w:rPr>
        <w:t xml:space="preserve"> instalații</w:t>
      </w:r>
      <w:r w:rsidR="001125AA">
        <w:rPr>
          <w:rFonts w:ascii="Arial" w:hAnsi="Arial" w:cs="Arial"/>
          <w:sz w:val="22"/>
          <w:szCs w:val="22"/>
          <w:lang w:val="en-US"/>
        </w:rPr>
        <w:t>lor</w:t>
      </w:r>
      <w:r w:rsidR="00EB6CFC" w:rsidRPr="00625062">
        <w:rPr>
          <w:rFonts w:ascii="Arial" w:hAnsi="Arial" w:cs="Arial"/>
          <w:sz w:val="22"/>
          <w:szCs w:val="22"/>
          <w:lang w:val="en-US"/>
        </w:rPr>
        <w:t xml:space="preserve"> de iluminat exterior prin utilizarea</w:t>
      </w:r>
      <w:r w:rsidR="001125AA">
        <w:rPr>
          <w:rFonts w:ascii="Arial" w:hAnsi="Arial" w:cs="Arial"/>
          <w:sz w:val="22"/>
          <w:szCs w:val="22"/>
          <w:lang w:val="en-US"/>
        </w:rPr>
        <w:t xml:space="preserve"> de</w:t>
      </w:r>
      <w:r w:rsidR="00EB6CFC" w:rsidRPr="00625062">
        <w:rPr>
          <w:rFonts w:ascii="Arial" w:hAnsi="Arial" w:cs="Arial"/>
          <w:sz w:val="22"/>
          <w:szCs w:val="22"/>
          <w:lang w:val="en-US"/>
        </w:rPr>
        <w:t xml:space="preserve"> surse în tehnologie LED </w:t>
      </w:r>
      <w:r w:rsidR="001125AA">
        <w:rPr>
          <w:rFonts w:ascii="Arial" w:hAnsi="Arial" w:cs="Arial"/>
          <w:sz w:val="22"/>
          <w:szCs w:val="22"/>
          <w:lang w:val="en-US"/>
        </w:rPr>
        <w:t xml:space="preserve">din </w:t>
      </w:r>
      <w:r w:rsidR="00EB6CFC" w:rsidRPr="00625062">
        <w:rPr>
          <w:rFonts w:ascii="Arial" w:hAnsi="Arial" w:cs="Arial"/>
          <w:sz w:val="22"/>
          <w:szCs w:val="22"/>
          <w:lang w:val="en-US"/>
        </w:rPr>
        <w:t>Divizia Est și Divizia Sud – locațiile Urlați, Moreni, Cireșu și Berca</w:t>
      </w:r>
      <w:r w:rsidR="008559A6">
        <w:rPr>
          <w:rFonts w:ascii="Arial" w:hAnsi="Arial" w:cs="Arial"/>
          <w:sz w:val="22"/>
          <w:szCs w:val="22"/>
          <w:lang w:val="en-US"/>
        </w:rPr>
        <w:t>;</w:t>
      </w:r>
    </w:p>
    <w:p w:rsidR="00EB6CFC" w:rsidRPr="00625062" w:rsidRDefault="00D92A87" w:rsidP="002C3508">
      <w:pPr>
        <w:pStyle w:val="ListParagraph"/>
        <w:numPr>
          <w:ilvl w:val="0"/>
          <w:numId w:val="5"/>
        </w:numPr>
        <w:spacing w:after="0"/>
        <w:jc w:val="both"/>
        <w:rPr>
          <w:rFonts w:ascii="Arial" w:hAnsi="Arial" w:cs="Arial"/>
          <w:lang w:val="en-US"/>
        </w:rPr>
      </w:pPr>
      <w:r>
        <w:rPr>
          <w:rFonts w:ascii="Arial" w:hAnsi="Arial" w:cs="Arial"/>
          <w:lang w:val="en-US"/>
        </w:rPr>
        <w:t>l</w:t>
      </w:r>
      <w:r w:rsidR="00EB6CFC" w:rsidRPr="00625062">
        <w:rPr>
          <w:rFonts w:ascii="Arial" w:hAnsi="Arial" w:cs="Arial"/>
          <w:lang w:val="en-US"/>
        </w:rPr>
        <w:t>ucrări de punere în siguranță a conductei de țiței Ø 10¾” F1 Bărbătești-Orlești în zona localității Orlești, comuna Orlești, jud. Vâlcea.</w:t>
      </w:r>
    </w:p>
    <w:p w:rsidR="00EB6CFC" w:rsidRPr="00625062" w:rsidRDefault="00EB6CFC" w:rsidP="002C3508">
      <w:pPr>
        <w:widowControl/>
        <w:autoSpaceDE/>
        <w:autoSpaceDN/>
        <w:adjustRightInd/>
        <w:spacing w:line="276" w:lineRule="auto"/>
        <w:jc w:val="both"/>
        <w:rPr>
          <w:rFonts w:ascii="Arial" w:hAnsi="Arial" w:cs="Arial"/>
          <w:sz w:val="22"/>
          <w:szCs w:val="22"/>
          <w:lang w:val="en-US"/>
        </w:rPr>
      </w:pPr>
    </w:p>
    <w:p w:rsidR="00EB6CFC" w:rsidRPr="00625062" w:rsidRDefault="00EB6CFC" w:rsidP="002C3508">
      <w:pPr>
        <w:widowControl/>
        <w:autoSpaceDE/>
        <w:autoSpaceDN/>
        <w:adjustRightInd/>
        <w:spacing w:line="276" w:lineRule="auto"/>
        <w:jc w:val="both"/>
        <w:rPr>
          <w:rFonts w:ascii="Arial" w:hAnsi="Arial" w:cs="Arial"/>
          <w:sz w:val="22"/>
          <w:szCs w:val="22"/>
          <w:lang w:eastAsia="en-US"/>
        </w:rPr>
      </w:pPr>
      <w:r w:rsidRPr="00625062">
        <w:rPr>
          <w:rFonts w:ascii="Arial" w:hAnsi="Arial" w:cs="Arial"/>
          <w:sz w:val="22"/>
          <w:szCs w:val="22"/>
          <w:lang w:eastAsia="en-US"/>
        </w:rPr>
        <w:t>De asemenea, în această perioadă Direcția Dezvoltare Mentenanță, urmare analizei periodice privind realizarea fizică și valorică a programului de investiții, a întreprins o serie de măsuri</w:t>
      </w:r>
      <w:r w:rsidR="001125AA">
        <w:rPr>
          <w:rFonts w:ascii="Arial" w:hAnsi="Arial" w:cs="Arial"/>
          <w:sz w:val="22"/>
          <w:szCs w:val="22"/>
          <w:lang w:eastAsia="en-US"/>
        </w:rPr>
        <w:t xml:space="preserve"> pentru accelerarea execuției lucrarilor, precum:</w:t>
      </w:r>
    </w:p>
    <w:p w:rsidR="00EB6CFC" w:rsidRPr="002C3508" w:rsidRDefault="002C3508" w:rsidP="00170D7E">
      <w:pPr>
        <w:pStyle w:val="ListParagraph"/>
        <w:numPr>
          <w:ilvl w:val="0"/>
          <w:numId w:val="33"/>
        </w:numPr>
        <w:jc w:val="both"/>
        <w:rPr>
          <w:rFonts w:ascii="Arial" w:hAnsi="Arial" w:cs="Arial"/>
        </w:rPr>
      </w:pPr>
      <w:r>
        <w:rPr>
          <w:rFonts w:ascii="Arial" w:hAnsi="Arial" w:cs="Arial"/>
        </w:rPr>
        <w:t>î</w:t>
      </w:r>
      <w:r w:rsidR="00EB6CFC" w:rsidRPr="002C3508">
        <w:rPr>
          <w:rFonts w:ascii="Arial" w:hAnsi="Arial" w:cs="Arial"/>
        </w:rPr>
        <w:t>ntâlniri cu contractorii obiectivelor pentru soluţionarea cu celeritate a diferitelor probleme apărute în procesul de derulare al contractelor.</w:t>
      </w:r>
    </w:p>
    <w:p w:rsidR="00F43345" w:rsidRDefault="002C3508" w:rsidP="00170D7E">
      <w:pPr>
        <w:pStyle w:val="ListParagraph"/>
        <w:numPr>
          <w:ilvl w:val="0"/>
          <w:numId w:val="33"/>
        </w:numPr>
        <w:jc w:val="both"/>
        <w:rPr>
          <w:rFonts w:ascii="Arial" w:hAnsi="Arial" w:cs="Arial"/>
        </w:rPr>
      </w:pPr>
      <w:r>
        <w:rPr>
          <w:rFonts w:ascii="Arial" w:hAnsi="Arial" w:cs="Arial"/>
        </w:rPr>
        <w:t>î</w:t>
      </w:r>
      <w:r w:rsidR="00EB6CFC" w:rsidRPr="002C3508">
        <w:rPr>
          <w:rFonts w:ascii="Arial" w:hAnsi="Arial" w:cs="Arial"/>
        </w:rPr>
        <w:t>ntâlniri cu autorităţile emitente de avize/autorizații/acorduri necesare în procesul de execuție al lucrărilor</w:t>
      </w:r>
      <w:r w:rsidR="001125AA" w:rsidRPr="002C3508">
        <w:rPr>
          <w:rFonts w:ascii="Arial" w:hAnsi="Arial" w:cs="Arial"/>
        </w:rPr>
        <w:t xml:space="preserve"> </w:t>
      </w:r>
      <w:r>
        <w:rPr>
          <w:rFonts w:ascii="Arial" w:hAnsi="Arial" w:cs="Arial"/>
        </w:rPr>
        <w:t>pentru clarificarea ș</w:t>
      </w:r>
      <w:r w:rsidR="00EB6CFC" w:rsidRPr="002C3508">
        <w:rPr>
          <w:rFonts w:ascii="Arial" w:hAnsi="Arial" w:cs="Arial"/>
        </w:rPr>
        <w:t xml:space="preserve">i urgentarea rezolvării solicitărilor acestora. </w:t>
      </w:r>
    </w:p>
    <w:p w:rsidR="00D92A87" w:rsidRPr="00D92A87" w:rsidRDefault="00D92A87" w:rsidP="00D92A87">
      <w:pPr>
        <w:pStyle w:val="ListParagraph"/>
        <w:jc w:val="both"/>
        <w:rPr>
          <w:rFonts w:ascii="Arial" w:hAnsi="Arial" w:cs="Arial"/>
        </w:rPr>
      </w:pPr>
    </w:p>
    <w:p w:rsidR="00785F31" w:rsidRPr="009828D6" w:rsidRDefault="00F43345" w:rsidP="00170D7E">
      <w:pPr>
        <w:pStyle w:val="ListParagraph"/>
        <w:numPr>
          <w:ilvl w:val="1"/>
          <w:numId w:val="35"/>
        </w:numPr>
        <w:ind w:left="567" w:hanging="567"/>
        <w:jc w:val="both"/>
        <w:rPr>
          <w:rFonts w:ascii="Arial" w:hAnsi="Arial" w:cs="Arial"/>
          <w:b/>
          <w:color w:val="1F4E79" w:themeColor="accent1" w:themeShade="80"/>
          <w:sz w:val="24"/>
          <w:szCs w:val="24"/>
        </w:rPr>
      </w:pPr>
      <w:r w:rsidRPr="009828D6">
        <w:rPr>
          <w:rFonts w:ascii="Arial" w:hAnsi="Arial" w:cs="Arial"/>
          <w:b/>
          <w:color w:val="1F4E79" w:themeColor="accent1" w:themeShade="80"/>
          <w:sz w:val="24"/>
          <w:szCs w:val="24"/>
        </w:rPr>
        <w:t>Analiza activității financiare</w:t>
      </w:r>
    </w:p>
    <w:p w:rsidR="009966CC" w:rsidRDefault="00C30E9C" w:rsidP="009966CC">
      <w:pPr>
        <w:spacing w:line="276" w:lineRule="auto"/>
        <w:ind w:right="57"/>
        <w:contextualSpacing/>
        <w:jc w:val="both"/>
        <w:rPr>
          <w:rFonts w:ascii="Arial" w:hAnsi="Arial" w:cs="Arial"/>
          <w:sz w:val="22"/>
          <w:szCs w:val="22"/>
        </w:rPr>
      </w:pPr>
      <w:r w:rsidRPr="00077EC1">
        <w:rPr>
          <w:rFonts w:ascii="Arial" w:hAnsi="Arial" w:cs="Arial"/>
          <w:sz w:val="22"/>
          <w:szCs w:val="22"/>
        </w:rPr>
        <w:t>Informațiile</w:t>
      </w:r>
      <w:r w:rsidR="00D70714" w:rsidRPr="00077EC1">
        <w:rPr>
          <w:rFonts w:ascii="Arial" w:hAnsi="Arial" w:cs="Arial"/>
          <w:sz w:val="22"/>
          <w:szCs w:val="22"/>
        </w:rPr>
        <w:t xml:space="preserve"> </w:t>
      </w:r>
      <w:r w:rsidRPr="00077EC1">
        <w:rPr>
          <w:rFonts w:ascii="Arial" w:hAnsi="Arial" w:cs="Arial"/>
          <w:sz w:val="22"/>
          <w:szCs w:val="22"/>
        </w:rPr>
        <w:t xml:space="preserve">financiare prezentate în cuprinsul prezentului raport sunt furnizate pe baza situațiilor financiare interimare pentru perioada de </w:t>
      </w:r>
      <w:r w:rsidR="008A0908" w:rsidRPr="00077EC1">
        <w:rPr>
          <w:rFonts w:ascii="Arial" w:hAnsi="Arial" w:cs="Arial"/>
          <w:sz w:val="22"/>
          <w:szCs w:val="22"/>
        </w:rPr>
        <w:t xml:space="preserve">șase </w:t>
      </w:r>
      <w:r w:rsidRPr="00077EC1">
        <w:rPr>
          <w:rFonts w:ascii="Arial" w:hAnsi="Arial" w:cs="Arial"/>
          <w:sz w:val="22"/>
          <w:szCs w:val="22"/>
        </w:rPr>
        <w:t xml:space="preserve">luni încheiată la </w:t>
      </w:r>
      <w:r w:rsidR="00C526CF" w:rsidRPr="00607D39">
        <w:rPr>
          <w:rFonts w:ascii="Arial" w:hAnsi="Arial" w:cs="Arial"/>
          <w:sz w:val="22"/>
          <w:szCs w:val="22"/>
        </w:rPr>
        <w:t>30 iunie</w:t>
      </w:r>
      <w:r w:rsidR="008B5D22" w:rsidRPr="00607D39">
        <w:rPr>
          <w:rFonts w:ascii="Arial" w:hAnsi="Arial" w:cs="Arial"/>
          <w:sz w:val="22"/>
          <w:szCs w:val="22"/>
        </w:rPr>
        <w:t xml:space="preserve"> </w:t>
      </w:r>
      <w:r w:rsidR="00DF2C30" w:rsidRPr="00607D39">
        <w:rPr>
          <w:rFonts w:ascii="Arial" w:hAnsi="Arial" w:cs="Arial"/>
          <w:sz w:val="22"/>
          <w:szCs w:val="22"/>
        </w:rPr>
        <w:t>2018</w:t>
      </w:r>
      <w:r w:rsidRPr="00607D39">
        <w:rPr>
          <w:rFonts w:ascii="Arial" w:hAnsi="Arial" w:cs="Arial"/>
          <w:sz w:val="22"/>
          <w:szCs w:val="22"/>
        </w:rPr>
        <w:t xml:space="preserve">, </w:t>
      </w:r>
      <w:r w:rsidR="009966CC" w:rsidRPr="00555F32">
        <w:rPr>
          <w:rFonts w:ascii="Arial" w:hAnsi="Arial" w:cs="Arial"/>
          <w:sz w:val="22"/>
          <w:szCs w:val="22"/>
        </w:rPr>
        <w:t xml:space="preserve">întocmite în conformitate cu Standardul Internaţional de Contabilitate 34 </w:t>
      </w:r>
      <w:r w:rsidR="009966CC" w:rsidRPr="00555F32">
        <w:rPr>
          <w:rFonts w:ascii="Arial" w:hAnsi="Arial" w:cs="Arial"/>
          <w:sz w:val="22"/>
          <w:szCs w:val="22"/>
          <w:lang w:val="en-US"/>
        </w:rPr>
        <w:t>“</w:t>
      </w:r>
      <w:r w:rsidR="009966CC" w:rsidRPr="00555F32">
        <w:rPr>
          <w:rFonts w:ascii="Arial" w:hAnsi="Arial" w:cs="Arial"/>
          <w:sz w:val="22"/>
          <w:szCs w:val="22"/>
        </w:rPr>
        <w:t>Raportarea Financiară Interimară”</w:t>
      </w:r>
    </w:p>
    <w:p w:rsidR="002228A3" w:rsidRDefault="002228A3" w:rsidP="002228A3">
      <w:pPr>
        <w:pStyle w:val="ListParagraph"/>
        <w:rPr>
          <w:rFonts w:ascii="Arial" w:hAnsi="Arial" w:cs="Arial"/>
          <w:b/>
          <w:color w:val="5B9BD5" w:themeColor="accent1"/>
          <w:sz w:val="24"/>
          <w:szCs w:val="24"/>
        </w:rPr>
      </w:pPr>
    </w:p>
    <w:p w:rsidR="002228A3" w:rsidRPr="009828D6" w:rsidRDefault="002228A3" w:rsidP="00170D7E">
      <w:pPr>
        <w:pStyle w:val="ListParagraph"/>
        <w:numPr>
          <w:ilvl w:val="2"/>
          <w:numId w:val="36"/>
        </w:numPr>
        <w:rPr>
          <w:rFonts w:ascii="Arial" w:hAnsi="Arial" w:cs="Arial"/>
          <w:b/>
          <w:color w:val="1F4E79" w:themeColor="accent1" w:themeShade="80"/>
          <w:sz w:val="24"/>
          <w:szCs w:val="24"/>
        </w:rPr>
      </w:pPr>
      <w:r w:rsidRPr="009828D6">
        <w:rPr>
          <w:rFonts w:ascii="Arial" w:hAnsi="Arial" w:cs="Arial"/>
          <w:b/>
          <w:color w:val="1F4E79" w:themeColor="accent1" w:themeShade="80"/>
          <w:sz w:val="24"/>
          <w:szCs w:val="24"/>
        </w:rPr>
        <w:t>Baza raportului</w:t>
      </w:r>
    </w:p>
    <w:p w:rsidR="002228A3" w:rsidRDefault="002228A3" w:rsidP="002228A3">
      <w:pPr>
        <w:widowControl/>
        <w:spacing w:line="276" w:lineRule="auto"/>
        <w:jc w:val="both"/>
        <w:rPr>
          <w:rFonts w:ascii="Arial" w:hAnsi="Arial" w:cs="Arial"/>
          <w:sz w:val="22"/>
          <w:szCs w:val="22"/>
          <w:lang w:eastAsia="en-US"/>
        </w:rPr>
      </w:pPr>
      <w:r w:rsidRPr="00A74CF5">
        <w:rPr>
          <w:rFonts w:ascii="Arial" w:hAnsi="Arial" w:cs="Arial"/>
          <w:sz w:val="22"/>
          <w:szCs w:val="22"/>
        </w:rPr>
        <w:t xml:space="preserve">Raportul </w:t>
      </w:r>
      <w:r>
        <w:rPr>
          <w:rFonts w:ascii="Arial" w:hAnsi="Arial" w:cs="Arial"/>
          <w:sz w:val="22"/>
          <w:szCs w:val="22"/>
        </w:rPr>
        <w:t>Sem</w:t>
      </w:r>
      <w:r w:rsidRPr="00A74CF5">
        <w:rPr>
          <w:rFonts w:ascii="Arial" w:hAnsi="Arial" w:cs="Arial"/>
          <w:sz w:val="22"/>
          <w:szCs w:val="22"/>
        </w:rPr>
        <w:t xml:space="preserve">estrial al Consiliului de Administrație pentru perioada </w:t>
      </w:r>
      <w:r>
        <w:rPr>
          <w:rFonts w:ascii="Arial" w:hAnsi="Arial" w:cs="Arial"/>
          <w:sz w:val="22"/>
          <w:szCs w:val="22"/>
        </w:rPr>
        <w:t xml:space="preserve">ianuarie – iunie </w:t>
      </w:r>
      <w:r w:rsidRPr="00A74CF5">
        <w:rPr>
          <w:rFonts w:ascii="Arial" w:hAnsi="Arial" w:cs="Arial"/>
          <w:sz w:val="22"/>
          <w:szCs w:val="22"/>
        </w:rPr>
        <w:t>2018 este întocmit în conformitate cu p</w:t>
      </w:r>
      <w:r w:rsidRPr="00A74CF5">
        <w:rPr>
          <w:rFonts w:ascii="Arial" w:hAnsi="Arial" w:cs="Arial"/>
          <w:sz w:val="22"/>
          <w:szCs w:val="22"/>
          <w:lang w:eastAsia="en-US"/>
        </w:rPr>
        <w:t>revederile art. 6</w:t>
      </w:r>
      <w:r>
        <w:rPr>
          <w:rFonts w:ascii="Arial" w:hAnsi="Arial" w:cs="Arial"/>
          <w:sz w:val="22"/>
          <w:szCs w:val="22"/>
          <w:lang w:eastAsia="en-US"/>
        </w:rPr>
        <w:t>5</w:t>
      </w:r>
      <w:r w:rsidRPr="00A74CF5">
        <w:rPr>
          <w:rFonts w:ascii="Arial" w:hAnsi="Arial" w:cs="Arial"/>
          <w:sz w:val="22"/>
          <w:szCs w:val="22"/>
          <w:lang w:eastAsia="en-US"/>
        </w:rPr>
        <w:t xml:space="preserve"> din Legea nr. 24/201</w:t>
      </w:r>
      <w:r>
        <w:rPr>
          <w:rFonts w:ascii="Arial" w:hAnsi="Arial" w:cs="Arial"/>
          <w:sz w:val="22"/>
          <w:szCs w:val="22"/>
          <w:lang w:eastAsia="en-US"/>
        </w:rPr>
        <w:t>7</w:t>
      </w:r>
      <w:r w:rsidRPr="00A74CF5">
        <w:rPr>
          <w:rFonts w:ascii="Arial" w:hAnsi="Arial" w:cs="Arial"/>
          <w:sz w:val="22"/>
          <w:szCs w:val="22"/>
          <w:lang w:eastAsia="en-US"/>
        </w:rPr>
        <w:t xml:space="preserve"> </w:t>
      </w:r>
      <w:r w:rsidRPr="00A74CF5">
        <w:rPr>
          <w:rFonts w:ascii="Arial" w:hAnsi="Arial" w:cs="Arial"/>
          <w:sz w:val="22"/>
          <w:szCs w:val="22"/>
          <w:lang w:val="en-US"/>
        </w:rPr>
        <w:t xml:space="preserve">privind emitenţii de instrumente financiare şi operaţiuni de piaţă </w:t>
      </w:r>
      <w:r w:rsidRPr="00A74CF5">
        <w:rPr>
          <w:rFonts w:ascii="Arial" w:hAnsi="Arial" w:cs="Arial"/>
          <w:sz w:val="22"/>
          <w:szCs w:val="22"/>
          <w:lang w:eastAsia="en-US"/>
        </w:rPr>
        <w:t xml:space="preserve">şi </w:t>
      </w:r>
      <w:r w:rsidRPr="00555F32">
        <w:rPr>
          <w:rFonts w:ascii="Arial" w:hAnsi="Arial" w:cs="Arial"/>
          <w:sz w:val="22"/>
          <w:szCs w:val="22"/>
          <w:lang w:eastAsia="en-US"/>
        </w:rPr>
        <w:t xml:space="preserve">anexa 14 din Regulamentul </w:t>
      </w:r>
      <w:r>
        <w:rPr>
          <w:rFonts w:ascii="Arial" w:hAnsi="Arial" w:cs="Arial"/>
          <w:sz w:val="22"/>
          <w:szCs w:val="22"/>
          <w:lang w:eastAsia="en-US"/>
        </w:rPr>
        <w:t>ASF</w:t>
      </w:r>
      <w:r w:rsidRPr="00555F32">
        <w:rPr>
          <w:rFonts w:ascii="Arial" w:hAnsi="Arial" w:cs="Arial"/>
          <w:sz w:val="22"/>
          <w:szCs w:val="22"/>
          <w:lang w:eastAsia="en-US"/>
        </w:rPr>
        <w:t xml:space="preserve"> nr. 5/2018 privind emitenții şi operaţiunile cu valori mobiliare.</w:t>
      </w:r>
    </w:p>
    <w:p w:rsidR="00AD5B4F" w:rsidRDefault="00AD5B4F" w:rsidP="002228A3">
      <w:pPr>
        <w:widowControl/>
        <w:spacing w:line="276" w:lineRule="auto"/>
        <w:jc w:val="both"/>
        <w:rPr>
          <w:rFonts w:ascii="Arial" w:hAnsi="Arial" w:cs="Arial"/>
          <w:sz w:val="22"/>
          <w:szCs w:val="22"/>
          <w:lang w:eastAsia="en-US"/>
        </w:rPr>
      </w:pPr>
    </w:p>
    <w:p w:rsidR="007227F1" w:rsidRDefault="007227F1" w:rsidP="002228A3">
      <w:pPr>
        <w:widowControl/>
        <w:spacing w:line="276" w:lineRule="auto"/>
        <w:jc w:val="both"/>
        <w:rPr>
          <w:rFonts w:ascii="Arial" w:hAnsi="Arial" w:cs="Arial"/>
          <w:sz w:val="22"/>
          <w:szCs w:val="22"/>
          <w:lang w:eastAsia="en-US"/>
        </w:rPr>
      </w:pPr>
    </w:p>
    <w:p w:rsidR="007227F1" w:rsidRDefault="007227F1" w:rsidP="002228A3">
      <w:pPr>
        <w:widowControl/>
        <w:spacing w:line="276" w:lineRule="auto"/>
        <w:jc w:val="both"/>
        <w:rPr>
          <w:rFonts w:ascii="Arial" w:hAnsi="Arial" w:cs="Arial"/>
          <w:sz w:val="22"/>
          <w:szCs w:val="22"/>
          <w:lang w:eastAsia="en-US"/>
        </w:rPr>
      </w:pPr>
    </w:p>
    <w:p w:rsidR="007227F1" w:rsidRDefault="007227F1" w:rsidP="002228A3">
      <w:pPr>
        <w:widowControl/>
        <w:spacing w:line="276" w:lineRule="auto"/>
        <w:jc w:val="both"/>
        <w:rPr>
          <w:rFonts w:ascii="Arial" w:hAnsi="Arial" w:cs="Arial"/>
          <w:sz w:val="22"/>
          <w:szCs w:val="22"/>
          <w:lang w:eastAsia="en-US"/>
        </w:rPr>
      </w:pPr>
    </w:p>
    <w:p w:rsidR="00DE33EE" w:rsidRDefault="00DE33EE" w:rsidP="002228A3">
      <w:pPr>
        <w:widowControl/>
        <w:spacing w:line="276" w:lineRule="auto"/>
        <w:jc w:val="both"/>
        <w:rPr>
          <w:rFonts w:ascii="Arial" w:hAnsi="Arial" w:cs="Arial"/>
          <w:sz w:val="22"/>
          <w:szCs w:val="22"/>
          <w:lang w:eastAsia="en-US"/>
        </w:rPr>
      </w:pPr>
    </w:p>
    <w:p w:rsidR="007227F1" w:rsidRPr="00555F32" w:rsidRDefault="007227F1" w:rsidP="002228A3">
      <w:pPr>
        <w:widowControl/>
        <w:spacing w:line="276" w:lineRule="auto"/>
        <w:jc w:val="both"/>
        <w:rPr>
          <w:rFonts w:ascii="Arial" w:hAnsi="Arial" w:cs="Arial"/>
          <w:sz w:val="22"/>
          <w:szCs w:val="22"/>
          <w:lang w:eastAsia="en-US"/>
        </w:rPr>
      </w:pPr>
    </w:p>
    <w:p w:rsidR="009966CC" w:rsidRPr="0066123C" w:rsidRDefault="009966CC" w:rsidP="00170C8B">
      <w:pPr>
        <w:spacing w:line="200" w:lineRule="exact"/>
        <w:rPr>
          <w:rFonts w:ascii="Arial" w:hAnsi="Arial" w:cs="Arial"/>
          <w:b/>
          <w:color w:val="1F4E79" w:themeColor="accent1" w:themeShade="80"/>
          <w:sz w:val="22"/>
          <w:szCs w:val="22"/>
        </w:rPr>
      </w:pPr>
    </w:p>
    <w:p w:rsidR="00DD357E" w:rsidRPr="002228A3" w:rsidRDefault="002228A3" w:rsidP="002228A3">
      <w:pPr>
        <w:spacing w:line="200" w:lineRule="exact"/>
        <w:rPr>
          <w:rFonts w:ascii="Arial" w:hAnsi="Arial" w:cs="Arial"/>
          <w:b/>
          <w:color w:val="5B9BD5" w:themeColor="accent1"/>
          <w:sz w:val="24"/>
          <w:szCs w:val="24"/>
          <w:lang w:val="en-US"/>
        </w:rPr>
      </w:pPr>
      <w:r w:rsidRPr="0066123C">
        <w:rPr>
          <w:rFonts w:ascii="Arial" w:hAnsi="Arial" w:cs="Arial"/>
          <w:b/>
          <w:color w:val="1F4E79" w:themeColor="accent1" w:themeShade="80"/>
          <w:sz w:val="24"/>
          <w:szCs w:val="24"/>
          <w:lang w:val="en-US"/>
        </w:rPr>
        <w:t>3.</w:t>
      </w:r>
      <w:r w:rsidR="00AC0465" w:rsidRPr="0066123C">
        <w:rPr>
          <w:rFonts w:ascii="Arial" w:hAnsi="Arial" w:cs="Arial"/>
          <w:b/>
          <w:color w:val="1F4E79" w:themeColor="accent1" w:themeShade="80"/>
          <w:sz w:val="24"/>
          <w:szCs w:val="24"/>
          <w:lang w:val="en-US"/>
        </w:rPr>
        <w:t>3</w:t>
      </w:r>
      <w:r w:rsidRPr="0066123C">
        <w:rPr>
          <w:rFonts w:ascii="Arial" w:hAnsi="Arial" w:cs="Arial"/>
          <w:b/>
          <w:color w:val="1F4E79" w:themeColor="accent1" w:themeShade="80"/>
          <w:sz w:val="24"/>
          <w:szCs w:val="24"/>
          <w:lang w:val="en-US"/>
        </w:rPr>
        <w:t xml:space="preserve">.2 </w:t>
      </w:r>
      <w:r w:rsidR="00242014" w:rsidRPr="0066123C">
        <w:rPr>
          <w:rFonts w:ascii="Arial" w:hAnsi="Arial" w:cs="Arial"/>
          <w:b/>
          <w:color w:val="1F4E79" w:themeColor="accent1" w:themeShade="80"/>
          <w:sz w:val="24"/>
          <w:szCs w:val="24"/>
          <w:lang w:val="en-US"/>
        </w:rPr>
        <w:t>Situația pozi</w:t>
      </w:r>
      <w:r w:rsidR="00242014" w:rsidRPr="0066123C">
        <w:rPr>
          <w:rFonts w:ascii="Arial" w:hAnsi="Arial" w:cs="Arial"/>
          <w:b/>
          <w:color w:val="1F4E79" w:themeColor="accent1" w:themeShade="80"/>
          <w:sz w:val="24"/>
          <w:szCs w:val="24"/>
        </w:rPr>
        <w:t>ț</w:t>
      </w:r>
      <w:r w:rsidR="00242014" w:rsidRPr="0066123C">
        <w:rPr>
          <w:rFonts w:ascii="Arial" w:hAnsi="Arial" w:cs="Arial"/>
          <w:b/>
          <w:color w:val="1F4E79" w:themeColor="accent1" w:themeShade="80"/>
          <w:sz w:val="24"/>
          <w:szCs w:val="24"/>
          <w:lang w:val="en-US"/>
        </w:rPr>
        <w:t xml:space="preserve">iei financiare la </w:t>
      </w:r>
      <w:r w:rsidR="00C526CF" w:rsidRPr="0066123C">
        <w:rPr>
          <w:rFonts w:ascii="Arial" w:hAnsi="Arial" w:cs="Arial"/>
          <w:b/>
          <w:color w:val="1F4E79" w:themeColor="accent1" w:themeShade="80"/>
          <w:sz w:val="24"/>
          <w:szCs w:val="24"/>
          <w:lang w:val="en-US"/>
        </w:rPr>
        <w:t>30 iunie</w:t>
      </w:r>
      <w:r w:rsidR="00242014" w:rsidRPr="0066123C">
        <w:rPr>
          <w:rFonts w:ascii="Arial" w:hAnsi="Arial" w:cs="Arial"/>
          <w:b/>
          <w:color w:val="1F4E79" w:themeColor="accent1" w:themeShade="80"/>
          <w:sz w:val="24"/>
          <w:szCs w:val="24"/>
          <w:lang w:val="en-US"/>
        </w:rPr>
        <w:t xml:space="preserve"> </w:t>
      </w:r>
      <w:r w:rsidR="00DF2C30" w:rsidRPr="0066123C">
        <w:rPr>
          <w:rFonts w:ascii="Arial" w:hAnsi="Arial" w:cs="Arial"/>
          <w:b/>
          <w:color w:val="1F4E79" w:themeColor="accent1" w:themeShade="80"/>
          <w:sz w:val="24"/>
          <w:szCs w:val="24"/>
          <w:lang w:val="en-US"/>
        </w:rPr>
        <w:t>2018</w:t>
      </w:r>
    </w:p>
    <w:p w:rsidR="00C42AC8" w:rsidRPr="00845298" w:rsidRDefault="00C42AC8" w:rsidP="00C42AC8">
      <w:pPr>
        <w:pStyle w:val="ListParagraph"/>
        <w:spacing w:after="0" w:line="200" w:lineRule="exact"/>
        <w:ind w:left="360"/>
        <w:rPr>
          <w:rFonts w:ascii="Arial" w:hAnsi="Arial" w:cs="Arial"/>
          <w:b/>
          <w:color w:val="5B9BD5" w:themeColor="accent1"/>
          <w:sz w:val="24"/>
          <w:szCs w:val="24"/>
          <w:lang w:val="en-US"/>
        </w:rPr>
      </w:pPr>
    </w:p>
    <w:p w:rsidR="002228A3" w:rsidRDefault="00B7422D" w:rsidP="005B7DAA">
      <w:pPr>
        <w:widowControl/>
        <w:autoSpaceDE/>
        <w:autoSpaceDN/>
        <w:adjustRightInd/>
        <w:spacing w:line="276" w:lineRule="auto"/>
        <w:jc w:val="both"/>
        <w:rPr>
          <w:rFonts w:ascii="Arial" w:hAnsi="Arial" w:cs="Arial"/>
          <w:sz w:val="22"/>
          <w:szCs w:val="22"/>
          <w:lang w:val="en-US" w:eastAsia="en-US"/>
        </w:rPr>
      </w:pPr>
      <w:r w:rsidRPr="00A74CF5">
        <w:rPr>
          <w:rFonts w:ascii="Arial" w:hAnsi="Arial" w:cs="Arial"/>
          <w:sz w:val="22"/>
          <w:szCs w:val="22"/>
          <w:lang w:val="en-US" w:eastAsia="en-US"/>
        </w:rPr>
        <w:t>În sinteză, Situația pozi</w:t>
      </w:r>
      <w:r w:rsidRPr="00A74CF5">
        <w:rPr>
          <w:rFonts w:ascii="Arial" w:hAnsi="Arial" w:cs="Arial"/>
          <w:sz w:val="22"/>
          <w:szCs w:val="22"/>
          <w:lang w:eastAsia="en-US"/>
        </w:rPr>
        <w:t>ț</w:t>
      </w:r>
      <w:r w:rsidRPr="00A74CF5">
        <w:rPr>
          <w:rFonts w:ascii="Arial" w:hAnsi="Arial" w:cs="Arial"/>
          <w:sz w:val="22"/>
          <w:szCs w:val="22"/>
          <w:lang w:val="en-US" w:eastAsia="en-US"/>
        </w:rPr>
        <w:t xml:space="preserve">iei financiare la </w:t>
      </w:r>
      <w:r w:rsidR="00C526CF">
        <w:rPr>
          <w:rFonts w:ascii="Arial" w:hAnsi="Arial" w:cs="Arial"/>
          <w:sz w:val="22"/>
          <w:szCs w:val="22"/>
          <w:lang w:val="en-US" w:eastAsia="en-US"/>
        </w:rPr>
        <w:t>30 iunie</w:t>
      </w:r>
      <w:r w:rsidRPr="00A74CF5">
        <w:rPr>
          <w:rFonts w:ascii="Arial" w:hAnsi="Arial" w:cs="Arial"/>
          <w:sz w:val="22"/>
          <w:szCs w:val="22"/>
          <w:lang w:val="en-US" w:eastAsia="en-US"/>
        </w:rPr>
        <w:t xml:space="preserve"> </w:t>
      </w:r>
      <w:r w:rsidR="00DF2C30" w:rsidRPr="00A74CF5">
        <w:rPr>
          <w:rFonts w:ascii="Arial" w:hAnsi="Arial" w:cs="Arial"/>
          <w:sz w:val="22"/>
          <w:szCs w:val="22"/>
          <w:lang w:val="en-US" w:eastAsia="en-US"/>
        </w:rPr>
        <w:t>2018</w:t>
      </w:r>
      <w:r w:rsidRPr="00A74CF5">
        <w:rPr>
          <w:rFonts w:ascii="Arial" w:hAnsi="Arial" w:cs="Arial"/>
          <w:sz w:val="22"/>
          <w:szCs w:val="22"/>
          <w:lang w:val="en-US" w:eastAsia="en-US"/>
        </w:rPr>
        <w:t xml:space="preserve"> se prezintă astfel:</w:t>
      </w:r>
      <w:r w:rsidR="002C7CCD">
        <w:rPr>
          <w:rFonts w:ascii="Arial" w:hAnsi="Arial" w:cs="Arial"/>
          <w:sz w:val="22"/>
          <w:szCs w:val="22"/>
          <w:lang w:val="en-US" w:eastAsia="en-US"/>
        </w:rPr>
        <w:tab/>
      </w:r>
    </w:p>
    <w:p w:rsidR="002C7CCD" w:rsidRDefault="002C7CCD" w:rsidP="005B7DAA">
      <w:pPr>
        <w:widowControl/>
        <w:autoSpaceDE/>
        <w:autoSpaceDN/>
        <w:adjustRightInd/>
        <w:spacing w:line="276" w:lineRule="auto"/>
        <w:jc w:val="both"/>
        <w:rPr>
          <w:rFonts w:ascii="Arial" w:hAnsi="Arial" w:cs="Arial"/>
          <w:sz w:val="22"/>
          <w:szCs w:val="22"/>
          <w:lang w:val="en-US" w:eastAsia="en-US"/>
        </w:rPr>
      </w:pPr>
      <w:r>
        <w:rPr>
          <w:rFonts w:ascii="Arial" w:hAnsi="Arial" w:cs="Arial"/>
          <w:sz w:val="22"/>
          <w:szCs w:val="22"/>
          <w:lang w:val="en-US" w:eastAsia="en-US"/>
        </w:rPr>
        <w:tab/>
      </w:r>
      <w:r>
        <w:rPr>
          <w:rFonts w:ascii="Arial" w:hAnsi="Arial" w:cs="Arial"/>
          <w:sz w:val="22"/>
          <w:szCs w:val="22"/>
          <w:lang w:val="en-US" w:eastAsia="en-US"/>
        </w:rPr>
        <w:tab/>
      </w:r>
      <w:r>
        <w:rPr>
          <w:rFonts w:ascii="Arial" w:hAnsi="Arial" w:cs="Arial"/>
          <w:sz w:val="22"/>
          <w:szCs w:val="22"/>
          <w:lang w:val="en-US" w:eastAsia="en-US"/>
        </w:rPr>
        <w:tab/>
      </w:r>
      <w:r>
        <w:rPr>
          <w:rFonts w:ascii="Arial" w:hAnsi="Arial" w:cs="Arial"/>
          <w:sz w:val="22"/>
          <w:szCs w:val="22"/>
          <w:lang w:val="en-US" w:eastAsia="en-US"/>
        </w:rPr>
        <w:tab/>
      </w:r>
      <w:r>
        <w:rPr>
          <w:rFonts w:ascii="Arial" w:hAnsi="Arial" w:cs="Arial"/>
          <w:sz w:val="22"/>
          <w:szCs w:val="22"/>
          <w:lang w:val="en-US" w:eastAsia="en-US"/>
        </w:rPr>
        <w:tab/>
      </w:r>
      <w:r>
        <w:rPr>
          <w:rFonts w:ascii="Arial" w:hAnsi="Arial" w:cs="Arial"/>
          <w:sz w:val="22"/>
          <w:szCs w:val="22"/>
          <w:lang w:val="en-US" w:eastAsia="en-US"/>
        </w:rPr>
        <w:tab/>
      </w:r>
      <w:r>
        <w:rPr>
          <w:rFonts w:ascii="Arial" w:hAnsi="Arial" w:cs="Arial"/>
          <w:sz w:val="22"/>
          <w:szCs w:val="22"/>
          <w:lang w:val="en-US" w:eastAsia="en-US"/>
        </w:rPr>
        <w:tab/>
      </w:r>
      <w:r>
        <w:rPr>
          <w:rFonts w:ascii="Arial" w:hAnsi="Arial" w:cs="Arial"/>
          <w:sz w:val="22"/>
          <w:szCs w:val="22"/>
          <w:lang w:val="en-US" w:eastAsia="en-US"/>
        </w:rPr>
        <w:tab/>
      </w:r>
      <w:r>
        <w:rPr>
          <w:rFonts w:ascii="Arial" w:hAnsi="Arial" w:cs="Arial"/>
          <w:sz w:val="22"/>
          <w:szCs w:val="22"/>
          <w:lang w:val="en-US" w:eastAsia="en-US"/>
        </w:rPr>
        <w:tab/>
      </w:r>
      <w:r>
        <w:rPr>
          <w:rFonts w:ascii="Arial" w:hAnsi="Arial" w:cs="Arial"/>
          <w:sz w:val="22"/>
          <w:szCs w:val="22"/>
          <w:lang w:val="en-US" w:eastAsia="en-US"/>
        </w:rPr>
        <w:tab/>
      </w:r>
      <w:r w:rsidR="00F43345">
        <w:rPr>
          <w:rFonts w:ascii="Arial" w:hAnsi="Arial" w:cs="Arial"/>
          <w:sz w:val="22"/>
          <w:szCs w:val="22"/>
          <w:lang w:val="en-US" w:eastAsia="en-US"/>
        </w:rPr>
        <w:tab/>
      </w: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8"/>
        <w:gridCol w:w="1902"/>
        <w:gridCol w:w="1890"/>
        <w:gridCol w:w="1206"/>
      </w:tblGrid>
      <w:tr w:rsidR="009C7C35" w:rsidRPr="007729CF" w:rsidTr="00DB1BDC">
        <w:trPr>
          <w:trHeight w:val="685"/>
          <w:tblHeader/>
          <w:jc w:val="center"/>
        </w:trPr>
        <w:tc>
          <w:tcPr>
            <w:tcW w:w="4038" w:type="dxa"/>
            <w:shd w:val="clear" w:color="auto" w:fill="DEEAF6" w:themeFill="accent1" w:themeFillTint="33"/>
            <w:vAlign w:val="center"/>
            <w:hideMark/>
          </w:tcPr>
          <w:p w:rsidR="009C7C35" w:rsidRPr="00F01C22" w:rsidRDefault="00EB643A" w:rsidP="00EB643A">
            <w:pPr>
              <w:jc w:val="center"/>
              <w:rPr>
                <w:rFonts w:ascii="Arial" w:hAnsi="Arial" w:cs="Arial"/>
                <w:b/>
              </w:rPr>
            </w:pPr>
            <w:r w:rsidRPr="00A223AD">
              <w:rPr>
                <w:rFonts w:ascii="Arial" w:hAnsi="Arial" w:cs="Arial"/>
                <w:b/>
                <w:bCs/>
                <w:lang w:val="en-US"/>
              </w:rPr>
              <w:t>Denumirea elementului</w:t>
            </w:r>
            <w:r>
              <w:rPr>
                <w:rFonts w:ascii="Arial" w:hAnsi="Arial" w:cs="Arial"/>
                <w:b/>
                <w:bCs/>
                <w:lang w:val="en-US"/>
              </w:rPr>
              <w:t xml:space="preserve"> (</w:t>
            </w:r>
            <w:r>
              <w:rPr>
                <w:rFonts w:ascii="Arial" w:hAnsi="Arial" w:cs="Arial"/>
                <w:b/>
                <w:sz w:val="22"/>
                <w:szCs w:val="22"/>
                <w:lang w:val="en-US" w:eastAsia="en-US"/>
              </w:rPr>
              <w:t>mii lei)</w:t>
            </w:r>
          </w:p>
        </w:tc>
        <w:tc>
          <w:tcPr>
            <w:tcW w:w="1902" w:type="dxa"/>
            <w:shd w:val="clear" w:color="auto" w:fill="DEEAF6" w:themeFill="accent1" w:themeFillTint="33"/>
            <w:vAlign w:val="center"/>
            <w:hideMark/>
          </w:tcPr>
          <w:p w:rsidR="009C7C35" w:rsidRPr="007729CF" w:rsidRDefault="00C526CF" w:rsidP="0087324D">
            <w:pPr>
              <w:pStyle w:val="Subtitle"/>
              <w:ind w:left="313" w:hanging="425"/>
              <w:rPr>
                <w:rFonts w:cs="Arial"/>
                <w:b/>
                <w:sz w:val="20"/>
                <w:szCs w:val="20"/>
              </w:rPr>
            </w:pPr>
            <w:r>
              <w:rPr>
                <w:rFonts w:cs="Arial"/>
                <w:b/>
                <w:sz w:val="20"/>
                <w:szCs w:val="20"/>
              </w:rPr>
              <w:t>30 iunie</w:t>
            </w:r>
            <w:r w:rsidR="007227F1">
              <w:rPr>
                <w:rFonts w:cs="Arial"/>
                <w:b/>
                <w:sz w:val="20"/>
                <w:szCs w:val="20"/>
              </w:rPr>
              <w:t xml:space="preserve"> </w:t>
            </w:r>
            <w:r w:rsidR="00DF2C30" w:rsidRPr="007729CF">
              <w:rPr>
                <w:rFonts w:cs="Arial"/>
                <w:b/>
                <w:sz w:val="20"/>
                <w:szCs w:val="20"/>
              </w:rPr>
              <w:t>2018</w:t>
            </w:r>
          </w:p>
          <w:p w:rsidR="009C7C35" w:rsidRPr="007729CF" w:rsidRDefault="009C7C35" w:rsidP="00607D39">
            <w:pPr>
              <w:pStyle w:val="Subtitle"/>
              <w:rPr>
                <w:rFonts w:cs="Arial"/>
                <w:b/>
                <w:sz w:val="20"/>
                <w:szCs w:val="20"/>
              </w:rPr>
            </w:pPr>
            <w:r w:rsidRPr="007729CF">
              <w:rPr>
                <w:rFonts w:cs="Arial"/>
                <w:b/>
                <w:sz w:val="20"/>
                <w:szCs w:val="20"/>
              </w:rPr>
              <w:t>(</w:t>
            </w:r>
            <w:r w:rsidR="00607D39">
              <w:rPr>
                <w:rFonts w:cs="Arial"/>
                <w:b/>
                <w:sz w:val="20"/>
                <w:szCs w:val="20"/>
              </w:rPr>
              <w:t>revizuită</w:t>
            </w:r>
            <w:r w:rsidRPr="007729CF">
              <w:rPr>
                <w:rFonts w:cs="Arial"/>
                <w:b/>
                <w:sz w:val="20"/>
                <w:szCs w:val="20"/>
              </w:rPr>
              <w:t>)</w:t>
            </w:r>
          </w:p>
        </w:tc>
        <w:tc>
          <w:tcPr>
            <w:tcW w:w="1890" w:type="dxa"/>
            <w:shd w:val="clear" w:color="auto" w:fill="DEEAF6" w:themeFill="accent1" w:themeFillTint="33"/>
            <w:vAlign w:val="center"/>
            <w:hideMark/>
          </w:tcPr>
          <w:p w:rsidR="009C7C35" w:rsidRPr="007729CF" w:rsidRDefault="00EA2C4A" w:rsidP="00DD357E">
            <w:pPr>
              <w:spacing w:line="276" w:lineRule="auto"/>
              <w:jc w:val="center"/>
              <w:rPr>
                <w:rFonts w:ascii="Arial" w:hAnsi="Arial" w:cs="Arial"/>
                <w:b/>
                <w:bCs/>
                <w:lang w:val="en-US"/>
              </w:rPr>
            </w:pPr>
            <w:r w:rsidRPr="007729CF">
              <w:rPr>
                <w:rFonts w:ascii="Arial" w:hAnsi="Arial" w:cs="Arial"/>
                <w:b/>
                <w:bCs/>
                <w:lang w:val="en-US"/>
              </w:rPr>
              <w:t>31 decembrie</w:t>
            </w:r>
            <w:r w:rsidR="009C7C35" w:rsidRPr="007729CF">
              <w:rPr>
                <w:rFonts w:ascii="Arial" w:hAnsi="Arial" w:cs="Arial"/>
                <w:b/>
                <w:bCs/>
                <w:lang w:val="en-US"/>
              </w:rPr>
              <w:t xml:space="preserve"> </w:t>
            </w:r>
            <w:r w:rsidR="00DF2C30" w:rsidRPr="007729CF">
              <w:rPr>
                <w:rFonts w:ascii="Arial" w:hAnsi="Arial" w:cs="Arial"/>
                <w:b/>
                <w:bCs/>
                <w:lang w:val="en-US"/>
              </w:rPr>
              <w:t>2017</w:t>
            </w:r>
            <w:r w:rsidR="009C7C35" w:rsidRPr="007729CF">
              <w:rPr>
                <w:rFonts w:ascii="Arial" w:hAnsi="Arial" w:cs="Arial"/>
                <w:b/>
                <w:bCs/>
                <w:lang w:val="en-US"/>
              </w:rPr>
              <w:t xml:space="preserve"> </w:t>
            </w:r>
          </w:p>
          <w:p w:rsidR="009C7C35" w:rsidRPr="007729CF" w:rsidRDefault="009C7C35" w:rsidP="00DD357E">
            <w:pPr>
              <w:spacing w:line="276" w:lineRule="auto"/>
              <w:jc w:val="center"/>
              <w:rPr>
                <w:rFonts w:ascii="Arial" w:hAnsi="Arial" w:cs="Arial"/>
                <w:b/>
                <w:bCs/>
                <w:lang w:val="en-US"/>
              </w:rPr>
            </w:pPr>
            <w:r w:rsidRPr="007729CF">
              <w:rPr>
                <w:rFonts w:ascii="Arial" w:hAnsi="Arial" w:cs="Arial"/>
                <w:b/>
                <w:bCs/>
                <w:lang w:val="en-US"/>
              </w:rPr>
              <w:t>(auditată)</w:t>
            </w:r>
          </w:p>
        </w:tc>
        <w:tc>
          <w:tcPr>
            <w:tcW w:w="1206" w:type="dxa"/>
            <w:shd w:val="clear" w:color="auto" w:fill="DEEAF6" w:themeFill="accent1" w:themeFillTint="33"/>
            <w:vAlign w:val="center"/>
          </w:tcPr>
          <w:p w:rsidR="00DD7EA6" w:rsidRDefault="00176602" w:rsidP="00810549">
            <w:pPr>
              <w:spacing w:line="276" w:lineRule="auto"/>
              <w:jc w:val="center"/>
              <w:rPr>
                <w:rFonts w:ascii="Arial" w:hAnsi="Arial" w:cs="Arial"/>
                <w:b/>
                <w:bCs/>
                <w:lang w:val="en-US" w:eastAsia="en-US"/>
              </w:rPr>
            </w:pPr>
            <w:r>
              <w:rPr>
                <w:rFonts w:ascii="Arial" w:hAnsi="Arial" w:cs="Arial"/>
                <w:b/>
                <w:bCs/>
                <w:lang w:val="en-US" w:eastAsia="en-US"/>
              </w:rPr>
              <w:t>Variație</w:t>
            </w:r>
          </w:p>
          <w:p w:rsidR="009C7C35" w:rsidRPr="007729CF" w:rsidRDefault="00176602" w:rsidP="00810549">
            <w:pPr>
              <w:spacing w:line="276" w:lineRule="auto"/>
              <w:jc w:val="center"/>
              <w:rPr>
                <w:rFonts w:ascii="Arial" w:hAnsi="Arial" w:cs="Arial"/>
                <w:b/>
                <w:bCs/>
                <w:lang w:val="en-US"/>
              </w:rPr>
            </w:pPr>
            <w:r>
              <w:rPr>
                <w:rFonts w:ascii="Arial" w:hAnsi="Arial" w:cs="Arial"/>
                <w:b/>
                <w:bCs/>
                <w:lang w:val="en-US" w:eastAsia="en-US"/>
              </w:rPr>
              <w:t>2018/2017</w:t>
            </w:r>
          </w:p>
        </w:tc>
      </w:tr>
      <w:tr w:rsidR="00F32AF4" w:rsidRPr="007729CF" w:rsidTr="00DB1BDC">
        <w:trPr>
          <w:trHeight w:val="253"/>
          <w:jc w:val="center"/>
        </w:trPr>
        <w:tc>
          <w:tcPr>
            <w:tcW w:w="4038" w:type="dxa"/>
            <w:vAlign w:val="center"/>
          </w:tcPr>
          <w:p w:rsidR="00F32AF4" w:rsidRPr="007729CF" w:rsidRDefault="00F32AF4" w:rsidP="00F32AF4">
            <w:pPr>
              <w:spacing w:line="276" w:lineRule="auto"/>
              <w:rPr>
                <w:rFonts w:ascii="Arial" w:hAnsi="Arial" w:cs="Arial"/>
                <w:bCs/>
                <w:lang w:val="en-US"/>
              </w:rPr>
            </w:pPr>
            <w:r w:rsidRPr="007729CF">
              <w:rPr>
                <w:rFonts w:ascii="Arial" w:hAnsi="Arial" w:cs="Arial"/>
                <w:bCs/>
                <w:lang w:val="en-US"/>
              </w:rPr>
              <w:t xml:space="preserve">Active imobilizate </w:t>
            </w:r>
          </w:p>
        </w:tc>
        <w:tc>
          <w:tcPr>
            <w:tcW w:w="1902" w:type="dxa"/>
            <w:noWrap/>
            <w:vAlign w:val="center"/>
          </w:tcPr>
          <w:p w:rsidR="00F32AF4" w:rsidRDefault="00F32AF4" w:rsidP="00DB1BDC">
            <w:pPr>
              <w:widowControl/>
              <w:autoSpaceDE/>
              <w:autoSpaceDN/>
              <w:adjustRightInd/>
              <w:jc w:val="right"/>
              <w:rPr>
                <w:rFonts w:ascii="Arial" w:hAnsi="Arial" w:cs="Arial"/>
                <w:color w:val="000000"/>
              </w:rPr>
            </w:pPr>
            <w:r>
              <w:rPr>
                <w:rFonts w:ascii="Arial" w:hAnsi="Arial" w:cs="Arial"/>
                <w:color w:val="000000"/>
              </w:rPr>
              <w:t>421.778</w:t>
            </w:r>
          </w:p>
        </w:tc>
        <w:tc>
          <w:tcPr>
            <w:tcW w:w="1890" w:type="dxa"/>
            <w:noWrap/>
            <w:vAlign w:val="center"/>
          </w:tcPr>
          <w:p w:rsidR="00F32AF4" w:rsidRPr="007729CF" w:rsidRDefault="00F32AF4" w:rsidP="00DB1BDC">
            <w:pPr>
              <w:jc w:val="right"/>
              <w:rPr>
                <w:rFonts w:ascii="Arial" w:hAnsi="Arial" w:cs="Arial"/>
              </w:rPr>
            </w:pPr>
            <w:r w:rsidRPr="007729CF">
              <w:rPr>
                <w:rFonts w:ascii="Arial" w:hAnsi="Arial" w:cs="Arial"/>
              </w:rPr>
              <w:t>410.682</w:t>
            </w:r>
          </w:p>
        </w:tc>
        <w:tc>
          <w:tcPr>
            <w:tcW w:w="1206" w:type="dxa"/>
            <w:vAlign w:val="center"/>
          </w:tcPr>
          <w:p w:rsidR="00F32AF4" w:rsidRDefault="009D4012" w:rsidP="00DB1BDC">
            <w:pPr>
              <w:widowControl/>
              <w:autoSpaceDE/>
              <w:autoSpaceDN/>
              <w:adjustRightInd/>
              <w:jc w:val="right"/>
              <w:rPr>
                <w:rFonts w:ascii="Arial" w:hAnsi="Arial" w:cs="Arial"/>
                <w:color w:val="000000"/>
              </w:rPr>
            </w:pPr>
            <w:r w:rsidRPr="009D4012">
              <w:rPr>
                <w:rFonts w:ascii="Arial" w:hAnsi="Arial" w:cs="Arial"/>
                <w:color w:val="000000"/>
              </w:rPr>
              <w:t>▲</w:t>
            </w:r>
            <w:r w:rsidR="00F32AF4">
              <w:rPr>
                <w:rFonts w:ascii="Arial" w:hAnsi="Arial" w:cs="Arial"/>
                <w:color w:val="000000"/>
              </w:rPr>
              <w:t>2,7</w:t>
            </w:r>
            <w:r w:rsidR="00DD7EA6">
              <w:rPr>
                <w:rFonts w:ascii="Arial" w:hAnsi="Arial" w:cs="Arial"/>
                <w:color w:val="000000"/>
              </w:rPr>
              <w:t>0</w:t>
            </w:r>
            <w:r w:rsidR="00F32AF4">
              <w:rPr>
                <w:rFonts w:ascii="Arial" w:hAnsi="Arial" w:cs="Arial"/>
                <w:color w:val="000000"/>
              </w:rPr>
              <w:t>%</w:t>
            </w:r>
          </w:p>
        </w:tc>
      </w:tr>
      <w:tr w:rsidR="00F32AF4" w:rsidRPr="007729CF" w:rsidTr="00DB1BDC">
        <w:trPr>
          <w:trHeight w:val="266"/>
          <w:jc w:val="center"/>
        </w:trPr>
        <w:tc>
          <w:tcPr>
            <w:tcW w:w="4038" w:type="dxa"/>
            <w:vAlign w:val="center"/>
          </w:tcPr>
          <w:p w:rsidR="00F32AF4" w:rsidRPr="007729CF" w:rsidRDefault="00F32AF4" w:rsidP="00F32AF4">
            <w:pPr>
              <w:spacing w:line="276" w:lineRule="auto"/>
              <w:rPr>
                <w:rFonts w:ascii="Arial" w:hAnsi="Arial" w:cs="Arial"/>
                <w:bCs/>
                <w:lang w:val="en-US"/>
              </w:rPr>
            </w:pPr>
            <w:r w:rsidRPr="007729CF">
              <w:rPr>
                <w:rFonts w:ascii="Arial" w:hAnsi="Arial" w:cs="Arial"/>
                <w:bCs/>
                <w:lang w:val="en-US"/>
              </w:rPr>
              <w:t xml:space="preserve">Active </w:t>
            </w:r>
            <w:r>
              <w:rPr>
                <w:rFonts w:ascii="Arial" w:hAnsi="Arial" w:cs="Arial"/>
                <w:bCs/>
                <w:lang w:val="en-US"/>
              </w:rPr>
              <w:t>curente</w:t>
            </w:r>
          </w:p>
        </w:tc>
        <w:tc>
          <w:tcPr>
            <w:tcW w:w="1902" w:type="dxa"/>
            <w:noWrap/>
            <w:vAlign w:val="center"/>
          </w:tcPr>
          <w:p w:rsidR="00F32AF4" w:rsidRDefault="00F32AF4" w:rsidP="00DB1BDC">
            <w:pPr>
              <w:jc w:val="right"/>
              <w:rPr>
                <w:rFonts w:ascii="Arial" w:hAnsi="Arial" w:cs="Arial"/>
                <w:color w:val="000000"/>
              </w:rPr>
            </w:pPr>
            <w:r>
              <w:rPr>
                <w:rFonts w:ascii="Arial" w:hAnsi="Arial" w:cs="Arial"/>
                <w:color w:val="000000"/>
              </w:rPr>
              <w:t>295.361</w:t>
            </w:r>
          </w:p>
        </w:tc>
        <w:tc>
          <w:tcPr>
            <w:tcW w:w="1890" w:type="dxa"/>
            <w:noWrap/>
            <w:vAlign w:val="center"/>
          </w:tcPr>
          <w:p w:rsidR="00F32AF4" w:rsidRPr="007729CF" w:rsidRDefault="00F32AF4" w:rsidP="00DB1BDC">
            <w:pPr>
              <w:jc w:val="right"/>
              <w:rPr>
                <w:rFonts w:ascii="Arial" w:hAnsi="Arial" w:cs="Arial"/>
              </w:rPr>
            </w:pPr>
            <w:r w:rsidRPr="007729CF">
              <w:rPr>
                <w:rFonts w:ascii="Arial" w:hAnsi="Arial" w:cs="Arial"/>
              </w:rPr>
              <w:t>338.091</w:t>
            </w:r>
          </w:p>
        </w:tc>
        <w:tc>
          <w:tcPr>
            <w:tcW w:w="1206" w:type="dxa"/>
            <w:vAlign w:val="center"/>
          </w:tcPr>
          <w:p w:rsidR="00F32AF4" w:rsidRDefault="005C0320" w:rsidP="00DB1BDC">
            <w:pPr>
              <w:jc w:val="right"/>
              <w:rPr>
                <w:rFonts w:ascii="Arial" w:hAnsi="Arial" w:cs="Arial"/>
                <w:color w:val="000000"/>
              </w:rPr>
            </w:pPr>
            <w:r w:rsidRPr="007729CF">
              <w:rPr>
                <w:rFonts w:ascii="Arial" w:hAnsi="Arial" w:cs="Arial"/>
                <w:b/>
                <w:bCs/>
                <w:lang w:val="en-US" w:eastAsia="en-US"/>
              </w:rPr>
              <w:t>▼</w:t>
            </w:r>
            <w:r w:rsidR="00081535">
              <w:rPr>
                <w:rFonts w:ascii="Arial" w:hAnsi="Arial" w:cs="Arial"/>
                <w:color w:val="000000"/>
              </w:rPr>
              <w:t>12,6</w:t>
            </w:r>
            <w:r w:rsidR="00DD7EA6">
              <w:rPr>
                <w:rFonts w:ascii="Arial" w:hAnsi="Arial" w:cs="Arial"/>
                <w:color w:val="000000"/>
              </w:rPr>
              <w:t>4</w:t>
            </w:r>
            <w:r w:rsidR="00F32AF4">
              <w:rPr>
                <w:rFonts w:ascii="Arial" w:hAnsi="Arial" w:cs="Arial"/>
                <w:color w:val="000000"/>
              </w:rPr>
              <w:t>%</w:t>
            </w:r>
          </w:p>
        </w:tc>
      </w:tr>
      <w:tr w:rsidR="00F32AF4" w:rsidRPr="007729CF" w:rsidTr="00DB1BDC">
        <w:trPr>
          <w:trHeight w:val="280"/>
          <w:jc w:val="center"/>
        </w:trPr>
        <w:tc>
          <w:tcPr>
            <w:tcW w:w="4038" w:type="dxa"/>
            <w:shd w:val="clear" w:color="auto" w:fill="DEEAF6" w:themeFill="accent1" w:themeFillTint="33"/>
            <w:vAlign w:val="center"/>
            <w:hideMark/>
          </w:tcPr>
          <w:p w:rsidR="00F32AF4" w:rsidRPr="007729CF" w:rsidRDefault="00F32AF4" w:rsidP="00F32AF4">
            <w:pPr>
              <w:spacing w:line="276" w:lineRule="auto"/>
              <w:rPr>
                <w:rFonts w:ascii="Arial" w:hAnsi="Arial" w:cs="Arial"/>
                <w:b/>
                <w:bCs/>
                <w:lang w:val="en-US"/>
              </w:rPr>
            </w:pPr>
            <w:r w:rsidRPr="007729CF">
              <w:rPr>
                <w:rFonts w:ascii="Arial" w:hAnsi="Arial" w:cs="Arial"/>
                <w:b/>
                <w:bCs/>
                <w:lang w:val="en-US"/>
              </w:rPr>
              <w:t>Total active</w:t>
            </w:r>
          </w:p>
        </w:tc>
        <w:tc>
          <w:tcPr>
            <w:tcW w:w="1902" w:type="dxa"/>
            <w:shd w:val="clear" w:color="auto" w:fill="DEEAF6" w:themeFill="accent1" w:themeFillTint="33"/>
            <w:noWrap/>
            <w:vAlign w:val="center"/>
          </w:tcPr>
          <w:p w:rsidR="00F32AF4" w:rsidRDefault="00F32AF4" w:rsidP="00DB1BDC">
            <w:pPr>
              <w:jc w:val="right"/>
              <w:rPr>
                <w:rFonts w:ascii="Arial" w:hAnsi="Arial" w:cs="Arial"/>
                <w:b/>
                <w:bCs/>
                <w:color w:val="000000"/>
              </w:rPr>
            </w:pPr>
            <w:r>
              <w:rPr>
                <w:rFonts w:ascii="Arial" w:hAnsi="Arial" w:cs="Arial"/>
                <w:b/>
                <w:bCs/>
                <w:color w:val="000000"/>
              </w:rPr>
              <w:t>717.139</w:t>
            </w:r>
          </w:p>
        </w:tc>
        <w:tc>
          <w:tcPr>
            <w:tcW w:w="1890" w:type="dxa"/>
            <w:shd w:val="clear" w:color="auto" w:fill="DEEAF6" w:themeFill="accent1" w:themeFillTint="33"/>
            <w:noWrap/>
            <w:vAlign w:val="center"/>
          </w:tcPr>
          <w:p w:rsidR="00F32AF4" w:rsidRPr="007729CF" w:rsidRDefault="00F32AF4" w:rsidP="00DB1BDC">
            <w:pPr>
              <w:jc w:val="right"/>
              <w:rPr>
                <w:rFonts w:ascii="Arial" w:hAnsi="Arial" w:cs="Arial"/>
                <w:b/>
              </w:rPr>
            </w:pPr>
            <w:r w:rsidRPr="007729CF">
              <w:rPr>
                <w:rFonts w:ascii="Arial" w:hAnsi="Arial" w:cs="Arial"/>
                <w:b/>
              </w:rPr>
              <w:t>748.773</w:t>
            </w:r>
          </w:p>
        </w:tc>
        <w:tc>
          <w:tcPr>
            <w:tcW w:w="1206" w:type="dxa"/>
            <w:shd w:val="clear" w:color="auto" w:fill="DEEAF6" w:themeFill="accent1" w:themeFillTint="33"/>
            <w:vAlign w:val="center"/>
          </w:tcPr>
          <w:p w:rsidR="00F32AF4" w:rsidRDefault="005C0320" w:rsidP="00DB1BDC">
            <w:pPr>
              <w:jc w:val="right"/>
              <w:rPr>
                <w:rFonts w:ascii="Arial" w:hAnsi="Arial" w:cs="Arial"/>
                <w:b/>
                <w:bCs/>
                <w:color w:val="000000"/>
              </w:rPr>
            </w:pPr>
            <w:r w:rsidRPr="007729CF">
              <w:rPr>
                <w:rFonts w:ascii="Arial" w:hAnsi="Arial" w:cs="Arial"/>
                <w:b/>
                <w:bCs/>
                <w:lang w:val="en-US" w:eastAsia="en-US"/>
              </w:rPr>
              <w:t>▼</w:t>
            </w:r>
            <w:r w:rsidR="00081535">
              <w:rPr>
                <w:rFonts w:ascii="Arial" w:hAnsi="Arial" w:cs="Arial"/>
                <w:b/>
                <w:bCs/>
                <w:color w:val="000000"/>
              </w:rPr>
              <w:t>4,2</w:t>
            </w:r>
            <w:r w:rsidR="00DD7EA6">
              <w:rPr>
                <w:rFonts w:ascii="Arial" w:hAnsi="Arial" w:cs="Arial"/>
                <w:b/>
                <w:bCs/>
                <w:color w:val="000000"/>
              </w:rPr>
              <w:t>2</w:t>
            </w:r>
            <w:r w:rsidR="00F32AF4">
              <w:rPr>
                <w:rFonts w:ascii="Arial" w:hAnsi="Arial" w:cs="Arial"/>
                <w:b/>
                <w:bCs/>
                <w:color w:val="000000"/>
              </w:rPr>
              <w:t>%</w:t>
            </w:r>
          </w:p>
        </w:tc>
      </w:tr>
      <w:tr w:rsidR="00027B92" w:rsidRPr="007729CF" w:rsidTr="00A53EA5">
        <w:trPr>
          <w:trHeight w:val="280"/>
          <w:jc w:val="center"/>
        </w:trPr>
        <w:tc>
          <w:tcPr>
            <w:tcW w:w="9036" w:type="dxa"/>
            <w:gridSpan w:val="4"/>
            <w:vAlign w:val="center"/>
            <w:hideMark/>
          </w:tcPr>
          <w:p w:rsidR="00027B92" w:rsidRDefault="00027B92" w:rsidP="00DB1BDC">
            <w:pPr>
              <w:jc w:val="right"/>
              <w:rPr>
                <w:rFonts w:ascii="Arial" w:hAnsi="Arial" w:cs="Arial"/>
                <w:b/>
                <w:bCs/>
                <w:color w:val="FF0000"/>
              </w:rPr>
            </w:pPr>
          </w:p>
        </w:tc>
      </w:tr>
      <w:tr w:rsidR="00F32AF4" w:rsidRPr="007729CF" w:rsidTr="00DB1BDC">
        <w:trPr>
          <w:trHeight w:val="280"/>
          <w:jc w:val="center"/>
        </w:trPr>
        <w:tc>
          <w:tcPr>
            <w:tcW w:w="4038" w:type="dxa"/>
            <w:vAlign w:val="center"/>
            <w:hideMark/>
          </w:tcPr>
          <w:p w:rsidR="00F32AF4" w:rsidRPr="007729CF" w:rsidRDefault="00F32AF4" w:rsidP="00F32AF4">
            <w:pPr>
              <w:spacing w:line="276" w:lineRule="auto"/>
              <w:rPr>
                <w:rFonts w:ascii="Arial" w:hAnsi="Arial" w:cs="Arial"/>
                <w:b/>
                <w:bCs/>
                <w:lang w:val="en-US"/>
              </w:rPr>
            </w:pPr>
            <w:r w:rsidRPr="007729CF">
              <w:rPr>
                <w:rFonts w:ascii="Arial" w:hAnsi="Arial" w:cs="Arial"/>
                <w:b/>
                <w:bCs/>
                <w:lang w:val="en-US"/>
              </w:rPr>
              <w:t>Capitaluri proprii</w:t>
            </w:r>
          </w:p>
        </w:tc>
        <w:tc>
          <w:tcPr>
            <w:tcW w:w="1902" w:type="dxa"/>
            <w:noWrap/>
            <w:vAlign w:val="center"/>
          </w:tcPr>
          <w:p w:rsidR="00F32AF4" w:rsidRDefault="00F32AF4" w:rsidP="00DB1BDC">
            <w:pPr>
              <w:jc w:val="right"/>
              <w:rPr>
                <w:rFonts w:ascii="Arial" w:hAnsi="Arial" w:cs="Arial"/>
                <w:b/>
                <w:bCs/>
                <w:color w:val="000000"/>
              </w:rPr>
            </w:pPr>
            <w:r>
              <w:rPr>
                <w:rFonts w:ascii="Arial" w:hAnsi="Arial" w:cs="Arial"/>
                <w:b/>
                <w:bCs/>
                <w:color w:val="000000"/>
              </w:rPr>
              <w:t>621.532</w:t>
            </w:r>
          </w:p>
        </w:tc>
        <w:tc>
          <w:tcPr>
            <w:tcW w:w="1890" w:type="dxa"/>
            <w:noWrap/>
            <w:vAlign w:val="center"/>
          </w:tcPr>
          <w:p w:rsidR="00F32AF4" w:rsidRPr="00555F32" w:rsidRDefault="00F32AF4" w:rsidP="00DB1BDC">
            <w:pPr>
              <w:jc w:val="right"/>
              <w:rPr>
                <w:rFonts w:ascii="Arial" w:hAnsi="Arial" w:cs="Arial"/>
                <w:b/>
              </w:rPr>
            </w:pPr>
            <w:r w:rsidRPr="00555F32">
              <w:rPr>
                <w:rFonts w:ascii="Arial" w:hAnsi="Arial" w:cs="Arial"/>
                <w:b/>
              </w:rPr>
              <w:t>658.400</w:t>
            </w:r>
          </w:p>
        </w:tc>
        <w:tc>
          <w:tcPr>
            <w:tcW w:w="1206" w:type="dxa"/>
            <w:vAlign w:val="center"/>
          </w:tcPr>
          <w:p w:rsidR="00F32AF4" w:rsidRPr="00555F32" w:rsidRDefault="005C0320" w:rsidP="00DB1BDC">
            <w:pPr>
              <w:jc w:val="right"/>
              <w:rPr>
                <w:rFonts w:ascii="Arial" w:hAnsi="Arial" w:cs="Arial"/>
                <w:b/>
                <w:color w:val="000000"/>
              </w:rPr>
            </w:pPr>
            <w:r w:rsidRPr="00C16817">
              <w:rPr>
                <w:rFonts w:ascii="Arial" w:hAnsi="Arial" w:cs="Arial"/>
                <w:b/>
                <w:bCs/>
                <w:lang w:val="en-US" w:eastAsia="en-US"/>
              </w:rPr>
              <w:t>▼</w:t>
            </w:r>
            <w:r w:rsidR="00081535" w:rsidRPr="00555F32">
              <w:rPr>
                <w:rFonts w:ascii="Arial" w:hAnsi="Arial" w:cs="Arial"/>
                <w:b/>
                <w:color w:val="000000"/>
              </w:rPr>
              <w:t>5,6</w:t>
            </w:r>
            <w:r w:rsidR="004936A7">
              <w:rPr>
                <w:rFonts w:ascii="Arial" w:hAnsi="Arial" w:cs="Arial"/>
                <w:b/>
                <w:color w:val="000000"/>
              </w:rPr>
              <w:t>0</w:t>
            </w:r>
            <w:r w:rsidR="00F32AF4" w:rsidRPr="00555F32">
              <w:rPr>
                <w:rFonts w:ascii="Arial" w:hAnsi="Arial" w:cs="Arial"/>
                <w:b/>
                <w:color w:val="000000"/>
              </w:rPr>
              <w:t>%</w:t>
            </w:r>
          </w:p>
        </w:tc>
      </w:tr>
      <w:tr w:rsidR="00F32AF4" w:rsidRPr="007729CF" w:rsidTr="00DB1BDC">
        <w:trPr>
          <w:trHeight w:val="352"/>
          <w:jc w:val="center"/>
        </w:trPr>
        <w:tc>
          <w:tcPr>
            <w:tcW w:w="4038" w:type="dxa"/>
            <w:vAlign w:val="center"/>
            <w:hideMark/>
          </w:tcPr>
          <w:p w:rsidR="00F32AF4" w:rsidRPr="007729CF" w:rsidRDefault="00F32AF4" w:rsidP="00F32AF4">
            <w:pPr>
              <w:spacing w:line="276" w:lineRule="auto"/>
              <w:rPr>
                <w:rFonts w:ascii="Arial" w:hAnsi="Arial" w:cs="Arial"/>
                <w:b/>
                <w:bCs/>
                <w:lang w:val="en-US"/>
              </w:rPr>
            </w:pPr>
            <w:r w:rsidRPr="007729CF">
              <w:rPr>
                <w:rFonts w:ascii="Arial" w:hAnsi="Arial" w:cs="Arial"/>
                <w:b/>
                <w:lang w:val="en-US"/>
              </w:rPr>
              <w:t xml:space="preserve">Venituri în avans                                                        </w:t>
            </w:r>
          </w:p>
        </w:tc>
        <w:tc>
          <w:tcPr>
            <w:tcW w:w="1902" w:type="dxa"/>
            <w:noWrap/>
            <w:vAlign w:val="center"/>
          </w:tcPr>
          <w:p w:rsidR="00F32AF4" w:rsidRDefault="00F32AF4" w:rsidP="00DB1BDC">
            <w:pPr>
              <w:jc w:val="right"/>
              <w:rPr>
                <w:rFonts w:ascii="Arial" w:hAnsi="Arial" w:cs="Arial"/>
                <w:b/>
                <w:bCs/>
                <w:color w:val="000000"/>
              </w:rPr>
            </w:pPr>
            <w:r>
              <w:rPr>
                <w:rFonts w:ascii="Arial" w:hAnsi="Arial" w:cs="Arial"/>
                <w:b/>
                <w:bCs/>
                <w:color w:val="000000"/>
              </w:rPr>
              <w:t>1.259</w:t>
            </w:r>
          </w:p>
        </w:tc>
        <w:tc>
          <w:tcPr>
            <w:tcW w:w="1890" w:type="dxa"/>
            <w:noWrap/>
            <w:vAlign w:val="center"/>
          </w:tcPr>
          <w:p w:rsidR="00F32AF4" w:rsidRPr="00555F32" w:rsidRDefault="00F32AF4" w:rsidP="00DB1BDC">
            <w:pPr>
              <w:jc w:val="right"/>
              <w:rPr>
                <w:rFonts w:ascii="Arial" w:hAnsi="Arial" w:cs="Arial"/>
                <w:b/>
              </w:rPr>
            </w:pPr>
            <w:r w:rsidRPr="00555F32">
              <w:rPr>
                <w:rFonts w:ascii="Arial" w:hAnsi="Arial" w:cs="Arial"/>
                <w:b/>
              </w:rPr>
              <w:t>1.326</w:t>
            </w:r>
          </w:p>
        </w:tc>
        <w:tc>
          <w:tcPr>
            <w:tcW w:w="1206" w:type="dxa"/>
            <w:vAlign w:val="center"/>
          </w:tcPr>
          <w:p w:rsidR="00F32AF4" w:rsidRPr="00555F32" w:rsidRDefault="005C0320" w:rsidP="00DB1BDC">
            <w:pPr>
              <w:jc w:val="right"/>
              <w:rPr>
                <w:rFonts w:ascii="Arial" w:hAnsi="Arial" w:cs="Arial"/>
                <w:b/>
                <w:color w:val="000000"/>
              </w:rPr>
            </w:pPr>
            <w:r w:rsidRPr="00C16817">
              <w:rPr>
                <w:rFonts w:ascii="Arial" w:hAnsi="Arial" w:cs="Arial"/>
                <w:b/>
                <w:bCs/>
                <w:lang w:val="en-US" w:eastAsia="en-US"/>
              </w:rPr>
              <w:t>▼</w:t>
            </w:r>
            <w:r w:rsidR="00F32AF4" w:rsidRPr="00555F32">
              <w:rPr>
                <w:rFonts w:ascii="Arial" w:hAnsi="Arial" w:cs="Arial"/>
                <w:b/>
                <w:color w:val="000000"/>
              </w:rPr>
              <w:t>5,0</w:t>
            </w:r>
            <w:r w:rsidR="004936A7">
              <w:rPr>
                <w:rFonts w:ascii="Arial" w:hAnsi="Arial" w:cs="Arial"/>
                <w:b/>
                <w:color w:val="000000"/>
              </w:rPr>
              <w:t>5</w:t>
            </w:r>
            <w:r w:rsidR="00F32AF4" w:rsidRPr="00555F32">
              <w:rPr>
                <w:rFonts w:ascii="Arial" w:hAnsi="Arial" w:cs="Arial"/>
                <w:b/>
                <w:color w:val="000000"/>
              </w:rPr>
              <w:t>%</w:t>
            </w:r>
          </w:p>
        </w:tc>
      </w:tr>
      <w:tr w:rsidR="00F32AF4" w:rsidRPr="007729CF" w:rsidTr="00DB1BDC">
        <w:trPr>
          <w:trHeight w:val="266"/>
          <w:jc w:val="center"/>
        </w:trPr>
        <w:tc>
          <w:tcPr>
            <w:tcW w:w="4038" w:type="dxa"/>
            <w:vAlign w:val="center"/>
            <w:hideMark/>
          </w:tcPr>
          <w:p w:rsidR="00F32AF4" w:rsidRPr="007729CF" w:rsidRDefault="00F32AF4" w:rsidP="00F32AF4">
            <w:pPr>
              <w:spacing w:line="276" w:lineRule="auto"/>
              <w:rPr>
                <w:rFonts w:ascii="Arial" w:hAnsi="Arial" w:cs="Arial"/>
                <w:b/>
                <w:bCs/>
                <w:lang w:val="en-US"/>
              </w:rPr>
            </w:pPr>
            <w:r w:rsidRPr="007729CF">
              <w:rPr>
                <w:rFonts w:ascii="Arial" w:hAnsi="Arial" w:cs="Arial"/>
                <w:b/>
                <w:bCs/>
                <w:lang w:val="en-US"/>
              </w:rPr>
              <w:t xml:space="preserve">Total datorii </w:t>
            </w:r>
          </w:p>
        </w:tc>
        <w:tc>
          <w:tcPr>
            <w:tcW w:w="1902" w:type="dxa"/>
            <w:noWrap/>
            <w:vAlign w:val="center"/>
          </w:tcPr>
          <w:p w:rsidR="00F32AF4" w:rsidRDefault="00DF47F2" w:rsidP="00DB1BDC">
            <w:pPr>
              <w:jc w:val="right"/>
              <w:rPr>
                <w:rFonts w:ascii="Arial" w:hAnsi="Arial" w:cs="Arial"/>
                <w:b/>
                <w:bCs/>
                <w:color w:val="000000"/>
              </w:rPr>
            </w:pPr>
            <w:r>
              <w:rPr>
                <w:rFonts w:ascii="Arial" w:hAnsi="Arial" w:cs="Arial"/>
                <w:b/>
                <w:bCs/>
                <w:color w:val="000000"/>
              </w:rPr>
              <w:t>94.348</w:t>
            </w:r>
          </w:p>
        </w:tc>
        <w:tc>
          <w:tcPr>
            <w:tcW w:w="1890" w:type="dxa"/>
            <w:noWrap/>
            <w:vAlign w:val="center"/>
          </w:tcPr>
          <w:p w:rsidR="00F32AF4" w:rsidRPr="00555F32" w:rsidRDefault="00F32AF4" w:rsidP="00DB1BDC">
            <w:pPr>
              <w:jc w:val="right"/>
              <w:rPr>
                <w:rFonts w:ascii="Arial" w:hAnsi="Arial" w:cs="Arial"/>
                <w:b/>
              </w:rPr>
            </w:pPr>
            <w:r w:rsidRPr="00555F32">
              <w:rPr>
                <w:rFonts w:ascii="Arial" w:hAnsi="Arial" w:cs="Arial"/>
                <w:b/>
              </w:rPr>
              <w:t>89.047</w:t>
            </w:r>
          </w:p>
        </w:tc>
        <w:tc>
          <w:tcPr>
            <w:tcW w:w="1206" w:type="dxa"/>
            <w:vAlign w:val="center"/>
          </w:tcPr>
          <w:p w:rsidR="00F32AF4" w:rsidRPr="00555F32" w:rsidRDefault="009D4012" w:rsidP="00DB1BDC">
            <w:pPr>
              <w:jc w:val="right"/>
              <w:rPr>
                <w:rFonts w:ascii="Arial" w:hAnsi="Arial" w:cs="Arial"/>
                <w:b/>
                <w:color w:val="000000"/>
              </w:rPr>
            </w:pPr>
            <w:r w:rsidRPr="00555F32">
              <w:rPr>
                <w:rFonts w:ascii="Arial" w:hAnsi="Arial" w:cs="Arial"/>
                <w:b/>
                <w:color w:val="000000"/>
              </w:rPr>
              <w:t>▲</w:t>
            </w:r>
            <w:r w:rsidR="004936A7">
              <w:rPr>
                <w:rFonts w:ascii="Arial" w:hAnsi="Arial" w:cs="Arial"/>
                <w:b/>
                <w:color w:val="000000"/>
              </w:rPr>
              <w:t>5,95</w:t>
            </w:r>
            <w:r w:rsidR="00F32AF4" w:rsidRPr="00555F32">
              <w:rPr>
                <w:rFonts w:ascii="Arial" w:hAnsi="Arial" w:cs="Arial"/>
                <w:b/>
                <w:color w:val="000000"/>
              </w:rPr>
              <w:t>%</w:t>
            </w:r>
          </w:p>
        </w:tc>
      </w:tr>
      <w:tr w:rsidR="00F32AF4" w:rsidRPr="007729CF" w:rsidTr="00DB1BDC">
        <w:trPr>
          <w:trHeight w:val="343"/>
          <w:jc w:val="center"/>
        </w:trPr>
        <w:tc>
          <w:tcPr>
            <w:tcW w:w="4038" w:type="dxa"/>
            <w:shd w:val="clear" w:color="auto" w:fill="DEEAF6" w:themeFill="accent1" w:themeFillTint="33"/>
            <w:vAlign w:val="center"/>
            <w:hideMark/>
          </w:tcPr>
          <w:p w:rsidR="00F32AF4" w:rsidRPr="007729CF" w:rsidRDefault="00F32AF4" w:rsidP="00F32AF4">
            <w:pPr>
              <w:spacing w:line="276" w:lineRule="auto"/>
              <w:rPr>
                <w:rFonts w:ascii="Arial" w:hAnsi="Arial" w:cs="Arial"/>
                <w:b/>
                <w:bCs/>
                <w:lang w:val="en-US"/>
              </w:rPr>
            </w:pPr>
            <w:r w:rsidRPr="007729CF">
              <w:rPr>
                <w:rFonts w:ascii="Arial" w:hAnsi="Arial" w:cs="Arial"/>
                <w:b/>
                <w:bCs/>
                <w:lang w:val="en-US"/>
              </w:rPr>
              <w:t>Total capitaluri proprii și datorii</w:t>
            </w:r>
          </w:p>
        </w:tc>
        <w:tc>
          <w:tcPr>
            <w:tcW w:w="1902" w:type="dxa"/>
            <w:shd w:val="clear" w:color="auto" w:fill="DEEAF6" w:themeFill="accent1" w:themeFillTint="33"/>
            <w:noWrap/>
            <w:vAlign w:val="center"/>
          </w:tcPr>
          <w:p w:rsidR="00F32AF4" w:rsidRDefault="00F32AF4" w:rsidP="00DB1BDC">
            <w:pPr>
              <w:jc w:val="right"/>
              <w:rPr>
                <w:rFonts w:ascii="Arial" w:hAnsi="Arial" w:cs="Arial"/>
                <w:b/>
                <w:bCs/>
                <w:color w:val="000000"/>
              </w:rPr>
            </w:pPr>
            <w:r>
              <w:rPr>
                <w:rFonts w:ascii="Arial" w:hAnsi="Arial" w:cs="Arial"/>
                <w:b/>
                <w:bCs/>
                <w:color w:val="000000"/>
              </w:rPr>
              <w:t>717.139</w:t>
            </w:r>
          </w:p>
        </w:tc>
        <w:tc>
          <w:tcPr>
            <w:tcW w:w="1890" w:type="dxa"/>
            <w:shd w:val="clear" w:color="auto" w:fill="DEEAF6" w:themeFill="accent1" w:themeFillTint="33"/>
            <w:noWrap/>
            <w:vAlign w:val="center"/>
          </w:tcPr>
          <w:p w:rsidR="00F32AF4" w:rsidRPr="007729CF" w:rsidRDefault="00F32AF4" w:rsidP="00DB1BDC">
            <w:pPr>
              <w:jc w:val="right"/>
              <w:rPr>
                <w:rFonts w:ascii="Arial" w:hAnsi="Arial" w:cs="Arial"/>
                <w:b/>
              </w:rPr>
            </w:pPr>
            <w:r w:rsidRPr="007729CF">
              <w:rPr>
                <w:rFonts w:ascii="Arial" w:hAnsi="Arial" w:cs="Arial"/>
                <w:b/>
              </w:rPr>
              <w:t>748.773</w:t>
            </w:r>
          </w:p>
        </w:tc>
        <w:tc>
          <w:tcPr>
            <w:tcW w:w="1206" w:type="dxa"/>
            <w:shd w:val="clear" w:color="auto" w:fill="DEEAF6" w:themeFill="accent1" w:themeFillTint="33"/>
            <w:vAlign w:val="center"/>
          </w:tcPr>
          <w:p w:rsidR="00F32AF4" w:rsidRDefault="005C0320" w:rsidP="00DB1BDC">
            <w:pPr>
              <w:jc w:val="right"/>
              <w:rPr>
                <w:rFonts w:ascii="Arial" w:hAnsi="Arial" w:cs="Arial"/>
                <w:b/>
                <w:bCs/>
                <w:color w:val="000000"/>
              </w:rPr>
            </w:pPr>
            <w:r w:rsidRPr="007729CF">
              <w:rPr>
                <w:rFonts w:ascii="Arial" w:hAnsi="Arial" w:cs="Arial"/>
                <w:b/>
                <w:bCs/>
                <w:lang w:val="en-US" w:eastAsia="en-US"/>
              </w:rPr>
              <w:t>▼</w:t>
            </w:r>
            <w:r w:rsidR="00081535">
              <w:rPr>
                <w:rFonts w:ascii="Arial" w:hAnsi="Arial" w:cs="Arial"/>
                <w:b/>
                <w:bCs/>
                <w:color w:val="000000"/>
              </w:rPr>
              <w:t>4,2</w:t>
            </w:r>
            <w:r w:rsidR="004936A7">
              <w:rPr>
                <w:rFonts w:ascii="Arial" w:hAnsi="Arial" w:cs="Arial"/>
                <w:b/>
                <w:bCs/>
                <w:color w:val="000000"/>
              </w:rPr>
              <w:t>2</w:t>
            </w:r>
            <w:r w:rsidR="00F32AF4">
              <w:rPr>
                <w:rFonts w:ascii="Arial" w:hAnsi="Arial" w:cs="Arial"/>
                <w:b/>
                <w:bCs/>
                <w:color w:val="000000"/>
              </w:rPr>
              <w:t>%</w:t>
            </w:r>
          </w:p>
        </w:tc>
      </w:tr>
    </w:tbl>
    <w:p w:rsidR="00176602" w:rsidRDefault="00176602" w:rsidP="00E20FB9">
      <w:pPr>
        <w:widowControl/>
        <w:autoSpaceDE/>
        <w:autoSpaceDN/>
        <w:adjustRightInd/>
        <w:spacing w:after="120"/>
        <w:jc w:val="center"/>
        <w:rPr>
          <w:rFonts w:ascii="Arial" w:hAnsi="Arial" w:cs="Arial"/>
          <w:i/>
          <w:sz w:val="18"/>
          <w:szCs w:val="18"/>
          <w:lang w:val="fr-FR" w:eastAsia="en-US"/>
        </w:rPr>
      </w:pPr>
    </w:p>
    <w:p w:rsidR="00DD357E" w:rsidRPr="00E20FB9" w:rsidRDefault="001929CB" w:rsidP="00E20FB9">
      <w:pPr>
        <w:widowControl/>
        <w:autoSpaceDE/>
        <w:autoSpaceDN/>
        <w:adjustRightInd/>
        <w:spacing w:after="120"/>
        <w:jc w:val="center"/>
        <w:rPr>
          <w:rFonts w:ascii="Arial" w:hAnsi="Arial" w:cs="Arial"/>
          <w:i/>
          <w:sz w:val="18"/>
          <w:szCs w:val="18"/>
          <w:lang w:val="fr-FR" w:eastAsia="en-US"/>
        </w:rPr>
      </w:pPr>
      <w:r w:rsidRPr="0053792A">
        <w:rPr>
          <w:rFonts w:ascii="Arial" w:hAnsi="Arial" w:cs="Arial"/>
          <w:i/>
          <w:sz w:val="18"/>
          <w:szCs w:val="18"/>
          <w:lang w:val="fr-FR" w:eastAsia="en-US"/>
        </w:rPr>
        <w:t>Tabel</w:t>
      </w:r>
      <w:r w:rsidR="0053792A" w:rsidRPr="0053792A">
        <w:rPr>
          <w:rFonts w:ascii="Arial" w:hAnsi="Arial" w:cs="Arial"/>
          <w:i/>
          <w:sz w:val="18"/>
          <w:szCs w:val="18"/>
          <w:lang w:val="fr-FR" w:eastAsia="en-US"/>
        </w:rPr>
        <w:t xml:space="preserve"> </w:t>
      </w:r>
      <w:r w:rsidR="007239FA">
        <w:rPr>
          <w:rFonts w:ascii="Arial" w:hAnsi="Arial" w:cs="Arial"/>
          <w:i/>
          <w:sz w:val="18"/>
          <w:szCs w:val="18"/>
          <w:lang w:val="fr-FR" w:eastAsia="en-US"/>
        </w:rPr>
        <w:t>10</w:t>
      </w:r>
      <w:r w:rsidR="0053792A" w:rsidRPr="0053792A">
        <w:rPr>
          <w:rFonts w:ascii="Arial" w:hAnsi="Arial" w:cs="Arial"/>
          <w:i/>
          <w:sz w:val="18"/>
          <w:szCs w:val="18"/>
          <w:lang w:val="fr-FR" w:eastAsia="en-US"/>
        </w:rPr>
        <w:t xml:space="preserve"> </w:t>
      </w:r>
      <w:r w:rsidRPr="0053792A">
        <w:rPr>
          <w:rFonts w:ascii="Arial" w:hAnsi="Arial" w:cs="Arial"/>
          <w:i/>
          <w:sz w:val="18"/>
          <w:szCs w:val="18"/>
          <w:lang w:val="fr-FR" w:eastAsia="en-US"/>
        </w:rPr>
        <w:t xml:space="preserve">- Sinteza poziției financiare a societății la </w:t>
      </w:r>
      <w:r w:rsidR="00A95D99">
        <w:rPr>
          <w:rFonts w:ascii="Arial" w:hAnsi="Arial" w:cs="Arial"/>
          <w:i/>
          <w:sz w:val="18"/>
          <w:szCs w:val="18"/>
          <w:lang w:val="fr-FR" w:eastAsia="en-US"/>
        </w:rPr>
        <w:t>30.06</w:t>
      </w:r>
      <w:r w:rsidRPr="0053792A">
        <w:rPr>
          <w:rFonts w:ascii="Arial" w:hAnsi="Arial" w:cs="Arial"/>
          <w:i/>
          <w:sz w:val="18"/>
          <w:szCs w:val="18"/>
          <w:lang w:val="fr-FR" w:eastAsia="en-US"/>
        </w:rPr>
        <w:t>.2018 fa</w:t>
      </w:r>
      <w:r w:rsidR="00E22DE7">
        <w:rPr>
          <w:rFonts w:ascii="Arial" w:hAnsi="Arial" w:cs="Arial"/>
          <w:i/>
          <w:sz w:val="18"/>
          <w:szCs w:val="18"/>
          <w:lang w:val="fr-FR" w:eastAsia="en-US"/>
        </w:rPr>
        <w:t>ță</w:t>
      </w:r>
      <w:r w:rsidR="00E20FB9">
        <w:rPr>
          <w:rFonts w:ascii="Arial" w:hAnsi="Arial" w:cs="Arial"/>
          <w:i/>
          <w:sz w:val="18"/>
          <w:szCs w:val="18"/>
          <w:lang w:val="fr-FR" w:eastAsia="en-US"/>
        </w:rPr>
        <w:t xml:space="preserve"> de 31.12.2017</w:t>
      </w:r>
    </w:p>
    <w:p w:rsidR="00E20FB9" w:rsidRDefault="00E20FB9" w:rsidP="009C7C35">
      <w:pPr>
        <w:widowControl/>
        <w:autoSpaceDE/>
        <w:autoSpaceDN/>
        <w:adjustRightInd/>
        <w:spacing w:line="276" w:lineRule="auto"/>
        <w:rPr>
          <w:rFonts w:ascii="Arial" w:hAnsi="Arial" w:cs="Arial"/>
          <w:sz w:val="22"/>
          <w:szCs w:val="22"/>
          <w:lang w:val="en-US" w:eastAsia="en-US"/>
        </w:rPr>
      </w:pPr>
    </w:p>
    <w:p w:rsidR="003B3982" w:rsidRPr="00555F32" w:rsidRDefault="00B7422D" w:rsidP="009C7C35">
      <w:pPr>
        <w:widowControl/>
        <w:autoSpaceDE/>
        <w:autoSpaceDN/>
        <w:adjustRightInd/>
        <w:spacing w:line="276" w:lineRule="auto"/>
        <w:rPr>
          <w:rFonts w:ascii="Arial" w:hAnsi="Arial" w:cs="Arial"/>
          <w:sz w:val="22"/>
          <w:szCs w:val="22"/>
          <w:lang w:val="en-US" w:eastAsia="en-US"/>
        </w:rPr>
      </w:pPr>
      <w:r w:rsidRPr="00555F32">
        <w:rPr>
          <w:rFonts w:ascii="Arial" w:hAnsi="Arial" w:cs="Arial"/>
          <w:sz w:val="22"/>
          <w:szCs w:val="22"/>
          <w:lang w:val="en-US" w:eastAsia="en-US"/>
        </w:rPr>
        <w:t xml:space="preserve">Varianta extinsă a </w:t>
      </w:r>
      <w:r w:rsidR="009C7C35" w:rsidRPr="00555F32">
        <w:rPr>
          <w:rFonts w:ascii="Arial" w:hAnsi="Arial" w:cs="Arial"/>
          <w:sz w:val="22"/>
          <w:szCs w:val="22"/>
          <w:lang w:val="en-US" w:eastAsia="en-US"/>
        </w:rPr>
        <w:t>Situați</w:t>
      </w:r>
      <w:r w:rsidRPr="00555F32">
        <w:rPr>
          <w:rFonts w:ascii="Arial" w:hAnsi="Arial" w:cs="Arial"/>
          <w:sz w:val="22"/>
          <w:szCs w:val="22"/>
          <w:lang w:val="en-US" w:eastAsia="en-US"/>
        </w:rPr>
        <w:t xml:space="preserve">ei </w:t>
      </w:r>
      <w:r w:rsidR="009C7C35" w:rsidRPr="00555F32">
        <w:rPr>
          <w:rFonts w:ascii="Arial" w:hAnsi="Arial" w:cs="Arial"/>
          <w:sz w:val="22"/>
          <w:szCs w:val="22"/>
          <w:lang w:val="en-US" w:eastAsia="en-US"/>
        </w:rPr>
        <w:t xml:space="preserve">poziției financiare la </w:t>
      </w:r>
      <w:r w:rsidR="00C526CF" w:rsidRPr="00555F32">
        <w:rPr>
          <w:rFonts w:ascii="Arial" w:hAnsi="Arial" w:cs="Arial"/>
          <w:sz w:val="22"/>
          <w:szCs w:val="22"/>
          <w:lang w:val="en-US" w:eastAsia="en-US"/>
        </w:rPr>
        <w:t>30 iunie</w:t>
      </w:r>
      <w:r w:rsidR="009C7C35" w:rsidRPr="00555F32">
        <w:rPr>
          <w:rFonts w:ascii="Arial" w:hAnsi="Arial" w:cs="Arial"/>
          <w:sz w:val="22"/>
          <w:szCs w:val="22"/>
          <w:lang w:val="en-US" w:eastAsia="en-US"/>
        </w:rPr>
        <w:t xml:space="preserve"> </w:t>
      </w:r>
      <w:r w:rsidR="00DF2C30" w:rsidRPr="00555F32">
        <w:rPr>
          <w:rFonts w:ascii="Arial" w:hAnsi="Arial" w:cs="Arial"/>
          <w:sz w:val="22"/>
          <w:szCs w:val="22"/>
          <w:lang w:val="en-US" w:eastAsia="en-US"/>
        </w:rPr>
        <w:t>2018</w:t>
      </w:r>
      <w:r w:rsidR="009C7C35" w:rsidRPr="00555F32">
        <w:rPr>
          <w:rFonts w:ascii="Arial" w:hAnsi="Arial" w:cs="Arial"/>
          <w:sz w:val="22"/>
          <w:szCs w:val="22"/>
          <w:lang w:val="en-US" w:eastAsia="en-US"/>
        </w:rPr>
        <w:t xml:space="preserve"> este prezentată în </w:t>
      </w:r>
      <w:r w:rsidR="00553E70" w:rsidRPr="00555F32">
        <w:rPr>
          <w:rFonts w:ascii="Arial" w:hAnsi="Arial" w:cs="Arial"/>
          <w:sz w:val="22"/>
          <w:szCs w:val="22"/>
          <w:lang w:val="en-US" w:eastAsia="en-US"/>
        </w:rPr>
        <w:t>A</w:t>
      </w:r>
      <w:r w:rsidR="009C7C35" w:rsidRPr="00555F32">
        <w:rPr>
          <w:rFonts w:ascii="Arial" w:hAnsi="Arial" w:cs="Arial"/>
          <w:sz w:val="22"/>
          <w:szCs w:val="22"/>
          <w:lang w:val="en-US" w:eastAsia="en-US"/>
        </w:rPr>
        <w:t xml:space="preserve">nexa </w:t>
      </w:r>
      <w:r w:rsidR="00AB5FEE" w:rsidRPr="00555F32">
        <w:rPr>
          <w:rFonts w:ascii="Arial" w:hAnsi="Arial" w:cs="Arial"/>
          <w:sz w:val="22"/>
          <w:szCs w:val="22"/>
          <w:lang w:val="en-US" w:eastAsia="en-US"/>
        </w:rPr>
        <w:t>nr.</w:t>
      </w:r>
      <w:r w:rsidR="009C7C35" w:rsidRPr="00555F32">
        <w:rPr>
          <w:rFonts w:ascii="Arial" w:hAnsi="Arial" w:cs="Arial"/>
          <w:sz w:val="22"/>
          <w:szCs w:val="22"/>
          <w:lang w:val="en-US" w:eastAsia="en-US"/>
        </w:rPr>
        <w:t>1</w:t>
      </w:r>
      <w:r w:rsidR="00D70714" w:rsidRPr="00555F32">
        <w:rPr>
          <w:rFonts w:ascii="Arial" w:hAnsi="Arial" w:cs="Arial"/>
          <w:sz w:val="22"/>
          <w:szCs w:val="22"/>
          <w:lang w:val="en-US" w:eastAsia="en-US"/>
        </w:rPr>
        <w:t>.</w:t>
      </w:r>
    </w:p>
    <w:p w:rsidR="00065B41" w:rsidRPr="00A72BEA" w:rsidRDefault="00065B41" w:rsidP="00170C8B">
      <w:pPr>
        <w:widowControl/>
        <w:autoSpaceDE/>
        <w:autoSpaceDN/>
        <w:adjustRightInd/>
        <w:spacing w:line="200" w:lineRule="exact"/>
        <w:rPr>
          <w:rFonts w:ascii="Arial" w:hAnsi="Arial" w:cs="Arial"/>
          <w:b/>
          <w:color w:val="FF0000"/>
          <w:sz w:val="22"/>
          <w:szCs w:val="22"/>
          <w:lang w:val="en-US" w:eastAsia="en-US"/>
        </w:rPr>
      </w:pPr>
    </w:p>
    <w:p w:rsidR="00C95317" w:rsidRPr="00555F32" w:rsidRDefault="00C95317" w:rsidP="000502E4">
      <w:pPr>
        <w:widowControl/>
        <w:autoSpaceDE/>
        <w:autoSpaceDN/>
        <w:adjustRightInd/>
        <w:spacing w:line="276" w:lineRule="auto"/>
        <w:jc w:val="both"/>
        <w:rPr>
          <w:rFonts w:ascii="Arial" w:hAnsi="Arial" w:cs="Arial"/>
          <w:sz w:val="22"/>
          <w:szCs w:val="22"/>
          <w:lang w:val="fr-FR" w:eastAsia="en-US"/>
        </w:rPr>
      </w:pPr>
      <w:r w:rsidRPr="00261EC0">
        <w:rPr>
          <w:rFonts w:ascii="Arial" w:hAnsi="Arial" w:cs="Arial"/>
          <w:b/>
          <w:color w:val="1F4E79" w:themeColor="accent1" w:themeShade="80"/>
          <w:sz w:val="22"/>
          <w:szCs w:val="22"/>
          <w:lang w:val="fr-FR" w:eastAsia="en-US"/>
        </w:rPr>
        <w:t>Activele totale</w:t>
      </w:r>
      <w:r w:rsidRPr="00261EC0">
        <w:rPr>
          <w:rFonts w:ascii="Arial" w:hAnsi="Arial" w:cs="Arial"/>
          <w:color w:val="1F4E79" w:themeColor="accent1" w:themeShade="80"/>
          <w:sz w:val="22"/>
          <w:szCs w:val="22"/>
          <w:lang w:val="fr-FR" w:eastAsia="en-US"/>
        </w:rPr>
        <w:t xml:space="preserve"> </w:t>
      </w:r>
      <w:r w:rsidRPr="00555F32">
        <w:rPr>
          <w:rFonts w:ascii="Arial" w:hAnsi="Arial" w:cs="Arial"/>
          <w:sz w:val="22"/>
          <w:szCs w:val="22"/>
          <w:lang w:val="fr-FR" w:eastAsia="en-US"/>
        </w:rPr>
        <w:t xml:space="preserve">au </w:t>
      </w:r>
      <w:r w:rsidR="00553E70" w:rsidRPr="00555F32">
        <w:rPr>
          <w:rFonts w:ascii="Arial" w:hAnsi="Arial" w:cs="Arial"/>
          <w:sz w:val="22"/>
          <w:szCs w:val="22"/>
          <w:lang w:val="fr-FR" w:eastAsia="en-US"/>
        </w:rPr>
        <w:t>scăzut</w:t>
      </w:r>
      <w:r w:rsidR="00D70714" w:rsidRPr="00555F32">
        <w:rPr>
          <w:rFonts w:ascii="Arial" w:hAnsi="Arial" w:cs="Arial"/>
          <w:sz w:val="22"/>
          <w:szCs w:val="22"/>
          <w:lang w:val="fr-FR" w:eastAsia="en-US"/>
        </w:rPr>
        <w:t xml:space="preserve"> cu </w:t>
      </w:r>
      <w:r w:rsidR="00553E70" w:rsidRPr="00555F32">
        <w:rPr>
          <w:rFonts w:ascii="Arial" w:hAnsi="Arial" w:cs="Arial"/>
          <w:sz w:val="22"/>
          <w:szCs w:val="22"/>
          <w:lang w:val="fr-FR" w:eastAsia="en-US"/>
        </w:rPr>
        <w:t>4,2</w:t>
      </w:r>
      <w:r w:rsidR="004936A7">
        <w:rPr>
          <w:rFonts w:ascii="Arial" w:hAnsi="Arial" w:cs="Arial"/>
          <w:sz w:val="22"/>
          <w:szCs w:val="22"/>
          <w:lang w:val="fr-FR" w:eastAsia="en-US"/>
        </w:rPr>
        <w:t>2</w:t>
      </w:r>
      <w:r w:rsidR="00D70714" w:rsidRPr="00555F32">
        <w:rPr>
          <w:rFonts w:ascii="Arial" w:hAnsi="Arial" w:cs="Arial"/>
          <w:sz w:val="22"/>
          <w:szCs w:val="22"/>
          <w:lang w:val="fr-FR" w:eastAsia="en-US"/>
        </w:rPr>
        <w:t>% (</w:t>
      </w:r>
      <w:r w:rsidR="00553E70" w:rsidRPr="00555F32">
        <w:rPr>
          <w:rFonts w:ascii="Arial" w:hAnsi="Arial" w:cs="Arial"/>
          <w:sz w:val="22"/>
          <w:szCs w:val="22"/>
          <w:lang w:val="fr-FR" w:eastAsia="en-US"/>
        </w:rPr>
        <w:t>31</w:t>
      </w:r>
      <w:r w:rsidR="0087324D" w:rsidRPr="00555F32">
        <w:rPr>
          <w:rFonts w:ascii="Arial" w:hAnsi="Arial" w:cs="Arial"/>
          <w:sz w:val="22"/>
          <w:szCs w:val="22"/>
          <w:lang w:val="fr-FR" w:eastAsia="en-US"/>
        </w:rPr>
        <w:t>.</w:t>
      </w:r>
      <w:r w:rsidR="00553E70" w:rsidRPr="00555F32">
        <w:rPr>
          <w:rFonts w:ascii="Arial" w:hAnsi="Arial" w:cs="Arial"/>
          <w:sz w:val="22"/>
          <w:szCs w:val="22"/>
          <w:lang w:val="fr-FR" w:eastAsia="en-US"/>
        </w:rPr>
        <w:t>634</w:t>
      </w:r>
      <w:r w:rsidR="0087324D" w:rsidRPr="00555F32">
        <w:rPr>
          <w:rFonts w:ascii="Arial" w:hAnsi="Arial" w:cs="Arial"/>
          <w:sz w:val="22"/>
          <w:szCs w:val="22"/>
          <w:lang w:val="fr-FR" w:eastAsia="en-US"/>
        </w:rPr>
        <w:t xml:space="preserve"> mii</w:t>
      </w:r>
      <w:r w:rsidR="00D70714" w:rsidRPr="00555F32">
        <w:rPr>
          <w:rFonts w:ascii="Arial" w:hAnsi="Arial" w:cs="Arial"/>
          <w:sz w:val="22"/>
          <w:szCs w:val="22"/>
          <w:lang w:val="fr-FR" w:eastAsia="en-US"/>
        </w:rPr>
        <w:t xml:space="preserve"> lei) fa</w:t>
      </w:r>
      <w:r w:rsidR="00AB5FEE" w:rsidRPr="00555F32">
        <w:rPr>
          <w:rFonts w:ascii="Arial" w:hAnsi="Arial" w:cs="Arial"/>
          <w:sz w:val="22"/>
          <w:szCs w:val="22"/>
          <w:lang w:val="fr-FR" w:eastAsia="en-US"/>
        </w:rPr>
        <w:t>ță</w:t>
      </w:r>
      <w:r w:rsidR="00D70714" w:rsidRPr="00555F32">
        <w:rPr>
          <w:rFonts w:ascii="Arial" w:hAnsi="Arial" w:cs="Arial"/>
          <w:sz w:val="22"/>
          <w:szCs w:val="22"/>
          <w:lang w:val="fr-FR" w:eastAsia="en-US"/>
        </w:rPr>
        <w:t xml:space="preserve"> de nivelul </w:t>
      </w:r>
      <w:r w:rsidR="00AB5FEE" w:rsidRPr="00555F32">
        <w:rPr>
          <w:rFonts w:ascii="Arial" w:hAnsi="Arial" w:cs="Arial"/>
          <w:sz w:val="22"/>
          <w:szCs w:val="22"/>
          <w:lang w:val="fr-FR" w:eastAsia="en-US"/>
        </w:rPr>
        <w:t>î</w:t>
      </w:r>
      <w:r w:rsidR="00D70714" w:rsidRPr="00555F32">
        <w:rPr>
          <w:rFonts w:ascii="Arial" w:hAnsi="Arial" w:cs="Arial"/>
          <w:sz w:val="22"/>
          <w:szCs w:val="22"/>
          <w:lang w:val="fr-FR" w:eastAsia="en-US"/>
        </w:rPr>
        <w:t>nregistrat la 31</w:t>
      </w:r>
      <w:r w:rsidRPr="00555F32">
        <w:rPr>
          <w:rFonts w:ascii="Arial" w:hAnsi="Arial" w:cs="Arial"/>
          <w:sz w:val="22"/>
          <w:szCs w:val="22"/>
          <w:lang w:val="fr-FR" w:eastAsia="en-US"/>
        </w:rPr>
        <w:t xml:space="preserve"> decembrie </w:t>
      </w:r>
      <w:r w:rsidR="00DF2C30" w:rsidRPr="00555F32">
        <w:rPr>
          <w:rFonts w:ascii="Arial" w:hAnsi="Arial" w:cs="Arial"/>
          <w:sz w:val="22"/>
          <w:szCs w:val="22"/>
          <w:lang w:val="fr-FR" w:eastAsia="en-US"/>
        </w:rPr>
        <w:t>2017</w:t>
      </w:r>
      <w:r w:rsidR="00266562">
        <w:rPr>
          <w:rFonts w:ascii="Arial" w:hAnsi="Arial" w:cs="Arial"/>
          <w:sz w:val="22"/>
          <w:szCs w:val="22"/>
          <w:lang w:val="fr-FR" w:eastAsia="en-US"/>
        </w:rPr>
        <w:t xml:space="preserve"> ca urmare a sc</w:t>
      </w:r>
      <w:r w:rsidR="00266562">
        <w:rPr>
          <w:rFonts w:ascii="Arial" w:hAnsi="Arial" w:cs="Arial"/>
          <w:sz w:val="22"/>
          <w:szCs w:val="22"/>
          <w:lang w:eastAsia="en-US"/>
        </w:rPr>
        <w:t>ă</w:t>
      </w:r>
      <w:r w:rsidR="00251249">
        <w:rPr>
          <w:rFonts w:ascii="Arial" w:hAnsi="Arial" w:cs="Arial"/>
          <w:sz w:val="22"/>
          <w:szCs w:val="22"/>
          <w:lang w:val="fr-FR" w:eastAsia="en-US"/>
        </w:rPr>
        <w:t>derii activelor circulante</w:t>
      </w:r>
      <w:r w:rsidR="00266562">
        <w:rPr>
          <w:rFonts w:ascii="Arial" w:hAnsi="Arial" w:cs="Arial"/>
          <w:sz w:val="22"/>
          <w:szCs w:val="22"/>
          <w:lang w:val="fr-FR" w:eastAsia="en-US"/>
        </w:rPr>
        <w:t>.</w:t>
      </w:r>
    </w:p>
    <w:p w:rsidR="00D70714" w:rsidRPr="00A72BEA" w:rsidRDefault="00D70714" w:rsidP="00B30ED3">
      <w:pPr>
        <w:widowControl/>
        <w:autoSpaceDE/>
        <w:autoSpaceDN/>
        <w:adjustRightInd/>
        <w:spacing w:line="276" w:lineRule="auto"/>
        <w:jc w:val="both"/>
        <w:rPr>
          <w:rFonts w:ascii="Arial" w:hAnsi="Arial" w:cs="Arial"/>
          <w:color w:val="FF0000"/>
          <w:sz w:val="16"/>
          <w:szCs w:val="16"/>
          <w:lang w:val="fr-FR" w:eastAsia="en-US"/>
        </w:rPr>
      </w:pPr>
    </w:p>
    <w:p w:rsidR="002C7CCD" w:rsidRPr="00555F32" w:rsidRDefault="00D70714" w:rsidP="00B30ED3">
      <w:pPr>
        <w:widowControl/>
        <w:autoSpaceDE/>
        <w:autoSpaceDN/>
        <w:adjustRightInd/>
        <w:spacing w:line="276" w:lineRule="auto"/>
        <w:jc w:val="both"/>
        <w:rPr>
          <w:rFonts w:ascii="Arial" w:hAnsi="Arial" w:cs="Arial"/>
          <w:sz w:val="22"/>
          <w:szCs w:val="22"/>
          <w:lang w:val="fr-FR" w:eastAsia="en-US"/>
        </w:rPr>
      </w:pPr>
      <w:r w:rsidRPr="00261EC0">
        <w:rPr>
          <w:rFonts w:ascii="Arial" w:hAnsi="Arial" w:cs="Arial"/>
          <w:b/>
          <w:color w:val="1F4E79" w:themeColor="accent1" w:themeShade="80"/>
          <w:sz w:val="22"/>
          <w:szCs w:val="22"/>
          <w:lang w:val="fr-FR" w:eastAsia="en-US"/>
        </w:rPr>
        <w:t>Activele imobilizate</w:t>
      </w:r>
      <w:r w:rsidRPr="00261EC0">
        <w:rPr>
          <w:rFonts w:ascii="Arial" w:hAnsi="Arial" w:cs="Arial"/>
          <w:color w:val="1F4E79" w:themeColor="accent1" w:themeShade="80"/>
          <w:sz w:val="22"/>
          <w:szCs w:val="22"/>
          <w:lang w:val="fr-FR" w:eastAsia="en-US"/>
        </w:rPr>
        <w:t xml:space="preserve"> </w:t>
      </w:r>
      <w:r w:rsidRPr="00555F32">
        <w:rPr>
          <w:rFonts w:ascii="Arial" w:hAnsi="Arial" w:cs="Arial"/>
          <w:sz w:val="22"/>
          <w:szCs w:val="22"/>
          <w:lang w:val="fr-FR" w:eastAsia="en-US"/>
        </w:rPr>
        <w:t>au</w:t>
      </w:r>
      <w:r w:rsidR="00553E70" w:rsidRPr="00555F32">
        <w:rPr>
          <w:rFonts w:ascii="Arial" w:hAnsi="Arial" w:cs="Arial"/>
          <w:sz w:val="22"/>
          <w:szCs w:val="22"/>
          <w:lang w:val="fr-FR" w:eastAsia="en-US"/>
        </w:rPr>
        <w:t xml:space="preserve"> î</w:t>
      </w:r>
      <w:r w:rsidR="00C95317" w:rsidRPr="00555F32">
        <w:rPr>
          <w:rFonts w:ascii="Arial" w:hAnsi="Arial" w:cs="Arial"/>
          <w:sz w:val="22"/>
          <w:szCs w:val="22"/>
          <w:lang w:val="fr-FR" w:eastAsia="en-US"/>
        </w:rPr>
        <w:t>nregistra</w:t>
      </w:r>
      <w:r w:rsidRPr="00555F32">
        <w:rPr>
          <w:rFonts w:ascii="Arial" w:hAnsi="Arial" w:cs="Arial"/>
          <w:sz w:val="22"/>
          <w:szCs w:val="22"/>
          <w:lang w:val="fr-FR" w:eastAsia="en-US"/>
        </w:rPr>
        <w:t>t</w:t>
      </w:r>
      <w:r w:rsidR="00B30ED3" w:rsidRPr="00555F32">
        <w:rPr>
          <w:rFonts w:ascii="Arial" w:hAnsi="Arial" w:cs="Arial"/>
          <w:sz w:val="22"/>
          <w:szCs w:val="22"/>
          <w:lang w:val="fr-FR" w:eastAsia="en-US"/>
        </w:rPr>
        <w:t xml:space="preserve"> la </w:t>
      </w:r>
      <w:r w:rsidR="00A95D99" w:rsidRPr="00555F32">
        <w:rPr>
          <w:rFonts w:ascii="Arial" w:hAnsi="Arial" w:cs="Arial"/>
          <w:sz w:val="22"/>
          <w:szCs w:val="22"/>
          <w:lang w:val="fr-FR" w:eastAsia="en-US"/>
        </w:rPr>
        <w:t>30.06</w:t>
      </w:r>
      <w:r w:rsidR="00B30ED3" w:rsidRPr="00555F32">
        <w:rPr>
          <w:rFonts w:ascii="Arial" w:hAnsi="Arial" w:cs="Arial"/>
          <w:sz w:val="22"/>
          <w:szCs w:val="22"/>
          <w:lang w:val="fr-FR" w:eastAsia="en-US"/>
        </w:rPr>
        <w:t>.2018</w:t>
      </w:r>
      <w:r w:rsidR="00C95317" w:rsidRPr="00555F32">
        <w:rPr>
          <w:rFonts w:ascii="Arial" w:hAnsi="Arial" w:cs="Arial"/>
          <w:sz w:val="22"/>
          <w:szCs w:val="22"/>
          <w:lang w:val="fr-FR" w:eastAsia="en-US"/>
        </w:rPr>
        <w:t xml:space="preserve"> o </w:t>
      </w:r>
      <w:r w:rsidR="0087324D" w:rsidRPr="00555F32">
        <w:rPr>
          <w:rFonts w:ascii="Arial" w:hAnsi="Arial" w:cs="Arial"/>
          <w:sz w:val="22"/>
          <w:szCs w:val="22"/>
          <w:lang w:val="fr-FR" w:eastAsia="en-US"/>
        </w:rPr>
        <w:t>cre</w:t>
      </w:r>
      <w:r w:rsidR="00B30ED3" w:rsidRPr="00555F32">
        <w:rPr>
          <w:rFonts w:ascii="Arial" w:hAnsi="Arial" w:cs="Arial"/>
          <w:sz w:val="22"/>
          <w:szCs w:val="22"/>
          <w:lang w:val="fr-FR" w:eastAsia="en-US"/>
        </w:rPr>
        <w:t>ș</w:t>
      </w:r>
      <w:r w:rsidR="0087324D" w:rsidRPr="00555F32">
        <w:rPr>
          <w:rFonts w:ascii="Arial" w:hAnsi="Arial" w:cs="Arial"/>
          <w:sz w:val="22"/>
          <w:szCs w:val="22"/>
          <w:lang w:val="fr-FR" w:eastAsia="en-US"/>
        </w:rPr>
        <w:t>tere</w:t>
      </w:r>
      <w:r w:rsidR="00C95317" w:rsidRPr="00555F32">
        <w:rPr>
          <w:rFonts w:ascii="Arial" w:hAnsi="Arial" w:cs="Arial"/>
          <w:sz w:val="22"/>
          <w:szCs w:val="22"/>
          <w:lang w:val="fr-FR" w:eastAsia="en-US"/>
        </w:rPr>
        <w:t xml:space="preserve"> </w:t>
      </w:r>
      <w:r w:rsidRPr="00555F32">
        <w:rPr>
          <w:rFonts w:ascii="Arial" w:hAnsi="Arial" w:cs="Arial"/>
          <w:sz w:val="22"/>
          <w:szCs w:val="22"/>
          <w:lang w:val="fr-FR" w:eastAsia="en-US"/>
        </w:rPr>
        <w:t xml:space="preserve">de </w:t>
      </w:r>
      <w:r w:rsidR="00C16817" w:rsidRPr="00555F32">
        <w:rPr>
          <w:rFonts w:ascii="Arial" w:hAnsi="Arial" w:cs="Arial"/>
          <w:sz w:val="22"/>
          <w:szCs w:val="22"/>
          <w:lang w:val="fr-FR" w:eastAsia="en-US"/>
        </w:rPr>
        <w:t>2</w:t>
      </w:r>
      <w:r w:rsidR="0087324D" w:rsidRPr="00555F32">
        <w:rPr>
          <w:rFonts w:ascii="Arial" w:hAnsi="Arial" w:cs="Arial"/>
          <w:sz w:val="22"/>
          <w:szCs w:val="22"/>
          <w:lang w:val="fr-FR" w:eastAsia="en-US"/>
        </w:rPr>
        <w:t>,</w:t>
      </w:r>
      <w:r w:rsidR="00C16817" w:rsidRPr="00555F32">
        <w:rPr>
          <w:rFonts w:ascii="Arial" w:hAnsi="Arial" w:cs="Arial"/>
          <w:sz w:val="22"/>
          <w:szCs w:val="22"/>
          <w:lang w:val="fr-FR" w:eastAsia="en-US"/>
        </w:rPr>
        <w:t>7</w:t>
      </w:r>
      <w:r w:rsidR="009D068B">
        <w:rPr>
          <w:rFonts w:ascii="Arial" w:hAnsi="Arial" w:cs="Arial"/>
          <w:sz w:val="22"/>
          <w:szCs w:val="22"/>
          <w:lang w:val="fr-FR" w:eastAsia="en-US"/>
        </w:rPr>
        <w:t>0</w:t>
      </w:r>
      <w:r w:rsidR="004E6FD5" w:rsidRPr="00555F32">
        <w:rPr>
          <w:rFonts w:ascii="Arial" w:hAnsi="Arial" w:cs="Arial"/>
          <w:sz w:val="22"/>
          <w:szCs w:val="22"/>
          <w:lang w:val="fr-FR" w:eastAsia="en-US"/>
        </w:rPr>
        <w:t>%</w:t>
      </w:r>
      <w:r w:rsidR="00251249">
        <w:rPr>
          <w:rFonts w:ascii="Arial" w:hAnsi="Arial" w:cs="Arial"/>
          <w:sz w:val="22"/>
          <w:szCs w:val="22"/>
          <w:lang w:val="fr-FR" w:eastAsia="en-US"/>
        </w:rPr>
        <w:t xml:space="preserve">, </w:t>
      </w:r>
      <w:r w:rsidRPr="00555F32">
        <w:rPr>
          <w:rFonts w:ascii="Arial" w:hAnsi="Arial" w:cs="Arial"/>
          <w:sz w:val="22"/>
          <w:szCs w:val="22"/>
          <w:lang w:val="fr-FR" w:eastAsia="en-US"/>
        </w:rPr>
        <w:t>fa</w:t>
      </w:r>
      <w:r w:rsidR="00AB5FEE" w:rsidRPr="00555F32">
        <w:rPr>
          <w:rFonts w:ascii="Arial" w:hAnsi="Arial" w:cs="Arial"/>
          <w:sz w:val="22"/>
          <w:szCs w:val="22"/>
          <w:lang w:val="fr-FR" w:eastAsia="en-US"/>
        </w:rPr>
        <w:t>ță</w:t>
      </w:r>
      <w:r w:rsidRPr="00555F32">
        <w:rPr>
          <w:rFonts w:ascii="Arial" w:hAnsi="Arial" w:cs="Arial"/>
          <w:sz w:val="22"/>
          <w:szCs w:val="22"/>
          <w:lang w:val="fr-FR" w:eastAsia="en-US"/>
        </w:rPr>
        <w:t xml:space="preserve"> de 31 decembrie </w:t>
      </w:r>
      <w:r w:rsidR="00DF2C30" w:rsidRPr="00555F32">
        <w:rPr>
          <w:rFonts w:ascii="Arial" w:hAnsi="Arial" w:cs="Arial"/>
          <w:sz w:val="22"/>
          <w:szCs w:val="22"/>
          <w:lang w:val="fr-FR" w:eastAsia="en-US"/>
        </w:rPr>
        <w:t>2017</w:t>
      </w:r>
      <w:r w:rsidRPr="00555F32">
        <w:rPr>
          <w:rFonts w:ascii="Arial" w:hAnsi="Arial" w:cs="Arial"/>
          <w:sz w:val="22"/>
          <w:szCs w:val="22"/>
          <w:lang w:val="fr-FR" w:eastAsia="en-US"/>
        </w:rPr>
        <w:t>,</w:t>
      </w:r>
      <w:r w:rsidR="00B30ED3" w:rsidRPr="00555F32">
        <w:rPr>
          <w:rFonts w:ascii="Arial" w:hAnsi="Arial" w:cs="Arial"/>
          <w:sz w:val="22"/>
          <w:szCs w:val="22"/>
          <w:lang w:val="fr-FR" w:eastAsia="en-US"/>
        </w:rPr>
        <w:t xml:space="preserve"> </w:t>
      </w:r>
      <w:r w:rsidR="002C7CCD" w:rsidRPr="00555F32">
        <w:rPr>
          <w:rFonts w:ascii="Arial" w:hAnsi="Arial" w:cs="Arial"/>
          <w:sz w:val="22"/>
          <w:szCs w:val="22"/>
          <w:lang w:val="fr-FR" w:eastAsia="en-US"/>
        </w:rPr>
        <w:t xml:space="preserve">generată în principal de intrări de active fixe în valoare mai mare decât valoarea amortizării înregistrată în </w:t>
      </w:r>
      <w:r w:rsidR="00805DA2">
        <w:rPr>
          <w:rFonts w:ascii="Arial" w:hAnsi="Arial" w:cs="Arial"/>
          <w:sz w:val="22"/>
          <w:szCs w:val="22"/>
          <w:lang w:val="fr-FR" w:eastAsia="en-US"/>
        </w:rPr>
        <w:t>s</w:t>
      </w:r>
      <w:r w:rsidR="00805DA2" w:rsidRPr="00555F32">
        <w:rPr>
          <w:rFonts w:ascii="Arial" w:hAnsi="Arial" w:cs="Arial"/>
          <w:sz w:val="22"/>
          <w:szCs w:val="22"/>
          <w:lang w:val="fr-FR" w:eastAsia="en-US"/>
        </w:rPr>
        <w:t xml:space="preserve">emestrul </w:t>
      </w:r>
      <w:r w:rsidR="002C7CCD" w:rsidRPr="00555F32">
        <w:rPr>
          <w:rFonts w:ascii="Arial" w:hAnsi="Arial" w:cs="Arial"/>
          <w:sz w:val="22"/>
          <w:szCs w:val="22"/>
          <w:lang w:val="fr-FR" w:eastAsia="en-US"/>
        </w:rPr>
        <w:t>I 2018.</w:t>
      </w:r>
    </w:p>
    <w:p w:rsidR="0053792A" w:rsidRDefault="0053792A" w:rsidP="00B30ED3">
      <w:pPr>
        <w:widowControl/>
        <w:autoSpaceDE/>
        <w:autoSpaceDN/>
        <w:adjustRightInd/>
        <w:spacing w:line="276" w:lineRule="auto"/>
        <w:jc w:val="both"/>
        <w:rPr>
          <w:rFonts w:ascii="Arial" w:hAnsi="Arial" w:cs="Arial"/>
          <w:color w:val="FF0000"/>
          <w:sz w:val="16"/>
          <w:szCs w:val="16"/>
          <w:lang w:val="fr-FR" w:eastAsia="en-US"/>
        </w:rPr>
      </w:pPr>
    </w:p>
    <w:p w:rsidR="00805DA2" w:rsidRDefault="00805DA2" w:rsidP="00805DA2">
      <w:pPr>
        <w:pStyle w:val="Text"/>
        <w:tabs>
          <w:tab w:val="left" w:pos="450"/>
        </w:tabs>
        <w:spacing w:after="0" w:line="276" w:lineRule="auto"/>
        <w:rPr>
          <w:rFonts w:ascii="Arial" w:hAnsi="Arial" w:cs="Arial"/>
          <w:szCs w:val="22"/>
        </w:rPr>
      </w:pPr>
      <w:r w:rsidRPr="00261EC0">
        <w:rPr>
          <w:rFonts w:ascii="Arial" w:hAnsi="Arial" w:cs="Arial"/>
          <w:b/>
          <w:color w:val="1F4E79" w:themeColor="accent1" w:themeShade="80"/>
          <w:szCs w:val="22"/>
        </w:rPr>
        <w:t>Activele curente</w:t>
      </w:r>
      <w:r w:rsidRPr="00261EC0">
        <w:rPr>
          <w:rFonts w:ascii="Arial" w:hAnsi="Arial" w:cs="Arial"/>
          <w:color w:val="1F4E79" w:themeColor="accent1" w:themeShade="80"/>
          <w:szCs w:val="22"/>
        </w:rPr>
        <w:t xml:space="preserve"> </w:t>
      </w:r>
      <w:r w:rsidRPr="009966CC">
        <w:rPr>
          <w:rFonts w:ascii="Arial" w:hAnsi="Arial" w:cs="Arial"/>
          <w:szCs w:val="22"/>
        </w:rPr>
        <w:t>au</w:t>
      </w:r>
      <w:r>
        <w:rPr>
          <w:rFonts w:ascii="Arial" w:hAnsi="Arial" w:cs="Arial"/>
          <w:szCs w:val="22"/>
        </w:rPr>
        <w:t xml:space="preserve"> sc</w:t>
      </w:r>
      <w:r>
        <w:rPr>
          <w:rFonts w:ascii="Arial" w:hAnsi="Arial" w:cs="Arial"/>
          <w:szCs w:val="22"/>
          <w:lang w:val="ro-RO"/>
        </w:rPr>
        <w:t>ăzut</w:t>
      </w:r>
      <w:r w:rsidRPr="00F27BCA">
        <w:rPr>
          <w:rFonts w:ascii="Arial" w:hAnsi="Arial" w:cs="Arial"/>
          <w:szCs w:val="22"/>
        </w:rPr>
        <w:t xml:space="preserve"> cu 1</w:t>
      </w:r>
      <w:r>
        <w:rPr>
          <w:rFonts w:ascii="Arial" w:hAnsi="Arial" w:cs="Arial"/>
          <w:szCs w:val="22"/>
        </w:rPr>
        <w:t>2,6</w:t>
      </w:r>
      <w:r w:rsidR="009D068B">
        <w:rPr>
          <w:rFonts w:ascii="Arial" w:hAnsi="Arial" w:cs="Arial"/>
          <w:szCs w:val="22"/>
        </w:rPr>
        <w:t>4</w:t>
      </w:r>
      <w:r>
        <w:rPr>
          <w:rFonts w:ascii="Arial" w:hAnsi="Arial" w:cs="Arial"/>
          <w:szCs w:val="22"/>
        </w:rPr>
        <w:t>% (42.730</w:t>
      </w:r>
      <w:r w:rsidRPr="00F27BCA">
        <w:rPr>
          <w:rFonts w:ascii="Arial" w:hAnsi="Arial" w:cs="Arial"/>
          <w:szCs w:val="22"/>
        </w:rPr>
        <w:t xml:space="preserve"> mii lei), de la 338.0</w:t>
      </w:r>
      <w:r>
        <w:rPr>
          <w:rFonts w:ascii="Arial" w:hAnsi="Arial" w:cs="Arial"/>
          <w:szCs w:val="22"/>
        </w:rPr>
        <w:t>9</w:t>
      </w:r>
      <w:r w:rsidRPr="00F27BCA">
        <w:rPr>
          <w:rFonts w:ascii="Arial" w:hAnsi="Arial" w:cs="Arial"/>
          <w:szCs w:val="22"/>
        </w:rPr>
        <w:t>1 mii lei</w:t>
      </w:r>
      <w:r>
        <w:rPr>
          <w:rFonts w:ascii="Arial" w:hAnsi="Arial" w:cs="Arial"/>
          <w:szCs w:val="22"/>
        </w:rPr>
        <w:t xml:space="preserve"> la 31 decembrie 2017 la 295.361</w:t>
      </w:r>
      <w:r w:rsidRPr="00F27BCA">
        <w:rPr>
          <w:rFonts w:ascii="Arial" w:hAnsi="Arial" w:cs="Arial"/>
          <w:szCs w:val="22"/>
        </w:rPr>
        <w:t xml:space="preserve"> mi</w:t>
      </w:r>
      <w:r>
        <w:rPr>
          <w:rFonts w:ascii="Arial" w:hAnsi="Arial" w:cs="Arial"/>
          <w:szCs w:val="22"/>
        </w:rPr>
        <w:t>i</w:t>
      </w:r>
      <w:r w:rsidRPr="00F27BCA">
        <w:rPr>
          <w:rFonts w:ascii="Arial" w:hAnsi="Arial" w:cs="Arial"/>
          <w:szCs w:val="22"/>
        </w:rPr>
        <w:t xml:space="preserve"> lei la </w:t>
      </w:r>
      <w:r>
        <w:rPr>
          <w:rFonts w:ascii="Arial" w:hAnsi="Arial" w:cs="Arial"/>
          <w:szCs w:val="22"/>
        </w:rPr>
        <w:t>30 iunie</w:t>
      </w:r>
      <w:r w:rsidRPr="00F27BCA">
        <w:rPr>
          <w:rFonts w:ascii="Arial" w:hAnsi="Arial" w:cs="Arial"/>
          <w:szCs w:val="22"/>
        </w:rPr>
        <w:t xml:space="preserve"> 2018</w:t>
      </w:r>
      <w:r>
        <w:rPr>
          <w:rFonts w:ascii="Arial" w:hAnsi="Arial" w:cs="Arial"/>
          <w:szCs w:val="22"/>
        </w:rPr>
        <w:t xml:space="preserve">. Scăderea a </w:t>
      </w:r>
      <w:r w:rsidR="00251249">
        <w:rPr>
          <w:rFonts w:ascii="Arial" w:hAnsi="Arial" w:cs="Arial"/>
          <w:szCs w:val="22"/>
        </w:rPr>
        <w:t>fost determinat</w:t>
      </w:r>
      <w:r w:rsidR="00EE1578">
        <w:rPr>
          <w:rFonts w:ascii="Arial" w:hAnsi="Arial" w:cs="Arial"/>
          <w:szCs w:val="22"/>
        </w:rPr>
        <w:t>ă</w:t>
      </w:r>
      <w:r>
        <w:rPr>
          <w:rFonts w:ascii="Arial" w:hAnsi="Arial" w:cs="Arial"/>
          <w:szCs w:val="22"/>
        </w:rPr>
        <w:t xml:space="preserve"> în principal d</w:t>
      </w:r>
      <w:r w:rsidR="00251249">
        <w:rPr>
          <w:rFonts w:ascii="Arial" w:hAnsi="Arial" w:cs="Arial"/>
          <w:szCs w:val="22"/>
        </w:rPr>
        <w:t>e</w:t>
      </w:r>
      <w:r>
        <w:rPr>
          <w:rFonts w:ascii="Arial" w:hAnsi="Arial" w:cs="Arial"/>
          <w:szCs w:val="22"/>
        </w:rPr>
        <w:t xml:space="preserve"> diminua</w:t>
      </w:r>
      <w:r w:rsidR="00B5101A">
        <w:rPr>
          <w:rFonts w:ascii="Arial" w:hAnsi="Arial" w:cs="Arial"/>
          <w:szCs w:val="22"/>
        </w:rPr>
        <w:t xml:space="preserve">rea disponibilităților bănești </w:t>
      </w:r>
      <w:r w:rsidR="00251249">
        <w:rPr>
          <w:rFonts w:ascii="Arial" w:hAnsi="Arial" w:cs="Arial"/>
          <w:szCs w:val="22"/>
        </w:rPr>
        <w:t>ca urmare a</w:t>
      </w:r>
      <w:r w:rsidR="00B5101A">
        <w:rPr>
          <w:rFonts w:ascii="Arial" w:hAnsi="Arial" w:cs="Arial"/>
          <w:szCs w:val="22"/>
        </w:rPr>
        <w:t xml:space="preserve"> plăț</w:t>
      </w:r>
      <w:r w:rsidR="009D068B">
        <w:rPr>
          <w:rFonts w:ascii="Arial" w:hAnsi="Arial" w:cs="Arial"/>
          <w:szCs w:val="22"/>
        </w:rPr>
        <w:t>ii dividendelor î</w:t>
      </w:r>
      <w:r>
        <w:rPr>
          <w:rFonts w:ascii="Arial" w:hAnsi="Arial" w:cs="Arial"/>
          <w:szCs w:val="22"/>
        </w:rPr>
        <w:t>n luna iunie 2018.</w:t>
      </w:r>
    </w:p>
    <w:p w:rsidR="00805DA2" w:rsidRDefault="00805DA2" w:rsidP="00805DA2">
      <w:pPr>
        <w:pStyle w:val="Text"/>
        <w:tabs>
          <w:tab w:val="left" w:pos="450"/>
        </w:tabs>
        <w:spacing w:after="0" w:line="276" w:lineRule="auto"/>
        <w:rPr>
          <w:rFonts w:ascii="Arial" w:hAnsi="Arial" w:cs="Arial"/>
          <w:szCs w:val="22"/>
        </w:rPr>
      </w:pPr>
    </w:p>
    <w:p w:rsidR="00805DA2" w:rsidRDefault="00805DA2" w:rsidP="00805DA2">
      <w:pPr>
        <w:widowControl/>
        <w:tabs>
          <w:tab w:val="left" w:pos="450"/>
        </w:tabs>
        <w:overflowPunct w:val="0"/>
        <w:spacing w:line="276" w:lineRule="auto"/>
        <w:jc w:val="both"/>
        <w:textAlignment w:val="baseline"/>
        <w:rPr>
          <w:rFonts w:ascii="Arial" w:hAnsi="Arial" w:cs="Arial"/>
          <w:sz w:val="22"/>
          <w:szCs w:val="22"/>
          <w:lang w:eastAsia="en-US"/>
        </w:rPr>
      </w:pPr>
      <w:r w:rsidRPr="00F27BCA">
        <w:rPr>
          <w:rFonts w:ascii="Arial" w:hAnsi="Arial" w:cs="Arial"/>
          <w:sz w:val="22"/>
          <w:szCs w:val="22"/>
          <w:lang w:val="en-GB" w:eastAsia="en-US"/>
        </w:rPr>
        <w:t xml:space="preserve">La data de </w:t>
      </w:r>
      <w:r>
        <w:rPr>
          <w:rFonts w:ascii="Arial" w:hAnsi="Arial" w:cs="Arial"/>
          <w:sz w:val="22"/>
          <w:szCs w:val="22"/>
          <w:lang w:val="en-GB" w:eastAsia="en-US"/>
        </w:rPr>
        <w:t>30.06</w:t>
      </w:r>
      <w:r w:rsidRPr="007A65DB">
        <w:rPr>
          <w:rFonts w:ascii="Arial" w:hAnsi="Arial" w:cs="Arial"/>
          <w:sz w:val="22"/>
          <w:szCs w:val="22"/>
          <w:lang w:val="en-GB" w:eastAsia="en-US"/>
        </w:rPr>
        <w:t>.</w:t>
      </w:r>
      <w:r w:rsidRPr="00F27BCA">
        <w:rPr>
          <w:rFonts w:ascii="Arial" w:hAnsi="Arial" w:cs="Arial"/>
          <w:sz w:val="22"/>
          <w:szCs w:val="22"/>
          <w:lang w:val="en-GB" w:eastAsia="en-US"/>
        </w:rPr>
        <w:t>201</w:t>
      </w:r>
      <w:r w:rsidRPr="007A65DB">
        <w:rPr>
          <w:rFonts w:ascii="Arial" w:hAnsi="Arial" w:cs="Arial"/>
          <w:sz w:val="22"/>
          <w:szCs w:val="22"/>
          <w:lang w:val="en-GB" w:eastAsia="en-US"/>
        </w:rPr>
        <w:t>8</w:t>
      </w:r>
      <w:r w:rsidR="00251249">
        <w:rPr>
          <w:rFonts w:ascii="Arial" w:hAnsi="Arial" w:cs="Arial"/>
          <w:sz w:val="22"/>
          <w:szCs w:val="22"/>
          <w:lang w:val="en-GB" w:eastAsia="en-US"/>
        </w:rPr>
        <w:t>,</w:t>
      </w:r>
      <w:r w:rsidRPr="00F27BCA">
        <w:rPr>
          <w:rFonts w:ascii="Arial" w:hAnsi="Arial" w:cs="Arial"/>
          <w:sz w:val="22"/>
          <w:szCs w:val="22"/>
          <w:lang w:val="en-GB" w:eastAsia="en-US"/>
        </w:rPr>
        <w:t xml:space="preserve"> cot</w:t>
      </w:r>
      <w:r w:rsidR="00251249">
        <w:rPr>
          <w:rFonts w:ascii="Arial" w:hAnsi="Arial" w:cs="Arial"/>
          <w:sz w:val="22"/>
          <w:szCs w:val="22"/>
          <w:lang w:val="en-GB" w:eastAsia="en-US"/>
        </w:rPr>
        <w:t>a</w:t>
      </w:r>
      <w:r w:rsidRPr="00F27BCA">
        <w:rPr>
          <w:rFonts w:ascii="Arial" w:hAnsi="Arial" w:cs="Arial"/>
          <w:sz w:val="22"/>
          <w:szCs w:val="22"/>
          <w:lang w:val="en-GB" w:eastAsia="en-US"/>
        </w:rPr>
        <w:t xml:space="preserve"> de modernizare </w:t>
      </w:r>
      <w:r w:rsidR="000E7F39">
        <w:rPr>
          <w:rFonts w:ascii="Arial" w:hAnsi="Arial" w:cs="Arial"/>
          <w:sz w:val="22"/>
          <w:szCs w:val="22"/>
          <w:lang w:val="en-GB" w:eastAsia="en-US"/>
        </w:rPr>
        <w:t>în conturi la bă</w:t>
      </w:r>
      <w:r w:rsidR="00251249">
        <w:rPr>
          <w:rFonts w:ascii="Arial" w:hAnsi="Arial" w:cs="Arial"/>
          <w:sz w:val="22"/>
          <w:szCs w:val="22"/>
          <w:lang w:val="en-GB" w:eastAsia="en-US"/>
        </w:rPr>
        <w:t xml:space="preserve">nci și în titluri de stat </w:t>
      </w:r>
      <w:r w:rsidRPr="00F27BCA">
        <w:rPr>
          <w:rFonts w:ascii="Arial" w:hAnsi="Arial" w:cs="Arial"/>
          <w:sz w:val="22"/>
          <w:szCs w:val="22"/>
          <w:lang w:val="en-GB" w:eastAsia="en-US"/>
        </w:rPr>
        <w:t xml:space="preserve">a fost de </w:t>
      </w:r>
      <w:r w:rsidRPr="00B63825">
        <w:rPr>
          <w:rFonts w:ascii="Arial" w:hAnsi="Arial" w:cs="Arial"/>
          <w:sz w:val="22"/>
          <w:szCs w:val="22"/>
        </w:rPr>
        <w:t>200.411 mii</w:t>
      </w:r>
      <w:r w:rsidRPr="00B63825">
        <w:rPr>
          <w:rFonts w:ascii="Arial" w:hAnsi="Arial" w:cs="Arial"/>
          <w:sz w:val="24"/>
          <w:szCs w:val="22"/>
        </w:rPr>
        <w:t xml:space="preserve"> </w:t>
      </w:r>
      <w:r w:rsidRPr="00F27BCA">
        <w:rPr>
          <w:rFonts w:ascii="Arial" w:hAnsi="Arial" w:cs="Arial"/>
          <w:sz w:val="22"/>
          <w:szCs w:val="22"/>
          <w:lang w:val="en-GB" w:eastAsia="en-US"/>
        </w:rPr>
        <w:t xml:space="preserve">lei, cu </w:t>
      </w:r>
      <w:r>
        <w:rPr>
          <w:rFonts w:ascii="Arial" w:hAnsi="Arial" w:cs="Arial"/>
          <w:sz w:val="22"/>
          <w:szCs w:val="22"/>
          <w:lang w:val="en-GB" w:eastAsia="en-US"/>
        </w:rPr>
        <w:t xml:space="preserve">11.441 </w:t>
      </w:r>
      <w:r w:rsidRPr="00F27BCA">
        <w:rPr>
          <w:rFonts w:ascii="Arial" w:hAnsi="Arial" w:cs="Arial"/>
          <w:sz w:val="22"/>
          <w:szCs w:val="22"/>
          <w:lang w:val="en-GB" w:eastAsia="en-US"/>
        </w:rPr>
        <w:t>m</w:t>
      </w:r>
      <w:r w:rsidRPr="007A65DB">
        <w:rPr>
          <w:rFonts w:ascii="Arial" w:hAnsi="Arial" w:cs="Arial"/>
          <w:sz w:val="22"/>
          <w:szCs w:val="22"/>
          <w:lang w:val="en-GB" w:eastAsia="en-US"/>
        </w:rPr>
        <w:t>ii</w:t>
      </w:r>
      <w:r w:rsidRPr="00F27BCA">
        <w:rPr>
          <w:rFonts w:ascii="Arial" w:hAnsi="Arial" w:cs="Arial"/>
          <w:sz w:val="22"/>
          <w:szCs w:val="22"/>
          <w:lang w:val="en-GB" w:eastAsia="en-US"/>
        </w:rPr>
        <w:t xml:space="preserve"> lei mai </w:t>
      </w:r>
      <w:r w:rsidR="00251249">
        <w:rPr>
          <w:rFonts w:ascii="Arial" w:hAnsi="Arial" w:cs="Arial"/>
          <w:sz w:val="22"/>
          <w:szCs w:val="22"/>
          <w:lang w:val="en-GB" w:eastAsia="en-US"/>
        </w:rPr>
        <w:t>puțin</w:t>
      </w:r>
      <w:r w:rsidRPr="00F27BCA">
        <w:rPr>
          <w:rFonts w:ascii="Arial" w:hAnsi="Arial" w:cs="Arial"/>
          <w:sz w:val="22"/>
          <w:szCs w:val="22"/>
          <w:lang w:val="en-GB" w:eastAsia="en-US"/>
        </w:rPr>
        <w:t xml:space="preserve"> </w:t>
      </w:r>
      <w:r>
        <w:rPr>
          <w:rFonts w:ascii="Arial" w:hAnsi="Arial" w:cs="Arial"/>
          <w:sz w:val="22"/>
          <w:szCs w:val="22"/>
          <w:lang w:val="en-GB" w:eastAsia="en-US"/>
        </w:rPr>
        <w:t xml:space="preserve">față de </w:t>
      </w:r>
      <w:r w:rsidR="00251249">
        <w:rPr>
          <w:rFonts w:ascii="Arial" w:hAnsi="Arial" w:cs="Arial"/>
          <w:sz w:val="22"/>
          <w:szCs w:val="22"/>
          <w:lang w:val="en-GB" w:eastAsia="en-US"/>
        </w:rPr>
        <w:t xml:space="preserve">cota </w:t>
      </w:r>
      <w:r>
        <w:rPr>
          <w:rFonts w:ascii="Arial" w:hAnsi="Arial" w:cs="Arial"/>
          <w:sz w:val="22"/>
          <w:szCs w:val="22"/>
          <w:lang w:val="en-GB" w:eastAsia="en-US"/>
        </w:rPr>
        <w:t>înregistrat</w:t>
      </w:r>
      <w:r w:rsidR="00251249">
        <w:rPr>
          <w:rFonts w:ascii="Arial" w:hAnsi="Arial" w:cs="Arial"/>
          <w:sz w:val="22"/>
          <w:szCs w:val="22"/>
          <w:lang w:val="en-GB" w:eastAsia="en-US"/>
        </w:rPr>
        <w:t>ă</w:t>
      </w:r>
      <w:r>
        <w:rPr>
          <w:rFonts w:ascii="Arial" w:hAnsi="Arial" w:cs="Arial"/>
          <w:sz w:val="22"/>
          <w:szCs w:val="22"/>
          <w:lang w:val="en-GB" w:eastAsia="en-US"/>
        </w:rPr>
        <w:t xml:space="preserve"> la 31.12.2017</w:t>
      </w:r>
      <w:r w:rsidRPr="00F27BCA">
        <w:rPr>
          <w:rFonts w:ascii="Arial" w:hAnsi="Arial" w:cs="Arial"/>
          <w:sz w:val="22"/>
          <w:szCs w:val="22"/>
          <w:lang w:val="en-GB" w:eastAsia="en-US"/>
        </w:rPr>
        <w:t xml:space="preserve"> (</w:t>
      </w:r>
      <w:r>
        <w:rPr>
          <w:rFonts w:ascii="Arial" w:hAnsi="Arial" w:cs="Arial"/>
          <w:sz w:val="22"/>
          <w:szCs w:val="22"/>
          <w:lang w:val="en-GB" w:eastAsia="en-US"/>
        </w:rPr>
        <w:t>211.852</w:t>
      </w:r>
      <w:r w:rsidRPr="00F27BCA">
        <w:rPr>
          <w:rFonts w:ascii="Arial" w:hAnsi="Arial" w:cs="Arial"/>
          <w:sz w:val="22"/>
          <w:szCs w:val="22"/>
          <w:lang w:val="en-GB" w:eastAsia="en-US"/>
        </w:rPr>
        <w:t xml:space="preserve"> </w:t>
      </w:r>
      <w:r w:rsidRPr="007A65DB">
        <w:rPr>
          <w:rFonts w:ascii="Arial" w:hAnsi="Arial" w:cs="Arial"/>
          <w:sz w:val="22"/>
          <w:szCs w:val="22"/>
          <w:lang w:val="en-GB" w:eastAsia="en-US"/>
        </w:rPr>
        <w:t>mii</w:t>
      </w:r>
      <w:r w:rsidRPr="00F27BCA">
        <w:rPr>
          <w:rFonts w:ascii="Arial" w:hAnsi="Arial" w:cs="Arial"/>
          <w:sz w:val="22"/>
          <w:szCs w:val="22"/>
          <w:lang w:val="en-GB" w:eastAsia="en-US"/>
        </w:rPr>
        <w:t xml:space="preserve"> lei). </w:t>
      </w:r>
      <w:r w:rsidRPr="00F27BCA">
        <w:rPr>
          <w:rFonts w:ascii="Arial" w:hAnsi="Arial" w:cs="Arial"/>
          <w:sz w:val="22"/>
          <w:szCs w:val="22"/>
          <w:lang w:eastAsia="en-US"/>
        </w:rPr>
        <w:t>Numerarul reprezentând cotă de modernizare are regim special de utilizare, prevăzut de H.G. nr. 168/1998, acesta fiind destinat exclusiv finanțării lucrărilor de modernizare și de dezvoltare a bunurilor din domeniul public.</w:t>
      </w:r>
    </w:p>
    <w:p w:rsidR="00805DA2" w:rsidRPr="0053792A" w:rsidRDefault="00805DA2" w:rsidP="00805DA2">
      <w:pPr>
        <w:tabs>
          <w:tab w:val="left" w:pos="450"/>
        </w:tabs>
        <w:spacing w:line="276" w:lineRule="auto"/>
        <w:jc w:val="both"/>
        <w:rPr>
          <w:rFonts w:ascii="Arial" w:hAnsi="Arial" w:cs="Arial"/>
          <w:b/>
          <w:sz w:val="16"/>
          <w:szCs w:val="16"/>
        </w:rPr>
      </w:pPr>
    </w:p>
    <w:p w:rsidR="00805DA2" w:rsidRPr="00DB1CA0" w:rsidRDefault="00805DA2" w:rsidP="00805DA2">
      <w:pPr>
        <w:tabs>
          <w:tab w:val="left" w:pos="450"/>
        </w:tabs>
        <w:spacing w:line="276" w:lineRule="auto"/>
        <w:jc w:val="both"/>
        <w:rPr>
          <w:rFonts w:ascii="Arial" w:hAnsi="Arial" w:cs="Arial"/>
          <w:sz w:val="22"/>
          <w:szCs w:val="22"/>
        </w:rPr>
      </w:pPr>
      <w:r w:rsidRPr="00261EC0">
        <w:rPr>
          <w:rFonts w:ascii="Arial" w:hAnsi="Arial" w:cs="Arial"/>
          <w:b/>
          <w:color w:val="1F4E79" w:themeColor="accent1" w:themeShade="80"/>
          <w:sz w:val="22"/>
          <w:szCs w:val="22"/>
        </w:rPr>
        <w:t>Capitalurile proprii</w:t>
      </w:r>
      <w:r w:rsidRPr="00261EC0">
        <w:rPr>
          <w:rFonts w:ascii="Arial" w:hAnsi="Arial" w:cs="Arial"/>
          <w:color w:val="1F4E79" w:themeColor="accent1" w:themeShade="80"/>
          <w:sz w:val="22"/>
          <w:szCs w:val="22"/>
        </w:rPr>
        <w:t xml:space="preserve"> </w:t>
      </w:r>
      <w:r w:rsidRPr="00A74CF5">
        <w:rPr>
          <w:rFonts w:ascii="Arial" w:hAnsi="Arial" w:cs="Arial"/>
          <w:sz w:val="22"/>
          <w:szCs w:val="22"/>
        </w:rPr>
        <w:t xml:space="preserve">au </w:t>
      </w:r>
      <w:r>
        <w:rPr>
          <w:rFonts w:ascii="Arial" w:hAnsi="Arial" w:cs="Arial"/>
          <w:sz w:val="22"/>
          <w:szCs w:val="22"/>
        </w:rPr>
        <w:t>scăzut</w:t>
      </w:r>
      <w:r w:rsidRPr="00A74CF5">
        <w:rPr>
          <w:rFonts w:ascii="Arial" w:hAnsi="Arial" w:cs="Arial"/>
          <w:sz w:val="22"/>
          <w:szCs w:val="22"/>
        </w:rPr>
        <w:t xml:space="preserve"> cu </w:t>
      </w:r>
      <w:r>
        <w:rPr>
          <w:rFonts w:ascii="Arial" w:hAnsi="Arial" w:cs="Arial"/>
          <w:sz w:val="22"/>
          <w:szCs w:val="22"/>
        </w:rPr>
        <w:t>5,6</w:t>
      </w:r>
      <w:r w:rsidR="009D068B">
        <w:rPr>
          <w:rFonts w:ascii="Arial" w:hAnsi="Arial" w:cs="Arial"/>
          <w:sz w:val="22"/>
          <w:szCs w:val="22"/>
        </w:rPr>
        <w:t>0</w:t>
      </w:r>
      <w:r w:rsidRPr="00A74CF5">
        <w:rPr>
          <w:rFonts w:ascii="Arial" w:hAnsi="Arial" w:cs="Arial"/>
          <w:sz w:val="22"/>
          <w:szCs w:val="22"/>
        </w:rPr>
        <w:t>% (</w:t>
      </w:r>
      <w:r>
        <w:rPr>
          <w:rFonts w:ascii="Arial" w:hAnsi="Arial" w:cs="Arial"/>
          <w:sz w:val="22"/>
          <w:szCs w:val="22"/>
        </w:rPr>
        <w:t xml:space="preserve">36.868 mii </w:t>
      </w:r>
      <w:r w:rsidRPr="00A74CF5">
        <w:rPr>
          <w:rFonts w:ascii="Arial" w:hAnsi="Arial" w:cs="Arial"/>
          <w:sz w:val="22"/>
          <w:szCs w:val="22"/>
        </w:rPr>
        <w:t xml:space="preserve">lei) față de 31 decembrie </w:t>
      </w:r>
      <w:r>
        <w:rPr>
          <w:rFonts w:ascii="Arial" w:hAnsi="Arial" w:cs="Arial"/>
          <w:sz w:val="22"/>
          <w:szCs w:val="22"/>
        </w:rPr>
        <w:t>2017 ajungând la 621.532</w:t>
      </w:r>
      <w:r w:rsidRPr="009966CC">
        <w:rPr>
          <w:rFonts w:ascii="Arial" w:hAnsi="Arial" w:cs="Arial"/>
          <w:sz w:val="22"/>
          <w:szCs w:val="22"/>
        </w:rPr>
        <w:t xml:space="preserve"> mii lei, </w:t>
      </w:r>
      <w:r w:rsidR="00772915">
        <w:rPr>
          <w:rFonts w:ascii="Arial" w:hAnsi="Arial" w:cs="Arial"/>
          <w:sz w:val="22"/>
          <w:szCs w:val="22"/>
        </w:rPr>
        <w:t>scăderea</w:t>
      </w:r>
      <w:r w:rsidRPr="009966CC">
        <w:rPr>
          <w:rFonts w:ascii="Arial" w:hAnsi="Arial" w:cs="Arial"/>
          <w:sz w:val="22"/>
          <w:szCs w:val="22"/>
        </w:rPr>
        <w:t xml:space="preserve"> fiind determinată de modificarea următoarelor elemente de capitaluri:</w:t>
      </w:r>
    </w:p>
    <w:p w:rsidR="00772915" w:rsidRPr="00240B8E" w:rsidRDefault="00772915" w:rsidP="00314550">
      <w:pPr>
        <w:pStyle w:val="ListParagraph"/>
        <w:numPr>
          <w:ilvl w:val="0"/>
          <w:numId w:val="3"/>
        </w:numPr>
        <w:tabs>
          <w:tab w:val="left" w:pos="360"/>
        </w:tabs>
        <w:ind w:left="450" w:hanging="270"/>
        <w:jc w:val="both"/>
        <w:rPr>
          <w:rFonts w:ascii="Arial" w:hAnsi="Arial" w:cs="Arial"/>
          <w:sz w:val="10"/>
          <w:szCs w:val="10"/>
        </w:rPr>
      </w:pPr>
      <w:r>
        <w:rPr>
          <w:rFonts w:ascii="Arial" w:hAnsi="Arial" w:cs="Arial"/>
        </w:rPr>
        <w:t xml:space="preserve"> </w:t>
      </w:r>
      <w:r w:rsidR="00805DA2" w:rsidRPr="002E15C8">
        <w:rPr>
          <w:rFonts w:ascii="Arial" w:hAnsi="Arial" w:cs="Arial"/>
        </w:rPr>
        <w:t>alte rezerve înregistrează o creștere de 14.287 mii lei</w:t>
      </w:r>
      <w:r>
        <w:rPr>
          <w:rFonts w:ascii="Arial" w:hAnsi="Arial" w:cs="Arial"/>
        </w:rPr>
        <w:t xml:space="preserve"> ca</w:t>
      </w:r>
      <w:r w:rsidR="00805DA2" w:rsidRPr="002E15C8">
        <w:rPr>
          <w:rFonts w:ascii="Arial" w:hAnsi="Arial" w:cs="Arial"/>
        </w:rPr>
        <w:t xml:space="preserve"> urmare </w:t>
      </w:r>
      <w:r>
        <w:rPr>
          <w:rFonts w:ascii="Arial" w:hAnsi="Arial" w:cs="Arial"/>
        </w:rPr>
        <w:t xml:space="preserve">a </w:t>
      </w:r>
      <w:r w:rsidR="00805DA2" w:rsidRPr="002E15C8">
        <w:rPr>
          <w:rFonts w:ascii="Arial" w:hAnsi="Arial" w:cs="Arial"/>
        </w:rPr>
        <w:t>majorării cu 11.128 mii lei a rezervei reprezentând cotă de modernizare</w:t>
      </w:r>
      <w:r w:rsidR="007B19E0">
        <w:rPr>
          <w:rFonts w:ascii="Arial" w:hAnsi="Arial" w:cs="Arial"/>
        </w:rPr>
        <w:t>,</w:t>
      </w:r>
      <w:r w:rsidR="00805DA2" w:rsidRPr="002E15C8">
        <w:rPr>
          <w:rFonts w:ascii="Arial" w:hAnsi="Arial" w:cs="Arial"/>
        </w:rPr>
        <w:t xml:space="preserve"> de la 445.943 mii lei la 31 decembrie 2017 la 457.071 mii lei la 30 iunie 2018, precum și majorării rezervei </w:t>
      </w:r>
      <w:r w:rsidR="00805DA2" w:rsidRPr="002E15C8">
        <w:rPr>
          <w:rFonts w:ascii="Arial" w:hAnsi="Arial" w:cs="Arial"/>
          <w:w w:val="105"/>
        </w:rPr>
        <w:t>reprezentând  surse proprii de finanțare repartizat</w:t>
      </w:r>
      <w:r w:rsidR="007B19E0">
        <w:rPr>
          <w:rFonts w:ascii="Arial" w:hAnsi="Arial" w:cs="Arial"/>
          <w:w w:val="105"/>
        </w:rPr>
        <w:t>e</w:t>
      </w:r>
      <w:r w:rsidR="00805DA2" w:rsidRPr="002E15C8">
        <w:rPr>
          <w:rFonts w:ascii="Arial" w:hAnsi="Arial" w:cs="Arial"/>
          <w:w w:val="105"/>
        </w:rPr>
        <w:t xml:space="preserve"> din profitul anului 2017</w:t>
      </w:r>
      <w:r w:rsidR="007B19E0">
        <w:rPr>
          <w:rFonts w:ascii="Arial" w:hAnsi="Arial" w:cs="Arial"/>
          <w:w w:val="105"/>
        </w:rPr>
        <w:t>, în</w:t>
      </w:r>
      <w:r w:rsidR="00314550">
        <w:rPr>
          <w:rFonts w:ascii="Arial" w:hAnsi="Arial" w:cs="Arial"/>
          <w:w w:val="105"/>
        </w:rPr>
        <w:t xml:space="preserve"> suma de 3.159 mii lei;</w:t>
      </w:r>
    </w:p>
    <w:p w:rsidR="00772915" w:rsidRPr="009D068B" w:rsidRDefault="00772915" w:rsidP="00314550">
      <w:pPr>
        <w:pStyle w:val="ListParagraph"/>
        <w:numPr>
          <w:ilvl w:val="0"/>
          <w:numId w:val="3"/>
        </w:numPr>
        <w:tabs>
          <w:tab w:val="left" w:pos="450"/>
          <w:tab w:val="left" w:pos="630"/>
        </w:tabs>
        <w:ind w:left="450" w:hanging="270"/>
        <w:jc w:val="both"/>
        <w:rPr>
          <w:rFonts w:ascii="Arial" w:hAnsi="Arial" w:cs="Arial"/>
          <w:sz w:val="10"/>
          <w:szCs w:val="10"/>
        </w:rPr>
      </w:pPr>
      <w:r w:rsidRPr="00772915">
        <w:rPr>
          <w:rFonts w:ascii="Arial" w:hAnsi="Arial" w:cs="Arial"/>
        </w:rPr>
        <w:t>e</w:t>
      </w:r>
      <w:r w:rsidR="00805DA2" w:rsidRPr="002E15C8">
        <w:rPr>
          <w:rFonts w:ascii="Arial" w:hAnsi="Arial" w:cs="Arial"/>
        </w:rPr>
        <w:t xml:space="preserve">lementele de capital reprezentând rezultatul reportat și rezultatul exercițiului  înregistrează </w:t>
      </w:r>
      <w:r w:rsidR="00314550">
        <w:rPr>
          <w:rFonts w:ascii="Arial" w:hAnsi="Arial" w:cs="Arial"/>
        </w:rPr>
        <w:t xml:space="preserve">  </w:t>
      </w:r>
      <w:r w:rsidR="00805DA2" w:rsidRPr="002E15C8">
        <w:rPr>
          <w:rFonts w:ascii="Arial" w:hAnsi="Arial" w:cs="Arial"/>
        </w:rPr>
        <w:t xml:space="preserve">o scădere totală în suma de 48.484 mii lei, </w:t>
      </w:r>
      <w:r w:rsidR="00805DA2" w:rsidRPr="009D068B">
        <w:rPr>
          <w:rFonts w:ascii="Arial" w:hAnsi="Arial" w:cs="Arial"/>
        </w:rPr>
        <w:t xml:space="preserve">în principal </w:t>
      </w:r>
      <w:r w:rsidR="007B19E0" w:rsidRPr="009D068B">
        <w:rPr>
          <w:rFonts w:ascii="Arial" w:hAnsi="Arial" w:cs="Arial"/>
        </w:rPr>
        <w:t xml:space="preserve">generată de </w:t>
      </w:r>
      <w:r w:rsidRPr="009D068B">
        <w:rPr>
          <w:rFonts w:ascii="Arial" w:hAnsi="Arial" w:cs="Arial"/>
        </w:rPr>
        <w:t xml:space="preserve">profitul net realizat în semestrul I al anului 2018 </w:t>
      </w:r>
      <w:r w:rsidR="007B19E0" w:rsidRPr="009D068B">
        <w:rPr>
          <w:rFonts w:ascii="Arial" w:hAnsi="Arial" w:cs="Arial"/>
        </w:rPr>
        <w:t xml:space="preserve">sub nivelul </w:t>
      </w:r>
      <w:r w:rsidRPr="009D068B">
        <w:rPr>
          <w:rFonts w:ascii="Arial" w:hAnsi="Arial" w:cs="Arial"/>
        </w:rPr>
        <w:t>profitul</w:t>
      </w:r>
      <w:r w:rsidR="007B19E0" w:rsidRPr="009D068B">
        <w:rPr>
          <w:rFonts w:ascii="Arial" w:hAnsi="Arial" w:cs="Arial"/>
        </w:rPr>
        <w:t>ui</w:t>
      </w:r>
      <w:r w:rsidR="00314550">
        <w:rPr>
          <w:rFonts w:ascii="Arial" w:hAnsi="Arial" w:cs="Arial"/>
        </w:rPr>
        <w:t xml:space="preserve"> net  realizat în anul 2017;</w:t>
      </w:r>
      <w:r w:rsidRPr="009D068B">
        <w:rPr>
          <w:rFonts w:ascii="Arial" w:hAnsi="Arial" w:cs="Arial"/>
        </w:rPr>
        <w:t xml:space="preserve"> </w:t>
      </w:r>
    </w:p>
    <w:p w:rsidR="00805DA2" w:rsidRPr="002E15C8" w:rsidRDefault="00805DA2" w:rsidP="00A87EFF">
      <w:pPr>
        <w:pStyle w:val="ListParagraph"/>
        <w:numPr>
          <w:ilvl w:val="0"/>
          <w:numId w:val="3"/>
        </w:numPr>
        <w:tabs>
          <w:tab w:val="left" w:pos="450"/>
        </w:tabs>
        <w:ind w:left="540"/>
        <w:jc w:val="both"/>
        <w:rPr>
          <w:rFonts w:ascii="Arial" w:hAnsi="Arial" w:cs="Arial"/>
          <w:sz w:val="10"/>
          <w:szCs w:val="10"/>
        </w:rPr>
      </w:pPr>
      <w:r w:rsidRPr="002E15C8">
        <w:rPr>
          <w:rFonts w:ascii="Arial" w:hAnsi="Arial" w:cs="Arial"/>
        </w:rPr>
        <w:t>diminuarea rezervelor din reevaluare cu suma de 2.671 mii lei.</w:t>
      </w:r>
    </w:p>
    <w:p w:rsidR="00805DA2" w:rsidRDefault="00805DA2" w:rsidP="00805DA2">
      <w:pPr>
        <w:tabs>
          <w:tab w:val="left" w:pos="450"/>
        </w:tabs>
        <w:spacing w:line="276" w:lineRule="auto"/>
        <w:jc w:val="both"/>
        <w:rPr>
          <w:rFonts w:ascii="Arial" w:hAnsi="Arial" w:cs="Arial"/>
          <w:sz w:val="22"/>
          <w:szCs w:val="22"/>
        </w:rPr>
      </w:pPr>
      <w:r w:rsidRPr="00261EC0">
        <w:rPr>
          <w:rFonts w:ascii="Arial" w:hAnsi="Arial" w:cs="Arial"/>
          <w:b/>
          <w:color w:val="1F4E79" w:themeColor="accent1" w:themeShade="80"/>
          <w:sz w:val="22"/>
          <w:szCs w:val="22"/>
        </w:rPr>
        <w:t>Datoriile pe termen lung</w:t>
      </w:r>
      <w:r w:rsidRPr="00261EC0">
        <w:rPr>
          <w:rFonts w:ascii="Arial" w:hAnsi="Arial" w:cs="Arial"/>
          <w:color w:val="1F4E79" w:themeColor="accent1" w:themeShade="80"/>
          <w:sz w:val="22"/>
          <w:szCs w:val="22"/>
        </w:rPr>
        <w:t xml:space="preserve"> </w:t>
      </w:r>
      <w:r w:rsidRPr="00124CB3">
        <w:rPr>
          <w:rFonts w:ascii="Arial" w:hAnsi="Arial" w:cs="Arial"/>
          <w:sz w:val="22"/>
          <w:szCs w:val="22"/>
        </w:rPr>
        <w:t>înregistrează o creștere de 3,73% (478 mii lei) față 31 decembrie 2017</w:t>
      </w:r>
      <w:r w:rsidR="0007517D">
        <w:rPr>
          <w:rFonts w:ascii="Arial" w:hAnsi="Arial" w:cs="Arial"/>
          <w:sz w:val="22"/>
          <w:szCs w:val="22"/>
        </w:rPr>
        <w:t xml:space="preserve"> ca urmare a majorării provizioanelor pe termen lung</w:t>
      </w:r>
      <w:r w:rsidR="007B19E0">
        <w:rPr>
          <w:rFonts w:ascii="Arial" w:hAnsi="Arial" w:cs="Arial"/>
          <w:sz w:val="22"/>
          <w:szCs w:val="22"/>
        </w:rPr>
        <w:t>.</w:t>
      </w:r>
    </w:p>
    <w:p w:rsidR="00805DA2" w:rsidRPr="00124CB3" w:rsidRDefault="00805DA2" w:rsidP="00805DA2">
      <w:pPr>
        <w:tabs>
          <w:tab w:val="left" w:pos="450"/>
        </w:tabs>
        <w:spacing w:line="276" w:lineRule="auto"/>
        <w:jc w:val="both"/>
        <w:rPr>
          <w:rFonts w:ascii="Arial" w:hAnsi="Arial" w:cs="Arial"/>
          <w:sz w:val="22"/>
          <w:szCs w:val="22"/>
        </w:rPr>
      </w:pPr>
      <w:r w:rsidRPr="00375F51">
        <w:rPr>
          <w:rFonts w:ascii="Arial" w:hAnsi="Arial" w:cs="Arial"/>
          <w:b/>
          <w:color w:val="1F4E79" w:themeColor="accent1" w:themeShade="80"/>
          <w:sz w:val="22"/>
          <w:szCs w:val="22"/>
        </w:rPr>
        <w:lastRenderedPageBreak/>
        <w:t>Datoriile curente</w:t>
      </w:r>
      <w:r w:rsidR="00772915">
        <w:rPr>
          <w:rFonts w:ascii="Arial" w:hAnsi="Arial" w:cs="Arial"/>
          <w:b/>
          <w:sz w:val="22"/>
          <w:szCs w:val="22"/>
        </w:rPr>
        <w:t>,</w:t>
      </w:r>
      <w:r w:rsidRPr="00124CB3">
        <w:rPr>
          <w:rFonts w:ascii="Arial" w:hAnsi="Arial" w:cs="Arial"/>
          <w:sz w:val="22"/>
          <w:szCs w:val="22"/>
        </w:rPr>
        <w:t xml:space="preserve"> în sumă de 81.052 mii lei</w:t>
      </w:r>
      <w:r w:rsidR="00772915">
        <w:rPr>
          <w:rFonts w:ascii="Arial" w:hAnsi="Arial" w:cs="Arial"/>
          <w:sz w:val="22"/>
          <w:szCs w:val="22"/>
        </w:rPr>
        <w:t>,</w:t>
      </w:r>
      <w:r w:rsidRPr="00124CB3">
        <w:rPr>
          <w:rFonts w:ascii="Arial" w:hAnsi="Arial" w:cs="Arial"/>
          <w:sz w:val="22"/>
          <w:szCs w:val="22"/>
        </w:rPr>
        <w:t xml:space="preserve"> sunt în creștere cu 4.822 mii lei față de 31 decembrie 2017, </w:t>
      </w:r>
      <w:r w:rsidR="002E15C8">
        <w:rPr>
          <w:rFonts w:ascii="Arial" w:hAnsi="Arial" w:cs="Arial"/>
          <w:sz w:val="22"/>
          <w:szCs w:val="22"/>
        </w:rPr>
        <w:t xml:space="preserve">în principal datorită creșterii dividendelor de plată și a provizioanelor </w:t>
      </w:r>
      <w:r w:rsidR="007B19E0">
        <w:rPr>
          <w:rFonts w:ascii="Arial" w:hAnsi="Arial" w:cs="Arial"/>
          <w:sz w:val="22"/>
          <w:szCs w:val="22"/>
        </w:rPr>
        <w:t xml:space="preserve">pentru </w:t>
      </w:r>
      <w:r w:rsidR="002E15C8">
        <w:rPr>
          <w:rFonts w:ascii="Arial" w:hAnsi="Arial" w:cs="Arial"/>
          <w:sz w:val="22"/>
          <w:szCs w:val="22"/>
        </w:rPr>
        <w:t xml:space="preserve">concedii de odihnă neefectuate și </w:t>
      </w:r>
      <w:r w:rsidR="007B19E0">
        <w:rPr>
          <w:rFonts w:ascii="Arial" w:hAnsi="Arial" w:cs="Arial"/>
          <w:sz w:val="22"/>
          <w:szCs w:val="22"/>
        </w:rPr>
        <w:t xml:space="preserve">pentru </w:t>
      </w:r>
      <w:r w:rsidR="002E15C8">
        <w:rPr>
          <w:rFonts w:ascii="Arial" w:hAnsi="Arial" w:cs="Arial"/>
          <w:sz w:val="22"/>
          <w:szCs w:val="22"/>
        </w:rPr>
        <w:t>participarea salariaților la profit</w:t>
      </w:r>
      <w:r w:rsidRPr="00124CB3">
        <w:rPr>
          <w:rFonts w:ascii="Arial" w:hAnsi="Arial" w:cs="Arial"/>
          <w:sz w:val="22"/>
          <w:szCs w:val="22"/>
        </w:rPr>
        <w:t>.</w:t>
      </w:r>
    </w:p>
    <w:p w:rsidR="00805DA2" w:rsidRPr="00A72BEA" w:rsidRDefault="00805DA2" w:rsidP="00B30ED3">
      <w:pPr>
        <w:widowControl/>
        <w:autoSpaceDE/>
        <w:autoSpaceDN/>
        <w:adjustRightInd/>
        <w:spacing w:line="276" w:lineRule="auto"/>
        <w:jc w:val="both"/>
        <w:rPr>
          <w:rFonts w:ascii="Arial" w:hAnsi="Arial" w:cs="Arial"/>
          <w:color w:val="FF0000"/>
          <w:sz w:val="16"/>
          <w:szCs w:val="16"/>
          <w:lang w:val="fr-FR" w:eastAsia="en-US"/>
        </w:rPr>
      </w:pPr>
    </w:p>
    <w:p w:rsidR="004E6FD5" w:rsidRPr="009828D6" w:rsidRDefault="002228A3" w:rsidP="002228A3">
      <w:pPr>
        <w:tabs>
          <w:tab w:val="left" w:pos="450"/>
        </w:tabs>
        <w:jc w:val="both"/>
        <w:rPr>
          <w:rFonts w:ascii="Arial" w:hAnsi="Arial" w:cs="Arial"/>
          <w:b/>
          <w:bCs/>
          <w:color w:val="1F4E79" w:themeColor="accent1" w:themeShade="80"/>
          <w:sz w:val="24"/>
          <w:szCs w:val="24"/>
          <w:lang w:val="en-US"/>
        </w:rPr>
      </w:pPr>
      <w:r w:rsidRPr="009828D6">
        <w:rPr>
          <w:rFonts w:ascii="Arial" w:hAnsi="Arial" w:cs="Arial"/>
          <w:b/>
          <w:bCs/>
          <w:color w:val="1F4E79" w:themeColor="accent1" w:themeShade="80"/>
          <w:sz w:val="24"/>
          <w:szCs w:val="24"/>
          <w:lang w:val="en-US"/>
        </w:rPr>
        <w:t>3.</w:t>
      </w:r>
      <w:r w:rsidR="00AC0465" w:rsidRPr="009828D6">
        <w:rPr>
          <w:rFonts w:ascii="Arial" w:hAnsi="Arial" w:cs="Arial"/>
          <w:b/>
          <w:bCs/>
          <w:color w:val="1F4E79" w:themeColor="accent1" w:themeShade="80"/>
          <w:sz w:val="24"/>
          <w:szCs w:val="24"/>
          <w:lang w:val="en-US"/>
        </w:rPr>
        <w:t>3</w:t>
      </w:r>
      <w:r w:rsidRPr="009828D6">
        <w:rPr>
          <w:rFonts w:ascii="Arial" w:hAnsi="Arial" w:cs="Arial"/>
          <w:b/>
          <w:bCs/>
          <w:color w:val="1F4E79" w:themeColor="accent1" w:themeShade="80"/>
          <w:sz w:val="24"/>
          <w:szCs w:val="24"/>
          <w:lang w:val="en-US"/>
        </w:rPr>
        <w:t>.3</w:t>
      </w:r>
      <w:r w:rsidR="00607D39" w:rsidRPr="009828D6">
        <w:rPr>
          <w:rFonts w:ascii="Arial" w:hAnsi="Arial" w:cs="Arial"/>
          <w:b/>
          <w:bCs/>
          <w:color w:val="1F4E79" w:themeColor="accent1" w:themeShade="80"/>
          <w:sz w:val="24"/>
          <w:szCs w:val="24"/>
          <w:lang w:val="en-US"/>
        </w:rPr>
        <w:t xml:space="preserve"> </w:t>
      </w:r>
      <w:r w:rsidR="00AE5A11" w:rsidRPr="009828D6">
        <w:rPr>
          <w:rFonts w:ascii="Arial" w:hAnsi="Arial" w:cs="Arial"/>
          <w:b/>
          <w:bCs/>
          <w:color w:val="1F4E79" w:themeColor="accent1" w:themeShade="80"/>
          <w:sz w:val="24"/>
          <w:szCs w:val="24"/>
          <w:lang w:val="en-US"/>
        </w:rPr>
        <w:t xml:space="preserve">Contul de profit </w:t>
      </w:r>
      <w:r w:rsidR="005401D6" w:rsidRPr="009828D6">
        <w:rPr>
          <w:rFonts w:ascii="Arial" w:hAnsi="Arial" w:cs="Arial"/>
          <w:b/>
          <w:bCs/>
          <w:color w:val="1F4E79" w:themeColor="accent1" w:themeShade="80"/>
          <w:sz w:val="24"/>
          <w:szCs w:val="24"/>
          <w:lang w:val="en-US"/>
        </w:rPr>
        <w:t>ș</w:t>
      </w:r>
      <w:r w:rsidR="00AE5A11" w:rsidRPr="009828D6">
        <w:rPr>
          <w:rFonts w:ascii="Arial" w:hAnsi="Arial" w:cs="Arial"/>
          <w:b/>
          <w:bCs/>
          <w:color w:val="1F4E79" w:themeColor="accent1" w:themeShade="80"/>
          <w:sz w:val="24"/>
          <w:szCs w:val="24"/>
          <w:lang w:val="en-US"/>
        </w:rPr>
        <w:t xml:space="preserve">i pierdere </w:t>
      </w:r>
      <w:r w:rsidR="00607D39" w:rsidRPr="009828D6">
        <w:rPr>
          <w:rFonts w:ascii="Arial" w:hAnsi="Arial" w:cs="Arial"/>
          <w:b/>
          <w:bCs/>
          <w:color w:val="1F4E79" w:themeColor="accent1" w:themeShade="80"/>
          <w:sz w:val="24"/>
          <w:szCs w:val="24"/>
          <w:lang w:val="en-US"/>
        </w:rPr>
        <w:t xml:space="preserve">pentru </w:t>
      </w:r>
      <w:r w:rsidR="00AE5A11" w:rsidRPr="009828D6">
        <w:rPr>
          <w:rFonts w:ascii="Arial" w:hAnsi="Arial" w:cs="Arial"/>
          <w:b/>
          <w:bCs/>
          <w:color w:val="1F4E79" w:themeColor="accent1" w:themeShade="80"/>
          <w:sz w:val="24"/>
          <w:szCs w:val="24"/>
          <w:lang w:val="en-US"/>
        </w:rPr>
        <w:t xml:space="preserve">perioada </w:t>
      </w:r>
      <w:r w:rsidR="00607D39" w:rsidRPr="009828D6">
        <w:rPr>
          <w:rFonts w:ascii="Arial" w:hAnsi="Arial" w:cs="Arial"/>
          <w:b/>
          <w:bCs/>
          <w:color w:val="1F4E79" w:themeColor="accent1" w:themeShade="80"/>
          <w:sz w:val="24"/>
          <w:szCs w:val="24"/>
          <w:lang w:val="en-US"/>
        </w:rPr>
        <w:t xml:space="preserve">ianuarie - </w:t>
      </w:r>
      <w:r w:rsidR="00C526CF" w:rsidRPr="009828D6">
        <w:rPr>
          <w:rFonts w:ascii="Arial" w:hAnsi="Arial" w:cs="Arial"/>
          <w:b/>
          <w:bCs/>
          <w:color w:val="1F4E79" w:themeColor="accent1" w:themeShade="80"/>
          <w:sz w:val="24"/>
          <w:szCs w:val="24"/>
          <w:lang w:val="en-US"/>
        </w:rPr>
        <w:t>iunie</w:t>
      </w:r>
      <w:r w:rsidR="00AE5A11" w:rsidRPr="009828D6">
        <w:rPr>
          <w:rFonts w:ascii="Arial" w:hAnsi="Arial" w:cs="Arial"/>
          <w:b/>
          <w:bCs/>
          <w:color w:val="1F4E79" w:themeColor="accent1" w:themeShade="80"/>
          <w:sz w:val="24"/>
          <w:szCs w:val="24"/>
          <w:lang w:val="en-US"/>
        </w:rPr>
        <w:t xml:space="preserve"> </w:t>
      </w:r>
      <w:r w:rsidR="00DF2C30" w:rsidRPr="009828D6">
        <w:rPr>
          <w:rFonts w:ascii="Arial" w:hAnsi="Arial" w:cs="Arial"/>
          <w:b/>
          <w:bCs/>
          <w:color w:val="1F4E79" w:themeColor="accent1" w:themeShade="80"/>
          <w:sz w:val="24"/>
          <w:szCs w:val="24"/>
          <w:lang w:val="en-US"/>
        </w:rPr>
        <w:t>2018</w:t>
      </w:r>
      <w:r w:rsidR="00785F31" w:rsidRPr="009828D6">
        <w:rPr>
          <w:rFonts w:ascii="Arial" w:hAnsi="Arial" w:cs="Arial"/>
          <w:b/>
          <w:bCs/>
          <w:color w:val="1F4E79" w:themeColor="accent1" w:themeShade="80"/>
          <w:sz w:val="24"/>
          <w:szCs w:val="24"/>
          <w:lang w:val="en-US"/>
        </w:rPr>
        <w:t xml:space="preserve"> </w:t>
      </w:r>
    </w:p>
    <w:p w:rsidR="007B19E0" w:rsidRPr="002228A3" w:rsidRDefault="007B19E0" w:rsidP="002228A3">
      <w:pPr>
        <w:tabs>
          <w:tab w:val="left" w:pos="450"/>
        </w:tabs>
        <w:jc w:val="both"/>
        <w:rPr>
          <w:rFonts w:ascii="Arial" w:hAnsi="Arial" w:cs="Arial"/>
          <w:color w:val="5B9BD5" w:themeColor="accent1"/>
          <w:sz w:val="24"/>
          <w:szCs w:val="24"/>
        </w:rPr>
      </w:pPr>
    </w:p>
    <w:p w:rsidR="00FD1512" w:rsidRDefault="001C5990" w:rsidP="00060D97">
      <w:pPr>
        <w:spacing w:line="276" w:lineRule="auto"/>
        <w:jc w:val="both"/>
        <w:rPr>
          <w:rFonts w:ascii="Arial" w:hAnsi="Arial" w:cs="Arial"/>
          <w:bCs/>
          <w:sz w:val="22"/>
          <w:szCs w:val="22"/>
          <w:lang w:val="en-US"/>
        </w:rPr>
      </w:pPr>
      <w:r w:rsidRPr="00906B62">
        <w:rPr>
          <w:rFonts w:ascii="Arial" w:hAnsi="Arial" w:cs="Arial"/>
          <w:bCs/>
          <w:sz w:val="22"/>
          <w:szCs w:val="22"/>
          <w:lang w:val="en-US"/>
        </w:rPr>
        <w:t xml:space="preserve">În </w:t>
      </w:r>
      <w:r w:rsidR="00FD1512" w:rsidRPr="00906B62">
        <w:rPr>
          <w:rFonts w:ascii="Arial" w:hAnsi="Arial" w:cs="Arial"/>
          <w:bCs/>
          <w:sz w:val="22"/>
          <w:szCs w:val="22"/>
          <w:lang w:val="en-US"/>
        </w:rPr>
        <w:t>p</w:t>
      </w:r>
      <w:r w:rsidR="00AE5A11" w:rsidRPr="00906B62">
        <w:rPr>
          <w:rFonts w:ascii="Arial" w:hAnsi="Arial" w:cs="Arial"/>
          <w:bCs/>
          <w:sz w:val="22"/>
          <w:szCs w:val="22"/>
          <w:lang w:val="en-US"/>
        </w:rPr>
        <w:t>erioada de</w:t>
      </w:r>
      <w:r w:rsidR="00FD1512" w:rsidRPr="00906B62">
        <w:rPr>
          <w:rFonts w:ascii="Arial" w:hAnsi="Arial" w:cs="Arial"/>
          <w:bCs/>
          <w:sz w:val="22"/>
          <w:szCs w:val="22"/>
          <w:lang w:val="en-US"/>
        </w:rPr>
        <w:t xml:space="preserve"> </w:t>
      </w:r>
      <w:r w:rsidR="008A0908">
        <w:rPr>
          <w:rFonts w:ascii="Arial" w:hAnsi="Arial" w:cs="Arial"/>
          <w:bCs/>
          <w:sz w:val="22"/>
          <w:szCs w:val="22"/>
          <w:lang w:val="en-US"/>
        </w:rPr>
        <w:t xml:space="preserve">șase </w:t>
      </w:r>
      <w:r w:rsidR="00FD1512" w:rsidRPr="00906B62">
        <w:rPr>
          <w:rFonts w:ascii="Arial" w:hAnsi="Arial" w:cs="Arial"/>
          <w:bCs/>
          <w:sz w:val="22"/>
          <w:szCs w:val="22"/>
          <w:lang w:val="en-US"/>
        </w:rPr>
        <w:t xml:space="preserve">luni </w:t>
      </w:r>
      <w:r w:rsidR="005401D6" w:rsidRPr="00906B62">
        <w:rPr>
          <w:rFonts w:ascii="Arial" w:hAnsi="Arial" w:cs="Arial"/>
          <w:bCs/>
          <w:sz w:val="22"/>
          <w:szCs w:val="22"/>
          <w:lang w:val="en-US"/>
        </w:rPr>
        <w:t>î</w:t>
      </w:r>
      <w:r w:rsidR="00AE5A11" w:rsidRPr="00906B62">
        <w:rPr>
          <w:rFonts w:ascii="Arial" w:hAnsi="Arial" w:cs="Arial"/>
          <w:bCs/>
          <w:sz w:val="22"/>
          <w:szCs w:val="22"/>
          <w:lang w:val="en-US"/>
        </w:rPr>
        <w:t>ncheiat</w:t>
      </w:r>
      <w:r w:rsidR="005401D6" w:rsidRPr="00906B62">
        <w:rPr>
          <w:rFonts w:ascii="Arial" w:hAnsi="Arial" w:cs="Arial"/>
          <w:bCs/>
          <w:sz w:val="22"/>
          <w:szCs w:val="22"/>
          <w:lang w:val="en-US"/>
        </w:rPr>
        <w:t>ă</w:t>
      </w:r>
      <w:r w:rsidR="00AE5A11" w:rsidRPr="00906B62">
        <w:rPr>
          <w:rFonts w:ascii="Arial" w:hAnsi="Arial" w:cs="Arial"/>
          <w:bCs/>
          <w:sz w:val="22"/>
          <w:szCs w:val="22"/>
          <w:lang w:val="en-US"/>
        </w:rPr>
        <w:t xml:space="preserve"> la </w:t>
      </w:r>
      <w:r w:rsidR="00C526CF">
        <w:rPr>
          <w:rFonts w:ascii="Arial" w:hAnsi="Arial" w:cs="Arial"/>
          <w:bCs/>
          <w:sz w:val="22"/>
          <w:szCs w:val="22"/>
          <w:lang w:val="en-US"/>
        </w:rPr>
        <w:t>30 iunie</w:t>
      </w:r>
      <w:r w:rsidR="008754FD" w:rsidRPr="00906B62">
        <w:rPr>
          <w:rFonts w:ascii="Arial" w:hAnsi="Arial" w:cs="Arial"/>
          <w:bCs/>
          <w:sz w:val="22"/>
          <w:szCs w:val="22"/>
          <w:lang w:val="en-US"/>
        </w:rPr>
        <w:t xml:space="preserve"> </w:t>
      </w:r>
      <w:r w:rsidR="00DF2C30" w:rsidRPr="00906B62">
        <w:rPr>
          <w:rFonts w:ascii="Arial" w:hAnsi="Arial" w:cs="Arial"/>
          <w:bCs/>
          <w:sz w:val="22"/>
          <w:szCs w:val="22"/>
          <w:lang w:val="en-US"/>
        </w:rPr>
        <w:t>2018</w:t>
      </w:r>
      <w:r w:rsidR="002D3CCE" w:rsidRPr="00906B62">
        <w:rPr>
          <w:rFonts w:ascii="Arial" w:hAnsi="Arial" w:cs="Arial"/>
          <w:bCs/>
          <w:sz w:val="22"/>
          <w:szCs w:val="22"/>
          <w:lang w:val="en-US"/>
        </w:rPr>
        <w:t>,</w:t>
      </w:r>
      <w:r w:rsidR="004E6FD5" w:rsidRPr="00906B62">
        <w:rPr>
          <w:rFonts w:ascii="Arial" w:hAnsi="Arial" w:cs="Arial"/>
          <w:bCs/>
          <w:sz w:val="22"/>
          <w:szCs w:val="22"/>
          <w:lang w:val="en-US"/>
        </w:rPr>
        <w:t xml:space="preserve"> CONPET </w:t>
      </w:r>
      <w:r w:rsidR="00607D39">
        <w:rPr>
          <w:rFonts w:ascii="Arial" w:hAnsi="Arial" w:cs="Arial"/>
          <w:bCs/>
          <w:sz w:val="22"/>
          <w:szCs w:val="22"/>
          <w:lang w:val="en-US"/>
        </w:rPr>
        <w:t xml:space="preserve">S.A. </w:t>
      </w:r>
      <w:r w:rsidR="004E6FD5" w:rsidRPr="00906B62">
        <w:rPr>
          <w:rFonts w:ascii="Arial" w:hAnsi="Arial" w:cs="Arial"/>
          <w:bCs/>
          <w:sz w:val="22"/>
          <w:szCs w:val="22"/>
          <w:lang w:val="en-US"/>
        </w:rPr>
        <w:t xml:space="preserve">a </w:t>
      </w:r>
      <w:r w:rsidR="00AE5A11" w:rsidRPr="00906B62">
        <w:rPr>
          <w:rFonts w:ascii="Arial" w:hAnsi="Arial" w:cs="Arial"/>
          <w:bCs/>
          <w:sz w:val="22"/>
          <w:szCs w:val="22"/>
          <w:lang w:val="en-US"/>
        </w:rPr>
        <w:t>ob</w:t>
      </w:r>
      <w:r w:rsidR="005401D6" w:rsidRPr="00906B62">
        <w:rPr>
          <w:rFonts w:ascii="Arial" w:hAnsi="Arial" w:cs="Arial"/>
          <w:bCs/>
          <w:sz w:val="22"/>
          <w:szCs w:val="22"/>
          <w:lang w:val="en-US"/>
        </w:rPr>
        <w:t>ț</w:t>
      </w:r>
      <w:r w:rsidR="00AE5A11" w:rsidRPr="00906B62">
        <w:rPr>
          <w:rFonts w:ascii="Arial" w:hAnsi="Arial" w:cs="Arial"/>
          <w:bCs/>
          <w:sz w:val="22"/>
          <w:szCs w:val="22"/>
          <w:lang w:val="en-US"/>
        </w:rPr>
        <w:t>inut</w:t>
      </w:r>
      <w:r w:rsidR="00785F31" w:rsidRPr="00906B62">
        <w:rPr>
          <w:rFonts w:ascii="Arial" w:hAnsi="Arial" w:cs="Arial"/>
          <w:bCs/>
          <w:sz w:val="22"/>
          <w:szCs w:val="22"/>
          <w:lang w:val="en-US"/>
        </w:rPr>
        <w:t xml:space="preserve"> un profit net de </w:t>
      </w:r>
      <w:r w:rsidR="00604A3C">
        <w:rPr>
          <w:rFonts w:ascii="Arial" w:hAnsi="Arial" w:cs="Arial"/>
          <w:bCs/>
          <w:sz w:val="22"/>
          <w:szCs w:val="22"/>
          <w:lang w:val="en-US"/>
        </w:rPr>
        <w:t>2</w:t>
      </w:r>
      <w:r w:rsidR="007D72F0" w:rsidRPr="00906B62">
        <w:rPr>
          <w:rFonts w:ascii="Arial" w:hAnsi="Arial" w:cs="Arial"/>
          <w:bCs/>
          <w:sz w:val="22"/>
          <w:szCs w:val="22"/>
          <w:lang w:val="en-US"/>
        </w:rPr>
        <w:t>1.</w:t>
      </w:r>
      <w:r w:rsidR="00604A3C">
        <w:rPr>
          <w:rFonts w:ascii="Arial" w:hAnsi="Arial" w:cs="Arial"/>
          <w:bCs/>
          <w:sz w:val="22"/>
          <w:szCs w:val="22"/>
          <w:lang w:val="en-US"/>
        </w:rPr>
        <w:t>626</w:t>
      </w:r>
      <w:r w:rsidR="007D72F0" w:rsidRPr="00906B62">
        <w:rPr>
          <w:rFonts w:ascii="Arial" w:hAnsi="Arial" w:cs="Arial"/>
          <w:bCs/>
          <w:sz w:val="22"/>
          <w:szCs w:val="22"/>
          <w:lang w:val="en-US"/>
        </w:rPr>
        <w:t xml:space="preserve"> mii </w:t>
      </w:r>
      <w:r w:rsidR="004E6FD5" w:rsidRPr="00906B62">
        <w:rPr>
          <w:rFonts w:ascii="Arial" w:hAnsi="Arial" w:cs="Arial"/>
          <w:bCs/>
          <w:sz w:val="22"/>
          <w:szCs w:val="22"/>
          <w:lang w:val="en-US"/>
        </w:rPr>
        <w:t xml:space="preserve">lei, </w:t>
      </w:r>
      <w:r w:rsidR="00FD1512" w:rsidRPr="00906B62">
        <w:rPr>
          <w:rFonts w:ascii="Arial" w:hAnsi="Arial" w:cs="Arial"/>
          <w:bCs/>
          <w:sz w:val="22"/>
          <w:szCs w:val="22"/>
          <w:lang w:val="en-US"/>
        </w:rPr>
        <w:t xml:space="preserve">mai </w:t>
      </w:r>
      <w:r w:rsidR="007D72F0" w:rsidRPr="00906B62">
        <w:rPr>
          <w:rFonts w:ascii="Arial" w:hAnsi="Arial" w:cs="Arial"/>
          <w:bCs/>
          <w:sz w:val="22"/>
          <w:szCs w:val="22"/>
          <w:lang w:val="en-US"/>
        </w:rPr>
        <w:t>mic</w:t>
      </w:r>
      <w:r w:rsidR="004E6FD5" w:rsidRPr="00906B62">
        <w:rPr>
          <w:rFonts w:ascii="Arial" w:hAnsi="Arial" w:cs="Arial"/>
          <w:bCs/>
          <w:sz w:val="22"/>
          <w:szCs w:val="22"/>
          <w:lang w:val="en-US"/>
        </w:rPr>
        <w:t xml:space="preserve"> cu </w:t>
      </w:r>
      <w:r w:rsidR="0013540D">
        <w:rPr>
          <w:rFonts w:ascii="Arial" w:hAnsi="Arial" w:cs="Arial"/>
          <w:bCs/>
          <w:sz w:val="22"/>
          <w:szCs w:val="22"/>
          <w:lang w:val="en-US"/>
        </w:rPr>
        <w:t>14.141</w:t>
      </w:r>
      <w:r w:rsidR="007D72F0" w:rsidRPr="00906B62">
        <w:rPr>
          <w:rFonts w:ascii="Arial" w:hAnsi="Arial" w:cs="Arial"/>
          <w:bCs/>
          <w:sz w:val="22"/>
          <w:szCs w:val="22"/>
          <w:lang w:val="en-US"/>
        </w:rPr>
        <w:t xml:space="preserve"> mii</w:t>
      </w:r>
      <w:r w:rsidR="004E6FD5" w:rsidRPr="00906B62">
        <w:rPr>
          <w:rFonts w:ascii="Arial" w:hAnsi="Arial" w:cs="Arial"/>
          <w:bCs/>
          <w:sz w:val="22"/>
          <w:szCs w:val="22"/>
          <w:lang w:val="en-US"/>
        </w:rPr>
        <w:t xml:space="preserve"> lei față de </w:t>
      </w:r>
      <w:r w:rsidR="00F472DD" w:rsidRPr="00906B62">
        <w:rPr>
          <w:rFonts w:ascii="Arial" w:hAnsi="Arial" w:cs="Arial"/>
          <w:bCs/>
          <w:sz w:val="22"/>
          <w:szCs w:val="22"/>
          <w:lang w:val="en-US"/>
        </w:rPr>
        <w:t xml:space="preserve">primul </w:t>
      </w:r>
      <w:r w:rsidR="00062115">
        <w:rPr>
          <w:rFonts w:ascii="Arial" w:hAnsi="Arial" w:cs="Arial"/>
          <w:bCs/>
          <w:sz w:val="22"/>
          <w:szCs w:val="22"/>
          <w:lang w:val="en-US"/>
        </w:rPr>
        <w:t>sem</w:t>
      </w:r>
      <w:r w:rsidR="00062115" w:rsidRPr="00906B62">
        <w:rPr>
          <w:rFonts w:ascii="Arial" w:hAnsi="Arial" w:cs="Arial"/>
          <w:bCs/>
          <w:sz w:val="22"/>
          <w:szCs w:val="22"/>
          <w:lang w:val="en-US"/>
        </w:rPr>
        <w:t xml:space="preserve">estru </w:t>
      </w:r>
      <w:r w:rsidR="00DF2C30" w:rsidRPr="00906B62">
        <w:rPr>
          <w:rFonts w:ascii="Arial" w:hAnsi="Arial" w:cs="Arial"/>
          <w:bCs/>
          <w:sz w:val="22"/>
          <w:szCs w:val="22"/>
          <w:lang w:val="en-US"/>
        </w:rPr>
        <w:t>2017</w:t>
      </w:r>
      <w:r w:rsidR="004E6FD5" w:rsidRPr="00906B62">
        <w:rPr>
          <w:rFonts w:ascii="Arial" w:hAnsi="Arial" w:cs="Arial"/>
          <w:bCs/>
          <w:sz w:val="22"/>
          <w:szCs w:val="22"/>
          <w:lang w:val="en-US"/>
        </w:rPr>
        <w:t xml:space="preserve"> (</w:t>
      </w:r>
      <w:r w:rsidR="00E409BB">
        <w:rPr>
          <w:rFonts w:ascii="Arial" w:hAnsi="Arial" w:cs="Arial"/>
          <w:bCs/>
          <w:sz w:val="22"/>
          <w:szCs w:val="22"/>
          <w:lang w:val="en-US"/>
        </w:rPr>
        <w:t>35.767</w:t>
      </w:r>
      <w:r w:rsidR="00D84E8A">
        <w:rPr>
          <w:rFonts w:ascii="Arial" w:hAnsi="Arial" w:cs="Arial"/>
          <w:bCs/>
          <w:sz w:val="22"/>
          <w:szCs w:val="22"/>
          <w:lang w:val="en-US"/>
        </w:rPr>
        <w:t xml:space="preserve"> mii</w:t>
      </w:r>
      <w:r w:rsidR="00596421">
        <w:rPr>
          <w:rFonts w:ascii="Arial" w:hAnsi="Arial" w:cs="Arial"/>
          <w:bCs/>
          <w:sz w:val="22"/>
          <w:szCs w:val="22"/>
          <w:lang w:val="en-US"/>
        </w:rPr>
        <w:t xml:space="preserve"> le</w:t>
      </w:r>
      <w:r w:rsidR="004E6FD5" w:rsidRPr="00906B62">
        <w:rPr>
          <w:rFonts w:ascii="Arial" w:hAnsi="Arial" w:cs="Arial"/>
          <w:bCs/>
          <w:sz w:val="22"/>
          <w:szCs w:val="22"/>
          <w:lang w:val="en-US"/>
        </w:rPr>
        <w:t>i).</w:t>
      </w:r>
      <w:r w:rsidR="004E6FD5" w:rsidRPr="00A74CF5">
        <w:rPr>
          <w:rFonts w:ascii="Arial" w:hAnsi="Arial" w:cs="Arial"/>
          <w:bCs/>
          <w:sz w:val="22"/>
          <w:szCs w:val="22"/>
          <w:lang w:val="en-US"/>
        </w:rPr>
        <w:t xml:space="preserve"> </w:t>
      </w:r>
    </w:p>
    <w:p w:rsidR="00062115" w:rsidRDefault="00062115" w:rsidP="00DA7600">
      <w:pPr>
        <w:spacing w:line="276" w:lineRule="auto"/>
        <w:rPr>
          <w:rFonts w:ascii="Arial" w:hAnsi="Arial" w:cs="Arial"/>
          <w:sz w:val="22"/>
          <w:szCs w:val="22"/>
        </w:rPr>
      </w:pPr>
    </w:p>
    <w:p w:rsidR="00816479" w:rsidRDefault="00816479" w:rsidP="00ED4B57">
      <w:pPr>
        <w:spacing w:line="276" w:lineRule="auto"/>
        <w:jc w:val="both"/>
        <w:rPr>
          <w:rFonts w:ascii="Arial" w:hAnsi="Arial" w:cs="Arial"/>
          <w:sz w:val="22"/>
          <w:szCs w:val="22"/>
        </w:rPr>
      </w:pPr>
      <w:r w:rsidRPr="00A74CF5">
        <w:rPr>
          <w:rFonts w:ascii="Arial" w:hAnsi="Arial" w:cs="Arial"/>
          <w:sz w:val="22"/>
          <w:szCs w:val="22"/>
        </w:rPr>
        <w:t xml:space="preserve">Rezultate financiare realizate în </w:t>
      </w:r>
      <w:r w:rsidR="00062115">
        <w:rPr>
          <w:rFonts w:ascii="Arial" w:hAnsi="Arial" w:cs="Arial"/>
          <w:sz w:val="22"/>
          <w:szCs w:val="22"/>
        </w:rPr>
        <w:t>sem</w:t>
      </w:r>
      <w:r w:rsidR="00062115" w:rsidRPr="00A74CF5">
        <w:rPr>
          <w:rFonts w:ascii="Arial" w:hAnsi="Arial" w:cs="Arial"/>
          <w:sz w:val="22"/>
          <w:szCs w:val="22"/>
        </w:rPr>
        <w:t xml:space="preserve">estrul </w:t>
      </w:r>
      <w:r w:rsidRPr="00A74CF5">
        <w:rPr>
          <w:rFonts w:ascii="Arial" w:hAnsi="Arial" w:cs="Arial"/>
          <w:sz w:val="22"/>
          <w:szCs w:val="22"/>
        </w:rPr>
        <w:t>I 2018, comparativ cu B</w:t>
      </w:r>
      <w:r w:rsidR="00ED4B57">
        <w:rPr>
          <w:rFonts w:ascii="Arial" w:hAnsi="Arial" w:cs="Arial"/>
          <w:sz w:val="22"/>
          <w:szCs w:val="22"/>
        </w:rPr>
        <w:t>.</w:t>
      </w:r>
      <w:r w:rsidRPr="00A74CF5">
        <w:rPr>
          <w:rFonts w:ascii="Arial" w:hAnsi="Arial" w:cs="Arial"/>
          <w:sz w:val="22"/>
          <w:szCs w:val="22"/>
        </w:rPr>
        <w:t>V</w:t>
      </w:r>
      <w:r w:rsidR="00ED4B57">
        <w:rPr>
          <w:rFonts w:ascii="Arial" w:hAnsi="Arial" w:cs="Arial"/>
          <w:sz w:val="22"/>
          <w:szCs w:val="22"/>
        </w:rPr>
        <w:t>.</w:t>
      </w:r>
      <w:r w:rsidRPr="00A74CF5">
        <w:rPr>
          <w:rFonts w:ascii="Arial" w:hAnsi="Arial" w:cs="Arial"/>
          <w:sz w:val="22"/>
          <w:szCs w:val="22"/>
        </w:rPr>
        <w:t>C</w:t>
      </w:r>
      <w:r w:rsidR="00ED4B57">
        <w:rPr>
          <w:rFonts w:ascii="Arial" w:hAnsi="Arial" w:cs="Arial"/>
          <w:sz w:val="22"/>
          <w:szCs w:val="22"/>
        </w:rPr>
        <w:t>.</w:t>
      </w:r>
      <w:r w:rsidRPr="00A74CF5">
        <w:rPr>
          <w:rFonts w:ascii="Arial" w:hAnsi="Arial" w:cs="Arial"/>
          <w:sz w:val="22"/>
          <w:szCs w:val="22"/>
        </w:rPr>
        <w:t xml:space="preserve"> și realizările perioadei similare anului 2017, se prezintă astfel:</w:t>
      </w:r>
    </w:p>
    <w:p w:rsidR="00906B62" w:rsidRDefault="00906B62" w:rsidP="00DA7600">
      <w:pPr>
        <w:spacing w:line="276" w:lineRule="auto"/>
        <w:rPr>
          <w:rFonts w:ascii="Arial" w:hAnsi="Arial" w:cs="Arial"/>
          <w:sz w:val="22"/>
          <w:szCs w:val="22"/>
        </w:rPr>
      </w:pPr>
    </w:p>
    <w:tbl>
      <w:tblPr>
        <w:tblW w:w="9482" w:type="dxa"/>
        <w:jc w:val="center"/>
        <w:tblLook w:val="04A0" w:firstRow="1" w:lastRow="0" w:firstColumn="1" w:lastColumn="0" w:noHBand="0" w:noVBand="1"/>
      </w:tblPr>
      <w:tblGrid>
        <w:gridCol w:w="3055"/>
        <w:gridCol w:w="1170"/>
        <w:gridCol w:w="1480"/>
        <w:gridCol w:w="1480"/>
        <w:gridCol w:w="1204"/>
        <w:gridCol w:w="1093"/>
      </w:tblGrid>
      <w:tr w:rsidR="00816479" w:rsidRPr="00456736" w:rsidTr="00EA3A67">
        <w:trPr>
          <w:trHeight w:val="152"/>
          <w:tblHeader/>
          <w:jc w:val="center"/>
        </w:trPr>
        <w:tc>
          <w:tcPr>
            <w:tcW w:w="3055"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816479" w:rsidRPr="00240B8E" w:rsidRDefault="00816479" w:rsidP="004F3B3B">
            <w:pPr>
              <w:jc w:val="center"/>
              <w:rPr>
                <w:rFonts w:ascii="Arial" w:hAnsi="Arial" w:cs="Arial"/>
                <w:b/>
                <w:color w:val="000000"/>
              </w:rPr>
            </w:pPr>
            <w:r w:rsidRPr="00240B8E">
              <w:rPr>
                <w:rFonts w:ascii="Arial" w:hAnsi="Arial" w:cs="Arial"/>
                <w:b/>
                <w:color w:val="000000"/>
              </w:rPr>
              <w:t>Indicatori                                 (mii lei)</w:t>
            </w:r>
          </w:p>
        </w:tc>
        <w:tc>
          <w:tcPr>
            <w:tcW w:w="1170" w:type="dxa"/>
            <w:tcBorders>
              <w:top w:val="single" w:sz="4" w:space="0" w:color="auto"/>
              <w:left w:val="nil"/>
              <w:bottom w:val="single" w:sz="4" w:space="0" w:color="auto"/>
              <w:right w:val="single" w:sz="4" w:space="0" w:color="auto"/>
            </w:tcBorders>
            <w:shd w:val="clear" w:color="000000" w:fill="DDEBF7"/>
            <w:noWrap/>
            <w:vAlign w:val="center"/>
            <w:hideMark/>
          </w:tcPr>
          <w:p w:rsidR="00816479" w:rsidRPr="00240B8E" w:rsidRDefault="00816479" w:rsidP="004F3B3B">
            <w:pPr>
              <w:jc w:val="center"/>
              <w:rPr>
                <w:rFonts w:ascii="Arial" w:hAnsi="Arial" w:cs="Arial"/>
                <w:b/>
                <w:color w:val="000000"/>
              </w:rPr>
            </w:pPr>
            <w:r w:rsidRPr="00240B8E">
              <w:rPr>
                <w:rFonts w:ascii="Arial" w:hAnsi="Arial" w:cs="Arial"/>
                <w:b/>
                <w:color w:val="000000"/>
              </w:rPr>
              <w:t>Realizat</w:t>
            </w:r>
          </w:p>
        </w:tc>
        <w:tc>
          <w:tcPr>
            <w:tcW w:w="1480" w:type="dxa"/>
            <w:tcBorders>
              <w:top w:val="single" w:sz="4" w:space="0" w:color="auto"/>
              <w:left w:val="nil"/>
              <w:bottom w:val="single" w:sz="4" w:space="0" w:color="auto"/>
              <w:right w:val="single" w:sz="4" w:space="0" w:color="auto"/>
            </w:tcBorders>
            <w:shd w:val="clear" w:color="000000" w:fill="DDEBF7"/>
            <w:noWrap/>
            <w:vAlign w:val="center"/>
            <w:hideMark/>
          </w:tcPr>
          <w:p w:rsidR="00816479" w:rsidRPr="00240B8E" w:rsidRDefault="00816479" w:rsidP="004F3B3B">
            <w:pPr>
              <w:jc w:val="center"/>
              <w:rPr>
                <w:rFonts w:ascii="Arial" w:hAnsi="Arial" w:cs="Arial"/>
                <w:b/>
                <w:color w:val="000000"/>
              </w:rPr>
            </w:pPr>
            <w:r w:rsidRPr="00240B8E">
              <w:rPr>
                <w:rFonts w:ascii="Arial" w:hAnsi="Arial" w:cs="Arial"/>
                <w:b/>
                <w:color w:val="000000"/>
              </w:rPr>
              <w:t>B</w:t>
            </w:r>
            <w:r w:rsidR="00240B8E">
              <w:rPr>
                <w:rFonts w:ascii="Arial" w:hAnsi="Arial" w:cs="Arial"/>
                <w:b/>
                <w:color w:val="000000"/>
              </w:rPr>
              <w:t>.</w:t>
            </w:r>
            <w:r w:rsidRPr="00240B8E">
              <w:rPr>
                <w:rFonts w:ascii="Arial" w:hAnsi="Arial" w:cs="Arial"/>
                <w:b/>
                <w:color w:val="000000"/>
              </w:rPr>
              <w:t>V</w:t>
            </w:r>
            <w:r w:rsidR="00240B8E">
              <w:rPr>
                <w:rFonts w:ascii="Arial" w:hAnsi="Arial" w:cs="Arial"/>
                <w:b/>
                <w:color w:val="000000"/>
              </w:rPr>
              <w:t>.</w:t>
            </w:r>
            <w:r w:rsidRPr="00240B8E">
              <w:rPr>
                <w:rFonts w:ascii="Arial" w:hAnsi="Arial" w:cs="Arial"/>
                <w:b/>
                <w:color w:val="000000"/>
              </w:rPr>
              <w:t>C</w:t>
            </w:r>
            <w:r w:rsidR="00240B8E">
              <w:rPr>
                <w:rFonts w:ascii="Arial" w:hAnsi="Arial" w:cs="Arial"/>
                <w:b/>
                <w:color w:val="000000"/>
              </w:rPr>
              <w:t>.</w:t>
            </w:r>
          </w:p>
        </w:tc>
        <w:tc>
          <w:tcPr>
            <w:tcW w:w="1480" w:type="dxa"/>
            <w:tcBorders>
              <w:top w:val="single" w:sz="4" w:space="0" w:color="auto"/>
              <w:left w:val="nil"/>
              <w:bottom w:val="single" w:sz="4" w:space="0" w:color="auto"/>
              <w:right w:val="single" w:sz="4" w:space="0" w:color="auto"/>
            </w:tcBorders>
            <w:shd w:val="clear" w:color="000000" w:fill="DDEBF7"/>
            <w:noWrap/>
            <w:vAlign w:val="center"/>
            <w:hideMark/>
          </w:tcPr>
          <w:p w:rsidR="00816479" w:rsidRPr="00240B8E" w:rsidRDefault="00816479" w:rsidP="004F3B3B">
            <w:pPr>
              <w:jc w:val="center"/>
              <w:rPr>
                <w:rFonts w:ascii="Arial" w:hAnsi="Arial" w:cs="Arial"/>
                <w:b/>
                <w:color w:val="000000"/>
              </w:rPr>
            </w:pPr>
            <w:r w:rsidRPr="00240B8E">
              <w:rPr>
                <w:rFonts w:ascii="Arial" w:hAnsi="Arial" w:cs="Arial"/>
                <w:b/>
                <w:color w:val="000000"/>
              </w:rPr>
              <w:t>Realizat</w:t>
            </w:r>
          </w:p>
        </w:tc>
        <w:tc>
          <w:tcPr>
            <w:tcW w:w="2297" w:type="dxa"/>
            <w:gridSpan w:val="2"/>
            <w:tcBorders>
              <w:top w:val="single" w:sz="4" w:space="0" w:color="auto"/>
              <w:left w:val="nil"/>
              <w:bottom w:val="single" w:sz="4" w:space="0" w:color="auto"/>
              <w:right w:val="single" w:sz="4" w:space="0" w:color="auto"/>
            </w:tcBorders>
            <w:shd w:val="clear" w:color="000000" w:fill="DDEBF7"/>
            <w:noWrap/>
            <w:vAlign w:val="center"/>
            <w:hideMark/>
          </w:tcPr>
          <w:p w:rsidR="00816479" w:rsidRPr="00240B8E" w:rsidRDefault="00816479" w:rsidP="004F3B3B">
            <w:pPr>
              <w:jc w:val="center"/>
              <w:rPr>
                <w:rFonts w:ascii="Arial" w:hAnsi="Arial" w:cs="Arial"/>
                <w:b/>
                <w:color w:val="000000"/>
              </w:rPr>
            </w:pPr>
            <w:r w:rsidRPr="00240B8E">
              <w:rPr>
                <w:rFonts w:ascii="Arial" w:hAnsi="Arial" w:cs="Arial"/>
                <w:b/>
                <w:color w:val="000000"/>
              </w:rPr>
              <w:t>Variație</w:t>
            </w:r>
          </w:p>
        </w:tc>
      </w:tr>
      <w:tr w:rsidR="00816479" w:rsidRPr="00456736" w:rsidTr="00EA3A67">
        <w:trPr>
          <w:trHeight w:val="311"/>
          <w:tblHeader/>
          <w:jc w:val="center"/>
        </w:trPr>
        <w:tc>
          <w:tcPr>
            <w:tcW w:w="3055" w:type="dxa"/>
            <w:vMerge/>
            <w:tcBorders>
              <w:top w:val="single" w:sz="4" w:space="0" w:color="auto"/>
              <w:left w:val="single" w:sz="4" w:space="0" w:color="auto"/>
              <w:bottom w:val="single" w:sz="4" w:space="0" w:color="auto"/>
              <w:right w:val="single" w:sz="4" w:space="0" w:color="auto"/>
            </w:tcBorders>
            <w:vAlign w:val="center"/>
            <w:hideMark/>
          </w:tcPr>
          <w:p w:rsidR="00816479" w:rsidRPr="00240B8E" w:rsidRDefault="00816479" w:rsidP="004F3B3B">
            <w:pPr>
              <w:rPr>
                <w:rFonts w:ascii="Arial" w:hAnsi="Arial" w:cs="Arial"/>
                <w:b/>
                <w:color w:val="000000"/>
              </w:rPr>
            </w:pPr>
          </w:p>
        </w:tc>
        <w:tc>
          <w:tcPr>
            <w:tcW w:w="1170" w:type="dxa"/>
            <w:tcBorders>
              <w:top w:val="nil"/>
              <w:left w:val="nil"/>
              <w:bottom w:val="single" w:sz="4" w:space="0" w:color="auto"/>
              <w:right w:val="single" w:sz="4" w:space="0" w:color="auto"/>
            </w:tcBorders>
            <w:shd w:val="clear" w:color="000000" w:fill="DDEBF7"/>
            <w:vAlign w:val="center"/>
            <w:hideMark/>
          </w:tcPr>
          <w:p w:rsidR="00816479" w:rsidRPr="00240B8E" w:rsidRDefault="00B34E5D" w:rsidP="004F3B3B">
            <w:pPr>
              <w:jc w:val="center"/>
              <w:rPr>
                <w:rFonts w:ascii="Arial" w:hAnsi="Arial" w:cs="Arial"/>
                <w:b/>
                <w:color w:val="000000"/>
              </w:rPr>
            </w:pPr>
            <w:r>
              <w:rPr>
                <w:rFonts w:ascii="Arial" w:hAnsi="Arial" w:cs="Arial"/>
                <w:b/>
                <w:color w:val="000000"/>
              </w:rPr>
              <w:t>Sem. I</w:t>
            </w:r>
            <w:r w:rsidR="00816479" w:rsidRPr="00240B8E">
              <w:rPr>
                <w:rFonts w:ascii="Arial" w:hAnsi="Arial" w:cs="Arial"/>
                <w:b/>
                <w:color w:val="000000"/>
              </w:rPr>
              <w:t xml:space="preserve"> 2018</w:t>
            </w:r>
          </w:p>
        </w:tc>
        <w:tc>
          <w:tcPr>
            <w:tcW w:w="1480" w:type="dxa"/>
            <w:tcBorders>
              <w:top w:val="nil"/>
              <w:left w:val="nil"/>
              <w:bottom w:val="single" w:sz="4" w:space="0" w:color="auto"/>
              <w:right w:val="single" w:sz="4" w:space="0" w:color="auto"/>
            </w:tcBorders>
            <w:shd w:val="clear" w:color="000000" w:fill="DDEBF7"/>
            <w:vAlign w:val="center"/>
            <w:hideMark/>
          </w:tcPr>
          <w:p w:rsidR="00816479" w:rsidRPr="00240B8E" w:rsidRDefault="00B34E5D" w:rsidP="004F3B3B">
            <w:pPr>
              <w:jc w:val="center"/>
              <w:rPr>
                <w:rFonts w:ascii="Arial" w:hAnsi="Arial" w:cs="Arial"/>
                <w:b/>
                <w:color w:val="000000"/>
              </w:rPr>
            </w:pPr>
            <w:r>
              <w:rPr>
                <w:rFonts w:ascii="Arial" w:hAnsi="Arial" w:cs="Arial"/>
                <w:b/>
                <w:color w:val="000000"/>
              </w:rPr>
              <w:t>Sem. I</w:t>
            </w:r>
          </w:p>
          <w:p w:rsidR="00816479" w:rsidRPr="00240B8E" w:rsidRDefault="00816479" w:rsidP="004F3B3B">
            <w:pPr>
              <w:jc w:val="center"/>
              <w:rPr>
                <w:rFonts w:ascii="Arial" w:hAnsi="Arial" w:cs="Arial"/>
                <w:b/>
                <w:color w:val="000000"/>
              </w:rPr>
            </w:pPr>
            <w:r w:rsidRPr="00240B8E">
              <w:rPr>
                <w:rFonts w:ascii="Arial" w:hAnsi="Arial" w:cs="Arial"/>
                <w:b/>
                <w:color w:val="000000"/>
              </w:rPr>
              <w:t xml:space="preserve"> 2018</w:t>
            </w:r>
          </w:p>
        </w:tc>
        <w:tc>
          <w:tcPr>
            <w:tcW w:w="1480" w:type="dxa"/>
            <w:tcBorders>
              <w:top w:val="nil"/>
              <w:left w:val="nil"/>
              <w:bottom w:val="single" w:sz="4" w:space="0" w:color="auto"/>
              <w:right w:val="single" w:sz="4" w:space="0" w:color="auto"/>
            </w:tcBorders>
            <w:shd w:val="clear" w:color="000000" w:fill="DDEBF7"/>
            <w:vAlign w:val="center"/>
            <w:hideMark/>
          </w:tcPr>
          <w:p w:rsidR="00816479" w:rsidRPr="00240B8E" w:rsidRDefault="00B34E5D" w:rsidP="004F3B3B">
            <w:pPr>
              <w:jc w:val="center"/>
              <w:rPr>
                <w:rFonts w:ascii="Arial" w:hAnsi="Arial" w:cs="Arial"/>
                <w:b/>
                <w:color w:val="000000"/>
              </w:rPr>
            </w:pPr>
            <w:r>
              <w:rPr>
                <w:rFonts w:ascii="Arial" w:hAnsi="Arial" w:cs="Arial"/>
                <w:b/>
                <w:color w:val="000000"/>
              </w:rPr>
              <w:t>Sem. I</w:t>
            </w:r>
          </w:p>
          <w:p w:rsidR="00816479" w:rsidRPr="00240B8E" w:rsidRDefault="00816479" w:rsidP="004F3B3B">
            <w:pPr>
              <w:jc w:val="center"/>
              <w:rPr>
                <w:rFonts w:ascii="Arial" w:hAnsi="Arial" w:cs="Arial"/>
                <w:b/>
                <w:color w:val="000000"/>
              </w:rPr>
            </w:pPr>
            <w:r w:rsidRPr="00240B8E">
              <w:rPr>
                <w:rFonts w:ascii="Arial" w:hAnsi="Arial" w:cs="Arial"/>
                <w:b/>
                <w:color w:val="000000"/>
              </w:rPr>
              <w:t xml:space="preserve"> 2017</w:t>
            </w:r>
          </w:p>
        </w:tc>
        <w:tc>
          <w:tcPr>
            <w:tcW w:w="1204" w:type="dxa"/>
            <w:tcBorders>
              <w:top w:val="nil"/>
              <w:left w:val="nil"/>
              <w:bottom w:val="single" w:sz="4" w:space="0" w:color="auto"/>
              <w:right w:val="single" w:sz="4" w:space="0" w:color="auto"/>
            </w:tcBorders>
            <w:shd w:val="clear" w:color="000000" w:fill="DDEBF7"/>
            <w:vAlign w:val="center"/>
            <w:hideMark/>
          </w:tcPr>
          <w:p w:rsidR="00816479" w:rsidRPr="00240B8E" w:rsidRDefault="009B7BAD" w:rsidP="009B7BAD">
            <w:pPr>
              <w:jc w:val="center"/>
              <w:rPr>
                <w:rFonts w:ascii="Arial" w:hAnsi="Arial" w:cs="Arial"/>
                <w:b/>
                <w:color w:val="000000"/>
              </w:rPr>
            </w:pPr>
            <w:r>
              <w:rPr>
                <w:rFonts w:ascii="Arial" w:hAnsi="Arial" w:cs="Arial"/>
                <w:b/>
                <w:color w:val="000000"/>
              </w:rPr>
              <w:t xml:space="preserve">Realizat </w:t>
            </w:r>
            <w:r w:rsidR="00816479" w:rsidRPr="00240B8E">
              <w:rPr>
                <w:rFonts w:ascii="Arial" w:hAnsi="Arial" w:cs="Arial"/>
                <w:b/>
                <w:color w:val="000000"/>
              </w:rPr>
              <w:t xml:space="preserve"> vs</w:t>
            </w:r>
            <w:r w:rsidR="00240B8E">
              <w:rPr>
                <w:rFonts w:ascii="Arial" w:hAnsi="Arial" w:cs="Arial"/>
                <w:b/>
                <w:color w:val="000000"/>
              </w:rPr>
              <w:t>.</w:t>
            </w:r>
            <w:r w:rsidR="00816479" w:rsidRPr="00240B8E">
              <w:rPr>
                <w:rFonts w:ascii="Arial" w:hAnsi="Arial" w:cs="Arial"/>
                <w:b/>
                <w:color w:val="000000"/>
              </w:rPr>
              <w:t xml:space="preserve"> B</w:t>
            </w:r>
            <w:r w:rsidR="00240B8E">
              <w:rPr>
                <w:rFonts w:ascii="Arial" w:hAnsi="Arial" w:cs="Arial"/>
                <w:b/>
                <w:color w:val="000000"/>
              </w:rPr>
              <w:t>.</w:t>
            </w:r>
            <w:r w:rsidR="00816479" w:rsidRPr="00240B8E">
              <w:rPr>
                <w:rFonts w:ascii="Arial" w:hAnsi="Arial" w:cs="Arial"/>
                <w:b/>
                <w:color w:val="000000"/>
              </w:rPr>
              <w:t>V</w:t>
            </w:r>
            <w:r w:rsidR="00240B8E">
              <w:rPr>
                <w:rFonts w:ascii="Arial" w:hAnsi="Arial" w:cs="Arial"/>
                <w:b/>
                <w:color w:val="000000"/>
              </w:rPr>
              <w:t>.</w:t>
            </w:r>
            <w:r w:rsidR="00816479" w:rsidRPr="00240B8E">
              <w:rPr>
                <w:rFonts w:ascii="Arial" w:hAnsi="Arial" w:cs="Arial"/>
                <w:b/>
                <w:color w:val="000000"/>
              </w:rPr>
              <w:t>C</w:t>
            </w:r>
            <w:r w:rsidR="00240B8E">
              <w:rPr>
                <w:rFonts w:ascii="Arial" w:hAnsi="Arial" w:cs="Arial"/>
                <w:b/>
                <w:color w:val="000000"/>
              </w:rPr>
              <w:t>.</w:t>
            </w:r>
            <w:r w:rsidR="00816479" w:rsidRPr="00240B8E">
              <w:rPr>
                <w:rFonts w:ascii="Arial" w:hAnsi="Arial" w:cs="Arial"/>
                <w:b/>
                <w:color w:val="000000"/>
              </w:rPr>
              <w:t xml:space="preserve"> 2018</w:t>
            </w:r>
          </w:p>
        </w:tc>
        <w:tc>
          <w:tcPr>
            <w:tcW w:w="1093" w:type="dxa"/>
            <w:tcBorders>
              <w:top w:val="nil"/>
              <w:left w:val="nil"/>
              <w:bottom w:val="single" w:sz="4" w:space="0" w:color="auto"/>
              <w:right w:val="single" w:sz="4" w:space="0" w:color="auto"/>
            </w:tcBorders>
            <w:shd w:val="clear" w:color="000000" w:fill="DDEBF7"/>
            <w:vAlign w:val="center"/>
            <w:hideMark/>
          </w:tcPr>
          <w:p w:rsidR="00816479" w:rsidRPr="00240B8E" w:rsidRDefault="00816479" w:rsidP="004F3B3B">
            <w:pPr>
              <w:jc w:val="center"/>
              <w:rPr>
                <w:rFonts w:ascii="Arial" w:hAnsi="Arial" w:cs="Arial"/>
                <w:b/>
                <w:color w:val="000000"/>
              </w:rPr>
            </w:pPr>
            <w:r w:rsidRPr="00240B8E">
              <w:rPr>
                <w:rFonts w:ascii="Arial" w:hAnsi="Arial" w:cs="Arial"/>
                <w:b/>
                <w:color w:val="000000"/>
              </w:rPr>
              <w:t>2018 vs</w:t>
            </w:r>
            <w:r w:rsidR="00240B8E">
              <w:rPr>
                <w:rFonts w:ascii="Arial" w:hAnsi="Arial" w:cs="Arial"/>
                <w:b/>
                <w:color w:val="000000"/>
              </w:rPr>
              <w:t>.</w:t>
            </w:r>
            <w:r w:rsidRPr="00240B8E">
              <w:rPr>
                <w:rFonts w:ascii="Arial" w:hAnsi="Arial" w:cs="Arial"/>
                <w:b/>
                <w:color w:val="000000"/>
              </w:rPr>
              <w:t xml:space="preserve"> 2017</w:t>
            </w:r>
          </w:p>
        </w:tc>
      </w:tr>
      <w:tr w:rsidR="00B4605B" w:rsidRPr="00456736" w:rsidTr="00EA3A67">
        <w:trPr>
          <w:trHeight w:val="397"/>
          <w:jc w:val="center"/>
        </w:trPr>
        <w:tc>
          <w:tcPr>
            <w:tcW w:w="3055" w:type="dxa"/>
            <w:tcBorders>
              <w:top w:val="nil"/>
              <w:left w:val="single" w:sz="4" w:space="0" w:color="auto"/>
              <w:bottom w:val="single" w:sz="4" w:space="0" w:color="auto"/>
              <w:right w:val="single" w:sz="4" w:space="0" w:color="auto"/>
            </w:tcBorders>
            <w:shd w:val="clear" w:color="auto" w:fill="DEEAF6"/>
            <w:noWrap/>
            <w:vAlign w:val="center"/>
            <w:hideMark/>
          </w:tcPr>
          <w:p w:rsidR="00B4605B" w:rsidRPr="00F22FA3" w:rsidRDefault="00B4605B" w:rsidP="00B4605B">
            <w:pPr>
              <w:rPr>
                <w:rFonts w:ascii="Arial" w:hAnsi="Arial" w:cs="Arial"/>
                <w:b/>
                <w:bCs/>
              </w:rPr>
            </w:pPr>
            <w:r w:rsidRPr="00F22FA3">
              <w:rPr>
                <w:rFonts w:ascii="Arial" w:hAnsi="Arial" w:cs="Arial"/>
                <w:b/>
                <w:bCs/>
              </w:rPr>
              <w:t>Cifra de afaceri</w:t>
            </w:r>
          </w:p>
        </w:tc>
        <w:tc>
          <w:tcPr>
            <w:tcW w:w="117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B4605B">
            <w:pPr>
              <w:widowControl/>
              <w:autoSpaceDE/>
              <w:autoSpaceDN/>
              <w:adjustRightInd/>
              <w:jc w:val="right"/>
              <w:rPr>
                <w:rFonts w:ascii="Arial" w:hAnsi="Arial" w:cs="Arial"/>
                <w:b/>
                <w:bCs/>
                <w:color w:val="000000"/>
              </w:rPr>
            </w:pPr>
            <w:r w:rsidRPr="00F22FA3">
              <w:rPr>
                <w:rFonts w:ascii="Arial" w:hAnsi="Arial" w:cs="Arial"/>
                <w:b/>
                <w:bCs/>
                <w:color w:val="000000"/>
              </w:rPr>
              <w:t>184.931</w:t>
            </w:r>
          </w:p>
        </w:tc>
        <w:tc>
          <w:tcPr>
            <w:tcW w:w="148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B4605B">
            <w:pPr>
              <w:jc w:val="right"/>
              <w:rPr>
                <w:rFonts w:ascii="Arial" w:hAnsi="Arial" w:cs="Arial"/>
                <w:b/>
                <w:bCs/>
                <w:color w:val="000000"/>
              </w:rPr>
            </w:pPr>
            <w:r w:rsidRPr="00F22FA3">
              <w:rPr>
                <w:rFonts w:ascii="Arial" w:hAnsi="Arial" w:cs="Arial"/>
                <w:b/>
                <w:bCs/>
                <w:color w:val="000000"/>
              </w:rPr>
              <w:t>181.493</w:t>
            </w:r>
          </w:p>
        </w:tc>
        <w:tc>
          <w:tcPr>
            <w:tcW w:w="148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B4605B">
            <w:pPr>
              <w:jc w:val="right"/>
              <w:rPr>
                <w:rFonts w:ascii="Arial" w:hAnsi="Arial" w:cs="Arial"/>
                <w:b/>
                <w:bCs/>
                <w:color w:val="000000"/>
              </w:rPr>
            </w:pPr>
            <w:r w:rsidRPr="00F22FA3">
              <w:rPr>
                <w:rFonts w:ascii="Arial" w:hAnsi="Arial" w:cs="Arial"/>
                <w:b/>
                <w:bCs/>
                <w:color w:val="000000"/>
              </w:rPr>
              <w:t>186.314</w:t>
            </w:r>
          </w:p>
        </w:tc>
        <w:tc>
          <w:tcPr>
            <w:tcW w:w="1204" w:type="dxa"/>
            <w:tcBorders>
              <w:top w:val="nil"/>
              <w:left w:val="nil"/>
              <w:bottom w:val="single" w:sz="4" w:space="0" w:color="auto"/>
              <w:right w:val="single" w:sz="4" w:space="0" w:color="auto"/>
            </w:tcBorders>
            <w:shd w:val="clear" w:color="auto" w:fill="DEEAF6"/>
            <w:noWrap/>
            <w:vAlign w:val="center"/>
            <w:hideMark/>
          </w:tcPr>
          <w:p w:rsidR="00B4605B" w:rsidRPr="00F22FA3" w:rsidRDefault="0060614B" w:rsidP="00B4605B">
            <w:pPr>
              <w:widowControl/>
              <w:autoSpaceDE/>
              <w:autoSpaceDN/>
              <w:adjustRightInd/>
              <w:jc w:val="right"/>
              <w:rPr>
                <w:rFonts w:ascii="Arial" w:hAnsi="Arial" w:cs="Arial"/>
                <w:b/>
                <w:bCs/>
                <w:color w:val="000000"/>
              </w:rPr>
            </w:pPr>
            <w:r w:rsidRPr="00F22FA3">
              <w:rPr>
                <w:rFonts w:ascii="Arial" w:hAnsi="Arial" w:cs="Arial"/>
                <w:b/>
                <w:bCs/>
                <w:lang w:val="en-US" w:eastAsia="en-US"/>
              </w:rPr>
              <w:t>▲</w:t>
            </w:r>
            <w:r w:rsidR="00B4605B" w:rsidRPr="00F22FA3">
              <w:rPr>
                <w:rFonts w:ascii="Arial" w:hAnsi="Arial" w:cs="Arial"/>
                <w:b/>
                <w:bCs/>
                <w:color w:val="000000"/>
              </w:rPr>
              <w:t>1,89%</w:t>
            </w:r>
          </w:p>
        </w:tc>
        <w:tc>
          <w:tcPr>
            <w:tcW w:w="1093" w:type="dxa"/>
            <w:tcBorders>
              <w:top w:val="nil"/>
              <w:left w:val="nil"/>
              <w:bottom w:val="single" w:sz="4" w:space="0" w:color="auto"/>
              <w:right w:val="single" w:sz="4" w:space="0" w:color="auto"/>
            </w:tcBorders>
            <w:shd w:val="clear" w:color="auto" w:fill="DEEAF6"/>
            <w:noWrap/>
            <w:vAlign w:val="center"/>
            <w:hideMark/>
          </w:tcPr>
          <w:p w:rsidR="00B4605B" w:rsidRPr="00F22FA3" w:rsidRDefault="00B962C7" w:rsidP="00B4605B">
            <w:pPr>
              <w:jc w:val="right"/>
              <w:rPr>
                <w:rFonts w:ascii="Arial" w:hAnsi="Arial" w:cs="Arial"/>
                <w:b/>
                <w:bCs/>
                <w:color w:val="000000"/>
              </w:rPr>
            </w:pPr>
            <w:r w:rsidRPr="00F22FA3">
              <w:rPr>
                <w:rFonts w:ascii="Arial" w:hAnsi="Arial" w:cs="Arial"/>
                <w:bCs/>
                <w:lang w:val="en-US" w:eastAsia="en-US"/>
              </w:rPr>
              <w:t>▼</w:t>
            </w:r>
            <w:r w:rsidRPr="00F22FA3">
              <w:rPr>
                <w:rFonts w:ascii="Arial" w:hAnsi="Arial" w:cs="Arial"/>
                <w:b/>
                <w:bCs/>
                <w:color w:val="000000"/>
              </w:rPr>
              <w:t>0,74</w:t>
            </w:r>
            <w:r w:rsidR="00B4605B" w:rsidRPr="00F22FA3">
              <w:rPr>
                <w:rFonts w:ascii="Arial" w:hAnsi="Arial" w:cs="Arial"/>
                <w:b/>
                <w:bCs/>
                <w:color w:val="000000"/>
              </w:rPr>
              <w:t>%</w:t>
            </w:r>
          </w:p>
        </w:tc>
      </w:tr>
      <w:tr w:rsidR="00B4605B" w:rsidRPr="00456736" w:rsidTr="00EA3A67">
        <w:trPr>
          <w:trHeight w:val="279"/>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rsidR="00B4605B" w:rsidRPr="00F22FA3" w:rsidRDefault="00B4605B" w:rsidP="00B4605B">
            <w:pPr>
              <w:rPr>
                <w:rFonts w:ascii="Arial" w:hAnsi="Arial" w:cs="Arial"/>
                <w:color w:val="000000"/>
              </w:rPr>
            </w:pPr>
            <w:r w:rsidRPr="00F22FA3">
              <w:rPr>
                <w:rFonts w:ascii="Arial" w:hAnsi="Arial" w:cs="Arial"/>
                <w:color w:val="000000"/>
              </w:rPr>
              <w:t>Total venituri din exploatare</w:t>
            </w:r>
          </w:p>
        </w:tc>
        <w:tc>
          <w:tcPr>
            <w:tcW w:w="117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B4605B">
            <w:pPr>
              <w:jc w:val="right"/>
              <w:rPr>
                <w:rFonts w:ascii="Arial" w:hAnsi="Arial" w:cs="Arial"/>
                <w:color w:val="000000"/>
              </w:rPr>
            </w:pPr>
            <w:r w:rsidRPr="00F22FA3">
              <w:rPr>
                <w:rFonts w:ascii="Arial" w:hAnsi="Arial" w:cs="Arial"/>
                <w:color w:val="000000"/>
              </w:rPr>
              <w:t>199.977</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B4605B">
            <w:pPr>
              <w:jc w:val="right"/>
              <w:rPr>
                <w:rFonts w:ascii="Arial" w:hAnsi="Arial" w:cs="Arial"/>
                <w:color w:val="000000"/>
              </w:rPr>
            </w:pPr>
            <w:r w:rsidRPr="00F22FA3">
              <w:rPr>
                <w:rFonts w:ascii="Arial" w:hAnsi="Arial" w:cs="Arial"/>
                <w:color w:val="000000"/>
              </w:rPr>
              <w:t>196.905</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F22FA3" w:rsidRDefault="007E5EC2" w:rsidP="00B4605B">
            <w:pPr>
              <w:jc w:val="right"/>
              <w:rPr>
                <w:rFonts w:ascii="Arial" w:hAnsi="Arial" w:cs="Arial"/>
                <w:color w:val="000000"/>
              </w:rPr>
            </w:pPr>
            <w:r>
              <w:rPr>
                <w:rFonts w:ascii="Arial" w:hAnsi="Arial" w:cs="Arial"/>
                <w:color w:val="000000"/>
              </w:rPr>
              <w:t>202.603</w:t>
            </w:r>
          </w:p>
        </w:tc>
        <w:tc>
          <w:tcPr>
            <w:tcW w:w="1204" w:type="dxa"/>
            <w:tcBorders>
              <w:top w:val="nil"/>
              <w:left w:val="nil"/>
              <w:bottom w:val="single" w:sz="4" w:space="0" w:color="auto"/>
              <w:right w:val="single" w:sz="4" w:space="0" w:color="auto"/>
            </w:tcBorders>
            <w:shd w:val="clear" w:color="auto" w:fill="auto"/>
            <w:noWrap/>
            <w:vAlign w:val="center"/>
            <w:hideMark/>
          </w:tcPr>
          <w:p w:rsidR="00B4605B" w:rsidRPr="00A96C5A" w:rsidRDefault="0060614B" w:rsidP="00B4605B">
            <w:pPr>
              <w:jc w:val="right"/>
              <w:rPr>
                <w:rFonts w:ascii="Arial" w:hAnsi="Arial" w:cs="Arial"/>
                <w:bCs/>
                <w:color w:val="000000"/>
              </w:rPr>
            </w:pPr>
            <w:r w:rsidRPr="00A96C5A">
              <w:rPr>
                <w:rFonts w:ascii="Arial" w:hAnsi="Arial" w:cs="Arial"/>
                <w:bCs/>
                <w:lang w:val="en-US" w:eastAsia="en-US"/>
              </w:rPr>
              <w:t>▲</w:t>
            </w:r>
            <w:r w:rsidR="00B4605B" w:rsidRPr="00A96C5A">
              <w:rPr>
                <w:rFonts w:ascii="Arial" w:hAnsi="Arial" w:cs="Arial"/>
                <w:bCs/>
                <w:color w:val="000000"/>
              </w:rPr>
              <w:t>1,56%</w:t>
            </w:r>
          </w:p>
        </w:tc>
        <w:tc>
          <w:tcPr>
            <w:tcW w:w="1093" w:type="dxa"/>
            <w:tcBorders>
              <w:top w:val="nil"/>
              <w:left w:val="nil"/>
              <w:bottom w:val="single" w:sz="4" w:space="0" w:color="auto"/>
              <w:right w:val="single" w:sz="4" w:space="0" w:color="auto"/>
            </w:tcBorders>
            <w:shd w:val="clear" w:color="auto" w:fill="auto"/>
            <w:noWrap/>
            <w:vAlign w:val="center"/>
            <w:hideMark/>
          </w:tcPr>
          <w:p w:rsidR="00B4605B" w:rsidRPr="00A96C5A" w:rsidRDefault="00B962C7" w:rsidP="00B4605B">
            <w:pPr>
              <w:jc w:val="right"/>
              <w:rPr>
                <w:rFonts w:ascii="Arial" w:hAnsi="Arial" w:cs="Arial"/>
                <w:bCs/>
                <w:color w:val="000000"/>
              </w:rPr>
            </w:pPr>
            <w:r w:rsidRPr="00A96C5A">
              <w:rPr>
                <w:rFonts w:ascii="Arial" w:hAnsi="Arial" w:cs="Arial"/>
                <w:bCs/>
                <w:lang w:val="en-US" w:eastAsia="en-US"/>
              </w:rPr>
              <w:t>▼</w:t>
            </w:r>
            <w:r w:rsidRPr="00A96C5A">
              <w:rPr>
                <w:rFonts w:ascii="Arial" w:hAnsi="Arial" w:cs="Arial"/>
                <w:bCs/>
                <w:color w:val="000000"/>
              </w:rPr>
              <w:t>1,3</w:t>
            </w:r>
            <w:r w:rsidR="00B4605B" w:rsidRPr="00A96C5A">
              <w:rPr>
                <w:rFonts w:ascii="Arial" w:hAnsi="Arial" w:cs="Arial"/>
                <w:bCs/>
                <w:color w:val="000000"/>
              </w:rPr>
              <w:t>0%</w:t>
            </w:r>
          </w:p>
        </w:tc>
      </w:tr>
      <w:tr w:rsidR="00B4605B" w:rsidRPr="00456736" w:rsidTr="00EA3A67">
        <w:trPr>
          <w:trHeight w:val="342"/>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rsidR="00B4605B" w:rsidRPr="00F22FA3" w:rsidRDefault="00B4605B" w:rsidP="00B4605B">
            <w:pPr>
              <w:rPr>
                <w:rFonts w:ascii="Arial" w:hAnsi="Arial" w:cs="Arial"/>
                <w:color w:val="000000"/>
              </w:rPr>
            </w:pPr>
            <w:r w:rsidRPr="00F22FA3">
              <w:rPr>
                <w:rFonts w:ascii="Arial" w:hAnsi="Arial" w:cs="Arial"/>
                <w:color w:val="000000"/>
              </w:rPr>
              <w:t>Total cheltuieli exploatare</w:t>
            </w:r>
          </w:p>
        </w:tc>
        <w:tc>
          <w:tcPr>
            <w:tcW w:w="117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B4605B">
            <w:pPr>
              <w:jc w:val="right"/>
              <w:rPr>
                <w:rFonts w:ascii="Arial" w:hAnsi="Arial" w:cs="Arial"/>
                <w:color w:val="000000"/>
              </w:rPr>
            </w:pPr>
            <w:r w:rsidRPr="00F22FA3">
              <w:rPr>
                <w:rFonts w:ascii="Arial" w:hAnsi="Arial" w:cs="Arial"/>
                <w:color w:val="000000"/>
              </w:rPr>
              <w:t>176.722</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B4605B">
            <w:pPr>
              <w:jc w:val="right"/>
              <w:rPr>
                <w:rFonts w:ascii="Arial" w:hAnsi="Arial" w:cs="Arial"/>
                <w:color w:val="000000"/>
              </w:rPr>
            </w:pPr>
            <w:r w:rsidRPr="00F22FA3">
              <w:rPr>
                <w:rFonts w:ascii="Arial" w:hAnsi="Arial" w:cs="Arial"/>
                <w:color w:val="000000"/>
              </w:rPr>
              <w:t>173.039</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D84E8A">
            <w:pPr>
              <w:jc w:val="right"/>
              <w:rPr>
                <w:rFonts w:ascii="Arial" w:hAnsi="Arial" w:cs="Arial"/>
                <w:color w:val="000000"/>
              </w:rPr>
            </w:pPr>
            <w:r w:rsidRPr="00F22FA3">
              <w:rPr>
                <w:rFonts w:ascii="Arial" w:hAnsi="Arial" w:cs="Arial"/>
                <w:color w:val="000000"/>
              </w:rPr>
              <w:t>1</w:t>
            </w:r>
            <w:r w:rsidR="00D84E8A" w:rsidRPr="00F22FA3">
              <w:rPr>
                <w:rFonts w:ascii="Arial" w:hAnsi="Arial" w:cs="Arial"/>
                <w:color w:val="000000"/>
              </w:rPr>
              <w:t>62.175</w:t>
            </w:r>
          </w:p>
        </w:tc>
        <w:tc>
          <w:tcPr>
            <w:tcW w:w="1204" w:type="dxa"/>
            <w:tcBorders>
              <w:top w:val="nil"/>
              <w:left w:val="nil"/>
              <w:bottom w:val="single" w:sz="4" w:space="0" w:color="auto"/>
              <w:right w:val="single" w:sz="4" w:space="0" w:color="auto"/>
            </w:tcBorders>
            <w:shd w:val="clear" w:color="auto" w:fill="auto"/>
            <w:noWrap/>
            <w:vAlign w:val="center"/>
            <w:hideMark/>
          </w:tcPr>
          <w:p w:rsidR="00B4605B" w:rsidRPr="00A96C5A" w:rsidRDefault="0060614B" w:rsidP="00B4605B">
            <w:pPr>
              <w:jc w:val="right"/>
              <w:rPr>
                <w:rFonts w:ascii="Arial" w:hAnsi="Arial" w:cs="Arial"/>
                <w:bCs/>
                <w:color w:val="000000"/>
              </w:rPr>
            </w:pPr>
            <w:r w:rsidRPr="00A96C5A">
              <w:rPr>
                <w:rFonts w:ascii="Arial" w:hAnsi="Arial" w:cs="Arial"/>
                <w:bCs/>
                <w:lang w:val="en-US" w:eastAsia="en-US"/>
              </w:rPr>
              <w:t>▲</w:t>
            </w:r>
            <w:r w:rsidR="00B4605B" w:rsidRPr="00A96C5A">
              <w:rPr>
                <w:rFonts w:ascii="Arial" w:hAnsi="Arial" w:cs="Arial"/>
                <w:bCs/>
                <w:color w:val="000000"/>
              </w:rPr>
              <w:t>2,13%</w:t>
            </w:r>
          </w:p>
        </w:tc>
        <w:tc>
          <w:tcPr>
            <w:tcW w:w="1093" w:type="dxa"/>
            <w:tcBorders>
              <w:top w:val="nil"/>
              <w:left w:val="nil"/>
              <w:bottom w:val="single" w:sz="4" w:space="0" w:color="auto"/>
              <w:right w:val="single" w:sz="4" w:space="0" w:color="auto"/>
            </w:tcBorders>
            <w:shd w:val="clear" w:color="auto" w:fill="auto"/>
            <w:noWrap/>
            <w:vAlign w:val="center"/>
            <w:hideMark/>
          </w:tcPr>
          <w:p w:rsidR="00B4605B" w:rsidRPr="00A96C5A" w:rsidRDefault="0060614B">
            <w:pPr>
              <w:jc w:val="right"/>
              <w:rPr>
                <w:rFonts w:ascii="Arial" w:hAnsi="Arial" w:cs="Arial"/>
                <w:bCs/>
                <w:color w:val="000000"/>
              </w:rPr>
            </w:pPr>
            <w:r w:rsidRPr="00A96C5A">
              <w:rPr>
                <w:rFonts w:ascii="Arial" w:hAnsi="Arial" w:cs="Arial"/>
                <w:bCs/>
                <w:lang w:val="en-US" w:eastAsia="en-US"/>
              </w:rPr>
              <w:t>▲</w:t>
            </w:r>
            <w:r w:rsidR="008106B9" w:rsidRPr="00A96C5A">
              <w:rPr>
                <w:rFonts w:ascii="Arial" w:hAnsi="Arial" w:cs="Arial"/>
                <w:bCs/>
                <w:color w:val="000000"/>
              </w:rPr>
              <w:t>8</w:t>
            </w:r>
            <w:r w:rsidR="00B4605B" w:rsidRPr="00A96C5A">
              <w:rPr>
                <w:rFonts w:ascii="Arial" w:hAnsi="Arial" w:cs="Arial"/>
                <w:bCs/>
                <w:color w:val="000000"/>
              </w:rPr>
              <w:t>,</w:t>
            </w:r>
            <w:r w:rsidR="008106B9" w:rsidRPr="00A96C5A">
              <w:rPr>
                <w:rFonts w:ascii="Arial" w:hAnsi="Arial" w:cs="Arial"/>
                <w:bCs/>
                <w:color w:val="000000"/>
              </w:rPr>
              <w:t>97</w:t>
            </w:r>
            <w:r w:rsidR="00B4605B" w:rsidRPr="00A96C5A">
              <w:rPr>
                <w:rFonts w:ascii="Arial" w:hAnsi="Arial" w:cs="Arial"/>
                <w:bCs/>
                <w:color w:val="000000"/>
              </w:rPr>
              <w:t>%</w:t>
            </w:r>
          </w:p>
        </w:tc>
      </w:tr>
      <w:tr w:rsidR="00B4605B" w:rsidRPr="00456736" w:rsidTr="00EA3A67">
        <w:trPr>
          <w:trHeight w:val="321"/>
          <w:jc w:val="center"/>
        </w:trPr>
        <w:tc>
          <w:tcPr>
            <w:tcW w:w="3055" w:type="dxa"/>
            <w:tcBorders>
              <w:top w:val="nil"/>
              <w:left w:val="single" w:sz="4" w:space="0" w:color="auto"/>
              <w:bottom w:val="single" w:sz="4" w:space="0" w:color="auto"/>
              <w:right w:val="single" w:sz="4" w:space="0" w:color="auto"/>
            </w:tcBorders>
            <w:shd w:val="clear" w:color="auto" w:fill="DEEAF6"/>
            <w:noWrap/>
            <w:vAlign w:val="center"/>
            <w:hideMark/>
          </w:tcPr>
          <w:p w:rsidR="00B4605B" w:rsidRPr="00F22FA3" w:rsidRDefault="00B4605B" w:rsidP="00B4605B">
            <w:pPr>
              <w:rPr>
                <w:rFonts w:ascii="Arial" w:hAnsi="Arial" w:cs="Arial"/>
                <w:b/>
                <w:bCs/>
                <w:color w:val="000000"/>
              </w:rPr>
            </w:pPr>
            <w:r w:rsidRPr="00F22FA3">
              <w:rPr>
                <w:rFonts w:ascii="Arial" w:hAnsi="Arial" w:cs="Arial"/>
                <w:b/>
                <w:bCs/>
                <w:color w:val="000000"/>
              </w:rPr>
              <w:t>Profit din exploatare</w:t>
            </w:r>
            <w:r w:rsidR="004F5963" w:rsidRPr="00F22FA3">
              <w:rPr>
                <w:rFonts w:ascii="Arial" w:hAnsi="Arial" w:cs="Arial"/>
                <w:b/>
                <w:bCs/>
                <w:color w:val="000000"/>
              </w:rPr>
              <w:t xml:space="preserve"> (EBIT)</w:t>
            </w:r>
          </w:p>
        </w:tc>
        <w:tc>
          <w:tcPr>
            <w:tcW w:w="117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B4605B">
            <w:pPr>
              <w:jc w:val="right"/>
              <w:rPr>
                <w:rFonts w:ascii="Arial" w:hAnsi="Arial" w:cs="Arial"/>
                <w:b/>
                <w:bCs/>
                <w:color w:val="000000"/>
              </w:rPr>
            </w:pPr>
            <w:r w:rsidRPr="00F22FA3">
              <w:rPr>
                <w:rFonts w:ascii="Arial" w:hAnsi="Arial" w:cs="Arial"/>
                <w:b/>
                <w:bCs/>
                <w:color w:val="000000"/>
              </w:rPr>
              <w:t>23.255</w:t>
            </w:r>
          </w:p>
        </w:tc>
        <w:tc>
          <w:tcPr>
            <w:tcW w:w="148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B4605B">
            <w:pPr>
              <w:jc w:val="right"/>
              <w:rPr>
                <w:rFonts w:ascii="Arial" w:hAnsi="Arial" w:cs="Arial"/>
                <w:b/>
                <w:bCs/>
                <w:color w:val="000000"/>
              </w:rPr>
            </w:pPr>
            <w:r w:rsidRPr="00F22FA3">
              <w:rPr>
                <w:rFonts w:ascii="Arial" w:hAnsi="Arial" w:cs="Arial"/>
                <w:b/>
                <w:bCs/>
                <w:color w:val="000000"/>
              </w:rPr>
              <w:t>23.866</w:t>
            </w:r>
          </w:p>
        </w:tc>
        <w:tc>
          <w:tcPr>
            <w:tcW w:w="148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D84E8A">
            <w:pPr>
              <w:jc w:val="right"/>
              <w:rPr>
                <w:rFonts w:ascii="Arial" w:hAnsi="Arial" w:cs="Arial"/>
                <w:b/>
                <w:bCs/>
                <w:color w:val="000000"/>
              </w:rPr>
            </w:pPr>
            <w:r w:rsidRPr="00F22FA3">
              <w:rPr>
                <w:rFonts w:ascii="Arial" w:hAnsi="Arial" w:cs="Arial"/>
                <w:b/>
                <w:bCs/>
                <w:color w:val="000000"/>
              </w:rPr>
              <w:t>4</w:t>
            </w:r>
            <w:r w:rsidR="00D84E8A" w:rsidRPr="00F22FA3">
              <w:rPr>
                <w:rFonts w:ascii="Arial" w:hAnsi="Arial" w:cs="Arial"/>
                <w:b/>
                <w:bCs/>
                <w:color w:val="000000"/>
              </w:rPr>
              <w:t>0.428</w:t>
            </w:r>
          </w:p>
        </w:tc>
        <w:tc>
          <w:tcPr>
            <w:tcW w:w="1204" w:type="dxa"/>
            <w:tcBorders>
              <w:top w:val="nil"/>
              <w:left w:val="nil"/>
              <w:bottom w:val="single" w:sz="4" w:space="0" w:color="auto"/>
              <w:right w:val="single" w:sz="4" w:space="0" w:color="auto"/>
            </w:tcBorders>
            <w:shd w:val="clear" w:color="auto" w:fill="DEEAF6"/>
            <w:noWrap/>
            <w:vAlign w:val="center"/>
            <w:hideMark/>
          </w:tcPr>
          <w:p w:rsidR="00B4605B" w:rsidRPr="00F22FA3" w:rsidRDefault="00131477" w:rsidP="00B4605B">
            <w:pPr>
              <w:jc w:val="right"/>
              <w:rPr>
                <w:rFonts w:ascii="Arial" w:hAnsi="Arial" w:cs="Arial"/>
                <w:b/>
                <w:bCs/>
                <w:color w:val="000000"/>
              </w:rPr>
            </w:pPr>
            <w:r w:rsidRPr="00F22FA3">
              <w:rPr>
                <w:rFonts w:ascii="Arial" w:hAnsi="Arial" w:cs="Arial"/>
                <w:bCs/>
                <w:lang w:val="en-US" w:eastAsia="en-US"/>
              </w:rPr>
              <w:t>▼</w:t>
            </w:r>
            <w:r w:rsidRPr="00F22FA3">
              <w:rPr>
                <w:rFonts w:ascii="Arial" w:hAnsi="Arial" w:cs="Arial"/>
                <w:b/>
                <w:bCs/>
                <w:color w:val="000000"/>
              </w:rPr>
              <w:t>2,56</w:t>
            </w:r>
            <w:r w:rsidR="00B4605B" w:rsidRPr="00F22FA3">
              <w:rPr>
                <w:rFonts w:ascii="Arial" w:hAnsi="Arial" w:cs="Arial"/>
                <w:b/>
                <w:bCs/>
                <w:color w:val="000000"/>
              </w:rPr>
              <w:t>%</w:t>
            </w:r>
          </w:p>
        </w:tc>
        <w:tc>
          <w:tcPr>
            <w:tcW w:w="1093" w:type="dxa"/>
            <w:tcBorders>
              <w:top w:val="nil"/>
              <w:left w:val="nil"/>
              <w:bottom w:val="single" w:sz="4" w:space="0" w:color="auto"/>
              <w:right w:val="single" w:sz="4" w:space="0" w:color="auto"/>
            </w:tcBorders>
            <w:shd w:val="clear" w:color="auto" w:fill="DEEAF6"/>
            <w:noWrap/>
            <w:vAlign w:val="center"/>
            <w:hideMark/>
          </w:tcPr>
          <w:p w:rsidR="00B4605B" w:rsidRPr="00F22FA3" w:rsidRDefault="0067267B">
            <w:pPr>
              <w:jc w:val="right"/>
              <w:rPr>
                <w:rFonts w:ascii="Arial" w:hAnsi="Arial" w:cs="Arial"/>
                <w:b/>
                <w:bCs/>
                <w:color w:val="000000"/>
              </w:rPr>
            </w:pPr>
            <w:r w:rsidRPr="00F22FA3">
              <w:rPr>
                <w:rFonts w:ascii="Arial" w:hAnsi="Arial" w:cs="Arial"/>
                <w:bCs/>
                <w:lang w:val="en-US" w:eastAsia="en-US"/>
              </w:rPr>
              <w:t>▼</w:t>
            </w:r>
            <w:r w:rsidRPr="00F22FA3">
              <w:rPr>
                <w:rFonts w:ascii="Arial" w:hAnsi="Arial" w:cs="Arial"/>
                <w:b/>
                <w:bCs/>
                <w:color w:val="000000"/>
              </w:rPr>
              <w:t>4</w:t>
            </w:r>
            <w:r w:rsidR="008106B9" w:rsidRPr="00F22FA3">
              <w:rPr>
                <w:rFonts w:ascii="Arial" w:hAnsi="Arial" w:cs="Arial"/>
                <w:b/>
                <w:bCs/>
                <w:color w:val="000000"/>
              </w:rPr>
              <w:t>2</w:t>
            </w:r>
            <w:r w:rsidRPr="00F22FA3">
              <w:rPr>
                <w:rFonts w:ascii="Arial" w:hAnsi="Arial" w:cs="Arial"/>
                <w:b/>
                <w:bCs/>
                <w:color w:val="000000"/>
              </w:rPr>
              <w:t>,</w:t>
            </w:r>
            <w:r w:rsidR="008106B9" w:rsidRPr="00F22FA3">
              <w:rPr>
                <w:rFonts w:ascii="Arial" w:hAnsi="Arial" w:cs="Arial"/>
                <w:b/>
                <w:bCs/>
                <w:color w:val="000000"/>
              </w:rPr>
              <w:t>4</w:t>
            </w:r>
            <w:r w:rsidRPr="00F22FA3">
              <w:rPr>
                <w:rFonts w:ascii="Arial" w:hAnsi="Arial" w:cs="Arial"/>
                <w:b/>
                <w:bCs/>
                <w:color w:val="000000"/>
              </w:rPr>
              <w:t>8</w:t>
            </w:r>
            <w:r w:rsidR="00B4605B" w:rsidRPr="00F22FA3">
              <w:rPr>
                <w:rFonts w:ascii="Arial" w:hAnsi="Arial" w:cs="Arial"/>
                <w:b/>
                <w:bCs/>
                <w:color w:val="000000"/>
              </w:rPr>
              <w:t>%</w:t>
            </w:r>
          </w:p>
        </w:tc>
      </w:tr>
      <w:tr w:rsidR="00B4605B" w:rsidRPr="00456736" w:rsidTr="00946F1E">
        <w:trPr>
          <w:trHeight w:val="298"/>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rsidR="00B4605B" w:rsidRPr="00F22FA3" w:rsidRDefault="00B4605B" w:rsidP="00B4605B">
            <w:pPr>
              <w:rPr>
                <w:rFonts w:ascii="Arial" w:hAnsi="Arial" w:cs="Arial"/>
                <w:b/>
                <w:bCs/>
                <w:color w:val="000000"/>
              </w:rPr>
            </w:pPr>
            <w:r w:rsidRPr="00F22FA3">
              <w:rPr>
                <w:rFonts w:ascii="Arial" w:hAnsi="Arial" w:cs="Arial"/>
                <w:b/>
                <w:bCs/>
                <w:color w:val="000000"/>
              </w:rPr>
              <w:t>EBITDA</w:t>
            </w:r>
          </w:p>
        </w:tc>
        <w:tc>
          <w:tcPr>
            <w:tcW w:w="117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B4605B">
            <w:pPr>
              <w:widowControl/>
              <w:autoSpaceDE/>
              <w:autoSpaceDN/>
              <w:adjustRightInd/>
              <w:jc w:val="right"/>
              <w:rPr>
                <w:rFonts w:ascii="Arial" w:hAnsi="Arial" w:cs="Arial"/>
                <w:b/>
                <w:bCs/>
                <w:color w:val="000000"/>
              </w:rPr>
            </w:pPr>
            <w:r w:rsidRPr="00F22FA3">
              <w:rPr>
                <w:rFonts w:ascii="Arial" w:hAnsi="Arial" w:cs="Arial"/>
                <w:b/>
                <w:bCs/>
                <w:color w:val="000000"/>
              </w:rPr>
              <w:t>45.497</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B4605B">
            <w:pPr>
              <w:jc w:val="right"/>
              <w:rPr>
                <w:rFonts w:ascii="Arial" w:hAnsi="Arial" w:cs="Arial"/>
                <w:b/>
                <w:bCs/>
                <w:color w:val="000000"/>
              </w:rPr>
            </w:pPr>
            <w:r w:rsidRPr="00F22FA3">
              <w:rPr>
                <w:rFonts w:ascii="Arial" w:hAnsi="Arial" w:cs="Arial"/>
                <w:b/>
                <w:bCs/>
                <w:color w:val="000000"/>
              </w:rPr>
              <w:t>46.205</w:t>
            </w:r>
          </w:p>
        </w:tc>
        <w:tc>
          <w:tcPr>
            <w:tcW w:w="1480" w:type="dxa"/>
            <w:tcBorders>
              <w:top w:val="nil"/>
              <w:left w:val="nil"/>
              <w:bottom w:val="single" w:sz="4" w:space="0" w:color="auto"/>
              <w:right w:val="single" w:sz="4" w:space="0" w:color="auto"/>
            </w:tcBorders>
            <w:shd w:val="clear" w:color="auto" w:fill="auto"/>
            <w:noWrap/>
            <w:vAlign w:val="center"/>
          </w:tcPr>
          <w:p w:rsidR="00B4605B" w:rsidRPr="00F22FA3" w:rsidRDefault="00B4605B">
            <w:pPr>
              <w:jc w:val="right"/>
              <w:rPr>
                <w:rFonts w:ascii="Arial" w:hAnsi="Arial" w:cs="Arial"/>
                <w:b/>
                <w:bCs/>
                <w:color w:val="000000"/>
              </w:rPr>
            </w:pPr>
            <w:r w:rsidRPr="00F22FA3">
              <w:rPr>
                <w:rFonts w:ascii="Arial" w:hAnsi="Arial" w:cs="Arial"/>
                <w:b/>
                <w:bCs/>
                <w:color w:val="000000"/>
              </w:rPr>
              <w:t>6</w:t>
            </w:r>
            <w:r w:rsidR="005D1B4B" w:rsidRPr="00F22FA3">
              <w:rPr>
                <w:rFonts w:ascii="Arial" w:hAnsi="Arial" w:cs="Arial"/>
                <w:b/>
                <w:bCs/>
                <w:color w:val="000000"/>
              </w:rPr>
              <w:t>2</w:t>
            </w:r>
            <w:r w:rsidRPr="00F22FA3">
              <w:rPr>
                <w:rFonts w:ascii="Arial" w:hAnsi="Arial" w:cs="Arial"/>
                <w:b/>
                <w:bCs/>
                <w:color w:val="000000"/>
              </w:rPr>
              <w:t>.7</w:t>
            </w:r>
            <w:r w:rsidR="007E5EC2">
              <w:rPr>
                <w:rFonts w:ascii="Arial" w:hAnsi="Arial" w:cs="Arial"/>
                <w:b/>
                <w:bCs/>
                <w:color w:val="000000"/>
              </w:rPr>
              <w:t>08</w:t>
            </w:r>
          </w:p>
        </w:tc>
        <w:tc>
          <w:tcPr>
            <w:tcW w:w="1204" w:type="dxa"/>
            <w:tcBorders>
              <w:top w:val="nil"/>
              <w:left w:val="nil"/>
              <w:bottom w:val="single" w:sz="4" w:space="0" w:color="auto"/>
              <w:right w:val="single" w:sz="4" w:space="0" w:color="auto"/>
            </w:tcBorders>
            <w:shd w:val="clear" w:color="auto" w:fill="auto"/>
            <w:noWrap/>
            <w:vAlign w:val="center"/>
          </w:tcPr>
          <w:p w:rsidR="00B4605B" w:rsidRPr="00F22FA3" w:rsidRDefault="00131477" w:rsidP="00B4605B">
            <w:pPr>
              <w:jc w:val="right"/>
              <w:rPr>
                <w:rFonts w:ascii="Arial" w:hAnsi="Arial" w:cs="Arial"/>
                <w:b/>
                <w:bCs/>
                <w:color w:val="000000"/>
              </w:rPr>
            </w:pPr>
            <w:r w:rsidRPr="00F22FA3">
              <w:rPr>
                <w:rFonts w:ascii="Arial" w:hAnsi="Arial" w:cs="Arial"/>
                <w:bCs/>
                <w:lang w:val="en-US" w:eastAsia="en-US"/>
              </w:rPr>
              <w:t>▼</w:t>
            </w:r>
            <w:r w:rsidRPr="00F22FA3">
              <w:rPr>
                <w:rFonts w:ascii="Arial" w:hAnsi="Arial" w:cs="Arial"/>
                <w:b/>
                <w:bCs/>
                <w:color w:val="000000"/>
              </w:rPr>
              <w:t>1,53</w:t>
            </w:r>
            <w:r w:rsidR="00B4605B" w:rsidRPr="00F22FA3">
              <w:rPr>
                <w:rFonts w:ascii="Arial" w:hAnsi="Arial" w:cs="Arial"/>
                <w:b/>
                <w:bCs/>
                <w:color w:val="000000"/>
              </w:rPr>
              <w:t>%</w:t>
            </w:r>
          </w:p>
        </w:tc>
        <w:tc>
          <w:tcPr>
            <w:tcW w:w="1093" w:type="dxa"/>
            <w:tcBorders>
              <w:top w:val="nil"/>
              <w:left w:val="nil"/>
              <w:bottom w:val="single" w:sz="4" w:space="0" w:color="auto"/>
              <w:right w:val="single" w:sz="4" w:space="0" w:color="auto"/>
            </w:tcBorders>
            <w:shd w:val="clear" w:color="auto" w:fill="auto"/>
            <w:noWrap/>
            <w:vAlign w:val="center"/>
          </w:tcPr>
          <w:p w:rsidR="00B4605B" w:rsidRPr="00F22FA3" w:rsidRDefault="0067267B">
            <w:pPr>
              <w:jc w:val="right"/>
              <w:rPr>
                <w:rFonts w:ascii="Arial" w:hAnsi="Arial" w:cs="Arial"/>
                <w:b/>
                <w:bCs/>
                <w:color w:val="000000"/>
              </w:rPr>
            </w:pPr>
            <w:r w:rsidRPr="00F22FA3">
              <w:rPr>
                <w:rFonts w:ascii="Arial" w:hAnsi="Arial" w:cs="Arial"/>
                <w:bCs/>
                <w:lang w:val="en-US" w:eastAsia="en-US"/>
              </w:rPr>
              <w:t>▼</w:t>
            </w:r>
            <w:r w:rsidR="008106B9" w:rsidRPr="00F22FA3">
              <w:rPr>
                <w:rFonts w:ascii="Arial" w:hAnsi="Arial" w:cs="Arial"/>
                <w:b/>
                <w:bCs/>
                <w:color w:val="000000"/>
              </w:rPr>
              <w:t>27</w:t>
            </w:r>
            <w:r w:rsidRPr="00F22FA3">
              <w:rPr>
                <w:rFonts w:ascii="Arial" w:hAnsi="Arial" w:cs="Arial"/>
                <w:b/>
                <w:bCs/>
                <w:color w:val="000000"/>
              </w:rPr>
              <w:t>,</w:t>
            </w:r>
            <w:r w:rsidR="008106B9" w:rsidRPr="00F22FA3">
              <w:rPr>
                <w:rFonts w:ascii="Arial" w:hAnsi="Arial" w:cs="Arial"/>
                <w:b/>
                <w:bCs/>
                <w:color w:val="000000"/>
              </w:rPr>
              <w:t>45</w:t>
            </w:r>
            <w:r w:rsidR="00B4605B" w:rsidRPr="00F22FA3">
              <w:rPr>
                <w:rFonts w:ascii="Arial" w:hAnsi="Arial" w:cs="Arial"/>
                <w:b/>
                <w:bCs/>
                <w:color w:val="000000"/>
              </w:rPr>
              <w:t>%</w:t>
            </w:r>
          </w:p>
        </w:tc>
      </w:tr>
      <w:tr w:rsidR="00B4605B" w:rsidRPr="00456736" w:rsidTr="00946F1E">
        <w:trPr>
          <w:trHeight w:val="262"/>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rsidR="00B4605B" w:rsidRPr="00F22FA3" w:rsidRDefault="00B4605B" w:rsidP="00B4605B">
            <w:pPr>
              <w:rPr>
                <w:rFonts w:ascii="Arial" w:hAnsi="Arial" w:cs="Arial"/>
                <w:color w:val="000000"/>
              </w:rPr>
            </w:pPr>
            <w:r w:rsidRPr="00F22FA3">
              <w:rPr>
                <w:rFonts w:ascii="Arial" w:hAnsi="Arial" w:cs="Arial"/>
                <w:color w:val="000000"/>
              </w:rPr>
              <w:t>Venituri financiare</w:t>
            </w:r>
          </w:p>
        </w:tc>
        <w:tc>
          <w:tcPr>
            <w:tcW w:w="117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C949A7">
            <w:pPr>
              <w:jc w:val="right"/>
              <w:rPr>
                <w:rFonts w:ascii="Arial" w:hAnsi="Arial" w:cs="Arial"/>
                <w:color w:val="000000"/>
              </w:rPr>
            </w:pPr>
            <w:r w:rsidRPr="00F22FA3">
              <w:rPr>
                <w:rFonts w:ascii="Arial" w:hAnsi="Arial" w:cs="Arial"/>
                <w:color w:val="000000"/>
              </w:rPr>
              <w:t>2.37</w:t>
            </w:r>
            <w:r w:rsidR="00C949A7">
              <w:rPr>
                <w:rFonts w:ascii="Arial" w:hAnsi="Arial" w:cs="Arial"/>
                <w:color w:val="000000"/>
              </w:rPr>
              <w:t>3</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B4605B">
            <w:pPr>
              <w:jc w:val="right"/>
              <w:rPr>
                <w:rFonts w:ascii="Arial" w:hAnsi="Arial" w:cs="Arial"/>
                <w:color w:val="000000"/>
              </w:rPr>
            </w:pPr>
            <w:r w:rsidRPr="00F22FA3">
              <w:rPr>
                <w:rFonts w:ascii="Arial" w:hAnsi="Arial" w:cs="Arial"/>
                <w:color w:val="000000"/>
              </w:rPr>
              <w:t>809</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B4605B">
            <w:pPr>
              <w:jc w:val="right"/>
              <w:rPr>
                <w:rFonts w:ascii="Arial" w:hAnsi="Arial" w:cs="Arial"/>
                <w:color w:val="000000"/>
              </w:rPr>
            </w:pPr>
            <w:r w:rsidRPr="00F22FA3">
              <w:rPr>
                <w:rFonts w:ascii="Arial" w:hAnsi="Arial" w:cs="Arial"/>
                <w:color w:val="000000"/>
              </w:rPr>
              <w:t>1.920</w:t>
            </w:r>
          </w:p>
        </w:tc>
        <w:tc>
          <w:tcPr>
            <w:tcW w:w="1204" w:type="dxa"/>
            <w:tcBorders>
              <w:top w:val="nil"/>
              <w:left w:val="nil"/>
              <w:bottom w:val="single" w:sz="4" w:space="0" w:color="auto"/>
              <w:right w:val="single" w:sz="4" w:space="0" w:color="auto"/>
            </w:tcBorders>
            <w:shd w:val="clear" w:color="auto" w:fill="auto"/>
            <w:noWrap/>
            <w:vAlign w:val="center"/>
            <w:hideMark/>
          </w:tcPr>
          <w:p w:rsidR="00B4605B" w:rsidRPr="00A96C5A" w:rsidRDefault="0060614B" w:rsidP="00C949A7">
            <w:pPr>
              <w:jc w:val="right"/>
              <w:rPr>
                <w:rFonts w:ascii="Arial" w:hAnsi="Arial" w:cs="Arial"/>
                <w:bCs/>
                <w:color w:val="000000"/>
              </w:rPr>
            </w:pPr>
            <w:r w:rsidRPr="00A96C5A">
              <w:rPr>
                <w:rFonts w:ascii="Arial" w:hAnsi="Arial" w:cs="Arial"/>
                <w:bCs/>
                <w:lang w:val="en-US" w:eastAsia="en-US"/>
              </w:rPr>
              <w:t>▲</w:t>
            </w:r>
            <w:r w:rsidRPr="00A96C5A">
              <w:rPr>
                <w:rFonts w:ascii="Arial" w:hAnsi="Arial" w:cs="Arial"/>
                <w:bCs/>
                <w:color w:val="000000"/>
              </w:rPr>
              <w:t>1</w:t>
            </w:r>
            <w:r w:rsidR="00B4605B" w:rsidRPr="00A96C5A">
              <w:rPr>
                <w:rFonts w:ascii="Arial" w:hAnsi="Arial" w:cs="Arial"/>
                <w:bCs/>
                <w:color w:val="000000"/>
              </w:rPr>
              <w:t>93,</w:t>
            </w:r>
            <w:r w:rsidR="00C949A7" w:rsidRPr="00A96C5A">
              <w:rPr>
                <w:rFonts w:ascii="Arial" w:hAnsi="Arial" w:cs="Arial"/>
                <w:bCs/>
                <w:color w:val="000000"/>
              </w:rPr>
              <w:t>32</w:t>
            </w:r>
            <w:r w:rsidR="00B4605B" w:rsidRPr="00A96C5A">
              <w:rPr>
                <w:rFonts w:ascii="Arial" w:hAnsi="Arial" w:cs="Arial"/>
                <w:bCs/>
                <w:color w:val="000000"/>
              </w:rPr>
              <w:t>%</w:t>
            </w:r>
          </w:p>
        </w:tc>
        <w:tc>
          <w:tcPr>
            <w:tcW w:w="1093" w:type="dxa"/>
            <w:tcBorders>
              <w:top w:val="nil"/>
              <w:left w:val="nil"/>
              <w:bottom w:val="single" w:sz="4" w:space="0" w:color="auto"/>
              <w:right w:val="single" w:sz="4" w:space="0" w:color="auto"/>
            </w:tcBorders>
            <w:shd w:val="clear" w:color="auto" w:fill="auto"/>
            <w:noWrap/>
            <w:vAlign w:val="center"/>
            <w:hideMark/>
          </w:tcPr>
          <w:p w:rsidR="00B4605B" w:rsidRPr="00A96C5A" w:rsidRDefault="0060614B" w:rsidP="00C949A7">
            <w:pPr>
              <w:jc w:val="right"/>
              <w:rPr>
                <w:rFonts w:ascii="Arial" w:hAnsi="Arial" w:cs="Arial"/>
                <w:bCs/>
                <w:color w:val="000000"/>
              </w:rPr>
            </w:pPr>
            <w:r w:rsidRPr="00A96C5A">
              <w:rPr>
                <w:rFonts w:ascii="Arial" w:hAnsi="Arial" w:cs="Arial"/>
                <w:bCs/>
                <w:lang w:val="en-US" w:eastAsia="en-US"/>
              </w:rPr>
              <w:t>▲</w:t>
            </w:r>
            <w:r w:rsidR="00B4605B" w:rsidRPr="00A96C5A">
              <w:rPr>
                <w:rFonts w:ascii="Arial" w:hAnsi="Arial" w:cs="Arial"/>
                <w:bCs/>
                <w:color w:val="000000"/>
              </w:rPr>
              <w:t>23,</w:t>
            </w:r>
            <w:r w:rsidR="00C949A7" w:rsidRPr="00A96C5A">
              <w:rPr>
                <w:rFonts w:ascii="Arial" w:hAnsi="Arial" w:cs="Arial"/>
                <w:bCs/>
                <w:color w:val="000000"/>
              </w:rPr>
              <w:t>59</w:t>
            </w:r>
            <w:r w:rsidR="00B4605B" w:rsidRPr="00A96C5A">
              <w:rPr>
                <w:rFonts w:ascii="Arial" w:hAnsi="Arial" w:cs="Arial"/>
                <w:bCs/>
                <w:color w:val="000000"/>
              </w:rPr>
              <w:t>%</w:t>
            </w:r>
          </w:p>
        </w:tc>
      </w:tr>
      <w:tr w:rsidR="00B4605B" w:rsidRPr="00456736" w:rsidTr="00946F1E">
        <w:trPr>
          <w:trHeight w:val="262"/>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rsidR="00B4605B" w:rsidRPr="00F22FA3" w:rsidRDefault="00B4605B" w:rsidP="00B4605B">
            <w:pPr>
              <w:rPr>
                <w:rFonts w:ascii="Arial" w:hAnsi="Arial" w:cs="Arial"/>
                <w:color w:val="000000"/>
              </w:rPr>
            </w:pPr>
            <w:r w:rsidRPr="00F22FA3">
              <w:rPr>
                <w:rFonts w:ascii="Arial" w:hAnsi="Arial" w:cs="Arial"/>
                <w:color w:val="000000"/>
              </w:rPr>
              <w:t>Cheltuieli financiare</w:t>
            </w:r>
          </w:p>
        </w:tc>
        <w:tc>
          <w:tcPr>
            <w:tcW w:w="117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B4605B">
            <w:pPr>
              <w:jc w:val="right"/>
              <w:rPr>
                <w:rFonts w:ascii="Arial" w:hAnsi="Arial" w:cs="Arial"/>
                <w:color w:val="000000"/>
              </w:rPr>
            </w:pPr>
            <w:r w:rsidRPr="00F22FA3">
              <w:rPr>
                <w:rFonts w:ascii="Arial" w:hAnsi="Arial" w:cs="Arial"/>
                <w:color w:val="000000"/>
              </w:rPr>
              <w:t>4</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B4605B">
            <w:pPr>
              <w:jc w:val="right"/>
              <w:rPr>
                <w:rFonts w:ascii="Arial" w:hAnsi="Arial" w:cs="Arial"/>
                <w:color w:val="000000"/>
              </w:rPr>
            </w:pPr>
            <w:r w:rsidRPr="00F22FA3">
              <w:rPr>
                <w:rFonts w:ascii="Arial" w:hAnsi="Arial" w:cs="Arial"/>
                <w:color w:val="000000"/>
              </w:rPr>
              <w:t>50</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F22FA3" w:rsidRDefault="007E5EC2" w:rsidP="00B4605B">
            <w:pPr>
              <w:jc w:val="right"/>
              <w:rPr>
                <w:rFonts w:ascii="Arial" w:hAnsi="Arial" w:cs="Arial"/>
                <w:color w:val="000000"/>
              </w:rPr>
            </w:pPr>
            <w:r>
              <w:rPr>
                <w:rFonts w:ascii="Arial" w:hAnsi="Arial" w:cs="Arial"/>
                <w:color w:val="000000"/>
              </w:rPr>
              <w:t>19</w:t>
            </w:r>
          </w:p>
        </w:tc>
        <w:tc>
          <w:tcPr>
            <w:tcW w:w="1204" w:type="dxa"/>
            <w:tcBorders>
              <w:top w:val="nil"/>
              <w:left w:val="nil"/>
              <w:bottom w:val="single" w:sz="4" w:space="0" w:color="auto"/>
              <w:right w:val="single" w:sz="4" w:space="0" w:color="auto"/>
            </w:tcBorders>
            <w:shd w:val="clear" w:color="auto" w:fill="auto"/>
            <w:noWrap/>
            <w:vAlign w:val="center"/>
            <w:hideMark/>
          </w:tcPr>
          <w:p w:rsidR="00B4605B" w:rsidRPr="00A96C5A" w:rsidRDefault="008279D7" w:rsidP="00C42AC8">
            <w:pPr>
              <w:jc w:val="right"/>
              <w:rPr>
                <w:rFonts w:ascii="Arial" w:hAnsi="Arial" w:cs="Arial"/>
                <w:bCs/>
                <w:color w:val="000000"/>
              </w:rPr>
            </w:pPr>
            <w:r w:rsidRPr="00A96C5A">
              <w:rPr>
                <w:rFonts w:ascii="Arial" w:hAnsi="Arial" w:cs="Arial"/>
                <w:bCs/>
                <w:lang w:val="en-US" w:eastAsia="en-US"/>
              </w:rPr>
              <w:t>▼</w:t>
            </w:r>
            <w:r w:rsidR="00C949A7" w:rsidRPr="00A96C5A">
              <w:rPr>
                <w:rFonts w:ascii="Arial" w:hAnsi="Arial" w:cs="Arial"/>
                <w:bCs/>
                <w:lang w:val="en-US" w:eastAsia="en-US"/>
              </w:rPr>
              <w:t>9</w:t>
            </w:r>
            <w:r w:rsidR="00C42AC8" w:rsidRPr="00A96C5A">
              <w:rPr>
                <w:rFonts w:ascii="Arial" w:hAnsi="Arial" w:cs="Arial"/>
                <w:bCs/>
                <w:color w:val="000000"/>
              </w:rPr>
              <w:t>2,00</w:t>
            </w:r>
            <w:r w:rsidR="00B4605B" w:rsidRPr="00A96C5A">
              <w:rPr>
                <w:rFonts w:ascii="Arial" w:hAnsi="Arial" w:cs="Arial"/>
                <w:bCs/>
                <w:color w:val="000000"/>
              </w:rPr>
              <w:t>%</w:t>
            </w:r>
          </w:p>
        </w:tc>
        <w:tc>
          <w:tcPr>
            <w:tcW w:w="1093" w:type="dxa"/>
            <w:tcBorders>
              <w:top w:val="nil"/>
              <w:left w:val="nil"/>
              <w:bottom w:val="single" w:sz="4" w:space="0" w:color="auto"/>
              <w:right w:val="single" w:sz="4" w:space="0" w:color="auto"/>
            </w:tcBorders>
            <w:shd w:val="clear" w:color="auto" w:fill="auto"/>
            <w:noWrap/>
            <w:vAlign w:val="center"/>
            <w:hideMark/>
          </w:tcPr>
          <w:p w:rsidR="00B4605B" w:rsidRPr="00A96C5A" w:rsidRDefault="00803DE7" w:rsidP="00847368">
            <w:pPr>
              <w:jc w:val="right"/>
              <w:rPr>
                <w:rFonts w:ascii="Arial" w:hAnsi="Arial" w:cs="Arial"/>
                <w:bCs/>
                <w:color w:val="000000"/>
              </w:rPr>
            </w:pPr>
            <w:r w:rsidRPr="00A96C5A">
              <w:rPr>
                <w:rFonts w:ascii="Arial" w:hAnsi="Arial" w:cs="Arial"/>
                <w:bCs/>
                <w:lang w:val="en-US" w:eastAsia="en-US"/>
              </w:rPr>
              <w:t>▼</w:t>
            </w:r>
            <w:r w:rsidR="00847368">
              <w:rPr>
                <w:rFonts w:ascii="Arial" w:hAnsi="Arial" w:cs="Arial"/>
                <w:bCs/>
                <w:color w:val="000000"/>
              </w:rPr>
              <w:t>78,95</w:t>
            </w:r>
            <w:r w:rsidR="00B4605B" w:rsidRPr="00A96C5A">
              <w:rPr>
                <w:rFonts w:ascii="Arial" w:hAnsi="Arial" w:cs="Arial"/>
                <w:bCs/>
                <w:color w:val="000000"/>
              </w:rPr>
              <w:t>%</w:t>
            </w:r>
          </w:p>
        </w:tc>
      </w:tr>
      <w:tr w:rsidR="00B4605B" w:rsidRPr="00456736" w:rsidTr="00946F1E">
        <w:trPr>
          <w:trHeight w:val="253"/>
          <w:jc w:val="center"/>
        </w:trPr>
        <w:tc>
          <w:tcPr>
            <w:tcW w:w="3055" w:type="dxa"/>
            <w:tcBorders>
              <w:top w:val="nil"/>
              <w:left w:val="single" w:sz="4" w:space="0" w:color="auto"/>
              <w:bottom w:val="single" w:sz="4" w:space="0" w:color="auto"/>
              <w:right w:val="single" w:sz="4" w:space="0" w:color="auto"/>
            </w:tcBorders>
            <w:shd w:val="clear" w:color="auto" w:fill="DEEAF6"/>
            <w:noWrap/>
            <w:vAlign w:val="center"/>
            <w:hideMark/>
          </w:tcPr>
          <w:p w:rsidR="00B4605B" w:rsidRPr="00F22FA3" w:rsidRDefault="00B4605B" w:rsidP="00B4605B">
            <w:pPr>
              <w:rPr>
                <w:rFonts w:ascii="Arial" w:hAnsi="Arial" w:cs="Arial"/>
                <w:b/>
                <w:bCs/>
                <w:color w:val="000000"/>
              </w:rPr>
            </w:pPr>
            <w:r w:rsidRPr="00F22FA3">
              <w:rPr>
                <w:rFonts w:ascii="Arial" w:hAnsi="Arial" w:cs="Arial"/>
                <w:b/>
                <w:bCs/>
                <w:color w:val="000000"/>
              </w:rPr>
              <w:t>Profit financiar</w:t>
            </w:r>
          </w:p>
        </w:tc>
        <w:tc>
          <w:tcPr>
            <w:tcW w:w="117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C949A7">
            <w:pPr>
              <w:jc w:val="right"/>
              <w:rPr>
                <w:rFonts w:ascii="Arial" w:hAnsi="Arial" w:cs="Arial"/>
                <w:b/>
                <w:bCs/>
                <w:color w:val="000000"/>
              </w:rPr>
            </w:pPr>
            <w:r w:rsidRPr="00F22FA3">
              <w:rPr>
                <w:rFonts w:ascii="Arial" w:hAnsi="Arial" w:cs="Arial"/>
                <w:b/>
                <w:bCs/>
                <w:color w:val="000000"/>
              </w:rPr>
              <w:t>2.3</w:t>
            </w:r>
            <w:r w:rsidR="00C949A7">
              <w:rPr>
                <w:rFonts w:ascii="Arial" w:hAnsi="Arial" w:cs="Arial"/>
                <w:b/>
                <w:bCs/>
                <w:color w:val="000000"/>
              </w:rPr>
              <w:t>69</w:t>
            </w:r>
          </w:p>
        </w:tc>
        <w:tc>
          <w:tcPr>
            <w:tcW w:w="148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B4605B">
            <w:pPr>
              <w:jc w:val="right"/>
              <w:rPr>
                <w:rFonts w:ascii="Arial" w:hAnsi="Arial" w:cs="Arial"/>
                <w:b/>
                <w:bCs/>
                <w:color w:val="000000"/>
              </w:rPr>
            </w:pPr>
            <w:r w:rsidRPr="00F22FA3">
              <w:rPr>
                <w:rFonts w:ascii="Arial" w:hAnsi="Arial" w:cs="Arial"/>
                <w:b/>
                <w:bCs/>
                <w:color w:val="000000"/>
              </w:rPr>
              <w:t>759</w:t>
            </w:r>
          </w:p>
        </w:tc>
        <w:tc>
          <w:tcPr>
            <w:tcW w:w="148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6A0485">
            <w:pPr>
              <w:jc w:val="right"/>
              <w:rPr>
                <w:rFonts w:ascii="Arial" w:hAnsi="Arial" w:cs="Arial"/>
                <w:b/>
                <w:bCs/>
                <w:color w:val="000000"/>
              </w:rPr>
            </w:pPr>
            <w:r w:rsidRPr="00F22FA3">
              <w:rPr>
                <w:rFonts w:ascii="Arial" w:hAnsi="Arial" w:cs="Arial"/>
                <w:b/>
                <w:bCs/>
                <w:color w:val="000000"/>
              </w:rPr>
              <w:t>1.90</w:t>
            </w:r>
            <w:r w:rsidR="007E5EC2">
              <w:rPr>
                <w:rFonts w:ascii="Arial" w:hAnsi="Arial" w:cs="Arial"/>
                <w:b/>
                <w:bCs/>
                <w:color w:val="000000"/>
              </w:rPr>
              <w:t>1</w:t>
            </w:r>
          </w:p>
        </w:tc>
        <w:tc>
          <w:tcPr>
            <w:tcW w:w="1204" w:type="dxa"/>
            <w:tcBorders>
              <w:top w:val="nil"/>
              <w:left w:val="nil"/>
              <w:bottom w:val="single" w:sz="4" w:space="0" w:color="auto"/>
              <w:right w:val="single" w:sz="4" w:space="0" w:color="auto"/>
            </w:tcBorders>
            <w:shd w:val="clear" w:color="auto" w:fill="DEEAF6"/>
            <w:noWrap/>
            <w:vAlign w:val="center"/>
            <w:hideMark/>
          </w:tcPr>
          <w:p w:rsidR="00B4605B" w:rsidRPr="00F22FA3" w:rsidRDefault="0060614B" w:rsidP="00C923CF">
            <w:pPr>
              <w:jc w:val="right"/>
              <w:rPr>
                <w:rFonts w:ascii="Arial" w:hAnsi="Arial" w:cs="Arial"/>
                <w:b/>
                <w:bCs/>
                <w:color w:val="000000"/>
              </w:rPr>
            </w:pPr>
            <w:r w:rsidRPr="00F22FA3">
              <w:rPr>
                <w:rFonts w:ascii="Arial" w:hAnsi="Arial" w:cs="Arial"/>
                <w:b/>
                <w:bCs/>
                <w:lang w:val="en-US" w:eastAsia="en-US"/>
              </w:rPr>
              <w:t>▲</w:t>
            </w:r>
            <w:r w:rsidRPr="00F22FA3">
              <w:rPr>
                <w:rFonts w:ascii="Arial" w:hAnsi="Arial" w:cs="Arial"/>
                <w:b/>
                <w:bCs/>
                <w:color w:val="000000"/>
              </w:rPr>
              <w:t>21</w:t>
            </w:r>
            <w:r w:rsidR="00B4605B" w:rsidRPr="00F22FA3">
              <w:rPr>
                <w:rFonts w:ascii="Arial" w:hAnsi="Arial" w:cs="Arial"/>
                <w:b/>
                <w:bCs/>
                <w:color w:val="000000"/>
              </w:rPr>
              <w:t>2,</w:t>
            </w:r>
            <w:r w:rsidR="00847368">
              <w:rPr>
                <w:rFonts w:ascii="Arial" w:hAnsi="Arial" w:cs="Arial"/>
                <w:b/>
                <w:bCs/>
                <w:color w:val="000000"/>
              </w:rPr>
              <w:t>12</w:t>
            </w:r>
            <w:r w:rsidR="00B4605B" w:rsidRPr="00F22FA3">
              <w:rPr>
                <w:rFonts w:ascii="Arial" w:hAnsi="Arial" w:cs="Arial"/>
                <w:b/>
                <w:bCs/>
                <w:color w:val="000000"/>
              </w:rPr>
              <w:t>%</w:t>
            </w:r>
          </w:p>
        </w:tc>
        <w:tc>
          <w:tcPr>
            <w:tcW w:w="1093" w:type="dxa"/>
            <w:tcBorders>
              <w:top w:val="nil"/>
              <w:left w:val="nil"/>
              <w:bottom w:val="single" w:sz="4" w:space="0" w:color="auto"/>
              <w:right w:val="single" w:sz="4" w:space="0" w:color="auto"/>
            </w:tcBorders>
            <w:shd w:val="clear" w:color="auto" w:fill="DEEAF6"/>
            <w:noWrap/>
            <w:vAlign w:val="center"/>
            <w:hideMark/>
          </w:tcPr>
          <w:p w:rsidR="00B4605B" w:rsidRPr="00F22FA3" w:rsidRDefault="0060614B" w:rsidP="00C923CF">
            <w:pPr>
              <w:jc w:val="right"/>
              <w:rPr>
                <w:rFonts w:ascii="Arial" w:hAnsi="Arial" w:cs="Arial"/>
                <w:b/>
                <w:bCs/>
                <w:color w:val="000000"/>
              </w:rPr>
            </w:pPr>
            <w:r w:rsidRPr="00F22FA3">
              <w:rPr>
                <w:rFonts w:ascii="Arial" w:hAnsi="Arial" w:cs="Arial"/>
                <w:b/>
                <w:bCs/>
                <w:lang w:val="en-US" w:eastAsia="en-US"/>
              </w:rPr>
              <w:t>▲</w:t>
            </w:r>
            <w:r w:rsidR="00B4605B" w:rsidRPr="00F22FA3">
              <w:rPr>
                <w:rFonts w:ascii="Arial" w:hAnsi="Arial" w:cs="Arial"/>
                <w:b/>
                <w:bCs/>
                <w:color w:val="000000"/>
              </w:rPr>
              <w:t>24,</w:t>
            </w:r>
            <w:r w:rsidR="00C35BF2">
              <w:rPr>
                <w:rFonts w:ascii="Arial" w:hAnsi="Arial" w:cs="Arial"/>
                <w:b/>
                <w:bCs/>
                <w:color w:val="000000"/>
              </w:rPr>
              <w:t>62</w:t>
            </w:r>
            <w:r w:rsidR="00B4605B" w:rsidRPr="00F22FA3">
              <w:rPr>
                <w:rFonts w:ascii="Arial" w:hAnsi="Arial" w:cs="Arial"/>
                <w:b/>
                <w:bCs/>
                <w:color w:val="000000"/>
              </w:rPr>
              <w:t>%</w:t>
            </w:r>
          </w:p>
        </w:tc>
      </w:tr>
      <w:tr w:rsidR="00B4605B" w:rsidRPr="00456736" w:rsidTr="00EA3A67">
        <w:trPr>
          <w:trHeight w:val="351"/>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rsidR="00B4605B" w:rsidRPr="00F22FA3" w:rsidRDefault="00B4605B" w:rsidP="00B4605B">
            <w:pPr>
              <w:rPr>
                <w:rFonts w:ascii="Arial" w:hAnsi="Arial" w:cs="Arial"/>
                <w:color w:val="000000"/>
              </w:rPr>
            </w:pPr>
            <w:r w:rsidRPr="00F22FA3">
              <w:rPr>
                <w:rFonts w:ascii="Arial" w:hAnsi="Arial" w:cs="Arial"/>
                <w:color w:val="000000"/>
              </w:rPr>
              <w:t>Venituri totale</w:t>
            </w:r>
          </w:p>
        </w:tc>
        <w:tc>
          <w:tcPr>
            <w:tcW w:w="1170" w:type="dxa"/>
            <w:tcBorders>
              <w:top w:val="nil"/>
              <w:left w:val="nil"/>
              <w:bottom w:val="single" w:sz="4" w:space="0" w:color="auto"/>
              <w:right w:val="single" w:sz="4" w:space="0" w:color="auto"/>
            </w:tcBorders>
            <w:shd w:val="clear" w:color="auto" w:fill="auto"/>
            <w:noWrap/>
            <w:vAlign w:val="center"/>
            <w:hideMark/>
          </w:tcPr>
          <w:p w:rsidR="00B4605B" w:rsidRPr="00A96C5A" w:rsidRDefault="00B4605B" w:rsidP="00B4605B">
            <w:pPr>
              <w:jc w:val="right"/>
              <w:rPr>
                <w:rFonts w:ascii="Arial" w:hAnsi="Arial" w:cs="Arial"/>
                <w:bCs/>
                <w:color w:val="000000"/>
              </w:rPr>
            </w:pPr>
            <w:r w:rsidRPr="00A96C5A">
              <w:rPr>
                <w:rFonts w:ascii="Arial" w:hAnsi="Arial" w:cs="Arial"/>
                <w:bCs/>
                <w:color w:val="000000"/>
              </w:rPr>
              <w:t>202.350</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A96C5A" w:rsidRDefault="00B4605B" w:rsidP="00B4605B">
            <w:pPr>
              <w:jc w:val="right"/>
              <w:rPr>
                <w:rFonts w:ascii="Arial" w:hAnsi="Arial" w:cs="Arial"/>
                <w:bCs/>
                <w:color w:val="000000"/>
              </w:rPr>
            </w:pPr>
            <w:r w:rsidRPr="00A96C5A">
              <w:rPr>
                <w:rFonts w:ascii="Arial" w:hAnsi="Arial" w:cs="Arial"/>
                <w:bCs/>
                <w:color w:val="000000"/>
              </w:rPr>
              <w:t>197.714</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A96C5A" w:rsidRDefault="00B4605B" w:rsidP="00B4605B">
            <w:pPr>
              <w:jc w:val="right"/>
              <w:rPr>
                <w:rFonts w:ascii="Arial" w:hAnsi="Arial" w:cs="Arial"/>
                <w:bCs/>
                <w:color w:val="000000"/>
              </w:rPr>
            </w:pPr>
            <w:r w:rsidRPr="00A96C5A">
              <w:rPr>
                <w:rFonts w:ascii="Arial" w:hAnsi="Arial" w:cs="Arial"/>
                <w:bCs/>
                <w:color w:val="000000"/>
              </w:rPr>
              <w:t>204.524</w:t>
            </w:r>
          </w:p>
        </w:tc>
        <w:tc>
          <w:tcPr>
            <w:tcW w:w="1204" w:type="dxa"/>
            <w:tcBorders>
              <w:top w:val="nil"/>
              <w:left w:val="nil"/>
              <w:bottom w:val="single" w:sz="4" w:space="0" w:color="auto"/>
              <w:right w:val="single" w:sz="4" w:space="0" w:color="auto"/>
            </w:tcBorders>
            <w:shd w:val="clear" w:color="auto" w:fill="auto"/>
            <w:noWrap/>
            <w:vAlign w:val="center"/>
            <w:hideMark/>
          </w:tcPr>
          <w:p w:rsidR="00B4605B" w:rsidRPr="00A96C5A" w:rsidRDefault="0060614B" w:rsidP="00B4605B">
            <w:pPr>
              <w:jc w:val="right"/>
              <w:rPr>
                <w:rFonts w:ascii="Arial" w:hAnsi="Arial" w:cs="Arial"/>
                <w:bCs/>
                <w:color w:val="000000"/>
              </w:rPr>
            </w:pPr>
            <w:r w:rsidRPr="00A96C5A">
              <w:rPr>
                <w:rFonts w:ascii="Arial" w:hAnsi="Arial" w:cs="Arial"/>
                <w:bCs/>
                <w:lang w:val="en-US" w:eastAsia="en-US"/>
              </w:rPr>
              <w:t>▲</w:t>
            </w:r>
            <w:r w:rsidR="00B4605B" w:rsidRPr="00A96C5A">
              <w:rPr>
                <w:rFonts w:ascii="Arial" w:hAnsi="Arial" w:cs="Arial"/>
                <w:bCs/>
                <w:color w:val="000000"/>
              </w:rPr>
              <w:t>2,34%</w:t>
            </w:r>
          </w:p>
        </w:tc>
        <w:tc>
          <w:tcPr>
            <w:tcW w:w="1093" w:type="dxa"/>
            <w:tcBorders>
              <w:top w:val="nil"/>
              <w:left w:val="nil"/>
              <w:bottom w:val="single" w:sz="4" w:space="0" w:color="auto"/>
              <w:right w:val="single" w:sz="4" w:space="0" w:color="auto"/>
            </w:tcBorders>
            <w:shd w:val="clear" w:color="auto" w:fill="auto"/>
            <w:noWrap/>
            <w:vAlign w:val="center"/>
            <w:hideMark/>
          </w:tcPr>
          <w:p w:rsidR="00B4605B" w:rsidRPr="00A96C5A" w:rsidRDefault="00803DE7" w:rsidP="00803DE7">
            <w:pPr>
              <w:jc w:val="right"/>
              <w:rPr>
                <w:rFonts w:ascii="Arial" w:hAnsi="Arial" w:cs="Arial"/>
                <w:bCs/>
                <w:color w:val="000000"/>
              </w:rPr>
            </w:pPr>
            <w:r w:rsidRPr="00A96C5A">
              <w:rPr>
                <w:rFonts w:ascii="Arial" w:hAnsi="Arial" w:cs="Arial"/>
                <w:bCs/>
                <w:lang w:val="en-US" w:eastAsia="en-US"/>
              </w:rPr>
              <w:t>▼</w:t>
            </w:r>
            <w:r w:rsidRPr="00A96C5A">
              <w:rPr>
                <w:rFonts w:ascii="Arial" w:hAnsi="Arial" w:cs="Arial"/>
                <w:bCs/>
                <w:color w:val="000000"/>
              </w:rPr>
              <w:t>1,06</w:t>
            </w:r>
            <w:r w:rsidR="00B4605B" w:rsidRPr="00A96C5A">
              <w:rPr>
                <w:rFonts w:ascii="Arial" w:hAnsi="Arial" w:cs="Arial"/>
                <w:bCs/>
                <w:color w:val="000000"/>
              </w:rPr>
              <w:t>%</w:t>
            </w:r>
          </w:p>
        </w:tc>
      </w:tr>
      <w:tr w:rsidR="00B4605B" w:rsidRPr="00456736" w:rsidTr="00EA3A67">
        <w:trPr>
          <w:trHeight w:val="331"/>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rsidR="00B4605B" w:rsidRPr="00F22FA3" w:rsidRDefault="00B4605B" w:rsidP="00B4605B">
            <w:pPr>
              <w:rPr>
                <w:rFonts w:ascii="Arial" w:hAnsi="Arial" w:cs="Arial"/>
                <w:color w:val="000000"/>
              </w:rPr>
            </w:pPr>
            <w:r w:rsidRPr="00F22FA3">
              <w:rPr>
                <w:rFonts w:ascii="Arial" w:hAnsi="Arial" w:cs="Arial"/>
                <w:color w:val="000000"/>
              </w:rPr>
              <w:t>Cheltuieli totale</w:t>
            </w:r>
          </w:p>
        </w:tc>
        <w:tc>
          <w:tcPr>
            <w:tcW w:w="1170" w:type="dxa"/>
            <w:tcBorders>
              <w:top w:val="nil"/>
              <w:left w:val="nil"/>
              <w:bottom w:val="single" w:sz="4" w:space="0" w:color="auto"/>
              <w:right w:val="single" w:sz="4" w:space="0" w:color="auto"/>
            </w:tcBorders>
            <w:shd w:val="clear" w:color="auto" w:fill="auto"/>
            <w:noWrap/>
            <w:vAlign w:val="center"/>
            <w:hideMark/>
          </w:tcPr>
          <w:p w:rsidR="00B4605B" w:rsidRPr="00A96C5A" w:rsidRDefault="00B4605B" w:rsidP="00B4605B">
            <w:pPr>
              <w:jc w:val="right"/>
              <w:rPr>
                <w:rFonts w:ascii="Arial" w:hAnsi="Arial" w:cs="Arial"/>
                <w:bCs/>
                <w:color w:val="000000"/>
              </w:rPr>
            </w:pPr>
            <w:r w:rsidRPr="00A96C5A">
              <w:rPr>
                <w:rFonts w:ascii="Arial" w:hAnsi="Arial" w:cs="Arial"/>
                <w:bCs/>
                <w:color w:val="000000"/>
              </w:rPr>
              <w:t>176.726</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A96C5A" w:rsidRDefault="00B4605B" w:rsidP="00B4605B">
            <w:pPr>
              <w:jc w:val="right"/>
              <w:rPr>
                <w:rFonts w:ascii="Arial" w:hAnsi="Arial" w:cs="Arial"/>
                <w:bCs/>
                <w:color w:val="000000"/>
              </w:rPr>
            </w:pPr>
            <w:r w:rsidRPr="00A96C5A">
              <w:rPr>
                <w:rFonts w:ascii="Arial" w:hAnsi="Arial" w:cs="Arial"/>
                <w:bCs/>
                <w:color w:val="000000"/>
              </w:rPr>
              <w:t>173.089</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A96C5A" w:rsidRDefault="00B4605B">
            <w:pPr>
              <w:jc w:val="right"/>
              <w:rPr>
                <w:rFonts w:ascii="Arial" w:hAnsi="Arial" w:cs="Arial"/>
                <w:bCs/>
                <w:color w:val="000000"/>
              </w:rPr>
            </w:pPr>
            <w:r w:rsidRPr="00A96C5A">
              <w:rPr>
                <w:rFonts w:ascii="Arial" w:hAnsi="Arial" w:cs="Arial"/>
                <w:bCs/>
                <w:color w:val="000000"/>
              </w:rPr>
              <w:t>16</w:t>
            </w:r>
            <w:r w:rsidR="005D1B4B" w:rsidRPr="00A96C5A">
              <w:rPr>
                <w:rFonts w:ascii="Arial" w:hAnsi="Arial" w:cs="Arial"/>
                <w:bCs/>
                <w:color w:val="000000"/>
              </w:rPr>
              <w:t>2</w:t>
            </w:r>
            <w:r w:rsidRPr="00A96C5A">
              <w:rPr>
                <w:rFonts w:ascii="Arial" w:hAnsi="Arial" w:cs="Arial"/>
                <w:bCs/>
                <w:color w:val="000000"/>
              </w:rPr>
              <w:t>.</w:t>
            </w:r>
            <w:r w:rsidR="00C85EC0" w:rsidRPr="00A96C5A">
              <w:rPr>
                <w:rFonts w:ascii="Arial" w:hAnsi="Arial" w:cs="Arial"/>
                <w:bCs/>
                <w:color w:val="000000"/>
              </w:rPr>
              <w:t>194</w:t>
            </w:r>
          </w:p>
        </w:tc>
        <w:tc>
          <w:tcPr>
            <w:tcW w:w="1204" w:type="dxa"/>
            <w:tcBorders>
              <w:top w:val="nil"/>
              <w:left w:val="nil"/>
              <w:bottom w:val="single" w:sz="4" w:space="0" w:color="auto"/>
              <w:right w:val="single" w:sz="4" w:space="0" w:color="auto"/>
            </w:tcBorders>
            <w:shd w:val="clear" w:color="auto" w:fill="auto"/>
            <w:noWrap/>
            <w:vAlign w:val="center"/>
            <w:hideMark/>
          </w:tcPr>
          <w:p w:rsidR="00B4605B" w:rsidRPr="00A96C5A" w:rsidRDefault="0060614B" w:rsidP="00B4605B">
            <w:pPr>
              <w:jc w:val="right"/>
              <w:rPr>
                <w:rFonts w:ascii="Arial" w:hAnsi="Arial" w:cs="Arial"/>
                <w:bCs/>
                <w:color w:val="000000"/>
              </w:rPr>
            </w:pPr>
            <w:r w:rsidRPr="00A96C5A">
              <w:rPr>
                <w:rFonts w:ascii="Arial" w:hAnsi="Arial" w:cs="Arial"/>
                <w:bCs/>
                <w:lang w:val="en-US" w:eastAsia="en-US"/>
              </w:rPr>
              <w:t>▲</w:t>
            </w:r>
            <w:r w:rsidR="00B4605B" w:rsidRPr="00A96C5A">
              <w:rPr>
                <w:rFonts w:ascii="Arial" w:hAnsi="Arial" w:cs="Arial"/>
                <w:bCs/>
                <w:color w:val="000000"/>
              </w:rPr>
              <w:t>2,10%</w:t>
            </w:r>
          </w:p>
        </w:tc>
        <w:tc>
          <w:tcPr>
            <w:tcW w:w="1093" w:type="dxa"/>
            <w:tcBorders>
              <w:top w:val="nil"/>
              <w:left w:val="nil"/>
              <w:bottom w:val="single" w:sz="4" w:space="0" w:color="auto"/>
              <w:right w:val="single" w:sz="4" w:space="0" w:color="auto"/>
            </w:tcBorders>
            <w:shd w:val="clear" w:color="auto" w:fill="auto"/>
            <w:noWrap/>
            <w:vAlign w:val="center"/>
            <w:hideMark/>
          </w:tcPr>
          <w:p w:rsidR="00B4605B" w:rsidRPr="00A96C5A" w:rsidRDefault="0060614B">
            <w:pPr>
              <w:jc w:val="right"/>
              <w:rPr>
                <w:rFonts w:ascii="Arial" w:hAnsi="Arial" w:cs="Arial"/>
                <w:bCs/>
                <w:color w:val="000000"/>
              </w:rPr>
            </w:pPr>
            <w:r w:rsidRPr="00A96C5A">
              <w:rPr>
                <w:rFonts w:ascii="Arial" w:hAnsi="Arial" w:cs="Arial"/>
                <w:bCs/>
                <w:lang w:val="en-US" w:eastAsia="en-US"/>
              </w:rPr>
              <w:t>▲</w:t>
            </w:r>
            <w:r w:rsidR="008106B9" w:rsidRPr="00A96C5A">
              <w:rPr>
                <w:rFonts w:ascii="Arial" w:hAnsi="Arial" w:cs="Arial"/>
                <w:bCs/>
                <w:color w:val="000000"/>
              </w:rPr>
              <w:t>8</w:t>
            </w:r>
            <w:r w:rsidR="00B4605B" w:rsidRPr="00A96C5A">
              <w:rPr>
                <w:rFonts w:ascii="Arial" w:hAnsi="Arial" w:cs="Arial"/>
                <w:bCs/>
                <w:color w:val="000000"/>
              </w:rPr>
              <w:t>,9</w:t>
            </w:r>
            <w:r w:rsidR="008106B9" w:rsidRPr="00A96C5A">
              <w:rPr>
                <w:rFonts w:ascii="Arial" w:hAnsi="Arial" w:cs="Arial"/>
                <w:bCs/>
                <w:color w:val="000000"/>
              </w:rPr>
              <w:t>6</w:t>
            </w:r>
            <w:r w:rsidR="00B4605B" w:rsidRPr="00A96C5A">
              <w:rPr>
                <w:rFonts w:ascii="Arial" w:hAnsi="Arial" w:cs="Arial"/>
                <w:bCs/>
                <w:color w:val="000000"/>
              </w:rPr>
              <w:t>%</w:t>
            </w:r>
          </w:p>
        </w:tc>
      </w:tr>
      <w:tr w:rsidR="00B4605B" w:rsidRPr="00456736" w:rsidTr="00946F1E">
        <w:trPr>
          <w:trHeight w:val="280"/>
          <w:jc w:val="center"/>
        </w:trPr>
        <w:tc>
          <w:tcPr>
            <w:tcW w:w="3055" w:type="dxa"/>
            <w:tcBorders>
              <w:top w:val="nil"/>
              <w:left w:val="single" w:sz="4" w:space="0" w:color="auto"/>
              <w:bottom w:val="single" w:sz="4" w:space="0" w:color="auto"/>
              <w:right w:val="single" w:sz="4" w:space="0" w:color="auto"/>
            </w:tcBorders>
            <w:shd w:val="clear" w:color="auto" w:fill="DEEAF6"/>
            <w:noWrap/>
            <w:vAlign w:val="center"/>
            <w:hideMark/>
          </w:tcPr>
          <w:p w:rsidR="00B4605B" w:rsidRPr="00F22FA3" w:rsidRDefault="00B4605B" w:rsidP="00B4605B">
            <w:pPr>
              <w:rPr>
                <w:rFonts w:ascii="Arial" w:hAnsi="Arial" w:cs="Arial"/>
                <w:b/>
                <w:bCs/>
                <w:color w:val="000000"/>
              </w:rPr>
            </w:pPr>
            <w:r w:rsidRPr="00F22FA3">
              <w:rPr>
                <w:rFonts w:ascii="Arial" w:hAnsi="Arial" w:cs="Arial"/>
                <w:b/>
                <w:bCs/>
                <w:color w:val="000000"/>
              </w:rPr>
              <w:t>Profit brut</w:t>
            </w:r>
          </w:p>
        </w:tc>
        <w:tc>
          <w:tcPr>
            <w:tcW w:w="117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B4605B">
            <w:pPr>
              <w:jc w:val="right"/>
              <w:rPr>
                <w:rFonts w:ascii="Arial" w:hAnsi="Arial" w:cs="Arial"/>
                <w:b/>
                <w:bCs/>
                <w:color w:val="000000"/>
              </w:rPr>
            </w:pPr>
            <w:r w:rsidRPr="00F22FA3">
              <w:rPr>
                <w:rFonts w:ascii="Arial" w:hAnsi="Arial" w:cs="Arial"/>
                <w:b/>
                <w:bCs/>
                <w:color w:val="000000"/>
              </w:rPr>
              <w:t>25.624</w:t>
            </w:r>
          </w:p>
        </w:tc>
        <w:tc>
          <w:tcPr>
            <w:tcW w:w="148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B4605B">
            <w:pPr>
              <w:jc w:val="right"/>
              <w:rPr>
                <w:rFonts w:ascii="Arial" w:hAnsi="Arial" w:cs="Arial"/>
                <w:b/>
                <w:bCs/>
                <w:color w:val="000000"/>
              </w:rPr>
            </w:pPr>
            <w:r w:rsidRPr="00F22FA3">
              <w:rPr>
                <w:rFonts w:ascii="Arial" w:hAnsi="Arial" w:cs="Arial"/>
                <w:b/>
                <w:bCs/>
                <w:color w:val="000000"/>
              </w:rPr>
              <w:t>24.625</w:t>
            </w:r>
          </w:p>
        </w:tc>
        <w:tc>
          <w:tcPr>
            <w:tcW w:w="148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pPr>
              <w:jc w:val="right"/>
              <w:rPr>
                <w:rFonts w:ascii="Arial" w:hAnsi="Arial" w:cs="Arial"/>
                <w:b/>
                <w:bCs/>
                <w:color w:val="000000"/>
              </w:rPr>
            </w:pPr>
            <w:r w:rsidRPr="00F22FA3">
              <w:rPr>
                <w:rFonts w:ascii="Arial" w:hAnsi="Arial" w:cs="Arial"/>
                <w:b/>
                <w:bCs/>
                <w:color w:val="000000"/>
              </w:rPr>
              <w:t>4</w:t>
            </w:r>
            <w:r w:rsidR="005D1B4B" w:rsidRPr="00F22FA3">
              <w:rPr>
                <w:rFonts w:ascii="Arial" w:hAnsi="Arial" w:cs="Arial"/>
                <w:b/>
                <w:bCs/>
                <w:color w:val="000000"/>
              </w:rPr>
              <w:t>2</w:t>
            </w:r>
            <w:r w:rsidRPr="00F22FA3">
              <w:rPr>
                <w:rFonts w:ascii="Arial" w:hAnsi="Arial" w:cs="Arial"/>
                <w:b/>
                <w:bCs/>
                <w:color w:val="000000"/>
              </w:rPr>
              <w:t>.</w:t>
            </w:r>
            <w:r w:rsidR="005D1B4B" w:rsidRPr="00F22FA3">
              <w:rPr>
                <w:rFonts w:ascii="Arial" w:hAnsi="Arial" w:cs="Arial"/>
                <w:b/>
                <w:bCs/>
                <w:color w:val="000000"/>
              </w:rPr>
              <w:t>329</w:t>
            </w:r>
          </w:p>
        </w:tc>
        <w:tc>
          <w:tcPr>
            <w:tcW w:w="1204" w:type="dxa"/>
            <w:tcBorders>
              <w:top w:val="nil"/>
              <w:left w:val="nil"/>
              <w:bottom w:val="single" w:sz="4" w:space="0" w:color="auto"/>
              <w:right w:val="single" w:sz="4" w:space="0" w:color="auto"/>
            </w:tcBorders>
            <w:shd w:val="clear" w:color="auto" w:fill="DEEAF6"/>
            <w:noWrap/>
            <w:vAlign w:val="center"/>
            <w:hideMark/>
          </w:tcPr>
          <w:p w:rsidR="00B4605B" w:rsidRPr="00F22FA3" w:rsidRDefault="0060614B" w:rsidP="00B4605B">
            <w:pPr>
              <w:jc w:val="right"/>
              <w:rPr>
                <w:rFonts w:ascii="Arial" w:hAnsi="Arial" w:cs="Arial"/>
                <w:b/>
                <w:bCs/>
                <w:color w:val="000000"/>
              </w:rPr>
            </w:pPr>
            <w:r w:rsidRPr="00F22FA3">
              <w:rPr>
                <w:rFonts w:ascii="Arial" w:hAnsi="Arial" w:cs="Arial"/>
                <w:b/>
                <w:bCs/>
                <w:lang w:val="en-US" w:eastAsia="en-US"/>
              </w:rPr>
              <w:t>▲</w:t>
            </w:r>
            <w:r w:rsidR="00B4605B" w:rsidRPr="00F22FA3">
              <w:rPr>
                <w:rFonts w:ascii="Arial" w:hAnsi="Arial" w:cs="Arial"/>
                <w:b/>
                <w:bCs/>
                <w:color w:val="000000"/>
              </w:rPr>
              <w:t>4,06%</w:t>
            </w:r>
          </w:p>
        </w:tc>
        <w:tc>
          <w:tcPr>
            <w:tcW w:w="1093" w:type="dxa"/>
            <w:tcBorders>
              <w:top w:val="nil"/>
              <w:left w:val="nil"/>
              <w:bottom w:val="single" w:sz="4" w:space="0" w:color="auto"/>
              <w:right w:val="single" w:sz="4" w:space="0" w:color="auto"/>
            </w:tcBorders>
            <w:shd w:val="clear" w:color="auto" w:fill="DEEAF6"/>
            <w:noWrap/>
            <w:vAlign w:val="center"/>
            <w:hideMark/>
          </w:tcPr>
          <w:p w:rsidR="00B4605B" w:rsidRPr="00F22FA3" w:rsidRDefault="00803DE7">
            <w:pPr>
              <w:jc w:val="right"/>
              <w:rPr>
                <w:rFonts w:ascii="Arial" w:hAnsi="Arial" w:cs="Arial"/>
                <w:b/>
                <w:bCs/>
                <w:color w:val="000000"/>
              </w:rPr>
            </w:pPr>
            <w:r w:rsidRPr="00F22FA3">
              <w:rPr>
                <w:rFonts w:ascii="Arial" w:hAnsi="Arial" w:cs="Arial"/>
                <w:bCs/>
                <w:lang w:val="en-US" w:eastAsia="en-US"/>
              </w:rPr>
              <w:t>▼</w:t>
            </w:r>
            <w:r w:rsidR="008106B9" w:rsidRPr="00F22FA3">
              <w:rPr>
                <w:rFonts w:ascii="Arial" w:hAnsi="Arial" w:cs="Arial"/>
                <w:b/>
                <w:bCs/>
                <w:color w:val="000000"/>
              </w:rPr>
              <w:t>39</w:t>
            </w:r>
            <w:r w:rsidRPr="00F22FA3">
              <w:rPr>
                <w:rFonts w:ascii="Arial" w:hAnsi="Arial" w:cs="Arial"/>
                <w:b/>
                <w:bCs/>
                <w:color w:val="000000"/>
              </w:rPr>
              <w:t>,4</w:t>
            </w:r>
            <w:r w:rsidR="008106B9" w:rsidRPr="00F22FA3">
              <w:rPr>
                <w:rFonts w:ascii="Arial" w:hAnsi="Arial" w:cs="Arial"/>
                <w:b/>
                <w:bCs/>
                <w:color w:val="000000"/>
              </w:rPr>
              <w:t>6</w:t>
            </w:r>
            <w:r w:rsidR="00B4605B" w:rsidRPr="00F22FA3">
              <w:rPr>
                <w:rFonts w:ascii="Arial" w:hAnsi="Arial" w:cs="Arial"/>
                <w:b/>
                <w:bCs/>
                <w:color w:val="000000"/>
              </w:rPr>
              <w:t>%</w:t>
            </w:r>
          </w:p>
        </w:tc>
      </w:tr>
      <w:tr w:rsidR="00B4605B" w:rsidRPr="00456736" w:rsidTr="00946F1E">
        <w:trPr>
          <w:trHeight w:val="271"/>
          <w:jc w:val="center"/>
        </w:trPr>
        <w:tc>
          <w:tcPr>
            <w:tcW w:w="3055" w:type="dxa"/>
            <w:tcBorders>
              <w:top w:val="nil"/>
              <w:left w:val="single" w:sz="4" w:space="0" w:color="auto"/>
              <w:bottom w:val="single" w:sz="4" w:space="0" w:color="auto"/>
              <w:right w:val="single" w:sz="4" w:space="0" w:color="auto"/>
            </w:tcBorders>
            <w:shd w:val="clear" w:color="auto" w:fill="DEEAF6"/>
            <w:noWrap/>
            <w:vAlign w:val="center"/>
            <w:hideMark/>
          </w:tcPr>
          <w:p w:rsidR="00B4605B" w:rsidRPr="00F22FA3" w:rsidRDefault="00B4605B" w:rsidP="00B4605B">
            <w:pPr>
              <w:shd w:val="clear" w:color="auto" w:fill="DEEAF6"/>
              <w:rPr>
                <w:rFonts w:ascii="Arial" w:hAnsi="Arial" w:cs="Arial"/>
                <w:b/>
                <w:bCs/>
                <w:color w:val="000000"/>
              </w:rPr>
            </w:pPr>
            <w:r w:rsidRPr="00F22FA3">
              <w:rPr>
                <w:rFonts w:ascii="Arial" w:hAnsi="Arial" w:cs="Arial"/>
                <w:b/>
                <w:bCs/>
                <w:color w:val="000000"/>
              </w:rPr>
              <w:t>Profit net</w:t>
            </w:r>
          </w:p>
        </w:tc>
        <w:tc>
          <w:tcPr>
            <w:tcW w:w="117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9206BC">
            <w:pPr>
              <w:jc w:val="right"/>
              <w:rPr>
                <w:rFonts w:ascii="Arial" w:hAnsi="Arial" w:cs="Arial"/>
                <w:b/>
                <w:bCs/>
                <w:color w:val="000000"/>
              </w:rPr>
            </w:pPr>
            <w:r w:rsidRPr="00F22FA3">
              <w:rPr>
                <w:rFonts w:ascii="Arial" w:hAnsi="Arial" w:cs="Arial"/>
                <w:b/>
                <w:bCs/>
                <w:color w:val="000000"/>
              </w:rPr>
              <w:t>21.6</w:t>
            </w:r>
            <w:r w:rsidR="009206BC" w:rsidRPr="00F22FA3">
              <w:rPr>
                <w:rFonts w:ascii="Arial" w:hAnsi="Arial" w:cs="Arial"/>
                <w:b/>
                <w:bCs/>
                <w:color w:val="000000"/>
              </w:rPr>
              <w:t>26</w:t>
            </w:r>
          </w:p>
        </w:tc>
        <w:tc>
          <w:tcPr>
            <w:tcW w:w="148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B4605B">
            <w:pPr>
              <w:jc w:val="right"/>
              <w:rPr>
                <w:rFonts w:ascii="Arial" w:hAnsi="Arial" w:cs="Arial"/>
                <w:b/>
                <w:bCs/>
                <w:color w:val="000000"/>
              </w:rPr>
            </w:pPr>
            <w:r w:rsidRPr="00F22FA3">
              <w:rPr>
                <w:rFonts w:ascii="Arial" w:hAnsi="Arial" w:cs="Arial"/>
                <w:b/>
                <w:bCs/>
                <w:color w:val="000000"/>
              </w:rPr>
              <w:t>20.521</w:t>
            </w:r>
          </w:p>
        </w:tc>
        <w:tc>
          <w:tcPr>
            <w:tcW w:w="1480" w:type="dxa"/>
            <w:tcBorders>
              <w:top w:val="nil"/>
              <w:left w:val="nil"/>
              <w:bottom w:val="single" w:sz="4" w:space="0" w:color="auto"/>
              <w:right w:val="single" w:sz="4" w:space="0" w:color="auto"/>
            </w:tcBorders>
            <w:shd w:val="clear" w:color="auto" w:fill="DEEAF6"/>
            <w:noWrap/>
            <w:vAlign w:val="center"/>
            <w:hideMark/>
          </w:tcPr>
          <w:p w:rsidR="00B4605B" w:rsidRPr="00F22FA3" w:rsidRDefault="005D1B4B" w:rsidP="00C0011A">
            <w:pPr>
              <w:jc w:val="right"/>
              <w:rPr>
                <w:rFonts w:ascii="Arial" w:hAnsi="Arial" w:cs="Arial"/>
                <w:b/>
                <w:bCs/>
                <w:color w:val="000000"/>
              </w:rPr>
            </w:pPr>
            <w:r w:rsidRPr="00F22FA3">
              <w:rPr>
                <w:rFonts w:ascii="Arial" w:hAnsi="Arial" w:cs="Arial"/>
                <w:b/>
                <w:bCs/>
                <w:color w:val="000000"/>
              </w:rPr>
              <w:t>3</w:t>
            </w:r>
            <w:r w:rsidR="00C0011A">
              <w:rPr>
                <w:rFonts w:ascii="Arial" w:hAnsi="Arial" w:cs="Arial"/>
                <w:b/>
                <w:bCs/>
                <w:color w:val="000000"/>
              </w:rPr>
              <w:t>5.767</w:t>
            </w:r>
          </w:p>
        </w:tc>
        <w:tc>
          <w:tcPr>
            <w:tcW w:w="1204" w:type="dxa"/>
            <w:tcBorders>
              <w:top w:val="nil"/>
              <w:left w:val="nil"/>
              <w:bottom w:val="single" w:sz="4" w:space="0" w:color="auto"/>
              <w:right w:val="single" w:sz="4" w:space="0" w:color="auto"/>
            </w:tcBorders>
            <w:shd w:val="clear" w:color="auto" w:fill="DEEAF6"/>
            <w:noWrap/>
            <w:vAlign w:val="center"/>
            <w:hideMark/>
          </w:tcPr>
          <w:p w:rsidR="00B4605B" w:rsidRPr="00F22FA3" w:rsidRDefault="0060614B" w:rsidP="009206BC">
            <w:pPr>
              <w:jc w:val="right"/>
              <w:rPr>
                <w:rFonts w:ascii="Arial" w:hAnsi="Arial" w:cs="Arial"/>
                <w:b/>
                <w:bCs/>
                <w:color w:val="000000"/>
              </w:rPr>
            </w:pPr>
            <w:r w:rsidRPr="00F22FA3">
              <w:rPr>
                <w:rFonts w:ascii="Arial" w:hAnsi="Arial" w:cs="Arial"/>
                <w:b/>
                <w:bCs/>
                <w:lang w:val="en-US" w:eastAsia="en-US"/>
              </w:rPr>
              <w:t>▲</w:t>
            </w:r>
            <w:r w:rsidR="00B4605B" w:rsidRPr="00F22FA3">
              <w:rPr>
                <w:rFonts w:ascii="Arial" w:hAnsi="Arial" w:cs="Arial"/>
                <w:b/>
                <w:bCs/>
                <w:color w:val="000000"/>
              </w:rPr>
              <w:t>5,3</w:t>
            </w:r>
            <w:r w:rsidR="009206BC" w:rsidRPr="00F22FA3">
              <w:rPr>
                <w:rFonts w:ascii="Arial" w:hAnsi="Arial" w:cs="Arial"/>
                <w:b/>
                <w:bCs/>
                <w:color w:val="000000"/>
              </w:rPr>
              <w:t>8</w:t>
            </w:r>
            <w:r w:rsidR="00B4605B" w:rsidRPr="00F22FA3">
              <w:rPr>
                <w:rFonts w:ascii="Arial" w:hAnsi="Arial" w:cs="Arial"/>
                <w:b/>
                <w:bCs/>
                <w:color w:val="000000"/>
              </w:rPr>
              <w:t>%</w:t>
            </w:r>
          </w:p>
        </w:tc>
        <w:tc>
          <w:tcPr>
            <w:tcW w:w="1093" w:type="dxa"/>
            <w:tcBorders>
              <w:top w:val="nil"/>
              <w:left w:val="nil"/>
              <w:bottom w:val="single" w:sz="4" w:space="0" w:color="auto"/>
              <w:right w:val="single" w:sz="4" w:space="0" w:color="auto"/>
            </w:tcBorders>
            <w:shd w:val="clear" w:color="auto" w:fill="DEEAF6"/>
            <w:noWrap/>
            <w:vAlign w:val="center"/>
            <w:hideMark/>
          </w:tcPr>
          <w:p w:rsidR="00B4605B" w:rsidRPr="00F22FA3" w:rsidRDefault="00803DE7" w:rsidP="00C0011A">
            <w:pPr>
              <w:jc w:val="right"/>
              <w:rPr>
                <w:rFonts w:ascii="Arial" w:hAnsi="Arial" w:cs="Arial"/>
                <w:b/>
                <w:bCs/>
                <w:color w:val="000000"/>
              </w:rPr>
            </w:pPr>
            <w:r w:rsidRPr="00F22FA3">
              <w:rPr>
                <w:rFonts w:ascii="Arial" w:hAnsi="Arial" w:cs="Arial"/>
                <w:bCs/>
                <w:lang w:val="en-US" w:eastAsia="en-US"/>
              </w:rPr>
              <w:t>▼</w:t>
            </w:r>
            <w:r w:rsidR="008106B9" w:rsidRPr="00F22FA3">
              <w:rPr>
                <w:rFonts w:ascii="Arial" w:hAnsi="Arial" w:cs="Arial"/>
                <w:b/>
                <w:bCs/>
                <w:color w:val="000000"/>
              </w:rPr>
              <w:t>3</w:t>
            </w:r>
            <w:r w:rsidR="00C0011A">
              <w:rPr>
                <w:rFonts w:ascii="Arial" w:hAnsi="Arial" w:cs="Arial"/>
                <w:b/>
                <w:bCs/>
                <w:color w:val="000000"/>
              </w:rPr>
              <w:t>9,54</w:t>
            </w:r>
            <w:r w:rsidR="00B4605B" w:rsidRPr="00F22FA3">
              <w:rPr>
                <w:rFonts w:ascii="Arial" w:hAnsi="Arial" w:cs="Arial"/>
                <w:b/>
                <w:bCs/>
                <w:color w:val="000000"/>
              </w:rPr>
              <w:t>%</w:t>
            </w:r>
          </w:p>
        </w:tc>
      </w:tr>
    </w:tbl>
    <w:p w:rsidR="00816479" w:rsidRPr="00A74CF5" w:rsidRDefault="00816479" w:rsidP="00816479">
      <w:pPr>
        <w:rPr>
          <w:rFonts w:ascii="Arial" w:hAnsi="Arial" w:cs="Arial"/>
          <w:sz w:val="22"/>
          <w:szCs w:val="22"/>
        </w:rPr>
      </w:pPr>
    </w:p>
    <w:p w:rsidR="00816479" w:rsidRPr="00F43345" w:rsidRDefault="009E1FB0" w:rsidP="00816479">
      <w:pPr>
        <w:jc w:val="center"/>
        <w:rPr>
          <w:rFonts w:ascii="Arial" w:hAnsi="Arial" w:cs="Arial"/>
          <w:sz w:val="16"/>
          <w:szCs w:val="16"/>
        </w:rPr>
      </w:pPr>
      <w:r w:rsidRPr="00F43345">
        <w:rPr>
          <w:rFonts w:ascii="Arial" w:hAnsi="Arial" w:cs="Arial"/>
          <w:sz w:val="16"/>
          <w:szCs w:val="16"/>
        </w:rPr>
        <w:t xml:space="preserve">Tabel </w:t>
      </w:r>
      <w:r w:rsidR="007239FA" w:rsidRPr="00F43345">
        <w:rPr>
          <w:rFonts w:ascii="Arial" w:hAnsi="Arial" w:cs="Arial"/>
          <w:sz w:val="16"/>
          <w:szCs w:val="16"/>
        </w:rPr>
        <w:t>11</w:t>
      </w:r>
      <w:r w:rsidR="00816479" w:rsidRPr="00F43345">
        <w:rPr>
          <w:rFonts w:ascii="Arial" w:hAnsi="Arial" w:cs="Arial"/>
          <w:sz w:val="16"/>
          <w:szCs w:val="16"/>
        </w:rPr>
        <w:t xml:space="preserve"> – Principalii  indicatori economici realizați în </w:t>
      </w:r>
      <w:r w:rsidR="00C949A7" w:rsidRPr="00F43345">
        <w:rPr>
          <w:rFonts w:ascii="Arial" w:hAnsi="Arial" w:cs="Arial"/>
          <w:sz w:val="16"/>
          <w:szCs w:val="16"/>
        </w:rPr>
        <w:t>S</w:t>
      </w:r>
      <w:r w:rsidR="00810549" w:rsidRPr="00F43345">
        <w:rPr>
          <w:rFonts w:ascii="Arial" w:hAnsi="Arial" w:cs="Arial"/>
          <w:sz w:val="16"/>
          <w:szCs w:val="16"/>
        </w:rPr>
        <w:t xml:space="preserve">emestrul </w:t>
      </w:r>
      <w:r w:rsidR="00816479" w:rsidRPr="00F43345">
        <w:rPr>
          <w:rFonts w:ascii="Arial" w:hAnsi="Arial" w:cs="Arial"/>
          <w:sz w:val="16"/>
          <w:szCs w:val="16"/>
        </w:rPr>
        <w:t xml:space="preserve">I 2018 </w:t>
      </w:r>
      <w:r w:rsidR="00CF0530" w:rsidRPr="00F43345">
        <w:rPr>
          <w:rFonts w:ascii="Arial" w:hAnsi="Arial" w:cs="Arial"/>
          <w:sz w:val="16"/>
          <w:szCs w:val="16"/>
        </w:rPr>
        <w:t>față</w:t>
      </w:r>
      <w:r w:rsidR="00810549" w:rsidRPr="00F43345">
        <w:rPr>
          <w:rFonts w:ascii="Arial" w:hAnsi="Arial" w:cs="Arial"/>
          <w:sz w:val="16"/>
          <w:szCs w:val="16"/>
        </w:rPr>
        <w:t>de</w:t>
      </w:r>
      <w:r w:rsidR="00816479" w:rsidRPr="00F43345">
        <w:rPr>
          <w:rFonts w:ascii="Arial" w:hAnsi="Arial" w:cs="Arial"/>
          <w:sz w:val="16"/>
          <w:szCs w:val="16"/>
        </w:rPr>
        <w:t xml:space="preserve"> BVC 2018 și </w:t>
      </w:r>
      <w:r w:rsidR="00810549" w:rsidRPr="00F43345">
        <w:rPr>
          <w:rFonts w:ascii="Arial" w:hAnsi="Arial" w:cs="Arial"/>
          <w:sz w:val="16"/>
          <w:szCs w:val="16"/>
        </w:rPr>
        <w:t xml:space="preserve">față de </w:t>
      </w:r>
      <w:r w:rsidR="00816479" w:rsidRPr="00F43345">
        <w:rPr>
          <w:rFonts w:ascii="Arial" w:hAnsi="Arial" w:cs="Arial"/>
          <w:sz w:val="16"/>
          <w:szCs w:val="16"/>
        </w:rPr>
        <w:t>aceeași perioadă a anului 2017</w:t>
      </w:r>
    </w:p>
    <w:p w:rsidR="00816479" w:rsidRPr="0053792A" w:rsidRDefault="00816479" w:rsidP="00816479">
      <w:pPr>
        <w:jc w:val="center"/>
        <w:rPr>
          <w:rFonts w:ascii="Arial" w:hAnsi="Arial" w:cs="Arial"/>
          <w:i/>
          <w:sz w:val="18"/>
          <w:szCs w:val="18"/>
        </w:rPr>
      </w:pPr>
    </w:p>
    <w:p w:rsidR="007C2533" w:rsidRPr="00045BD9" w:rsidRDefault="005A4F87" w:rsidP="00045BD9">
      <w:pPr>
        <w:jc w:val="both"/>
        <w:rPr>
          <w:rFonts w:ascii="Arial" w:eastAsia="Calibri" w:hAnsi="Arial" w:cs="Arial"/>
          <w:sz w:val="22"/>
          <w:szCs w:val="22"/>
        </w:rPr>
      </w:pPr>
      <w:r w:rsidRPr="00E52DC0">
        <w:rPr>
          <w:rFonts w:ascii="Arial" w:eastAsia="Calibri" w:hAnsi="Arial" w:cs="Arial"/>
          <w:b/>
          <w:color w:val="1F4E79" w:themeColor="accent1" w:themeShade="80"/>
          <w:sz w:val="22"/>
          <w:szCs w:val="22"/>
        </w:rPr>
        <w:t>Profitul din exploatare</w:t>
      </w:r>
      <w:r w:rsidRPr="00E52DC0">
        <w:rPr>
          <w:rFonts w:ascii="Arial" w:eastAsia="Calibri" w:hAnsi="Arial" w:cs="Arial"/>
          <w:color w:val="1F4E79" w:themeColor="accent1" w:themeShade="80"/>
          <w:sz w:val="22"/>
          <w:szCs w:val="22"/>
        </w:rPr>
        <w:t xml:space="preserve"> </w:t>
      </w:r>
      <w:r w:rsidRPr="00045BD9">
        <w:rPr>
          <w:rFonts w:ascii="Arial" w:eastAsia="Calibri" w:hAnsi="Arial" w:cs="Arial"/>
          <w:sz w:val="22"/>
          <w:szCs w:val="22"/>
        </w:rPr>
        <w:t xml:space="preserve">realizat în semestrul I al anului 2018 față de același semestru al anului 2017 </w:t>
      </w:r>
      <w:r w:rsidR="007C2533" w:rsidRPr="00045BD9">
        <w:rPr>
          <w:rFonts w:ascii="Arial" w:eastAsia="Calibri" w:hAnsi="Arial" w:cs="Arial"/>
          <w:sz w:val="22"/>
          <w:szCs w:val="22"/>
        </w:rPr>
        <w:t xml:space="preserve">a înregistrat </w:t>
      </w:r>
      <w:r w:rsidRPr="00045BD9">
        <w:rPr>
          <w:rFonts w:ascii="Arial" w:eastAsia="Calibri" w:hAnsi="Arial" w:cs="Arial"/>
          <w:sz w:val="22"/>
          <w:szCs w:val="22"/>
        </w:rPr>
        <w:t xml:space="preserve">o scădere de </w:t>
      </w:r>
      <w:r w:rsidR="00F22FA3" w:rsidRPr="00045BD9">
        <w:rPr>
          <w:rFonts w:ascii="Arial" w:eastAsia="Calibri" w:hAnsi="Arial" w:cs="Arial"/>
          <w:sz w:val="22"/>
          <w:szCs w:val="22"/>
        </w:rPr>
        <w:t>17.173</w:t>
      </w:r>
      <w:r w:rsidRPr="00045BD9">
        <w:rPr>
          <w:rFonts w:ascii="Arial" w:eastAsia="Calibri" w:hAnsi="Arial" w:cs="Arial"/>
          <w:sz w:val="22"/>
          <w:szCs w:val="22"/>
        </w:rPr>
        <w:t xml:space="preserve"> mii lei (</w:t>
      </w:r>
      <w:r w:rsidR="00C949A7" w:rsidRPr="00045BD9">
        <w:rPr>
          <w:rFonts w:ascii="Arial" w:eastAsia="Calibri" w:hAnsi="Arial" w:cs="Arial"/>
          <w:sz w:val="22"/>
          <w:szCs w:val="22"/>
        </w:rPr>
        <w:t>42,48</w:t>
      </w:r>
      <w:r w:rsidRPr="00045BD9">
        <w:rPr>
          <w:rFonts w:ascii="Arial" w:eastAsia="Calibri" w:hAnsi="Arial" w:cs="Arial"/>
          <w:sz w:val="22"/>
          <w:szCs w:val="22"/>
        </w:rPr>
        <w:t>%) în principal ca urmare a scăderii veniturilor obținute din prestarea serviciilor de transport țiței</w:t>
      </w:r>
      <w:r w:rsidR="00461328">
        <w:rPr>
          <w:rFonts w:ascii="Arial" w:eastAsia="Calibri" w:hAnsi="Arial" w:cs="Arial"/>
          <w:sz w:val="22"/>
          <w:szCs w:val="22"/>
        </w:rPr>
        <w:t>, gazolină</w:t>
      </w:r>
      <w:r w:rsidRPr="00045BD9">
        <w:rPr>
          <w:rFonts w:ascii="Arial" w:eastAsia="Calibri" w:hAnsi="Arial" w:cs="Arial"/>
          <w:sz w:val="22"/>
          <w:szCs w:val="22"/>
        </w:rPr>
        <w:t xml:space="preserve"> și condensat și a creșterii cheltuielilor cu personalul. </w:t>
      </w:r>
      <w:r w:rsidR="007C2533" w:rsidRPr="00045BD9">
        <w:rPr>
          <w:rFonts w:ascii="Arial" w:eastAsia="Calibri" w:hAnsi="Arial" w:cs="Arial"/>
          <w:sz w:val="22"/>
          <w:szCs w:val="22"/>
        </w:rPr>
        <w:t>Ca urmare</w:t>
      </w:r>
      <w:r w:rsidR="00EE1578" w:rsidRPr="00045BD9">
        <w:rPr>
          <w:rFonts w:ascii="Arial" w:eastAsia="Calibri" w:hAnsi="Arial" w:cs="Arial"/>
          <w:sz w:val="22"/>
          <w:szCs w:val="22"/>
        </w:rPr>
        <w:t>,</w:t>
      </w:r>
      <w:r w:rsidR="007C2533" w:rsidRPr="00045BD9">
        <w:rPr>
          <w:rFonts w:ascii="Arial" w:eastAsia="Calibri" w:hAnsi="Arial" w:cs="Arial"/>
          <w:sz w:val="22"/>
          <w:szCs w:val="22"/>
        </w:rPr>
        <w:t xml:space="preserve"> p</w:t>
      </w:r>
      <w:r w:rsidR="0012295A" w:rsidRPr="00045BD9">
        <w:rPr>
          <w:rFonts w:ascii="Arial" w:eastAsia="Calibri" w:hAnsi="Arial" w:cs="Arial"/>
          <w:sz w:val="22"/>
          <w:szCs w:val="22"/>
        </w:rPr>
        <w:t xml:space="preserve">rofitul brut și profitul net </w:t>
      </w:r>
      <w:r w:rsidR="007C2533" w:rsidRPr="00045BD9">
        <w:rPr>
          <w:rFonts w:ascii="Arial" w:eastAsia="Calibri" w:hAnsi="Arial" w:cs="Arial"/>
          <w:sz w:val="22"/>
          <w:szCs w:val="22"/>
        </w:rPr>
        <w:t xml:space="preserve">au înregistrat, la rândul lor </w:t>
      </w:r>
      <w:r w:rsidR="0012295A" w:rsidRPr="00045BD9">
        <w:rPr>
          <w:rFonts w:ascii="Arial" w:eastAsia="Calibri" w:hAnsi="Arial" w:cs="Arial"/>
          <w:sz w:val="22"/>
          <w:szCs w:val="22"/>
        </w:rPr>
        <w:t xml:space="preserve">scăderi de </w:t>
      </w:r>
      <w:r w:rsidR="00CD78BC" w:rsidRPr="00045BD9">
        <w:rPr>
          <w:rFonts w:ascii="Arial" w:eastAsia="Calibri" w:hAnsi="Arial" w:cs="Arial"/>
          <w:sz w:val="22"/>
          <w:szCs w:val="22"/>
        </w:rPr>
        <w:t>16.705</w:t>
      </w:r>
      <w:r w:rsidR="0012295A" w:rsidRPr="00045BD9">
        <w:rPr>
          <w:rFonts w:ascii="Arial" w:eastAsia="Calibri" w:hAnsi="Arial" w:cs="Arial"/>
          <w:sz w:val="22"/>
          <w:szCs w:val="22"/>
        </w:rPr>
        <w:t xml:space="preserve"> mii lei (</w:t>
      </w:r>
      <w:r w:rsidR="00CD78BC" w:rsidRPr="00045BD9">
        <w:rPr>
          <w:rFonts w:ascii="Arial" w:eastAsia="Calibri" w:hAnsi="Arial" w:cs="Arial"/>
          <w:sz w:val="22"/>
          <w:szCs w:val="22"/>
        </w:rPr>
        <w:t>39,46</w:t>
      </w:r>
      <w:r w:rsidR="0012295A" w:rsidRPr="00045BD9">
        <w:rPr>
          <w:rFonts w:ascii="Arial" w:eastAsia="Calibri" w:hAnsi="Arial" w:cs="Arial"/>
          <w:sz w:val="22"/>
          <w:szCs w:val="22"/>
        </w:rPr>
        <w:t>%) și respectiv de 1</w:t>
      </w:r>
      <w:r w:rsidR="00B92724" w:rsidRPr="00045BD9">
        <w:rPr>
          <w:rFonts w:ascii="Arial" w:eastAsia="Calibri" w:hAnsi="Arial" w:cs="Arial"/>
          <w:sz w:val="22"/>
          <w:szCs w:val="22"/>
        </w:rPr>
        <w:t>4.141</w:t>
      </w:r>
      <w:r w:rsidR="0012295A" w:rsidRPr="00045BD9">
        <w:rPr>
          <w:rFonts w:ascii="Arial" w:eastAsia="Calibri" w:hAnsi="Arial" w:cs="Arial"/>
          <w:sz w:val="22"/>
          <w:szCs w:val="22"/>
        </w:rPr>
        <w:t xml:space="preserve"> mii lei (</w:t>
      </w:r>
      <w:r w:rsidR="00CD78BC" w:rsidRPr="00045BD9">
        <w:rPr>
          <w:rFonts w:ascii="Arial" w:eastAsia="Calibri" w:hAnsi="Arial" w:cs="Arial"/>
          <w:sz w:val="22"/>
          <w:szCs w:val="22"/>
        </w:rPr>
        <w:t>3</w:t>
      </w:r>
      <w:r w:rsidR="00B92724" w:rsidRPr="00045BD9">
        <w:rPr>
          <w:rFonts w:ascii="Arial" w:eastAsia="Calibri" w:hAnsi="Arial" w:cs="Arial"/>
          <w:sz w:val="22"/>
          <w:szCs w:val="22"/>
        </w:rPr>
        <w:t>9,54</w:t>
      </w:r>
      <w:r w:rsidR="0012295A" w:rsidRPr="00045BD9">
        <w:rPr>
          <w:rFonts w:ascii="Arial" w:eastAsia="Calibri" w:hAnsi="Arial" w:cs="Arial"/>
          <w:sz w:val="22"/>
          <w:szCs w:val="22"/>
        </w:rPr>
        <w:t>%)</w:t>
      </w:r>
      <w:r w:rsidR="00EE1578" w:rsidRPr="00045BD9">
        <w:rPr>
          <w:rFonts w:ascii="Arial" w:eastAsia="Calibri" w:hAnsi="Arial" w:cs="Arial"/>
          <w:sz w:val="22"/>
          <w:szCs w:val="22"/>
        </w:rPr>
        <w:t>,</w:t>
      </w:r>
      <w:r w:rsidR="007C2533" w:rsidRPr="00045BD9">
        <w:rPr>
          <w:rFonts w:ascii="Arial" w:eastAsia="Calibri" w:hAnsi="Arial" w:cs="Arial"/>
          <w:sz w:val="22"/>
          <w:szCs w:val="22"/>
        </w:rPr>
        <w:t xml:space="preserve"> iar indicatorul EBITDA </w:t>
      </w:r>
      <w:r w:rsidR="0012295A" w:rsidRPr="00045BD9">
        <w:rPr>
          <w:rFonts w:ascii="Arial" w:eastAsia="Calibri" w:hAnsi="Arial" w:cs="Arial"/>
          <w:sz w:val="22"/>
          <w:szCs w:val="22"/>
        </w:rPr>
        <w:t xml:space="preserve"> </w:t>
      </w:r>
      <w:r w:rsidR="007C2533" w:rsidRPr="00045BD9">
        <w:rPr>
          <w:rFonts w:ascii="Arial" w:eastAsia="Calibri" w:hAnsi="Arial" w:cs="Arial"/>
          <w:sz w:val="22"/>
          <w:szCs w:val="22"/>
        </w:rPr>
        <w:t xml:space="preserve">este cu </w:t>
      </w:r>
      <w:r w:rsidR="00CD78BC" w:rsidRPr="00045BD9">
        <w:rPr>
          <w:rFonts w:ascii="Arial" w:eastAsia="Calibri" w:hAnsi="Arial" w:cs="Arial"/>
          <w:sz w:val="22"/>
          <w:szCs w:val="22"/>
        </w:rPr>
        <w:t>17.211</w:t>
      </w:r>
      <w:r w:rsidR="007C2533" w:rsidRPr="00045BD9">
        <w:rPr>
          <w:rFonts w:ascii="Arial" w:eastAsia="Calibri" w:hAnsi="Arial" w:cs="Arial"/>
          <w:sz w:val="22"/>
          <w:szCs w:val="22"/>
        </w:rPr>
        <w:t xml:space="preserve"> mii lei </w:t>
      </w:r>
      <w:r w:rsidR="00E91D7A">
        <w:rPr>
          <w:rFonts w:ascii="Arial" w:eastAsia="Calibri" w:hAnsi="Arial" w:cs="Arial"/>
          <w:sz w:val="22"/>
          <w:szCs w:val="22"/>
        </w:rPr>
        <w:t xml:space="preserve">(27,45%) </w:t>
      </w:r>
      <w:r w:rsidR="007C2533" w:rsidRPr="00045BD9">
        <w:rPr>
          <w:rFonts w:ascii="Arial" w:eastAsia="Calibri" w:hAnsi="Arial" w:cs="Arial"/>
          <w:sz w:val="22"/>
          <w:szCs w:val="22"/>
        </w:rPr>
        <w:t>mai mic decât în anul precedent.</w:t>
      </w:r>
    </w:p>
    <w:p w:rsidR="00E20FB9" w:rsidRDefault="00E20FB9" w:rsidP="00B92724">
      <w:pPr>
        <w:shd w:val="clear" w:color="auto" w:fill="FFFFFF"/>
        <w:spacing w:line="276" w:lineRule="auto"/>
        <w:jc w:val="both"/>
        <w:rPr>
          <w:rFonts w:ascii="Arial" w:eastAsia="Calibri" w:hAnsi="Arial" w:cs="Arial"/>
          <w:spacing w:val="-10"/>
          <w:sz w:val="22"/>
          <w:szCs w:val="22"/>
        </w:rPr>
      </w:pPr>
    </w:p>
    <w:p w:rsidR="00A400DC" w:rsidRPr="005E7F1C" w:rsidRDefault="005A4F87" w:rsidP="005E7F1C">
      <w:pPr>
        <w:jc w:val="both"/>
        <w:rPr>
          <w:rFonts w:ascii="Arial" w:eastAsia="Calibri" w:hAnsi="Arial" w:cs="Arial"/>
          <w:sz w:val="22"/>
          <w:szCs w:val="22"/>
        </w:rPr>
      </w:pPr>
      <w:r w:rsidRPr="005E7F1C">
        <w:rPr>
          <w:rFonts w:ascii="Arial" w:eastAsia="Calibri" w:hAnsi="Arial" w:cs="Arial"/>
          <w:sz w:val="22"/>
          <w:szCs w:val="22"/>
        </w:rPr>
        <w:t xml:space="preserve">Comparativ cu </w:t>
      </w:r>
      <w:r w:rsidR="00EE1578" w:rsidRPr="005E7F1C">
        <w:rPr>
          <w:rFonts w:ascii="Arial" w:eastAsia="Calibri" w:hAnsi="Arial" w:cs="Arial"/>
          <w:sz w:val="22"/>
          <w:szCs w:val="22"/>
        </w:rPr>
        <w:t xml:space="preserve">prevederile </w:t>
      </w:r>
      <w:r w:rsidRPr="005E7F1C">
        <w:rPr>
          <w:rFonts w:ascii="Arial" w:eastAsia="Calibri" w:hAnsi="Arial" w:cs="Arial"/>
          <w:sz w:val="22"/>
          <w:szCs w:val="22"/>
        </w:rPr>
        <w:t>buget</w:t>
      </w:r>
      <w:r w:rsidR="00EE1578" w:rsidRPr="005E7F1C">
        <w:rPr>
          <w:rFonts w:ascii="Arial" w:eastAsia="Calibri" w:hAnsi="Arial" w:cs="Arial"/>
          <w:sz w:val="22"/>
          <w:szCs w:val="22"/>
        </w:rPr>
        <w:t>are</w:t>
      </w:r>
      <w:r w:rsidRPr="005E7F1C">
        <w:rPr>
          <w:rFonts w:ascii="Arial" w:eastAsia="Calibri" w:hAnsi="Arial" w:cs="Arial"/>
          <w:sz w:val="22"/>
          <w:szCs w:val="22"/>
        </w:rPr>
        <w:t xml:space="preserve">, </w:t>
      </w:r>
      <w:r w:rsidR="007C2533" w:rsidRPr="005E7F1C">
        <w:rPr>
          <w:rFonts w:ascii="Arial" w:eastAsia="Calibri" w:hAnsi="Arial" w:cs="Arial"/>
          <w:sz w:val="22"/>
          <w:szCs w:val="22"/>
        </w:rPr>
        <w:t>profitul din exploatare reprezintă 97,44% din nivelul planificat</w:t>
      </w:r>
      <w:r w:rsidR="00721A5C" w:rsidRPr="005E7F1C">
        <w:rPr>
          <w:rFonts w:ascii="Arial" w:eastAsia="Calibri" w:hAnsi="Arial" w:cs="Arial"/>
          <w:sz w:val="22"/>
          <w:szCs w:val="22"/>
        </w:rPr>
        <w:t xml:space="preserve"> iar indicatorul EBITDA reflectă un grad de realizare de 98,47%</w:t>
      </w:r>
      <w:r w:rsidR="007C2533" w:rsidRPr="005E7F1C">
        <w:rPr>
          <w:rFonts w:ascii="Arial" w:eastAsia="Calibri" w:hAnsi="Arial" w:cs="Arial"/>
          <w:sz w:val="22"/>
          <w:szCs w:val="22"/>
        </w:rPr>
        <w:t>. La construcția bugetului pentru anul 2018 a fost previzionată o creștere a tarifelor de transport începând cu luna aprilie</w:t>
      </w:r>
      <w:r w:rsidR="00FB15FC" w:rsidRPr="005E7F1C">
        <w:rPr>
          <w:rFonts w:ascii="Arial" w:eastAsia="Calibri" w:hAnsi="Arial" w:cs="Arial"/>
          <w:sz w:val="22"/>
          <w:szCs w:val="22"/>
        </w:rPr>
        <w:t xml:space="preserve"> însă această</w:t>
      </w:r>
      <w:r w:rsidR="007C2533" w:rsidRPr="005E7F1C">
        <w:rPr>
          <w:rFonts w:ascii="Arial" w:eastAsia="Calibri" w:hAnsi="Arial" w:cs="Arial"/>
          <w:sz w:val="22"/>
          <w:szCs w:val="22"/>
        </w:rPr>
        <w:t xml:space="preserve"> modificare a fost aprobată de A</w:t>
      </w:r>
      <w:r w:rsidR="00C923CF" w:rsidRPr="005E7F1C">
        <w:rPr>
          <w:rFonts w:ascii="Arial" w:eastAsia="Calibri" w:hAnsi="Arial" w:cs="Arial"/>
          <w:sz w:val="22"/>
          <w:szCs w:val="22"/>
        </w:rPr>
        <w:t>.</w:t>
      </w:r>
      <w:r w:rsidR="007C2533" w:rsidRPr="005E7F1C">
        <w:rPr>
          <w:rFonts w:ascii="Arial" w:eastAsia="Calibri" w:hAnsi="Arial" w:cs="Arial"/>
          <w:sz w:val="22"/>
          <w:szCs w:val="22"/>
        </w:rPr>
        <w:t>N</w:t>
      </w:r>
      <w:r w:rsidR="00C923CF" w:rsidRPr="005E7F1C">
        <w:rPr>
          <w:rFonts w:ascii="Arial" w:eastAsia="Calibri" w:hAnsi="Arial" w:cs="Arial"/>
          <w:sz w:val="22"/>
          <w:szCs w:val="22"/>
        </w:rPr>
        <w:t>.</w:t>
      </w:r>
      <w:r w:rsidR="007C2533" w:rsidRPr="005E7F1C">
        <w:rPr>
          <w:rFonts w:ascii="Arial" w:eastAsia="Calibri" w:hAnsi="Arial" w:cs="Arial"/>
          <w:sz w:val="22"/>
          <w:szCs w:val="22"/>
        </w:rPr>
        <w:t>R</w:t>
      </w:r>
      <w:r w:rsidR="00C923CF" w:rsidRPr="005E7F1C">
        <w:rPr>
          <w:rFonts w:ascii="Arial" w:eastAsia="Calibri" w:hAnsi="Arial" w:cs="Arial"/>
          <w:sz w:val="22"/>
          <w:szCs w:val="22"/>
        </w:rPr>
        <w:t>.</w:t>
      </w:r>
      <w:r w:rsidR="007C2533" w:rsidRPr="005E7F1C">
        <w:rPr>
          <w:rFonts w:ascii="Arial" w:eastAsia="Calibri" w:hAnsi="Arial" w:cs="Arial"/>
          <w:sz w:val="22"/>
          <w:szCs w:val="22"/>
        </w:rPr>
        <w:t>M</w:t>
      </w:r>
      <w:r w:rsidR="00C923CF" w:rsidRPr="005E7F1C">
        <w:rPr>
          <w:rFonts w:ascii="Arial" w:eastAsia="Calibri" w:hAnsi="Arial" w:cs="Arial"/>
          <w:sz w:val="22"/>
          <w:szCs w:val="22"/>
        </w:rPr>
        <w:t>.</w:t>
      </w:r>
      <w:r w:rsidR="007C2533" w:rsidRPr="005E7F1C">
        <w:rPr>
          <w:rFonts w:ascii="Arial" w:eastAsia="Calibri" w:hAnsi="Arial" w:cs="Arial"/>
          <w:sz w:val="22"/>
          <w:szCs w:val="22"/>
        </w:rPr>
        <w:t xml:space="preserve"> în luna iunie. </w:t>
      </w:r>
      <w:r w:rsidR="00FB15FC" w:rsidRPr="005E7F1C">
        <w:rPr>
          <w:rFonts w:ascii="Arial" w:eastAsia="Calibri" w:hAnsi="Arial" w:cs="Arial"/>
          <w:sz w:val="22"/>
          <w:szCs w:val="22"/>
        </w:rPr>
        <w:t>Acest decalaj de timp de aproape trei luni în modificarea tarifelor a avut efecte nefavorabile asupra veniturilor din transport și a cheltuielii cu cota de modernizare</w:t>
      </w:r>
      <w:r w:rsidR="00721A5C" w:rsidRPr="005E7F1C">
        <w:rPr>
          <w:rFonts w:ascii="Arial" w:eastAsia="Calibri" w:hAnsi="Arial" w:cs="Arial"/>
          <w:sz w:val="22"/>
          <w:szCs w:val="22"/>
        </w:rPr>
        <w:t xml:space="preserve">. </w:t>
      </w:r>
      <w:r w:rsidR="00FB15FC" w:rsidRPr="005E7F1C">
        <w:rPr>
          <w:rFonts w:ascii="Arial" w:eastAsia="Calibri" w:hAnsi="Arial" w:cs="Arial"/>
          <w:sz w:val="22"/>
          <w:szCs w:val="22"/>
        </w:rPr>
        <w:t xml:space="preserve">Aceste efecte au fost parțial compensate de cererea de transport mai mare decât cea planificată precum și de economiile pe care societatea le-a realizat </w:t>
      </w:r>
      <w:r w:rsidR="00CD78BC" w:rsidRPr="005E7F1C">
        <w:rPr>
          <w:rFonts w:ascii="Arial" w:eastAsia="Calibri" w:hAnsi="Arial" w:cs="Arial"/>
          <w:sz w:val="22"/>
          <w:szCs w:val="22"/>
        </w:rPr>
        <w:t>la</w:t>
      </w:r>
      <w:r w:rsidR="00FB15FC" w:rsidRPr="005E7F1C">
        <w:rPr>
          <w:rFonts w:ascii="Arial" w:eastAsia="Calibri" w:hAnsi="Arial" w:cs="Arial"/>
          <w:sz w:val="22"/>
          <w:szCs w:val="22"/>
        </w:rPr>
        <w:t xml:space="preserve"> </w:t>
      </w:r>
      <w:r w:rsidR="00721A5C" w:rsidRPr="005E7F1C">
        <w:rPr>
          <w:rFonts w:ascii="Arial" w:eastAsia="Calibri" w:hAnsi="Arial" w:cs="Arial"/>
          <w:sz w:val="22"/>
          <w:szCs w:val="22"/>
        </w:rPr>
        <w:t xml:space="preserve">cheltuielile cu materialele, cheltuielile de personal, cheltuielile de întreținere și reparații și cu alte servicii. Cererea pentru servicii de transport pe calea ferată și combinat (conducte </w:t>
      </w:r>
      <w:r w:rsidR="00CD78BC" w:rsidRPr="005E7F1C">
        <w:rPr>
          <w:rFonts w:ascii="Arial" w:eastAsia="Calibri" w:hAnsi="Arial" w:cs="Arial"/>
          <w:sz w:val="22"/>
          <w:szCs w:val="22"/>
        </w:rPr>
        <w:t xml:space="preserve">și </w:t>
      </w:r>
      <w:r w:rsidR="00721A5C" w:rsidRPr="005E7F1C">
        <w:rPr>
          <w:rFonts w:ascii="Arial" w:eastAsia="Calibri" w:hAnsi="Arial" w:cs="Arial"/>
          <w:sz w:val="22"/>
          <w:szCs w:val="22"/>
        </w:rPr>
        <w:t>cale ferată) a fost mai mare decât cea planificată și în consecință cheltuielile cu transportul pe calea ferată au fost mai mari decât cele prevăzute în buget. Provizioanele constitui</w:t>
      </w:r>
      <w:r w:rsidR="00555F32" w:rsidRPr="005E7F1C">
        <w:rPr>
          <w:rFonts w:ascii="Arial" w:eastAsia="Calibri" w:hAnsi="Arial" w:cs="Arial"/>
          <w:sz w:val="22"/>
          <w:szCs w:val="22"/>
        </w:rPr>
        <w:t>t</w:t>
      </w:r>
      <w:r w:rsidR="00721A5C" w:rsidRPr="005E7F1C">
        <w:rPr>
          <w:rFonts w:ascii="Arial" w:eastAsia="Calibri" w:hAnsi="Arial" w:cs="Arial"/>
          <w:sz w:val="22"/>
          <w:szCs w:val="22"/>
        </w:rPr>
        <w:t xml:space="preserve">e pentru concediile de odihnă neefectuate și pentru participarea salariaților la profit au fost de asemenea mai mari decât valorile bugetate. </w:t>
      </w:r>
    </w:p>
    <w:p w:rsidR="00045BD9" w:rsidRDefault="00045BD9" w:rsidP="00D313D0">
      <w:pPr>
        <w:jc w:val="both"/>
        <w:rPr>
          <w:rFonts w:ascii="Arial" w:eastAsia="Calibri" w:hAnsi="Arial" w:cs="Arial"/>
          <w:sz w:val="22"/>
          <w:szCs w:val="22"/>
        </w:rPr>
      </w:pPr>
    </w:p>
    <w:p w:rsidR="00EA6D7A" w:rsidRPr="00EA6D7A" w:rsidRDefault="00EA6D7A" w:rsidP="00045BD9">
      <w:pPr>
        <w:jc w:val="both"/>
        <w:rPr>
          <w:rFonts w:ascii="Arial" w:eastAsia="Calibri" w:hAnsi="Arial" w:cs="Arial"/>
          <w:sz w:val="22"/>
          <w:szCs w:val="22"/>
        </w:rPr>
      </w:pPr>
    </w:p>
    <w:p w:rsidR="00721A5C" w:rsidRPr="0043265B" w:rsidRDefault="00721A5C" w:rsidP="00045BD9">
      <w:pPr>
        <w:jc w:val="both"/>
        <w:rPr>
          <w:rFonts w:ascii="Arial" w:eastAsia="Calibri" w:hAnsi="Arial" w:cs="Arial"/>
          <w:sz w:val="22"/>
          <w:szCs w:val="22"/>
        </w:rPr>
      </w:pPr>
      <w:r w:rsidRPr="0043265B">
        <w:rPr>
          <w:rFonts w:ascii="Arial" w:eastAsia="Calibri" w:hAnsi="Arial" w:cs="Arial"/>
          <w:sz w:val="22"/>
          <w:szCs w:val="22"/>
        </w:rPr>
        <w:t>Societate</w:t>
      </w:r>
      <w:r w:rsidR="00555F32" w:rsidRPr="0043265B">
        <w:rPr>
          <w:rFonts w:ascii="Arial" w:eastAsia="Calibri" w:hAnsi="Arial" w:cs="Arial"/>
          <w:sz w:val="22"/>
          <w:szCs w:val="22"/>
        </w:rPr>
        <w:t xml:space="preserve">a a înregistrat venituri financiare mai mari decât cele prevăzute în buget, astfel încât profitul brut și profitul net au depășit valorile planificate cu 4,06%, respectiv cu 5,38%. </w:t>
      </w:r>
    </w:p>
    <w:p w:rsidR="00CD78BC" w:rsidRPr="0043265B" w:rsidRDefault="00CD78BC" w:rsidP="00555F32">
      <w:pPr>
        <w:shd w:val="clear" w:color="auto" w:fill="FFFFFF"/>
        <w:spacing w:after="200" w:line="276" w:lineRule="auto"/>
        <w:contextualSpacing/>
        <w:jc w:val="both"/>
        <w:rPr>
          <w:rFonts w:ascii="Arial" w:eastAsia="Calibri" w:hAnsi="Arial" w:cs="Arial"/>
          <w:spacing w:val="-10"/>
          <w:sz w:val="22"/>
          <w:szCs w:val="22"/>
        </w:rPr>
      </w:pPr>
    </w:p>
    <w:p w:rsidR="00242014" w:rsidRPr="0043265B" w:rsidRDefault="00242014" w:rsidP="00060D97">
      <w:pPr>
        <w:spacing w:line="276" w:lineRule="auto"/>
        <w:jc w:val="both"/>
        <w:rPr>
          <w:rFonts w:ascii="Arial" w:hAnsi="Arial" w:cs="Arial"/>
          <w:bCs/>
          <w:sz w:val="22"/>
          <w:szCs w:val="22"/>
          <w:lang w:val="en-US"/>
        </w:rPr>
      </w:pPr>
      <w:r w:rsidRPr="0043265B">
        <w:rPr>
          <w:rFonts w:ascii="Arial" w:hAnsi="Arial" w:cs="Arial"/>
          <w:bCs/>
          <w:sz w:val="22"/>
          <w:szCs w:val="22"/>
          <w:lang w:val="en-US"/>
        </w:rPr>
        <w:t xml:space="preserve">Situația </w:t>
      </w:r>
      <w:r w:rsidR="00AE5A11" w:rsidRPr="0043265B">
        <w:rPr>
          <w:rFonts w:ascii="Arial" w:hAnsi="Arial" w:cs="Arial"/>
          <w:bCs/>
          <w:sz w:val="22"/>
          <w:szCs w:val="22"/>
          <w:lang w:val="en-US"/>
        </w:rPr>
        <w:t xml:space="preserve">contului de </w:t>
      </w:r>
      <w:r w:rsidRPr="0043265B">
        <w:rPr>
          <w:rFonts w:ascii="Arial" w:hAnsi="Arial" w:cs="Arial"/>
          <w:bCs/>
          <w:sz w:val="22"/>
          <w:szCs w:val="22"/>
          <w:lang w:val="en-US"/>
        </w:rPr>
        <w:t>profit</w:t>
      </w:r>
      <w:r w:rsidR="0038769C" w:rsidRPr="0043265B">
        <w:rPr>
          <w:rFonts w:ascii="Arial" w:hAnsi="Arial" w:cs="Arial"/>
          <w:bCs/>
          <w:sz w:val="22"/>
          <w:szCs w:val="22"/>
          <w:lang w:val="en-US"/>
        </w:rPr>
        <w:t xml:space="preserve"> ș</w:t>
      </w:r>
      <w:r w:rsidR="00AE5A11" w:rsidRPr="0043265B">
        <w:rPr>
          <w:rFonts w:ascii="Arial" w:hAnsi="Arial" w:cs="Arial"/>
          <w:bCs/>
          <w:sz w:val="22"/>
          <w:szCs w:val="22"/>
          <w:lang w:val="en-US"/>
        </w:rPr>
        <w:t>i</w:t>
      </w:r>
      <w:r w:rsidRPr="0043265B">
        <w:rPr>
          <w:rFonts w:ascii="Arial" w:hAnsi="Arial" w:cs="Arial"/>
          <w:bCs/>
          <w:sz w:val="22"/>
          <w:szCs w:val="22"/>
          <w:lang w:val="en-US"/>
        </w:rPr>
        <w:t xml:space="preserve"> pierder</w:t>
      </w:r>
      <w:r w:rsidR="00AE5A11" w:rsidRPr="0043265B">
        <w:rPr>
          <w:rFonts w:ascii="Arial" w:hAnsi="Arial" w:cs="Arial"/>
          <w:bCs/>
          <w:sz w:val="22"/>
          <w:szCs w:val="22"/>
          <w:lang w:val="en-US"/>
        </w:rPr>
        <w:t xml:space="preserve">e </w:t>
      </w:r>
      <w:r w:rsidRPr="0043265B">
        <w:rPr>
          <w:rFonts w:ascii="Arial" w:hAnsi="Arial" w:cs="Arial"/>
          <w:bCs/>
          <w:sz w:val="22"/>
          <w:szCs w:val="22"/>
          <w:lang w:val="en-US"/>
        </w:rPr>
        <w:t xml:space="preserve">pentru perioada de </w:t>
      </w:r>
      <w:r w:rsidR="008A0908" w:rsidRPr="0043265B">
        <w:rPr>
          <w:rFonts w:ascii="Arial" w:hAnsi="Arial" w:cs="Arial"/>
          <w:bCs/>
          <w:sz w:val="22"/>
          <w:szCs w:val="22"/>
          <w:lang w:val="en-US"/>
        </w:rPr>
        <w:t xml:space="preserve">șase </w:t>
      </w:r>
      <w:r w:rsidRPr="0043265B">
        <w:rPr>
          <w:rFonts w:ascii="Arial" w:hAnsi="Arial" w:cs="Arial"/>
          <w:bCs/>
          <w:sz w:val="22"/>
          <w:szCs w:val="22"/>
          <w:lang w:val="en-US"/>
        </w:rPr>
        <w:t xml:space="preserve">luni încheiată la </w:t>
      </w:r>
      <w:r w:rsidR="00C526CF" w:rsidRPr="0043265B">
        <w:rPr>
          <w:rFonts w:ascii="Arial" w:hAnsi="Arial" w:cs="Arial"/>
          <w:bCs/>
          <w:sz w:val="22"/>
          <w:szCs w:val="22"/>
          <w:lang w:val="en-US"/>
        </w:rPr>
        <w:t>30 iunie</w:t>
      </w:r>
      <w:r w:rsidRPr="0043265B">
        <w:rPr>
          <w:rFonts w:ascii="Arial" w:hAnsi="Arial" w:cs="Arial"/>
          <w:bCs/>
          <w:sz w:val="22"/>
          <w:szCs w:val="22"/>
          <w:lang w:val="en-US"/>
        </w:rPr>
        <w:t xml:space="preserve"> </w:t>
      </w:r>
      <w:r w:rsidR="00DF2C30" w:rsidRPr="0043265B">
        <w:rPr>
          <w:rFonts w:ascii="Arial" w:hAnsi="Arial" w:cs="Arial"/>
          <w:bCs/>
          <w:sz w:val="22"/>
          <w:szCs w:val="22"/>
          <w:lang w:val="en-US"/>
        </w:rPr>
        <w:t>2018</w:t>
      </w:r>
      <w:r w:rsidRPr="0043265B">
        <w:rPr>
          <w:rFonts w:ascii="Arial" w:hAnsi="Arial" w:cs="Arial"/>
          <w:bCs/>
          <w:sz w:val="22"/>
          <w:szCs w:val="22"/>
          <w:lang w:val="en-US"/>
        </w:rPr>
        <w:t xml:space="preserve"> este prezentată în detaliu în anexa</w:t>
      </w:r>
      <w:r w:rsidR="00291ECD" w:rsidRPr="0043265B">
        <w:rPr>
          <w:rFonts w:ascii="Arial" w:hAnsi="Arial" w:cs="Arial"/>
          <w:bCs/>
          <w:sz w:val="22"/>
          <w:szCs w:val="22"/>
          <w:lang w:val="en-US"/>
        </w:rPr>
        <w:t xml:space="preserve"> nr.</w:t>
      </w:r>
      <w:r w:rsidRPr="0043265B">
        <w:rPr>
          <w:rFonts w:ascii="Arial" w:hAnsi="Arial" w:cs="Arial"/>
          <w:bCs/>
          <w:sz w:val="22"/>
          <w:szCs w:val="22"/>
          <w:lang w:val="en-US"/>
        </w:rPr>
        <w:t xml:space="preserve"> 2</w:t>
      </w:r>
      <w:r w:rsidR="00AE5A11" w:rsidRPr="0043265B">
        <w:rPr>
          <w:rFonts w:ascii="Arial" w:hAnsi="Arial" w:cs="Arial"/>
          <w:bCs/>
          <w:sz w:val="22"/>
          <w:szCs w:val="22"/>
          <w:lang w:val="en-US"/>
        </w:rPr>
        <w:t>.</w:t>
      </w:r>
    </w:p>
    <w:p w:rsidR="00947A87" w:rsidRPr="0043265B" w:rsidRDefault="00947A87" w:rsidP="00060D97">
      <w:pPr>
        <w:spacing w:line="276" w:lineRule="auto"/>
        <w:rPr>
          <w:rFonts w:ascii="Arial" w:hAnsi="Arial" w:cs="Arial"/>
          <w:bCs/>
          <w:sz w:val="22"/>
          <w:szCs w:val="22"/>
          <w:lang w:val="en-US"/>
        </w:rPr>
      </w:pPr>
    </w:p>
    <w:p w:rsidR="00E20FB9" w:rsidRPr="0043265B" w:rsidRDefault="00242014" w:rsidP="00060D97">
      <w:pPr>
        <w:spacing w:line="276" w:lineRule="auto"/>
        <w:rPr>
          <w:rFonts w:ascii="Arial" w:hAnsi="Arial" w:cs="Arial"/>
          <w:noProof/>
          <w:sz w:val="22"/>
          <w:szCs w:val="22"/>
          <w:lang w:val="en-US" w:eastAsia="en-US"/>
        </w:rPr>
      </w:pPr>
      <w:r w:rsidRPr="0043265B">
        <w:rPr>
          <w:rFonts w:ascii="Arial" w:hAnsi="Arial" w:cs="Arial"/>
          <w:bCs/>
          <w:sz w:val="22"/>
          <w:szCs w:val="22"/>
          <w:lang w:val="en-US"/>
        </w:rPr>
        <w:t xml:space="preserve">Evoluția </w:t>
      </w:r>
      <w:r w:rsidR="00DA7600" w:rsidRPr="0043265B">
        <w:rPr>
          <w:rFonts w:ascii="Arial" w:hAnsi="Arial" w:cs="Arial"/>
          <w:bCs/>
          <w:sz w:val="22"/>
          <w:szCs w:val="22"/>
          <w:lang w:val="en-US"/>
        </w:rPr>
        <w:t xml:space="preserve">rezultatelor financiare din </w:t>
      </w:r>
      <w:r w:rsidR="004F5963" w:rsidRPr="0043265B">
        <w:rPr>
          <w:rFonts w:ascii="Arial" w:hAnsi="Arial" w:cs="Arial"/>
          <w:bCs/>
          <w:sz w:val="22"/>
          <w:szCs w:val="22"/>
          <w:lang w:val="en-US"/>
        </w:rPr>
        <w:t xml:space="preserve">semestrul </w:t>
      </w:r>
      <w:r w:rsidR="00DA7600" w:rsidRPr="0043265B">
        <w:rPr>
          <w:rFonts w:ascii="Arial" w:hAnsi="Arial" w:cs="Arial"/>
          <w:bCs/>
          <w:sz w:val="22"/>
          <w:szCs w:val="22"/>
          <w:lang w:val="en-US"/>
        </w:rPr>
        <w:t xml:space="preserve">I </w:t>
      </w:r>
      <w:r w:rsidR="00DF2C30" w:rsidRPr="0043265B">
        <w:rPr>
          <w:rFonts w:ascii="Arial" w:hAnsi="Arial" w:cs="Arial"/>
          <w:bCs/>
          <w:sz w:val="22"/>
          <w:szCs w:val="22"/>
          <w:lang w:val="en-US"/>
        </w:rPr>
        <w:t>2018</w:t>
      </w:r>
      <w:r w:rsidRPr="0043265B">
        <w:rPr>
          <w:rFonts w:ascii="Arial" w:hAnsi="Arial" w:cs="Arial"/>
          <w:bCs/>
          <w:sz w:val="22"/>
          <w:szCs w:val="22"/>
          <w:lang w:val="en-US"/>
        </w:rPr>
        <w:t xml:space="preserve"> comparativ cu aceeași perioadă </w:t>
      </w:r>
      <w:r w:rsidR="00DF2C30" w:rsidRPr="0043265B">
        <w:rPr>
          <w:rFonts w:ascii="Arial" w:hAnsi="Arial" w:cs="Arial"/>
          <w:bCs/>
          <w:sz w:val="22"/>
          <w:szCs w:val="22"/>
          <w:lang w:val="en-US"/>
        </w:rPr>
        <w:t>2017</w:t>
      </w:r>
      <w:r w:rsidRPr="0043265B">
        <w:rPr>
          <w:rFonts w:ascii="Arial" w:hAnsi="Arial" w:cs="Arial"/>
          <w:bCs/>
          <w:sz w:val="22"/>
          <w:szCs w:val="22"/>
          <w:lang w:val="en-US"/>
        </w:rPr>
        <w:t xml:space="preserve"> este prezentată în graficul de mai jos:</w:t>
      </w:r>
      <w:r w:rsidR="0020412C" w:rsidRPr="0043265B">
        <w:rPr>
          <w:rFonts w:ascii="Arial" w:hAnsi="Arial" w:cs="Arial"/>
          <w:noProof/>
          <w:sz w:val="22"/>
          <w:szCs w:val="22"/>
          <w:lang w:val="en-US" w:eastAsia="en-US"/>
        </w:rPr>
        <w:t xml:space="preserve"> </w:t>
      </w:r>
    </w:p>
    <w:p w:rsidR="00F60A18" w:rsidRDefault="00F329F7" w:rsidP="00501B00">
      <w:pPr>
        <w:spacing w:line="276" w:lineRule="auto"/>
        <w:jc w:val="center"/>
        <w:rPr>
          <w:rFonts w:ascii="Arial" w:hAnsi="Arial" w:cs="Arial"/>
          <w:noProof/>
          <w:sz w:val="22"/>
          <w:szCs w:val="22"/>
          <w:lang w:val="en-US" w:eastAsia="en-US"/>
        </w:rPr>
      </w:pPr>
      <w:r>
        <w:rPr>
          <w:noProof/>
          <w:lang w:val="en-US" w:eastAsia="en-US"/>
        </w:rPr>
        <w:drawing>
          <wp:inline distT="0" distB="0" distL="0" distR="0" wp14:anchorId="01141F50" wp14:editId="65E027E7">
            <wp:extent cx="5935345" cy="3139200"/>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8144" cy="3140680"/>
                    </a:xfrm>
                    <a:prstGeom prst="rect">
                      <a:avLst/>
                    </a:prstGeom>
                  </pic:spPr>
                </pic:pic>
              </a:graphicData>
            </a:graphic>
          </wp:inline>
        </w:drawing>
      </w:r>
    </w:p>
    <w:p w:rsidR="002D3D36" w:rsidRDefault="002D3D36" w:rsidP="00060D97">
      <w:pPr>
        <w:spacing w:line="276" w:lineRule="auto"/>
        <w:rPr>
          <w:rFonts w:ascii="Arial" w:hAnsi="Arial" w:cs="Arial"/>
          <w:noProof/>
          <w:sz w:val="22"/>
          <w:szCs w:val="22"/>
          <w:lang w:val="en-US" w:eastAsia="en-US"/>
        </w:rPr>
      </w:pPr>
    </w:p>
    <w:p w:rsidR="00BF1E6C" w:rsidRPr="00F43345" w:rsidRDefault="00BF1E6C" w:rsidP="00BF1E6C">
      <w:pPr>
        <w:jc w:val="center"/>
        <w:rPr>
          <w:rFonts w:ascii="Arial" w:hAnsi="Arial" w:cs="Arial"/>
          <w:bCs/>
          <w:sz w:val="16"/>
          <w:szCs w:val="16"/>
          <w:lang w:val="en-US"/>
        </w:rPr>
      </w:pPr>
      <w:r w:rsidRPr="00F43345">
        <w:rPr>
          <w:rFonts w:ascii="Arial" w:hAnsi="Arial" w:cs="Arial"/>
          <w:bCs/>
          <w:sz w:val="16"/>
          <w:szCs w:val="16"/>
          <w:lang w:val="en-US"/>
        </w:rPr>
        <w:t xml:space="preserve">Grafic </w:t>
      </w:r>
      <w:r w:rsidR="008F5405" w:rsidRPr="00F43345">
        <w:rPr>
          <w:rFonts w:ascii="Arial" w:hAnsi="Arial" w:cs="Arial"/>
          <w:bCs/>
          <w:sz w:val="16"/>
          <w:szCs w:val="16"/>
          <w:lang w:val="en-US"/>
        </w:rPr>
        <w:t>12</w:t>
      </w:r>
      <w:r w:rsidRPr="00F43345">
        <w:rPr>
          <w:rFonts w:ascii="Arial" w:hAnsi="Arial" w:cs="Arial"/>
          <w:bCs/>
          <w:sz w:val="16"/>
          <w:szCs w:val="16"/>
          <w:lang w:val="en-US"/>
        </w:rPr>
        <w:t xml:space="preserve">- Sinteza rezultatelor financiare în </w:t>
      </w:r>
      <w:r w:rsidR="00E733E8" w:rsidRPr="00F43345">
        <w:rPr>
          <w:rFonts w:ascii="Arial" w:hAnsi="Arial" w:cs="Arial"/>
          <w:bCs/>
          <w:sz w:val="16"/>
          <w:szCs w:val="16"/>
          <w:lang w:val="en-US"/>
        </w:rPr>
        <w:t>Sem</w:t>
      </w:r>
      <w:r w:rsidRPr="00F43345">
        <w:rPr>
          <w:rFonts w:ascii="Arial" w:hAnsi="Arial" w:cs="Arial"/>
          <w:bCs/>
          <w:sz w:val="16"/>
          <w:szCs w:val="16"/>
          <w:lang w:val="en-US"/>
        </w:rPr>
        <w:t>estrul I 2017-2018</w:t>
      </w:r>
    </w:p>
    <w:p w:rsidR="00F43345" w:rsidRDefault="00F43345" w:rsidP="00BF1E6C">
      <w:pPr>
        <w:widowControl/>
        <w:autoSpaceDE/>
        <w:autoSpaceDN/>
        <w:adjustRightInd/>
        <w:jc w:val="both"/>
        <w:rPr>
          <w:b/>
          <w:i/>
          <w:spacing w:val="3"/>
          <w:sz w:val="24"/>
          <w:szCs w:val="24"/>
        </w:rPr>
      </w:pPr>
    </w:p>
    <w:p w:rsidR="00104EE4" w:rsidRPr="00E46854" w:rsidRDefault="004E6FD5" w:rsidP="000502E4">
      <w:pPr>
        <w:widowControl/>
        <w:overflowPunct w:val="0"/>
        <w:spacing w:line="276" w:lineRule="auto"/>
        <w:jc w:val="both"/>
        <w:textAlignment w:val="baseline"/>
        <w:rPr>
          <w:rFonts w:ascii="Arial" w:hAnsi="Arial" w:cs="Arial"/>
          <w:b/>
          <w:color w:val="1F4E79" w:themeColor="accent1" w:themeShade="80"/>
          <w:sz w:val="24"/>
          <w:szCs w:val="24"/>
          <w:lang w:val="en-GB"/>
        </w:rPr>
      </w:pPr>
      <w:r w:rsidRPr="00E46854">
        <w:rPr>
          <w:rFonts w:ascii="Arial" w:hAnsi="Arial" w:cs="Arial"/>
          <w:b/>
          <w:color w:val="1F4E79" w:themeColor="accent1" w:themeShade="80"/>
          <w:sz w:val="24"/>
          <w:szCs w:val="24"/>
          <w:lang w:val="en-GB"/>
        </w:rPr>
        <w:t>Venituri din exploatare</w:t>
      </w:r>
    </w:p>
    <w:p w:rsidR="00F30E3A" w:rsidRPr="00F30E3A" w:rsidRDefault="00F30E3A" w:rsidP="000502E4">
      <w:pPr>
        <w:widowControl/>
        <w:overflowPunct w:val="0"/>
        <w:spacing w:line="276" w:lineRule="auto"/>
        <w:jc w:val="both"/>
        <w:textAlignment w:val="baseline"/>
        <w:rPr>
          <w:rFonts w:ascii="Arial" w:hAnsi="Arial" w:cs="Arial"/>
          <w:b/>
          <w:color w:val="5B9BD5" w:themeColor="accent1"/>
          <w:sz w:val="24"/>
          <w:szCs w:val="24"/>
          <w:lang w:val="en-GB"/>
        </w:rPr>
      </w:pPr>
    </w:p>
    <w:p w:rsidR="004E6FD5" w:rsidRDefault="004E6FD5" w:rsidP="000502E4">
      <w:pPr>
        <w:widowControl/>
        <w:overflowPunct w:val="0"/>
        <w:spacing w:line="276" w:lineRule="auto"/>
        <w:jc w:val="both"/>
        <w:textAlignment w:val="baseline"/>
        <w:rPr>
          <w:rFonts w:ascii="Arial" w:hAnsi="Arial" w:cs="Arial"/>
          <w:sz w:val="22"/>
          <w:szCs w:val="22"/>
          <w:lang w:val="en-GB" w:eastAsia="en-US"/>
        </w:rPr>
      </w:pPr>
      <w:r w:rsidRPr="00A74CF5">
        <w:rPr>
          <w:rFonts w:ascii="Arial" w:hAnsi="Arial" w:cs="Arial"/>
          <w:sz w:val="22"/>
          <w:szCs w:val="22"/>
          <w:lang w:val="en-GB" w:eastAsia="en-US"/>
        </w:rPr>
        <w:t>Comparativ cu bugetul aprobat și perioada precedentă, veniturile totale ale activității operaționale</w:t>
      </w:r>
      <w:r w:rsidR="00D475B7" w:rsidRPr="00A74CF5">
        <w:rPr>
          <w:rFonts w:ascii="Arial" w:hAnsi="Arial" w:cs="Arial"/>
          <w:sz w:val="22"/>
          <w:szCs w:val="22"/>
          <w:lang w:val="en-GB" w:eastAsia="en-US"/>
        </w:rPr>
        <w:t xml:space="preserve"> </w:t>
      </w:r>
      <w:r w:rsidR="00291ECD" w:rsidRPr="00A74CF5">
        <w:rPr>
          <w:rFonts w:ascii="Arial" w:hAnsi="Arial" w:cs="Arial"/>
          <w:sz w:val="22"/>
          <w:szCs w:val="22"/>
          <w:lang w:val="en-GB" w:eastAsia="en-US"/>
        </w:rPr>
        <w:t>î</w:t>
      </w:r>
      <w:r w:rsidR="00062B9F" w:rsidRPr="00A74CF5">
        <w:rPr>
          <w:rFonts w:ascii="Arial" w:hAnsi="Arial" w:cs="Arial"/>
          <w:sz w:val="22"/>
          <w:szCs w:val="22"/>
          <w:lang w:val="en-GB" w:eastAsia="en-US"/>
        </w:rPr>
        <w:t xml:space="preserve">n perioada de </w:t>
      </w:r>
      <w:r w:rsidR="008A0908">
        <w:rPr>
          <w:rFonts w:ascii="Arial" w:hAnsi="Arial" w:cs="Arial"/>
          <w:sz w:val="22"/>
          <w:szCs w:val="22"/>
          <w:lang w:val="en-GB" w:eastAsia="en-US"/>
        </w:rPr>
        <w:t xml:space="preserve">șase </w:t>
      </w:r>
      <w:r w:rsidR="00D475B7" w:rsidRPr="00A74CF5">
        <w:rPr>
          <w:rFonts w:ascii="Arial" w:hAnsi="Arial" w:cs="Arial"/>
          <w:sz w:val="22"/>
          <w:szCs w:val="22"/>
          <w:lang w:val="en-GB" w:eastAsia="en-US"/>
        </w:rPr>
        <w:t>luni</w:t>
      </w:r>
      <w:r w:rsidRPr="00A74CF5">
        <w:rPr>
          <w:rFonts w:ascii="Arial" w:hAnsi="Arial" w:cs="Arial"/>
          <w:sz w:val="22"/>
          <w:szCs w:val="22"/>
          <w:lang w:val="en-GB" w:eastAsia="en-US"/>
        </w:rPr>
        <w:t xml:space="preserve"> </w:t>
      </w:r>
      <w:r w:rsidR="00DF2C30" w:rsidRPr="00A74CF5">
        <w:rPr>
          <w:rFonts w:ascii="Arial" w:hAnsi="Arial" w:cs="Arial"/>
          <w:sz w:val="22"/>
          <w:szCs w:val="22"/>
          <w:lang w:val="en-GB" w:eastAsia="en-US"/>
        </w:rPr>
        <w:t>2018</w:t>
      </w:r>
      <w:r w:rsidRPr="00A74CF5">
        <w:rPr>
          <w:rFonts w:ascii="Arial" w:hAnsi="Arial" w:cs="Arial"/>
          <w:sz w:val="22"/>
          <w:szCs w:val="22"/>
          <w:lang w:val="en-GB" w:eastAsia="en-US"/>
        </w:rPr>
        <w:t xml:space="preserve"> se prezintă astfel:</w:t>
      </w:r>
    </w:p>
    <w:p w:rsidR="004F5963" w:rsidRDefault="004F5963" w:rsidP="000502E4">
      <w:pPr>
        <w:widowControl/>
        <w:overflowPunct w:val="0"/>
        <w:spacing w:line="276" w:lineRule="auto"/>
        <w:jc w:val="both"/>
        <w:textAlignment w:val="baseline"/>
        <w:rPr>
          <w:rFonts w:ascii="Arial" w:hAnsi="Arial" w:cs="Arial"/>
          <w:sz w:val="22"/>
          <w:szCs w:val="22"/>
          <w:lang w:val="en-GB" w:eastAsia="en-US"/>
        </w:rPr>
      </w:pPr>
    </w:p>
    <w:tbl>
      <w:tblPr>
        <w:tblW w:w="9712" w:type="dxa"/>
        <w:tblInd w:w="113" w:type="dxa"/>
        <w:tblLook w:val="04A0" w:firstRow="1" w:lastRow="0" w:firstColumn="1" w:lastColumn="0" w:noHBand="0" w:noVBand="1"/>
      </w:tblPr>
      <w:tblGrid>
        <w:gridCol w:w="1117"/>
        <w:gridCol w:w="1117"/>
        <w:gridCol w:w="1163"/>
        <w:gridCol w:w="2923"/>
        <w:gridCol w:w="1123"/>
        <w:gridCol w:w="1107"/>
        <w:gridCol w:w="1162"/>
      </w:tblGrid>
      <w:tr w:rsidR="00F30E3A" w:rsidRPr="00566A7E" w:rsidTr="00F60A18">
        <w:trPr>
          <w:trHeight w:val="1038"/>
          <w:tblHeader/>
        </w:trPr>
        <w:tc>
          <w:tcPr>
            <w:tcW w:w="1117"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F30E3A" w:rsidRPr="00F30E3A" w:rsidRDefault="00F30E3A" w:rsidP="003F6C38">
            <w:pPr>
              <w:widowControl/>
              <w:autoSpaceDE/>
              <w:autoSpaceDN/>
              <w:adjustRightInd/>
              <w:jc w:val="center"/>
              <w:rPr>
                <w:rFonts w:ascii="Arial" w:hAnsi="Arial" w:cs="Arial"/>
                <w:b/>
                <w:color w:val="000000"/>
                <w:lang w:val="en-US" w:eastAsia="en-US"/>
              </w:rPr>
            </w:pPr>
            <w:r w:rsidRPr="00F30E3A">
              <w:rPr>
                <w:rFonts w:ascii="Arial" w:hAnsi="Arial" w:cs="Arial"/>
                <w:b/>
                <w:color w:val="000000"/>
                <w:lang w:val="en-US" w:eastAsia="en-US"/>
              </w:rPr>
              <w:t xml:space="preserve">Realizat </w:t>
            </w:r>
            <w:r w:rsidR="003F6C38">
              <w:rPr>
                <w:rFonts w:ascii="Arial" w:hAnsi="Arial" w:cs="Arial"/>
                <w:b/>
                <w:color w:val="000000"/>
                <w:lang w:val="en-US" w:eastAsia="en-US"/>
              </w:rPr>
              <w:t>Sem. I</w:t>
            </w:r>
            <w:r w:rsidRPr="00F30E3A">
              <w:rPr>
                <w:rFonts w:ascii="Arial" w:hAnsi="Arial" w:cs="Arial"/>
                <w:b/>
                <w:color w:val="000000"/>
                <w:lang w:val="en-US" w:eastAsia="en-US"/>
              </w:rPr>
              <w:t xml:space="preserve">  2018</w:t>
            </w:r>
          </w:p>
        </w:tc>
        <w:tc>
          <w:tcPr>
            <w:tcW w:w="1117"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F30E3A" w:rsidRPr="00F30E3A" w:rsidRDefault="00F30E3A" w:rsidP="003F6C38">
            <w:pPr>
              <w:widowControl/>
              <w:autoSpaceDE/>
              <w:autoSpaceDN/>
              <w:adjustRightInd/>
              <w:jc w:val="center"/>
              <w:rPr>
                <w:rFonts w:ascii="Arial" w:hAnsi="Arial" w:cs="Arial"/>
                <w:b/>
                <w:color w:val="000000"/>
                <w:lang w:val="en-US" w:eastAsia="en-US"/>
              </w:rPr>
            </w:pPr>
            <w:r w:rsidRPr="00F30E3A">
              <w:rPr>
                <w:rFonts w:ascii="Arial" w:hAnsi="Arial" w:cs="Arial"/>
                <w:b/>
                <w:color w:val="000000"/>
                <w:lang w:val="en-US" w:eastAsia="en-US"/>
              </w:rPr>
              <w:t xml:space="preserve">BVC </w:t>
            </w:r>
            <w:r w:rsidR="003F6C38">
              <w:rPr>
                <w:rFonts w:ascii="Arial" w:hAnsi="Arial" w:cs="Arial"/>
                <w:b/>
                <w:color w:val="000000"/>
                <w:lang w:val="en-US" w:eastAsia="en-US"/>
              </w:rPr>
              <w:t>Sem. I</w:t>
            </w:r>
            <w:r w:rsidRPr="00F30E3A">
              <w:rPr>
                <w:rFonts w:ascii="Arial" w:hAnsi="Arial" w:cs="Arial"/>
                <w:b/>
                <w:color w:val="000000"/>
                <w:lang w:val="en-US" w:eastAsia="en-US"/>
              </w:rPr>
              <w:t xml:space="preserve">  2018</w:t>
            </w:r>
          </w:p>
        </w:tc>
        <w:tc>
          <w:tcPr>
            <w:tcW w:w="1183"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3F6C38" w:rsidRDefault="00F30E3A" w:rsidP="003F6C38">
            <w:pPr>
              <w:widowControl/>
              <w:autoSpaceDE/>
              <w:autoSpaceDN/>
              <w:adjustRightInd/>
              <w:jc w:val="center"/>
              <w:rPr>
                <w:rFonts w:ascii="Arial" w:hAnsi="Arial" w:cs="Arial"/>
                <w:b/>
                <w:color w:val="000000"/>
                <w:lang w:val="en-US" w:eastAsia="en-US"/>
              </w:rPr>
            </w:pPr>
            <w:r w:rsidRPr="00F30E3A">
              <w:rPr>
                <w:rFonts w:ascii="Arial" w:hAnsi="Arial" w:cs="Arial"/>
                <w:b/>
                <w:color w:val="000000"/>
                <w:lang w:val="en-US" w:eastAsia="en-US"/>
              </w:rPr>
              <w:t xml:space="preserve">Variație % </w:t>
            </w:r>
            <w:r w:rsidR="003F6C38">
              <w:rPr>
                <w:rFonts w:ascii="Arial" w:hAnsi="Arial" w:cs="Arial"/>
                <w:b/>
                <w:color w:val="000000"/>
                <w:lang w:val="en-US" w:eastAsia="en-US"/>
              </w:rPr>
              <w:t>Realizat</w:t>
            </w:r>
            <w:r w:rsidRPr="00F30E3A">
              <w:rPr>
                <w:rFonts w:ascii="Arial" w:hAnsi="Arial" w:cs="Arial"/>
                <w:b/>
                <w:color w:val="000000"/>
                <w:lang w:val="en-US" w:eastAsia="en-US"/>
              </w:rPr>
              <w:t>/</w:t>
            </w:r>
          </w:p>
          <w:p w:rsidR="00F30E3A" w:rsidRPr="00F30E3A" w:rsidRDefault="00F30E3A" w:rsidP="003F6C38">
            <w:pPr>
              <w:widowControl/>
              <w:autoSpaceDE/>
              <w:autoSpaceDN/>
              <w:adjustRightInd/>
              <w:jc w:val="center"/>
              <w:rPr>
                <w:rFonts w:ascii="Arial" w:hAnsi="Arial" w:cs="Arial"/>
                <w:b/>
                <w:color w:val="000000"/>
                <w:lang w:val="en-US" w:eastAsia="en-US"/>
              </w:rPr>
            </w:pPr>
            <w:r w:rsidRPr="00F30E3A">
              <w:rPr>
                <w:rFonts w:ascii="Arial" w:hAnsi="Arial" w:cs="Arial"/>
                <w:b/>
                <w:color w:val="000000"/>
                <w:lang w:val="en-US" w:eastAsia="en-US"/>
              </w:rPr>
              <w:t>B</w:t>
            </w:r>
            <w:r w:rsidR="003F6C38">
              <w:rPr>
                <w:rFonts w:ascii="Arial" w:hAnsi="Arial" w:cs="Arial"/>
                <w:b/>
                <w:color w:val="000000"/>
                <w:lang w:val="en-US" w:eastAsia="en-US"/>
              </w:rPr>
              <w:t>.</w:t>
            </w:r>
            <w:r w:rsidRPr="00F30E3A">
              <w:rPr>
                <w:rFonts w:ascii="Arial" w:hAnsi="Arial" w:cs="Arial"/>
                <w:b/>
                <w:color w:val="000000"/>
                <w:lang w:val="en-US" w:eastAsia="en-US"/>
              </w:rPr>
              <w:t>V</w:t>
            </w:r>
            <w:r w:rsidR="003F6C38">
              <w:rPr>
                <w:rFonts w:ascii="Arial" w:hAnsi="Arial" w:cs="Arial"/>
                <w:b/>
                <w:color w:val="000000"/>
                <w:lang w:val="en-US" w:eastAsia="en-US"/>
              </w:rPr>
              <w:t>.</w:t>
            </w:r>
            <w:r w:rsidRPr="00F30E3A">
              <w:rPr>
                <w:rFonts w:ascii="Arial" w:hAnsi="Arial" w:cs="Arial"/>
                <w:b/>
                <w:color w:val="000000"/>
                <w:lang w:val="en-US" w:eastAsia="en-US"/>
              </w:rPr>
              <w:t>C</w:t>
            </w:r>
            <w:r w:rsidR="003F6C38">
              <w:rPr>
                <w:rFonts w:ascii="Arial" w:hAnsi="Arial" w:cs="Arial"/>
                <w:b/>
                <w:color w:val="000000"/>
                <w:lang w:val="en-US" w:eastAsia="en-US"/>
              </w:rPr>
              <w:t>.</w:t>
            </w:r>
            <w:r w:rsidRPr="00F30E3A">
              <w:rPr>
                <w:rFonts w:ascii="Arial" w:hAnsi="Arial" w:cs="Arial"/>
                <w:b/>
                <w:color w:val="000000"/>
                <w:lang w:val="en-US" w:eastAsia="en-US"/>
              </w:rPr>
              <w:t xml:space="preserve"> 2018</w:t>
            </w:r>
          </w:p>
        </w:tc>
        <w:tc>
          <w:tcPr>
            <w:tcW w:w="2923" w:type="dxa"/>
            <w:tcBorders>
              <w:top w:val="single" w:sz="4" w:space="0" w:color="auto"/>
              <w:left w:val="nil"/>
              <w:bottom w:val="single" w:sz="4" w:space="0" w:color="auto"/>
              <w:right w:val="single" w:sz="4" w:space="0" w:color="auto"/>
            </w:tcBorders>
            <w:shd w:val="clear" w:color="000000" w:fill="DEEAF6"/>
            <w:noWrap/>
            <w:vAlign w:val="center"/>
            <w:hideMark/>
          </w:tcPr>
          <w:p w:rsidR="00F30E3A" w:rsidRPr="00F30E3A" w:rsidRDefault="00F30E3A" w:rsidP="00117C4A">
            <w:pPr>
              <w:widowControl/>
              <w:autoSpaceDE/>
              <w:autoSpaceDN/>
              <w:adjustRightInd/>
              <w:jc w:val="center"/>
              <w:rPr>
                <w:rFonts w:ascii="Arial" w:hAnsi="Arial" w:cs="Arial"/>
                <w:b/>
                <w:color w:val="000000"/>
                <w:lang w:val="en-US" w:eastAsia="en-US"/>
              </w:rPr>
            </w:pPr>
            <w:r w:rsidRPr="00F30E3A">
              <w:rPr>
                <w:rFonts w:ascii="Arial" w:hAnsi="Arial" w:cs="Arial"/>
                <w:b/>
                <w:color w:val="000000"/>
                <w:lang w:val="en-US" w:eastAsia="en-US"/>
              </w:rPr>
              <w:t>Indicatori</w:t>
            </w:r>
            <w:r>
              <w:rPr>
                <w:rFonts w:ascii="Arial" w:hAnsi="Arial" w:cs="Arial"/>
                <w:b/>
                <w:color w:val="000000"/>
                <w:lang w:val="en-US" w:eastAsia="en-US"/>
              </w:rPr>
              <w:t xml:space="preserve"> (mii lei)</w:t>
            </w:r>
          </w:p>
        </w:tc>
        <w:tc>
          <w:tcPr>
            <w:tcW w:w="1123"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F30E3A" w:rsidRPr="00F30E3A" w:rsidRDefault="00F30E3A" w:rsidP="003F6C38">
            <w:pPr>
              <w:widowControl/>
              <w:autoSpaceDE/>
              <w:autoSpaceDN/>
              <w:adjustRightInd/>
              <w:jc w:val="center"/>
              <w:rPr>
                <w:rFonts w:ascii="Arial" w:hAnsi="Arial" w:cs="Arial"/>
                <w:b/>
                <w:color w:val="000000"/>
                <w:lang w:val="en-US" w:eastAsia="en-US"/>
              </w:rPr>
            </w:pPr>
            <w:r w:rsidRPr="00F30E3A">
              <w:rPr>
                <w:rFonts w:ascii="Arial" w:hAnsi="Arial" w:cs="Arial"/>
                <w:b/>
                <w:color w:val="000000"/>
                <w:lang w:val="en-US" w:eastAsia="en-US"/>
              </w:rPr>
              <w:t xml:space="preserve">Realizat </w:t>
            </w:r>
            <w:r w:rsidR="003F6C38">
              <w:rPr>
                <w:rFonts w:ascii="Arial" w:hAnsi="Arial" w:cs="Arial"/>
                <w:b/>
                <w:color w:val="000000"/>
                <w:lang w:val="en-US" w:eastAsia="en-US"/>
              </w:rPr>
              <w:t>Sem. I</w:t>
            </w:r>
            <w:r w:rsidRPr="00F30E3A">
              <w:rPr>
                <w:rFonts w:ascii="Arial" w:hAnsi="Arial" w:cs="Arial"/>
                <w:b/>
                <w:color w:val="000000"/>
                <w:lang w:val="en-US" w:eastAsia="en-US"/>
              </w:rPr>
              <w:t xml:space="preserve"> 2018</w:t>
            </w:r>
          </w:p>
        </w:tc>
        <w:tc>
          <w:tcPr>
            <w:tcW w:w="1107"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F30E3A" w:rsidRPr="00F30E3A" w:rsidRDefault="00F30E3A" w:rsidP="003F6C38">
            <w:pPr>
              <w:widowControl/>
              <w:autoSpaceDE/>
              <w:autoSpaceDN/>
              <w:adjustRightInd/>
              <w:jc w:val="center"/>
              <w:rPr>
                <w:rFonts w:ascii="Arial" w:hAnsi="Arial" w:cs="Arial"/>
                <w:b/>
                <w:color w:val="000000"/>
                <w:lang w:val="en-US" w:eastAsia="en-US"/>
              </w:rPr>
            </w:pPr>
            <w:r w:rsidRPr="00F30E3A">
              <w:rPr>
                <w:rFonts w:ascii="Arial" w:hAnsi="Arial" w:cs="Arial"/>
                <w:b/>
                <w:color w:val="000000"/>
                <w:lang w:val="en-US" w:eastAsia="en-US"/>
              </w:rPr>
              <w:t xml:space="preserve">Realizat </w:t>
            </w:r>
            <w:r w:rsidR="003F6C38">
              <w:rPr>
                <w:rFonts w:ascii="Arial" w:hAnsi="Arial" w:cs="Arial"/>
                <w:b/>
                <w:color w:val="000000"/>
                <w:lang w:val="en-US" w:eastAsia="en-US"/>
              </w:rPr>
              <w:t>Sem. I</w:t>
            </w:r>
            <w:r w:rsidRPr="00F30E3A">
              <w:rPr>
                <w:rFonts w:ascii="Arial" w:hAnsi="Arial" w:cs="Arial"/>
                <w:b/>
                <w:color w:val="000000"/>
                <w:lang w:val="en-US" w:eastAsia="en-US"/>
              </w:rPr>
              <w:t xml:space="preserve"> 2017</w:t>
            </w:r>
          </w:p>
        </w:tc>
        <w:tc>
          <w:tcPr>
            <w:tcW w:w="1142"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F30E3A" w:rsidRPr="00F30E3A" w:rsidRDefault="00F30E3A" w:rsidP="00117C4A">
            <w:pPr>
              <w:widowControl/>
              <w:autoSpaceDE/>
              <w:autoSpaceDN/>
              <w:adjustRightInd/>
              <w:jc w:val="center"/>
              <w:rPr>
                <w:rFonts w:ascii="Arial" w:hAnsi="Arial" w:cs="Arial"/>
                <w:b/>
                <w:color w:val="000000"/>
                <w:lang w:val="en-US" w:eastAsia="en-US"/>
              </w:rPr>
            </w:pPr>
            <w:r w:rsidRPr="00F30E3A">
              <w:rPr>
                <w:rFonts w:ascii="Arial" w:hAnsi="Arial" w:cs="Arial"/>
                <w:b/>
                <w:color w:val="000000"/>
                <w:lang w:val="en-US" w:eastAsia="en-US"/>
              </w:rPr>
              <w:t>Variație % 2018/2017</w:t>
            </w:r>
          </w:p>
        </w:tc>
      </w:tr>
      <w:tr w:rsidR="004F5963" w:rsidRPr="00566A7E" w:rsidTr="00F60A18">
        <w:trPr>
          <w:trHeight w:val="529"/>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963" w:rsidRPr="008C7F9D" w:rsidRDefault="004F5963" w:rsidP="00117C4A">
            <w:pPr>
              <w:widowControl/>
              <w:autoSpaceDE/>
              <w:autoSpaceDN/>
              <w:adjustRightInd/>
              <w:jc w:val="right"/>
              <w:rPr>
                <w:rFonts w:ascii="Arial" w:hAnsi="Arial" w:cs="Arial"/>
                <w:color w:val="000000"/>
              </w:rPr>
            </w:pPr>
            <w:r w:rsidRPr="008C7F9D">
              <w:rPr>
                <w:rFonts w:ascii="Arial" w:hAnsi="Arial" w:cs="Arial"/>
                <w:color w:val="000000"/>
              </w:rPr>
              <w:t>182.034</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color w:val="000000"/>
              </w:rPr>
            </w:pPr>
            <w:r w:rsidRPr="008C7F9D">
              <w:rPr>
                <w:rFonts w:ascii="Arial" w:hAnsi="Arial" w:cs="Arial"/>
                <w:color w:val="000000"/>
              </w:rPr>
              <w:t>179.676</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rsidR="004F5963" w:rsidRPr="008C7F9D" w:rsidRDefault="004F5963" w:rsidP="00117C4A">
            <w:pPr>
              <w:jc w:val="right"/>
              <w:rPr>
                <w:rFonts w:ascii="Arial" w:hAnsi="Arial" w:cs="Arial"/>
                <w:bCs/>
                <w:color w:val="000000"/>
              </w:rPr>
            </w:pPr>
            <w:r w:rsidRPr="008C7F9D">
              <w:rPr>
                <w:rFonts w:ascii="Arial" w:hAnsi="Arial" w:cs="Arial"/>
                <w:bCs/>
                <w:lang w:val="en-US" w:eastAsia="en-US"/>
              </w:rPr>
              <w:t>▲</w:t>
            </w:r>
            <w:r w:rsidRPr="008C7F9D">
              <w:rPr>
                <w:rFonts w:ascii="Arial" w:hAnsi="Arial" w:cs="Arial"/>
                <w:bCs/>
                <w:color w:val="000000"/>
              </w:rPr>
              <w:t>1,31%</w:t>
            </w:r>
          </w:p>
        </w:tc>
        <w:tc>
          <w:tcPr>
            <w:tcW w:w="2923" w:type="dxa"/>
            <w:tcBorders>
              <w:top w:val="single" w:sz="4" w:space="0" w:color="auto"/>
              <w:left w:val="nil"/>
              <w:bottom w:val="single" w:sz="4" w:space="0" w:color="auto"/>
              <w:right w:val="single" w:sz="4" w:space="0" w:color="auto"/>
            </w:tcBorders>
            <w:shd w:val="clear" w:color="auto" w:fill="auto"/>
            <w:vAlign w:val="center"/>
            <w:hideMark/>
          </w:tcPr>
          <w:p w:rsidR="004F5963" w:rsidRPr="008C7F9D" w:rsidRDefault="004F5963" w:rsidP="00117C4A">
            <w:pPr>
              <w:widowControl/>
              <w:autoSpaceDE/>
              <w:autoSpaceDN/>
              <w:adjustRightInd/>
              <w:rPr>
                <w:rFonts w:ascii="Arial" w:hAnsi="Arial" w:cs="Arial"/>
                <w:color w:val="000000"/>
                <w:lang w:val="en-US" w:eastAsia="en-US"/>
              </w:rPr>
            </w:pPr>
            <w:r w:rsidRPr="008C7F9D">
              <w:rPr>
                <w:rFonts w:ascii="Arial" w:hAnsi="Arial" w:cs="Arial"/>
                <w:color w:val="000000"/>
                <w:lang w:val="en-US" w:eastAsia="en-US"/>
              </w:rPr>
              <w:t>Venituri totale din servicii de transport</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rsidR="004F5963" w:rsidRPr="008C7F9D" w:rsidRDefault="004F5963" w:rsidP="00117C4A">
            <w:pPr>
              <w:widowControl/>
              <w:autoSpaceDE/>
              <w:autoSpaceDN/>
              <w:adjustRightInd/>
              <w:jc w:val="right"/>
              <w:rPr>
                <w:rFonts w:ascii="Arial" w:hAnsi="Arial" w:cs="Arial"/>
                <w:color w:val="000000"/>
              </w:rPr>
            </w:pPr>
            <w:r w:rsidRPr="008C7F9D">
              <w:rPr>
                <w:rFonts w:ascii="Arial" w:hAnsi="Arial" w:cs="Arial"/>
                <w:color w:val="000000"/>
              </w:rPr>
              <w:t>182.034</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color w:val="000000"/>
              </w:rPr>
            </w:pPr>
            <w:r w:rsidRPr="008C7F9D">
              <w:rPr>
                <w:rFonts w:ascii="Arial" w:hAnsi="Arial" w:cs="Arial"/>
                <w:color w:val="000000"/>
              </w:rPr>
              <w:t>184.126</w:t>
            </w:r>
          </w:p>
        </w:tc>
        <w:tc>
          <w:tcPr>
            <w:tcW w:w="1142"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117C4A">
            <w:pPr>
              <w:jc w:val="right"/>
              <w:rPr>
                <w:rFonts w:ascii="Arial" w:hAnsi="Arial" w:cs="Arial"/>
                <w:bCs/>
                <w:color w:val="000000"/>
              </w:rPr>
            </w:pPr>
            <w:r w:rsidRPr="008C7F9D">
              <w:rPr>
                <w:rFonts w:ascii="Arial" w:hAnsi="Arial" w:cs="Arial"/>
                <w:bCs/>
                <w:lang w:val="en-US" w:eastAsia="en-US"/>
              </w:rPr>
              <w:t>▼</w:t>
            </w:r>
            <w:r w:rsidRPr="008C7F9D">
              <w:rPr>
                <w:rFonts w:ascii="Arial" w:hAnsi="Arial" w:cs="Arial"/>
                <w:bCs/>
                <w:color w:val="000000"/>
              </w:rPr>
              <w:t>1,14%</w:t>
            </w:r>
          </w:p>
        </w:tc>
      </w:tr>
      <w:tr w:rsidR="004F5963" w:rsidRPr="00566A7E" w:rsidTr="00F60A18">
        <w:trPr>
          <w:trHeight w:val="529"/>
        </w:trPr>
        <w:tc>
          <w:tcPr>
            <w:tcW w:w="1117" w:type="dxa"/>
            <w:tcBorders>
              <w:top w:val="nil"/>
              <w:left w:val="single" w:sz="4" w:space="0" w:color="auto"/>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color w:val="000000"/>
              </w:rPr>
            </w:pPr>
            <w:r w:rsidRPr="008C7F9D">
              <w:rPr>
                <w:rFonts w:ascii="Arial" w:hAnsi="Arial" w:cs="Arial"/>
                <w:color w:val="000000"/>
              </w:rPr>
              <w:t>2.897</w:t>
            </w:r>
          </w:p>
        </w:tc>
        <w:tc>
          <w:tcPr>
            <w:tcW w:w="1117"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117C4A">
            <w:pPr>
              <w:jc w:val="right"/>
              <w:rPr>
                <w:rFonts w:ascii="Arial" w:hAnsi="Arial" w:cs="Arial"/>
                <w:color w:val="000000"/>
              </w:rPr>
            </w:pPr>
            <w:r w:rsidRPr="008C7F9D">
              <w:rPr>
                <w:rFonts w:ascii="Arial" w:hAnsi="Arial" w:cs="Arial"/>
                <w:color w:val="000000"/>
              </w:rPr>
              <w:t>1.817</w:t>
            </w:r>
          </w:p>
        </w:tc>
        <w:tc>
          <w:tcPr>
            <w:tcW w:w="1183"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4F5963">
            <w:pPr>
              <w:jc w:val="right"/>
              <w:rPr>
                <w:rFonts w:ascii="Arial" w:hAnsi="Arial" w:cs="Arial"/>
                <w:bCs/>
                <w:color w:val="000000"/>
              </w:rPr>
            </w:pPr>
            <w:r w:rsidRPr="008C7F9D">
              <w:rPr>
                <w:rFonts w:ascii="Arial" w:hAnsi="Arial" w:cs="Arial"/>
                <w:bCs/>
                <w:lang w:val="en-US" w:eastAsia="en-US"/>
              </w:rPr>
              <w:t>▲</w:t>
            </w:r>
            <w:r w:rsidRPr="008C7F9D">
              <w:rPr>
                <w:rFonts w:ascii="Arial" w:hAnsi="Arial" w:cs="Arial"/>
                <w:bCs/>
                <w:color w:val="000000"/>
              </w:rPr>
              <w:t>5</w:t>
            </w:r>
            <w:r w:rsidR="00A226C3" w:rsidRPr="008C7F9D">
              <w:rPr>
                <w:rFonts w:ascii="Arial" w:hAnsi="Arial" w:cs="Arial"/>
                <w:bCs/>
                <w:color w:val="000000"/>
              </w:rPr>
              <w:t>9,</w:t>
            </w:r>
            <w:r w:rsidRPr="008C7F9D">
              <w:rPr>
                <w:rFonts w:ascii="Arial" w:hAnsi="Arial" w:cs="Arial"/>
                <w:bCs/>
                <w:color w:val="000000"/>
              </w:rPr>
              <w:t>44%</w:t>
            </w:r>
          </w:p>
        </w:tc>
        <w:tc>
          <w:tcPr>
            <w:tcW w:w="2923"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117C4A">
            <w:pPr>
              <w:widowControl/>
              <w:autoSpaceDE/>
              <w:autoSpaceDN/>
              <w:adjustRightInd/>
              <w:rPr>
                <w:rFonts w:ascii="Arial" w:hAnsi="Arial" w:cs="Arial"/>
                <w:color w:val="000000"/>
                <w:lang w:val="en-US" w:eastAsia="en-US"/>
              </w:rPr>
            </w:pPr>
            <w:r w:rsidRPr="008C7F9D">
              <w:rPr>
                <w:rFonts w:ascii="Arial" w:hAnsi="Arial" w:cs="Arial"/>
                <w:color w:val="000000"/>
                <w:lang w:val="en-US" w:eastAsia="en-US"/>
              </w:rPr>
              <w:t>Alte venituri aferente cifrei de afaceri</w:t>
            </w:r>
          </w:p>
        </w:tc>
        <w:tc>
          <w:tcPr>
            <w:tcW w:w="1123" w:type="dxa"/>
            <w:tcBorders>
              <w:top w:val="nil"/>
              <w:left w:val="nil"/>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color w:val="000000"/>
              </w:rPr>
            </w:pPr>
            <w:r w:rsidRPr="008C7F9D">
              <w:rPr>
                <w:rFonts w:ascii="Arial" w:hAnsi="Arial" w:cs="Arial"/>
                <w:color w:val="000000"/>
              </w:rPr>
              <w:t>2.897</w:t>
            </w:r>
          </w:p>
        </w:tc>
        <w:tc>
          <w:tcPr>
            <w:tcW w:w="1107" w:type="dxa"/>
            <w:tcBorders>
              <w:top w:val="nil"/>
              <w:left w:val="nil"/>
              <w:bottom w:val="single" w:sz="4" w:space="0" w:color="auto"/>
              <w:right w:val="single" w:sz="4" w:space="0" w:color="auto"/>
            </w:tcBorders>
            <w:shd w:val="clear" w:color="auto" w:fill="auto"/>
            <w:noWrap/>
            <w:vAlign w:val="center"/>
            <w:hideMark/>
          </w:tcPr>
          <w:p w:rsidR="004F5963" w:rsidRPr="008C7F9D" w:rsidRDefault="00A226C3" w:rsidP="00117C4A">
            <w:pPr>
              <w:jc w:val="right"/>
              <w:rPr>
                <w:rFonts w:ascii="Arial" w:hAnsi="Arial" w:cs="Arial"/>
                <w:color w:val="000000"/>
              </w:rPr>
            </w:pPr>
            <w:r w:rsidRPr="008C7F9D">
              <w:rPr>
                <w:rFonts w:ascii="Arial" w:hAnsi="Arial" w:cs="Arial"/>
                <w:color w:val="000000"/>
              </w:rPr>
              <w:t>2.188</w:t>
            </w:r>
          </w:p>
        </w:tc>
        <w:tc>
          <w:tcPr>
            <w:tcW w:w="1142"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A226C3">
            <w:pPr>
              <w:jc w:val="right"/>
              <w:rPr>
                <w:rFonts w:ascii="Arial" w:hAnsi="Arial" w:cs="Arial"/>
                <w:bCs/>
                <w:color w:val="000000"/>
              </w:rPr>
            </w:pPr>
            <w:r w:rsidRPr="008C7F9D">
              <w:rPr>
                <w:rFonts w:ascii="Arial" w:hAnsi="Arial" w:cs="Arial"/>
                <w:bCs/>
                <w:lang w:val="en-US" w:eastAsia="en-US"/>
              </w:rPr>
              <w:t>▲</w:t>
            </w:r>
            <w:r w:rsidR="00A226C3" w:rsidRPr="008C7F9D">
              <w:rPr>
                <w:rFonts w:ascii="Arial" w:hAnsi="Arial" w:cs="Arial"/>
                <w:bCs/>
                <w:color w:val="000000"/>
              </w:rPr>
              <w:t>32,40</w:t>
            </w:r>
            <w:r w:rsidRPr="008C7F9D">
              <w:rPr>
                <w:rFonts w:ascii="Arial" w:hAnsi="Arial" w:cs="Arial"/>
                <w:bCs/>
                <w:color w:val="000000"/>
              </w:rPr>
              <w:t>%</w:t>
            </w:r>
          </w:p>
        </w:tc>
      </w:tr>
      <w:tr w:rsidR="004F5963" w:rsidRPr="00566A7E" w:rsidTr="00F60A18">
        <w:trPr>
          <w:trHeight w:val="310"/>
        </w:trPr>
        <w:tc>
          <w:tcPr>
            <w:tcW w:w="1117" w:type="dxa"/>
            <w:tcBorders>
              <w:top w:val="nil"/>
              <w:left w:val="single" w:sz="4" w:space="0" w:color="auto"/>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b/>
                <w:color w:val="000000"/>
              </w:rPr>
            </w:pPr>
            <w:r w:rsidRPr="008C7F9D">
              <w:rPr>
                <w:rFonts w:ascii="Arial" w:hAnsi="Arial" w:cs="Arial"/>
                <w:b/>
                <w:color w:val="000000"/>
              </w:rPr>
              <w:t>184.931</w:t>
            </w:r>
          </w:p>
        </w:tc>
        <w:tc>
          <w:tcPr>
            <w:tcW w:w="1117" w:type="dxa"/>
            <w:tcBorders>
              <w:top w:val="nil"/>
              <w:left w:val="nil"/>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b/>
                <w:color w:val="000000"/>
              </w:rPr>
            </w:pPr>
            <w:r w:rsidRPr="008C7F9D">
              <w:rPr>
                <w:rFonts w:ascii="Arial" w:hAnsi="Arial" w:cs="Arial"/>
                <w:b/>
                <w:color w:val="000000"/>
              </w:rPr>
              <w:t>181.493</w:t>
            </w:r>
          </w:p>
        </w:tc>
        <w:tc>
          <w:tcPr>
            <w:tcW w:w="1183"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117C4A">
            <w:pPr>
              <w:jc w:val="right"/>
              <w:rPr>
                <w:rFonts w:ascii="Arial" w:hAnsi="Arial" w:cs="Arial"/>
                <w:b/>
                <w:bCs/>
                <w:color w:val="000000"/>
              </w:rPr>
            </w:pPr>
            <w:r w:rsidRPr="008C7F9D">
              <w:rPr>
                <w:rFonts w:ascii="Arial" w:hAnsi="Arial" w:cs="Arial"/>
                <w:b/>
                <w:bCs/>
                <w:lang w:val="en-US" w:eastAsia="en-US"/>
              </w:rPr>
              <w:t>▲</w:t>
            </w:r>
            <w:r w:rsidRPr="008C7F9D">
              <w:rPr>
                <w:rFonts w:ascii="Arial" w:hAnsi="Arial" w:cs="Arial"/>
                <w:b/>
                <w:bCs/>
                <w:color w:val="000000"/>
              </w:rPr>
              <w:t>1,89%</w:t>
            </w:r>
          </w:p>
        </w:tc>
        <w:tc>
          <w:tcPr>
            <w:tcW w:w="2923"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117C4A">
            <w:pPr>
              <w:widowControl/>
              <w:autoSpaceDE/>
              <w:autoSpaceDN/>
              <w:adjustRightInd/>
              <w:rPr>
                <w:rFonts w:ascii="Arial" w:hAnsi="Arial" w:cs="Arial"/>
                <w:b/>
                <w:iCs/>
                <w:color w:val="000000"/>
                <w:lang w:val="en-US" w:eastAsia="en-US"/>
              </w:rPr>
            </w:pPr>
            <w:r w:rsidRPr="008C7F9D">
              <w:rPr>
                <w:rFonts w:ascii="Arial" w:hAnsi="Arial" w:cs="Arial"/>
                <w:b/>
                <w:iCs/>
                <w:color w:val="000000"/>
                <w:lang w:val="en-US" w:eastAsia="en-US"/>
              </w:rPr>
              <w:t>Cifra de afaceri</w:t>
            </w:r>
          </w:p>
        </w:tc>
        <w:tc>
          <w:tcPr>
            <w:tcW w:w="1123" w:type="dxa"/>
            <w:tcBorders>
              <w:top w:val="nil"/>
              <w:left w:val="nil"/>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b/>
                <w:color w:val="000000"/>
              </w:rPr>
            </w:pPr>
            <w:r w:rsidRPr="008C7F9D">
              <w:rPr>
                <w:rFonts w:ascii="Arial" w:hAnsi="Arial" w:cs="Arial"/>
                <w:b/>
                <w:color w:val="000000"/>
              </w:rPr>
              <w:t>184.931</w:t>
            </w:r>
          </w:p>
        </w:tc>
        <w:tc>
          <w:tcPr>
            <w:tcW w:w="1107" w:type="dxa"/>
            <w:tcBorders>
              <w:top w:val="nil"/>
              <w:left w:val="nil"/>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b/>
                <w:color w:val="000000"/>
              </w:rPr>
            </w:pPr>
            <w:r w:rsidRPr="008C7F9D">
              <w:rPr>
                <w:rFonts w:ascii="Arial" w:hAnsi="Arial" w:cs="Arial"/>
                <w:b/>
                <w:color w:val="000000"/>
              </w:rPr>
              <w:t>186.314</w:t>
            </w:r>
          </w:p>
        </w:tc>
        <w:tc>
          <w:tcPr>
            <w:tcW w:w="1142"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117C4A">
            <w:pPr>
              <w:jc w:val="right"/>
              <w:rPr>
                <w:rFonts w:ascii="Arial" w:hAnsi="Arial" w:cs="Arial"/>
                <w:b/>
                <w:bCs/>
                <w:color w:val="000000"/>
              </w:rPr>
            </w:pPr>
            <w:r w:rsidRPr="008C7F9D">
              <w:rPr>
                <w:rFonts w:ascii="Arial" w:hAnsi="Arial" w:cs="Arial"/>
                <w:b/>
                <w:bCs/>
                <w:lang w:val="en-US" w:eastAsia="en-US"/>
              </w:rPr>
              <w:t>▼</w:t>
            </w:r>
            <w:r w:rsidRPr="008C7F9D">
              <w:rPr>
                <w:rFonts w:ascii="Arial" w:hAnsi="Arial" w:cs="Arial"/>
                <w:b/>
                <w:bCs/>
                <w:color w:val="000000"/>
              </w:rPr>
              <w:t>0,74%</w:t>
            </w:r>
          </w:p>
        </w:tc>
      </w:tr>
      <w:tr w:rsidR="004F5963" w:rsidRPr="00566A7E" w:rsidTr="00F60A18">
        <w:trPr>
          <w:trHeight w:val="795"/>
        </w:trPr>
        <w:tc>
          <w:tcPr>
            <w:tcW w:w="1117" w:type="dxa"/>
            <w:tcBorders>
              <w:top w:val="nil"/>
              <w:left w:val="single" w:sz="4" w:space="0" w:color="auto"/>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color w:val="000000"/>
              </w:rPr>
            </w:pPr>
            <w:r w:rsidRPr="008C7F9D">
              <w:rPr>
                <w:rFonts w:ascii="Arial" w:hAnsi="Arial" w:cs="Arial"/>
                <w:color w:val="000000"/>
              </w:rPr>
              <w:t>14.198</w:t>
            </w:r>
          </w:p>
        </w:tc>
        <w:tc>
          <w:tcPr>
            <w:tcW w:w="1117"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117C4A">
            <w:pPr>
              <w:jc w:val="right"/>
              <w:rPr>
                <w:rFonts w:ascii="Arial" w:hAnsi="Arial" w:cs="Arial"/>
                <w:color w:val="000000"/>
              </w:rPr>
            </w:pPr>
            <w:r w:rsidRPr="008C7F9D">
              <w:rPr>
                <w:rFonts w:ascii="Arial" w:hAnsi="Arial" w:cs="Arial"/>
                <w:color w:val="000000"/>
              </w:rPr>
              <w:t>14.734</w:t>
            </w:r>
          </w:p>
        </w:tc>
        <w:tc>
          <w:tcPr>
            <w:tcW w:w="1183"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B12164">
            <w:pPr>
              <w:jc w:val="right"/>
              <w:rPr>
                <w:rFonts w:ascii="Arial" w:hAnsi="Arial" w:cs="Arial"/>
                <w:bCs/>
                <w:color w:val="000000"/>
              </w:rPr>
            </w:pPr>
            <w:r w:rsidRPr="008C7F9D">
              <w:rPr>
                <w:rFonts w:ascii="Arial" w:hAnsi="Arial" w:cs="Arial"/>
                <w:bCs/>
                <w:lang w:val="en-US" w:eastAsia="en-US"/>
              </w:rPr>
              <w:t>▼</w:t>
            </w:r>
            <w:r w:rsidRPr="008C7F9D">
              <w:rPr>
                <w:rFonts w:ascii="Arial" w:hAnsi="Arial" w:cs="Arial"/>
                <w:bCs/>
                <w:color w:val="000000"/>
              </w:rPr>
              <w:t>3,</w:t>
            </w:r>
            <w:r w:rsidR="00B12164" w:rsidRPr="008C7F9D">
              <w:rPr>
                <w:rFonts w:ascii="Arial" w:hAnsi="Arial" w:cs="Arial"/>
                <w:bCs/>
                <w:color w:val="000000"/>
              </w:rPr>
              <w:t>64</w:t>
            </w:r>
            <w:r w:rsidRPr="008C7F9D">
              <w:rPr>
                <w:rFonts w:ascii="Arial" w:hAnsi="Arial" w:cs="Arial"/>
                <w:bCs/>
                <w:color w:val="000000"/>
              </w:rPr>
              <w:t>%</w:t>
            </w:r>
          </w:p>
        </w:tc>
        <w:tc>
          <w:tcPr>
            <w:tcW w:w="2923"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117C4A">
            <w:pPr>
              <w:widowControl/>
              <w:autoSpaceDE/>
              <w:autoSpaceDN/>
              <w:adjustRightInd/>
              <w:rPr>
                <w:rFonts w:ascii="Arial" w:hAnsi="Arial" w:cs="Arial"/>
                <w:iCs/>
                <w:color w:val="000000"/>
                <w:lang w:val="en-US" w:eastAsia="en-US"/>
              </w:rPr>
            </w:pPr>
            <w:r w:rsidRPr="008C7F9D">
              <w:rPr>
                <w:rFonts w:ascii="Arial" w:hAnsi="Arial" w:cs="Arial"/>
                <w:iCs/>
                <w:color w:val="000000"/>
                <w:lang w:val="en-US" w:eastAsia="en-US"/>
              </w:rPr>
              <w:t>Reluarea la venituri a rezervei constituite pe seama cheltuielilor cu cota de modernizare</w:t>
            </w:r>
          </w:p>
        </w:tc>
        <w:tc>
          <w:tcPr>
            <w:tcW w:w="1123" w:type="dxa"/>
            <w:tcBorders>
              <w:top w:val="nil"/>
              <w:left w:val="nil"/>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color w:val="000000"/>
              </w:rPr>
            </w:pPr>
            <w:r w:rsidRPr="008C7F9D">
              <w:rPr>
                <w:rFonts w:ascii="Arial" w:hAnsi="Arial" w:cs="Arial"/>
                <w:color w:val="000000"/>
              </w:rPr>
              <w:t>14.198</w:t>
            </w:r>
          </w:p>
        </w:tc>
        <w:tc>
          <w:tcPr>
            <w:tcW w:w="1107" w:type="dxa"/>
            <w:tcBorders>
              <w:top w:val="nil"/>
              <w:left w:val="nil"/>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color w:val="000000"/>
              </w:rPr>
            </w:pPr>
            <w:r w:rsidRPr="008C7F9D">
              <w:rPr>
                <w:rFonts w:ascii="Arial" w:hAnsi="Arial" w:cs="Arial"/>
                <w:color w:val="000000"/>
              </w:rPr>
              <w:t>15.105</w:t>
            </w:r>
          </w:p>
        </w:tc>
        <w:tc>
          <w:tcPr>
            <w:tcW w:w="1142"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117C4A">
            <w:pPr>
              <w:jc w:val="right"/>
              <w:rPr>
                <w:rFonts w:ascii="Arial" w:hAnsi="Arial" w:cs="Arial"/>
                <w:bCs/>
                <w:color w:val="000000"/>
              </w:rPr>
            </w:pPr>
            <w:r w:rsidRPr="008C7F9D">
              <w:rPr>
                <w:rFonts w:ascii="Arial" w:hAnsi="Arial" w:cs="Arial"/>
                <w:bCs/>
                <w:lang w:val="en-US" w:eastAsia="en-US"/>
              </w:rPr>
              <w:t>▼6</w:t>
            </w:r>
            <w:r w:rsidRPr="008C7F9D">
              <w:rPr>
                <w:rFonts w:ascii="Arial" w:hAnsi="Arial" w:cs="Arial"/>
                <w:bCs/>
                <w:color w:val="000000"/>
              </w:rPr>
              <w:t>,00%</w:t>
            </w:r>
          </w:p>
        </w:tc>
      </w:tr>
      <w:tr w:rsidR="004F5963" w:rsidRPr="00566A7E" w:rsidTr="00F60A18">
        <w:trPr>
          <w:trHeight w:val="310"/>
        </w:trPr>
        <w:tc>
          <w:tcPr>
            <w:tcW w:w="1117" w:type="dxa"/>
            <w:tcBorders>
              <w:top w:val="nil"/>
              <w:left w:val="single" w:sz="4" w:space="0" w:color="auto"/>
              <w:bottom w:val="single" w:sz="4" w:space="0" w:color="auto"/>
              <w:right w:val="single" w:sz="4" w:space="0" w:color="auto"/>
            </w:tcBorders>
            <w:shd w:val="clear" w:color="auto" w:fill="auto"/>
            <w:noWrap/>
            <w:vAlign w:val="center"/>
            <w:hideMark/>
          </w:tcPr>
          <w:p w:rsidR="004F5963" w:rsidRPr="008C7F9D" w:rsidRDefault="004F5963" w:rsidP="008C7F9D">
            <w:pPr>
              <w:widowControl/>
              <w:autoSpaceDE/>
              <w:autoSpaceDN/>
              <w:adjustRightInd/>
              <w:jc w:val="right"/>
              <w:rPr>
                <w:rFonts w:ascii="Arial" w:hAnsi="Arial" w:cs="Arial"/>
                <w:color w:val="000000"/>
              </w:rPr>
            </w:pPr>
            <w:r w:rsidRPr="008C7F9D">
              <w:rPr>
                <w:rFonts w:ascii="Arial" w:hAnsi="Arial" w:cs="Arial"/>
                <w:color w:val="000000"/>
              </w:rPr>
              <w:t>84</w:t>
            </w:r>
            <w:r w:rsidR="008C7F9D" w:rsidRPr="008C7F9D">
              <w:rPr>
                <w:rFonts w:ascii="Arial" w:hAnsi="Arial" w:cs="Arial"/>
                <w:color w:val="000000"/>
              </w:rPr>
              <w:t>8</w:t>
            </w:r>
          </w:p>
        </w:tc>
        <w:tc>
          <w:tcPr>
            <w:tcW w:w="1117" w:type="dxa"/>
            <w:tcBorders>
              <w:top w:val="nil"/>
              <w:left w:val="nil"/>
              <w:bottom w:val="single" w:sz="4" w:space="0" w:color="auto"/>
              <w:right w:val="single" w:sz="4" w:space="0" w:color="auto"/>
            </w:tcBorders>
            <w:shd w:val="clear" w:color="auto" w:fill="auto"/>
            <w:noWrap/>
            <w:vAlign w:val="center"/>
            <w:hideMark/>
          </w:tcPr>
          <w:p w:rsidR="004F5963" w:rsidRPr="008C7F9D" w:rsidRDefault="004F5963" w:rsidP="008C7F9D">
            <w:pPr>
              <w:jc w:val="right"/>
              <w:rPr>
                <w:rFonts w:ascii="Arial" w:hAnsi="Arial" w:cs="Arial"/>
                <w:color w:val="000000"/>
              </w:rPr>
            </w:pPr>
            <w:r w:rsidRPr="008C7F9D">
              <w:rPr>
                <w:rFonts w:ascii="Arial" w:hAnsi="Arial" w:cs="Arial"/>
                <w:color w:val="000000"/>
              </w:rPr>
              <w:t>67</w:t>
            </w:r>
            <w:r w:rsidR="008C7F9D" w:rsidRPr="008C7F9D">
              <w:rPr>
                <w:rFonts w:ascii="Arial" w:hAnsi="Arial" w:cs="Arial"/>
                <w:color w:val="000000"/>
              </w:rPr>
              <w:t>8</w:t>
            </w:r>
          </w:p>
        </w:tc>
        <w:tc>
          <w:tcPr>
            <w:tcW w:w="1183"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924684">
            <w:pPr>
              <w:jc w:val="right"/>
              <w:rPr>
                <w:rFonts w:ascii="Arial" w:hAnsi="Arial" w:cs="Arial"/>
                <w:bCs/>
                <w:color w:val="000000"/>
              </w:rPr>
            </w:pPr>
            <w:r w:rsidRPr="008C7F9D">
              <w:rPr>
                <w:rFonts w:ascii="Arial" w:hAnsi="Arial" w:cs="Arial"/>
                <w:bCs/>
                <w:lang w:val="en-US" w:eastAsia="en-US"/>
              </w:rPr>
              <w:t>▲</w:t>
            </w:r>
            <w:r w:rsidR="00924684">
              <w:rPr>
                <w:rFonts w:ascii="Arial" w:hAnsi="Arial" w:cs="Arial"/>
                <w:bCs/>
                <w:color w:val="000000"/>
              </w:rPr>
              <w:t>25,07</w:t>
            </w:r>
            <w:r w:rsidRPr="008C7F9D">
              <w:rPr>
                <w:rFonts w:ascii="Arial" w:hAnsi="Arial" w:cs="Arial"/>
                <w:bCs/>
                <w:color w:val="000000"/>
              </w:rPr>
              <w:t>%</w:t>
            </w:r>
          </w:p>
        </w:tc>
        <w:tc>
          <w:tcPr>
            <w:tcW w:w="2923"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117C4A">
            <w:pPr>
              <w:widowControl/>
              <w:autoSpaceDE/>
              <w:autoSpaceDN/>
              <w:adjustRightInd/>
              <w:rPr>
                <w:rFonts w:ascii="Arial" w:hAnsi="Arial" w:cs="Arial"/>
                <w:color w:val="000000"/>
                <w:lang w:val="en-US" w:eastAsia="en-US"/>
              </w:rPr>
            </w:pPr>
            <w:r w:rsidRPr="008C7F9D">
              <w:rPr>
                <w:rFonts w:ascii="Arial" w:hAnsi="Arial" w:cs="Arial"/>
                <w:color w:val="000000"/>
                <w:lang w:val="en-US" w:eastAsia="en-US"/>
              </w:rPr>
              <w:t>Alte venituri din exploatare</w:t>
            </w:r>
          </w:p>
        </w:tc>
        <w:tc>
          <w:tcPr>
            <w:tcW w:w="1123" w:type="dxa"/>
            <w:tcBorders>
              <w:top w:val="nil"/>
              <w:left w:val="nil"/>
              <w:bottom w:val="single" w:sz="4" w:space="0" w:color="auto"/>
              <w:right w:val="single" w:sz="4" w:space="0" w:color="auto"/>
            </w:tcBorders>
            <w:shd w:val="clear" w:color="auto" w:fill="auto"/>
            <w:noWrap/>
            <w:vAlign w:val="center"/>
            <w:hideMark/>
          </w:tcPr>
          <w:p w:rsidR="004F5963" w:rsidRPr="008C7F9D" w:rsidRDefault="004F5963" w:rsidP="008C7F9D">
            <w:pPr>
              <w:widowControl/>
              <w:autoSpaceDE/>
              <w:autoSpaceDN/>
              <w:adjustRightInd/>
              <w:jc w:val="right"/>
              <w:rPr>
                <w:rFonts w:ascii="Arial" w:hAnsi="Arial" w:cs="Arial"/>
                <w:color w:val="000000"/>
              </w:rPr>
            </w:pPr>
            <w:r w:rsidRPr="008C7F9D">
              <w:rPr>
                <w:rFonts w:ascii="Arial" w:hAnsi="Arial" w:cs="Arial"/>
                <w:color w:val="000000"/>
              </w:rPr>
              <w:t>84</w:t>
            </w:r>
            <w:r w:rsidR="008C7F9D">
              <w:rPr>
                <w:rFonts w:ascii="Arial" w:hAnsi="Arial" w:cs="Arial"/>
                <w:color w:val="000000"/>
              </w:rPr>
              <w:t>8</w:t>
            </w:r>
          </w:p>
        </w:tc>
        <w:tc>
          <w:tcPr>
            <w:tcW w:w="1107" w:type="dxa"/>
            <w:tcBorders>
              <w:top w:val="nil"/>
              <w:left w:val="nil"/>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color w:val="000000"/>
              </w:rPr>
            </w:pPr>
            <w:r w:rsidRPr="008C7F9D">
              <w:rPr>
                <w:rFonts w:ascii="Arial" w:hAnsi="Arial" w:cs="Arial"/>
                <w:color w:val="000000"/>
              </w:rPr>
              <w:t>1.184</w:t>
            </w:r>
          </w:p>
        </w:tc>
        <w:tc>
          <w:tcPr>
            <w:tcW w:w="1142"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947A87">
            <w:pPr>
              <w:jc w:val="right"/>
              <w:rPr>
                <w:rFonts w:ascii="Arial" w:hAnsi="Arial" w:cs="Arial"/>
                <w:bCs/>
                <w:color w:val="000000"/>
              </w:rPr>
            </w:pPr>
            <w:r w:rsidRPr="008C7F9D">
              <w:rPr>
                <w:rFonts w:ascii="Arial" w:hAnsi="Arial" w:cs="Arial"/>
                <w:bCs/>
                <w:lang w:val="en-US" w:eastAsia="en-US"/>
              </w:rPr>
              <w:t>▼</w:t>
            </w:r>
            <w:r w:rsidRPr="008C7F9D">
              <w:rPr>
                <w:rFonts w:ascii="Arial" w:hAnsi="Arial" w:cs="Arial"/>
                <w:bCs/>
                <w:color w:val="000000"/>
              </w:rPr>
              <w:t>28,</w:t>
            </w:r>
            <w:r w:rsidR="00947A87">
              <w:rPr>
                <w:rFonts w:ascii="Arial" w:hAnsi="Arial" w:cs="Arial"/>
                <w:bCs/>
                <w:color w:val="000000"/>
              </w:rPr>
              <w:t>38</w:t>
            </w:r>
            <w:r w:rsidRPr="008C7F9D">
              <w:rPr>
                <w:rFonts w:ascii="Arial" w:hAnsi="Arial" w:cs="Arial"/>
                <w:bCs/>
                <w:color w:val="000000"/>
              </w:rPr>
              <w:t>%</w:t>
            </w:r>
          </w:p>
        </w:tc>
      </w:tr>
      <w:tr w:rsidR="004F5963" w:rsidRPr="00566A7E" w:rsidTr="00F60A18">
        <w:trPr>
          <w:trHeight w:val="310"/>
        </w:trPr>
        <w:tc>
          <w:tcPr>
            <w:tcW w:w="1117" w:type="dxa"/>
            <w:tcBorders>
              <w:top w:val="nil"/>
              <w:left w:val="single" w:sz="4" w:space="0" w:color="auto"/>
              <w:bottom w:val="single" w:sz="4" w:space="0" w:color="auto"/>
              <w:right w:val="single" w:sz="4" w:space="0" w:color="auto"/>
            </w:tcBorders>
            <w:shd w:val="clear" w:color="000000" w:fill="DEEAF6"/>
            <w:noWrap/>
            <w:vAlign w:val="center"/>
            <w:hideMark/>
          </w:tcPr>
          <w:p w:rsidR="004F5963" w:rsidRDefault="004F5963" w:rsidP="00117C4A">
            <w:pPr>
              <w:jc w:val="right"/>
              <w:rPr>
                <w:rFonts w:ascii="Arial" w:hAnsi="Arial" w:cs="Arial"/>
                <w:b/>
                <w:bCs/>
                <w:color w:val="000000"/>
              </w:rPr>
            </w:pPr>
            <w:r>
              <w:rPr>
                <w:rFonts w:ascii="Arial" w:hAnsi="Arial" w:cs="Arial"/>
                <w:b/>
                <w:bCs/>
                <w:color w:val="000000"/>
              </w:rPr>
              <w:t>199.977</w:t>
            </w:r>
          </w:p>
        </w:tc>
        <w:tc>
          <w:tcPr>
            <w:tcW w:w="1117" w:type="dxa"/>
            <w:tcBorders>
              <w:top w:val="nil"/>
              <w:left w:val="nil"/>
              <w:bottom w:val="single" w:sz="4" w:space="0" w:color="auto"/>
              <w:right w:val="single" w:sz="4" w:space="0" w:color="auto"/>
            </w:tcBorders>
            <w:shd w:val="clear" w:color="000000" w:fill="DEEAF6"/>
            <w:noWrap/>
            <w:vAlign w:val="center"/>
            <w:hideMark/>
          </w:tcPr>
          <w:p w:rsidR="004F5963" w:rsidRDefault="004F5963" w:rsidP="00117C4A">
            <w:pPr>
              <w:jc w:val="right"/>
              <w:rPr>
                <w:rFonts w:ascii="Arial" w:hAnsi="Arial" w:cs="Arial"/>
                <w:b/>
                <w:bCs/>
                <w:color w:val="000000"/>
              </w:rPr>
            </w:pPr>
            <w:r>
              <w:rPr>
                <w:rFonts w:ascii="Arial" w:hAnsi="Arial" w:cs="Arial"/>
                <w:b/>
                <w:bCs/>
                <w:color w:val="000000"/>
              </w:rPr>
              <w:t>196.905</w:t>
            </w:r>
          </w:p>
        </w:tc>
        <w:tc>
          <w:tcPr>
            <w:tcW w:w="1183" w:type="dxa"/>
            <w:tcBorders>
              <w:top w:val="nil"/>
              <w:left w:val="nil"/>
              <w:bottom w:val="single" w:sz="4" w:space="0" w:color="auto"/>
              <w:right w:val="single" w:sz="4" w:space="0" w:color="auto"/>
            </w:tcBorders>
            <w:shd w:val="clear" w:color="000000" w:fill="DDEBF7"/>
            <w:vAlign w:val="center"/>
            <w:hideMark/>
          </w:tcPr>
          <w:p w:rsidR="004F5963" w:rsidRDefault="004F5963" w:rsidP="00117C4A">
            <w:pPr>
              <w:jc w:val="right"/>
              <w:rPr>
                <w:rFonts w:ascii="Arial" w:hAnsi="Arial" w:cs="Arial"/>
                <w:b/>
                <w:bCs/>
                <w:color w:val="000000"/>
              </w:rPr>
            </w:pPr>
            <w:r w:rsidRPr="007729CF">
              <w:rPr>
                <w:rFonts w:ascii="Arial" w:hAnsi="Arial" w:cs="Arial"/>
                <w:b/>
                <w:bCs/>
                <w:lang w:val="en-US" w:eastAsia="en-US"/>
              </w:rPr>
              <w:t>▲</w:t>
            </w:r>
            <w:r>
              <w:rPr>
                <w:rFonts w:ascii="Arial" w:hAnsi="Arial" w:cs="Arial"/>
                <w:b/>
                <w:bCs/>
                <w:color w:val="000000"/>
              </w:rPr>
              <w:t>1,56%</w:t>
            </w:r>
          </w:p>
        </w:tc>
        <w:tc>
          <w:tcPr>
            <w:tcW w:w="2923" w:type="dxa"/>
            <w:tcBorders>
              <w:top w:val="nil"/>
              <w:left w:val="nil"/>
              <w:bottom w:val="single" w:sz="4" w:space="0" w:color="auto"/>
              <w:right w:val="single" w:sz="4" w:space="0" w:color="auto"/>
            </w:tcBorders>
            <w:shd w:val="clear" w:color="000000" w:fill="DEEAF6"/>
            <w:vAlign w:val="center"/>
            <w:hideMark/>
          </w:tcPr>
          <w:p w:rsidR="004F5963" w:rsidRPr="00566A7E" w:rsidRDefault="004F5963" w:rsidP="00117C4A">
            <w:pPr>
              <w:widowControl/>
              <w:autoSpaceDE/>
              <w:autoSpaceDN/>
              <w:adjustRightInd/>
              <w:rPr>
                <w:rFonts w:ascii="Arial" w:hAnsi="Arial" w:cs="Arial"/>
                <w:b/>
                <w:bCs/>
                <w:color w:val="000000"/>
                <w:lang w:val="en-US" w:eastAsia="en-US"/>
              </w:rPr>
            </w:pPr>
            <w:r w:rsidRPr="00566A7E">
              <w:rPr>
                <w:rFonts w:ascii="Arial" w:hAnsi="Arial" w:cs="Arial"/>
                <w:b/>
                <w:bCs/>
                <w:color w:val="000000"/>
                <w:lang w:val="en-US" w:eastAsia="en-US"/>
              </w:rPr>
              <w:t>Total venituri din exploatare</w:t>
            </w:r>
          </w:p>
        </w:tc>
        <w:tc>
          <w:tcPr>
            <w:tcW w:w="1123" w:type="dxa"/>
            <w:tcBorders>
              <w:top w:val="nil"/>
              <w:left w:val="nil"/>
              <w:bottom w:val="single" w:sz="4" w:space="0" w:color="auto"/>
              <w:right w:val="single" w:sz="4" w:space="0" w:color="auto"/>
            </w:tcBorders>
            <w:shd w:val="clear" w:color="000000" w:fill="DEEAF6"/>
            <w:noWrap/>
            <w:vAlign w:val="center"/>
            <w:hideMark/>
          </w:tcPr>
          <w:p w:rsidR="004F5963" w:rsidRDefault="004F5963" w:rsidP="00117C4A">
            <w:pPr>
              <w:jc w:val="right"/>
              <w:rPr>
                <w:rFonts w:ascii="Arial" w:hAnsi="Arial" w:cs="Arial"/>
                <w:b/>
                <w:bCs/>
                <w:color w:val="000000"/>
              </w:rPr>
            </w:pPr>
            <w:r>
              <w:rPr>
                <w:rFonts w:ascii="Arial" w:hAnsi="Arial" w:cs="Arial"/>
                <w:b/>
                <w:bCs/>
                <w:color w:val="000000"/>
              </w:rPr>
              <w:t>199.977</w:t>
            </w:r>
          </w:p>
        </w:tc>
        <w:tc>
          <w:tcPr>
            <w:tcW w:w="1107" w:type="dxa"/>
            <w:tcBorders>
              <w:top w:val="nil"/>
              <w:left w:val="nil"/>
              <w:bottom w:val="single" w:sz="4" w:space="0" w:color="auto"/>
              <w:right w:val="single" w:sz="4" w:space="0" w:color="auto"/>
            </w:tcBorders>
            <w:shd w:val="clear" w:color="000000" w:fill="DEEAF6"/>
            <w:noWrap/>
            <w:vAlign w:val="center"/>
            <w:hideMark/>
          </w:tcPr>
          <w:p w:rsidR="004F5963" w:rsidRDefault="004F5963" w:rsidP="009631C9">
            <w:pPr>
              <w:jc w:val="right"/>
              <w:rPr>
                <w:rFonts w:ascii="Arial" w:hAnsi="Arial" w:cs="Arial"/>
                <w:b/>
                <w:bCs/>
                <w:color w:val="000000"/>
              </w:rPr>
            </w:pPr>
            <w:r>
              <w:rPr>
                <w:rFonts w:ascii="Arial" w:hAnsi="Arial" w:cs="Arial"/>
                <w:b/>
                <w:bCs/>
                <w:color w:val="000000"/>
              </w:rPr>
              <w:t>202.60</w:t>
            </w:r>
            <w:r w:rsidR="009631C9">
              <w:rPr>
                <w:rFonts w:ascii="Arial" w:hAnsi="Arial" w:cs="Arial"/>
                <w:b/>
                <w:bCs/>
                <w:color w:val="000000"/>
              </w:rPr>
              <w:t>3</w:t>
            </w:r>
          </w:p>
        </w:tc>
        <w:tc>
          <w:tcPr>
            <w:tcW w:w="1142" w:type="dxa"/>
            <w:tcBorders>
              <w:top w:val="nil"/>
              <w:left w:val="nil"/>
              <w:bottom w:val="single" w:sz="4" w:space="0" w:color="auto"/>
              <w:right w:val="single" w:sz="4" w:space="0" w:color="auto"/>
            </w:tcBorders>
            <w:shd w:val="clear" w:color="000000" w:fill="DDEBF7"/>
            <w:vAlign w:val="center"/>
            <w:hideMark/>
          </w:tcPr>
          <w:p w:rsidR="004F5963" w:rsidRDefault="004F5963" w:rsidP="00117C4A">
            <w:pPr>
              <w:jc w:val="right"/>
              <w:rPr>
                <w:rFonts w:ascii="Arial" w:hAnsi="Arial" w:cs="Arial"/>
                <w:b/>
                <w:bCs/>
                <w:color w:val="000000"/>
              </w:rPr>
            </w:pPr>
            <w:r w:rsidRPr="007729CF">
              <w:rPr>
                <w:rFonts w:ascii="Arial" w:hAnsi="Arial" w:cs="Arial"/>
                <w:bCs/>
                <w:lang w:val="en-US" w:eastAsia="en-US"/>
              </w:rPr>
              <w:t>▼</w:t>
            </w:r>
            <w:r>
              <w:rPr>
                <w:rFonts w:ascii="Arial" w:hAnsi="Arial" w:cs="Arial"/>
                <w:b/>
                <w:bCs/>
                <w:color w:val="000000"/>
              </w:rPr>
              <w:t>1,30%</w:t>
            </w:r>
          </w:p>
        </w:tc>
      </w:tr>
    </w:tbl>
    <w:p w:rsidR="002228A3" w:rsidRDefault="002228A3" w:rsidP="00E853E3">
      <w:pPr>
        <w:widowControl/>
        <w:overflowPunct w:val="0"/>
        <w:spacing w:line="276" w:lineRule="auto"/>
        <w:jc w:val="center"/>
        <w:textAlignment w:val="baseline"/>
        <w:rPr>
          <w:rFonts w:ascii="Arial" w:hAnsi="Arial" w:cs="Arial"/>
          <w:i/>
          <w:sz w:val="18"/>
          <w:szCs w:val="18"/>
          <w:lang w:val="en-GB" w:eastAsia="en-US"/>
        </w:rPr>
      </w:pPr>
    </w:p>
    <w:p w:rsidR="004E6FD5" w:rsidRPr="00F43345" w:rsidRDefault="00E853E3" w:rsidP="00E853E3">
      <w:pPr>
        <w:widowControl/>
        <w:overflowPunct w:val="0"/>
        <w:spacing w:line="276" w:lineRule="auto"/>
        <w:jc w:val="center"/>
        <w:textAlignment w:val="baseline"/>
        <w:rPr>
          <w:rFonts w:ascii="Arial" w:hAnsi="Arial" w:cs="Arial"/>
          <w:sz w:val="16"/>
          <w:szCs w:val="16"/>
          <w:lang w:val="en-GB" w:eastAsia="en-US"/>
        </w:rPr>
      </w:pPr>
      <w:r w:rsidRPr="00F43345">
        <w:rPr>
          <w:rFonts w:ascii="Arial" w:hAnsi="Arial" w:cs="Arial"/>
          <w:sz w:val="16"/>
          <w:szCs w:val="16"/>
          <w:lang w:val="en-GB" w:eastAsia="en-US"/>
        </w:rPr>
        <w:t>Tabel</w:t>
      </w:r>
      <w:r w:rsidR="007239FA" w:rsidRPr="00F43345">
        <w:rPr>
          <w:rFonts w:ascii="Arial" w:hAnsi="Arial" w:cs="Arial"/>
          <w:sz w:val="16"/>
          <w:szCs w:val="16"/>
          <w:lang w:val="en-GB" w:eastAsia="en-US"/>
        </w:rPr>
        <w:t xml:space="preserve"> 12</w:t>
      </w:r>
      <w:r w:rsidR="002228A3" w:rsidRPr="00F43345">
        <w:rPr>
          <w:rFonts w:ascii="Arial" w:hAnsi="Arial" w:cs="Arial"/>
          <w:sz w:val="16"/>
          <w:szCs w:val="16"/>
          <w:lang w:val="en-GB" w:eastAsia="en-US"/>
        </w:rPr>
        <w:t xml:space="preserve"> </w:t>
      </w:r>
      <w:r w:rsidRPr="00F43345">
        <w:rPr>
          <w:rFonts w:ascii="Arial" w:hAnsi="Arial" w:cs="Arial"/>
          <w:sz w:val="16"/>
          <w:szCs w:val="16"/>
          <w:lang w:val="en-GB" w:eastAsia="en-US"/>
        </w:rPr>
        <w:t>-Situația veniturilor din exploatare</w:t>
      </w:r>
    </w:p>
    <w:p w:rsidR="00947A87" w:rsidRDefault="00947A87" w:rsidP="004E6FD5">
      <w:pPr>
        <w:widowControl/>
        <w:overflowPunct w:val="0"/>
        <w:spacing w:line="276" w:lineRule="auto"/>
        <w:jc w:val="both"/>
        <w:textAlignment w:val="baseline"/>
        <w:rPr>
          <w:rFonts w:ascii="Arial" w:hAnsi="Arial" w:cs="Arial"/>
          <w:b/>
          <w:sz w:val="22"/>
          <w:szCs w:val="22"/>
          <w:lang w:val="en-GB" w:eastAsia="en-US"/>
        </w:rPr>
      </w:pPr>
    </w:p>
    <w:p w:rsidR="00194172" w:rsidRPr="00E46854" w:rsidRDefault="00194172" w:rsidP="00FE1B45">
      <w:pPr>
        <w:widowControl/>
        <w:shd w:val="clear" w:color="auto" w:fill="FFFFFF"/>
        <w:autoSpaceDE/>
        <w:autoSpaceDN/>
        <w:adjustRightInd/>
        <w:spacing w:line="276" w:lineRule="auto"/>
        <w:ind w:right="7"/>
        <w:jc w:val="both"/>
        <w:rPr>
          <w:rFonts w:ascii="Arial" w:eastAsia="Calibri" w:hAnsi="Arial" w:cs="Arial"/>
          <w:b/>
          <w:bCs/>
          <w:color w:val="1F4E79" w:themeColor="accent1" w:themeShade="80"/>
          <w:sz w:val="22"/>
          <w:szCs w:val="22"/>
          <w:lang w:eastAsia="en-NZ"/>
        </w:rPr>
      </w:pPr>
      <w:r w:rsidRPr="00E46854">
        <w:rPr>
          <w:rFonts w:ascii="Arial" w:eastAsia="Calibri" w:hAnsi="Arial" w:cs="Arial"/>
          <w:b/>
          <w:bCs/>
          <w:color w:val="1F4E79" w:themeColor="accent1" w:themeShade="80"/>
          <w:sz w:val="22"/>
          <w:szCs w:val="22"/>
          <w:lang w:eastAsia="en-NZ"/>
        </w:rPr>
        <w:t>Venituri din</w:t>
      </w:r>
      <w:r w:rsidR="0065592F" w:rsidRPr="00E46854">
        <w:rPr>
          <w:rFonts w:ascii="Arial" w:eastAsia="Calibri" w:hAnsi="Arial" w:cs="Arial"/>
          <w:b/>
          <w:bCs/>
          <w:color w:val="1F4E79" w:themeColor="accent1" w:themeShade="80"/>
          <w:sz w:val="22"/>
          <w:szCs w:val="22"/>
          <w:lang w:eastAsia="en-NZ"/>
        </w:rPr>
        <w:t xml:space="preserve"> servicii de</w:t>
      </w:r>
      <w:r w:rsidRPr="00E46854">
        <w:rPr>
          <w:rFonts w:ascii="Arial" w:eastAsia="Calibri" w:hAnsi="Arial" w:cs="Arial"/>
          <w:b/>
          <w:bCs/>
          <w:color w:val="1F4E79" w:themeColor="accent1" w:themeShade="80"/>
          <w:sz w:val="22"/>
          <w:szCs w:val="22"/>
          <w:lang w:eastAsia="en-NZ"/>
        </w:rPr>
        <w:t xml:space="preserve"> transport</w:t>
      </w:r>
      <w:r w:rsidR="0065592F" w:rsidRPr="00E46854">
        <w:rPr>
          <w:rFonts w:ascii="Arial" w:eastAsia="Calibri" w:hAnsi="Arial" w:cs="Arial"/>
          <w:b/>
          <w:bCs/>
          <w:color w:val="1F4E79" w:themeColor="accent1" w:themeShade="80"/>
          <w:sz w:val="22"/>
          <w:szCs w:val="22"/>
          <w:lang w:eastAsia="en-NZ"/>
        </w:rPr>
        <w:t xml:space="preserve"> prin SNT</w:t>
      </w:r>
    </w:p>
    <w:p w:rsidR="00DA7600" w:rsidRDefault="00DA7600" w:rsidP="00FE1B45">
      <w:pPr>
        <w:widowControl/>
        <w:shd w:val="clear" w:color="auto" w:fill="FFFFFF"/>
        <w:autoSpaceDE/>
        <w:autoSpaceDN/>
        <w:adjustRightInd/>
        <w:spacing w:line="276" w:lineRule="auto"/>
        <w:ind w:right="7"/>
        <w:jc w:val="both"/>
        <w:rPr>
          <w:rFonts w:ascii="Arial" w:eastAsia="Calibri" w:hAnsi="Arial" w:cs="Arial"/>
          <w:bCs/>
          <w:sz w:val="22"/>
          <w:szCs w:val="22"/>
          <w:lang w:eastAsia="en-NZ"/>
        </w:rPr>
      </w:pPr>
    </w:p>
    <w:p w:rsidR="008F6F35" w:rsidRDefault="008F6F35" w:rsidP="008F6F35">
      <w:pPr>
        <w:spacing w:line="276" w:lineRule="auto"/>
        <w:jc w:val="both"/>
        <w:rPr>
          <w:rFonts w:ascii="Arial" w:hAnsi="Arial" w:cs="Arial"/>
          <w:sz w:val="22"/>
          <w:szCs w:val="22"/>
        </w:rPr>
      </w:pPr>
      <w:r w:rsidRPr="008F6F35">
        <w:rPr>
          <w:rFonts w:ascii="Arial" w:hAnsi="Arial" w:cs="Arial"/>
          <w:sz w:val="22"/>
          <w:szCs w:val="22"/>
        </w:rPr>
        <w:t xml:space="preserve">Veniturile din transport dețin o pondere de </w:t>
      </w:r>
      <w:r w:rsidR="001A4021">
        <w:rPr>
          <w:rFonts w:ascii="Arial" w:hAnsi="Arial" w:cs="Arial"/>
          <w:sz w:val="22"/>
          <w:szCs w:val="22"/>
        </w:rPr>
        <w:t>98,</w:t>
      </w:r>
      <w:r w:rsidR="002A48D7">
        <w:rPr>
          <w:rFonts w:ascii="Arial" w:hAnsi="Arial" w:cs="Arial"/>
          <w:sz w:val="22"/>
          <w:szCs w:val="22"/>
        </w:rPr>
        <w:t>43</w:t>
      </w:r>
      <w:r w:rsidRPr="008F6F35">
        <w:rPr>
          <w:rFonts w:ascii="Arial" w:hAnsi="Arial" w:cs="Arial"/>
          <w:sz w:val="22"/>
          <w:szCs w:val="22"/>
        </w:rPr>
        <w:t>% î</w:t>
      </w:r>
      <w:r w:rsidR="007624A2">
        <w:rPr>
          <w:rFonts w:ascii="Arial" w:hAnsi="Arial" w:cs="Arial"/>
          <w:sz w:val="22"/>
          <w:szCs w:val="22"/>
        </w:rPr>
        <w:t xml:space="preserve">n </w:t>
      </w:r>
      <w:r w:rsidR="002A48D7">
        <w:rPr>
          <w:rFonts w:ascii="Arial" w:hAnsi="Arial" w:cs="Arial"/>
          <w:sz w:val="22"/>
          <w:szCs w:val="22"/>
        </w:rPr>
        <w:t>cifra de afaceri</w:t>
      </w:r>
      <w:r w:rsidR="007624A2">
        <w:rPr>
          <w:rFonts w:ascii="Arial" w:hAnsi="Arial" w:cs="Arial"/>
          <w:sz w:val="22"/>
          <w:szCs w:val="22"/>
        </w:rPr>
        <w:t xml:space="preserve">, diferența de </w:t>
      </w:r>
      <w:r w:rsidR="0092529C">
        <w:rPr>
          <w:rFonts w:ascii="Arial" w:hAnsi="Arial" w:cs="Arial"/>
          <w:sz w:val="22"/>
          <w:szCs w:val="22"/>
        </w:rPr>
        <w:t>1</w:t>
      </w:r>
      <w:r w:rsidR="007624A2">
        <w:rPr>
          <w:rFonts w:ascii="Arial" w:hAnsi="Arial" w:cs="Arial"/>
          <w:sz w:val="22"/>
          <w:szCs w:val="22"/>
        </w:rPr>
        <w:t>,</w:t>
      </w:r>
      <w:r w:rsidR="009C5115">
        <w:rPr>
          <w:rFonts w:ascii="Arial" w:hAnsi="Arial" w:cs="Arial"/>
          <w:sz w:val="22"/>
          <w:szCs w:val="22"/>
        </w:rPr>
        <w:t>57</w:t>
      </w:r>
      <w:r w:rsidR="007624A2">
        <w:rPr>
          <w:rFonts w:ascii="Arial" w:hAnsi="Arial" w:cs="Arial"/>
          <w:sz w:val="22"/>
          <w:szCs w:val="22"/>
        </w:rPr>
        <w:t>% (</w:t>
      </w:r>
      <w:r w:rsidR="009C5115">
        <w:rPr>
          <w:rFonts w:ascii="Arial" w:hAnsi="Arial" w:cs="Arial"/>
          <w:sz w:val="22"/>
          <w:szCs w:val="22"/>
        </w:rPr>
        <w:t>2</w:t>
      </w:r>
      <w:r w:rsidR="007624A2">
        <w:rPr>
          <w:rFonts w:ascii="Arial" w:hAnsi="Arial" w:cs="Arial"/>
          <w:sz w:val="22"/>
          <w:szCs w:val="22"/>
        </w:rPr>
        <w:t>.</w:t>
      </w:r>
      <w:r w:rsidR="009C5115">
        <w:rPr>
          <w:rFonts w:ascii="Arial" w:hAnsi="Arial" w:cs="Arial"/>
          <w:sz w:val="22"/>
          <w:szCs w:val="22"/>
        </w:rPr>
        <w:t>897</w:t>
      </w:r>
      <w:r w:rsidR="007624A2">
        <w:rPr>
          <w:rFonts w:ascii="Arial" w:hAnsi="Arial" w:cs="Arial"/>
          <w:sz w:val="22"/>
          <w:szCs w:val="22"/>
        </w:rPr>
        <w:t xml:space="preserve"> mii lei)</w:t>
      </w:r>
      <w:r w:rsidR="0092529C">
        <w:rPr>
          <w:rFonts w:ascii="Arial" w:hAnsi="Arial" w:cs="Arial"/>
          <w:sz w:val="22"/>
          <w:szCs w:val="22"/>
        </w:rPr>
        <w:t xml:space="preserve"> </w:t>
      </w:r>
      <w:r w:rsidR="002A48D7">
        <w:rPr>
          <w:rFonts w:ascii="Arial" w:hAnsi="Arial" w:cs="Arial"/>
          <w:sz w:val="22"/>
          <w:szCs w:val="22"/>
        </w:rPr>
        <w:t>reprezentând</w:t>
      </w:r>
      <w:r w:rsidR="007624A2">
        <w:rPr>
          <w:rFonts w:ascii="Arial" w:hAnsi="Arial" w:cs="Arial"/>
          <w:sz w:val="22"/>
          <w:szCs w:val="22"/>
        </w:rPr>
        <w:t xml:space="preserve"> </w:t>
      </w:r>
      <w:r w:rsidRPr="008F6F35">
        <w:rPr>
          <w:rFonts w:ascii="Arial" w:hAnsi="Arial" w:cs="Arial"/>
          <w:sz w:val="22"/>
          <w:szCs w:val="22"/>
        </w:rPr>
        <w:t xml:space="preserve"> venituri din</w:t>
      </w:r>
      <w:r w:rsidR="002A48D7">
        <w:rPr>
          <w:rFonts w:ascii="Arial" w:hAnsi="Arial" w:cs="Arial"/>
          <w:sz w:val="22"/>
          <w:szCs w:val="22"/>
        </w:rPr>
        <w:t xml:space="preserve"> activități diverse precum</w:t>
      </w:r>
      <w:r w:rsidRPr="008F6F35">
        <w:rPr>
          <w:rFonts w:ascii="Arial" w:hAnsi="Arial" w:cs="Arial"/>
          <w:sz w:val="22"/>
          <w:szCs w:val="22"/>
        </w:rPr>
        <w:t xml:space="preserve"> închirieri de terenuri și echipamente de telecomunicații, manevră vagoane, vâ</w:t>
      </w:r>
      <w:r w:rsidR="007624A2">
        <w:rPr>
          <w:rFonts w:ascii="Arial" w:hAnsi="Arial" w:cs="Arial"/>
          <w:sz w:val="22"/>
          <w:szCs w:val="22"/>
        </w:rPr>
        <w:t>nzare de material tubular etc.</w:t>
      </w:r>
    </w:p>
    <w:p w:rsidR="007624A2" w:rsidRDefault="007624A2" w:rsidP="008F6F35">
      <w:pPr>
        <w:spacing w:line="276" w:lineRule="auto"/>
        <w:jc w:val="both"/>
        <w:rPr>
          <w:rFonts w:ascii="Arial" w:hAnsi="Arial" w:cs="Arial"/>
          <w:sz w:val="22"/>
          <w:szCs w:val="22"/>
        </w:rPr>
      </w:pPr>
    </w:p>
    <w:p w:rsidR="008F6F35" w:rsidRPr="008F6F35" w:rsidRDefault="008F6F35" w:rsidP="008F6F35">
      <w:pPr>
        <w:shd w:val="clear" w:color="auto" w:fill="FFFFFF"/>
        <w:jc w:val="both"/>
        <w:rPr>
          <w:rFonts w:ascii="Arial" w:hAnsi="Arial" w:cs="Arial"/>
          <w:b/>
          <w:sz w:val="22"/>
          <w:szCs w:val="22"/>
        </w:rPr>
      </w:pPr>
      <w:r w:rsidRPr="008F6F35">
        <w:rPr>
          <w:rFonts w:ascii="Arial" w:hAnsi="Arial" w:cs="Arial"/>
          <w:sz w:val="22"/>
          <w:szCs w:val="22"/>
        </w:rPr>
        <w:t>Societatea recunoaște lunar în veniturile din exploatare rezerve</w:t>
      </w:r>
      <w:r w:rsidR="007624A2">
        <w:rPr>
          <w:rFonts w:ascii="Arial" w:hAnsi="Arial" w:cs="Arial"/>
          <w:sz w:val="22"/>
          <w:szCs w:val="22"/>
        </w:rPr>
        <w:t xml:space="preserve"> din </w:t>
      </w:r>
      <w:r w:rsidRPr="008F6F35">
        <w:rPr>
          <w:rFonts w:ascii="Arial" w:hAnsi="Arial" w:cs="Arial"/>
          <w:sz w:val="22"/>
          <w:szCs w:val="22"/>
        </w:rPr>
        <w:t>cota de modernizare la nivelul amortiz</w:t>
      </w:r>
      <w:r w:rsidR="007624A2">
        <w:rPr>
          <w:rFonts w:ascii="Arial" w:hAnsi="Arial" w:cs="Arial"/>
          <w:sz w:val="22"/>
          <w:szCs w:val="22"/>
        </w:rPr>
        <w:t>ă</w:t>
      </w:r>
      <w:r w:rsidRPr="008F6F35">
        <w:rPr>
          <w:rFonts w:ascii="Arial" w:hAnsi="Arial" w:cs="Arial"/>
          <w:sz w:val="22"/>
          <w:szCs w:val="22"/>
        </w:rPr>
        <w:t>rii imobil</w:t>
      </w:r>
      <w:r w:rsidR="007624A2">
        <w:rPr>
          <w:rFonts w:ascii="Arial" w:hAnsi="Arial" w:cs="Arial"/>
          <w:sz w:val="22"/>
          <w:szCs w:val="22"/>
        </w:rPr>
        <w:t>izărilor corporale finanț</w:t>
      </w:r>
      <w:r w:rsidRPr="008F6F35">
        <w:rPr>
          <w:rFonts w:ascii="Arial" w:hAnsi="Arial" w:cs="Arial"/>
          <w:sz w:val="22"/>
          <w:szCs w:val="22"/>
        </w:rPr>
        <w:t>ate din aceast</w:t>
      </w:r>
      <w:r w:rsidR="007624A2">
        <w:rPr>
          <w:rFonts w:ascii="Arial" w:hAnsi="Arial" w:cs="Arial"/>
          <w:sz w:val="22"/>
          <w:szCs w:val="22"/>
        </w:rPr>
        <w:t>a</w:t>
      </w:r>
      <w:r w:rsidR="008664D5">
        <w:rPr>
          <w:rFonts w:ascii="Arial" w:hAnsi="Arial" w:cs="Arial"/>
          <w:sz w:val="22"/>
          <w:szCs w:val="22"/>
        </w:rPr>
        <w:t>. În primele 6</w:t>
      </w:r>
      <w:r w:rsidRPr="008F6F35">
        <w:rPr>
          <w:rFonts w:ascii="Arial" w:hAnsi="Arial" w:cs="Arial"/>
          <w:sz w:val="22"/>
          <w:szCs w:val="22"/>
        </w:rPr>
        <w:t xml:space="preserve"> luni, </w:t>
      </w:r>
      <w:r w:rsidR="002A48D7">
        <w:rPr>
          <w:rFonts w:ascii="Arial" w:hAnsi="Arial" w:cs="Arial"/>
          <w:sz w:val="22"/>
          <w:szCs w:val="22"/>
        </w:rPr>
        <w:t>valoarea</w:t>
      </w:r>
      <w:r w:rsidR="002A48D7" w:rsidRPr="008F6F35">
        <w:rPr>
          <w:rFonts w:ascii="Arial" w:hAnsi="Arial" w:cs="Arial"/>
          <w:sz w:val="22"/>
          <w:szCs w:val="22"/>
        </w:rPr>
        <w:t xml:space="preserve"> </w:t>
      </w:r>
      <w:r w:rsidRPr="008F6F35">
        <w:rPr>
          <w:rFonts w:ascii="Arial" w:hAnsi="Arial" w:cs="Arial"/>
          <w:sz w:val="22"/>
          <w:szCs w:val="22"/>
        </w:rPr>
        <w:t xml:space="preserve">acestor venituri este de </w:t>
      </w:r>
      <w:r w:rsidR="009223B2">
        <w:rPr>
          <w:rFonts w:ascii="Arial" w:hAnsi="Arial" w:cs="Arial"/>
          <w:sz w:val="22"/>
          <w:szCs w:val="22"/>
        </w:rPr>
        <w:t>14</w:t>
      </w:r>
      <w:r w:rsidRPr="008F6F35">
        <w:rPr>
          <w:rFonts w:ascii="Arial" w:hAnsi="Arial" w:cs="Arial"/>
          <w:sz w:val="22"/>
          <w:szCs w:val="22"/>
        </w:rPr>
        <w:t>.1</w:t>
      </w:r>
      <w:r w:rsidR="009223B2">
        <w:rPr>
          <w:rFonts w:ascii="Arial" w:hAnsi="Arial" w:cs="Arial"/>
          <w:sz w:val="22"/>
          <w:szCs w:val="22"/>
        </w:rPr>
        <w:t>98</w:t>
      </w:r>
      <w:r w:rsidRPr="008F6F35">
        <w:rPr>
          <w:rFonts w:ascii="Arial" w:hAnsi="Arial" w:cs="Arial"/>
          <w:sz w:val="22"/>
          <w:szCs w:val="22"/>
        </w:rPr>
        <w:t xml:space="preserve"> mii lei.</w:t>
      </w:r>
    </w:p>
    <w:p w:rsidR="008F6F35" w:rsidRPr="008F6F35" w:rsidRDefault="008F6F35" w:rsidP="008F6F35">
      <w:pPr>
        <w:shd w:val="clear" w:color="auto" w:fill="FFFFFF"/>
        <w:jc w:val="both"/>
        <w:rPr>
          <w:rFonts w:ascii="Arial" w:hAnsi="Arial" w:cs="Arial"/>
          <w:b/>
          <w:sz w:val="22"/>
          <w:szCs w:val="22"/>
        </w:rPr>
      </w:pPr>
    </w:p>
    <w:p w:rsidR="004E6FD5" w:rsidRDefault="004E6FD5" w:rsidP="000502E4">
      <w:pPr>
        <w:spacing w:line="276" w:lineRule="auto"/>
        <w:jc w:val="both"/>
        <w:rPr>
          <w:rFonts w:ascii="Arial" w:hAnsi="Arial" w:cs="Arial"/>
          <w:sz w:val="22"/>
          <w:szCs w:val="22"/>
        </w:rPr>
      </w:pPr>
      <w:r w:rsidRPr="00540E61">
        <w:rPr>
          <w:rFonts w:ascii="Arial" w:hAnsi="Arial" w:cs="Arial"/>
          <w:b/>
          <w:color w:val="1F4E79" w:themeColor="accent1" w:themeShade="80"/>
          <w:sz w:val="22"/>
          <w:szCs w:val="22"/>
        </w:rPr>
        <w:t>Cheltuieli</w:t>
      </w:r>
      <w:r w:rsidR="001B6ADA" w:rsidRPr="00540E61">
        <w:rPr>
          <w:rFonts w:ascii="Arial" w:hAnsi="Arial" w:cs="Arial"/>
          <w:b/>
          <w:color w:val="1F4E79" w:themeColor="accent1" w:themeShade="80"/>
          <w:sz w:val="22"/>
          <w:szCs w:val="22"/>
        </w:rPr>
        <w:t>le</w:t>
      </w:r>
      <w:r w:rsidRPr="00540E61">
        <w:rPr>
          <w:rFonts w:ascii="Arial" w:hAnsi="Arial" w:cs="Arial"/>
          <w:b/>
          <w:color w:val="1F4E79" w:themeColor="accent1" w:themeShade="80"/>
          <w:sz w:val="22"/>
          <w:szCs w:val="22"/>
        </w:rPr>
        <w:t xml:space="preserve"> </w:t>
      </w:r>
      <w:r w:rsidR="000E7C31" w:rsidRPr="00540E61">
        <w:rPr>
          <w:rFonts w:ascii="Arial" w:hAnsi="Arial" w:cs="Arial"/>
          <w:b/>
          <w:color w:val="1F4E79" w:themeColor="accent1" w:themeShade="80"/>
          <w:sz w:val="22"/>
          <w:szCs w:val="22"/>
        </w:rPr>
        <w:t>din</w:t>
      </w:r>
      <w:r w:rsidR="00BD63FA" w:rsidRPr="00540E61">
        <w:rPr>
          <w:rFonts w:ascii="Arial" w:hAnsi="Arial" w:cs="Arial"/>
          <w:b/>
          <w:color w:val="1F4E79" w:themeColor="accent1" w:themeShade="80"/>
          <w:sz w:val="22"/>
          <w:szCs w:val="22"/>
        </w:rPr>
        <w:t xml:space="preserve"> exploatare</w:t>
      </w:r>
      <w:r w:rsidR="000E7C31" w:rsidRPr="00540E61">
        <w:rPr>
          <w:rFonts w:ascii="Arial" w:hAnsi="Arial" w:cs="Arial"/>
          <w:b/>
          <w:i/>
          <w:color w:val="1F4E79" w:themeColor="accent1" w:themeShade="80"/>
          <w:sz w:val="22"/>
          <w:szCs w:val="22"/>
        </w:rPr>
        <w:t xml:space="preserve"> </w:t>
      </w:r>
      <w:r w:rsidR="00BD63FA" w:rsidRPr="00A74CF5">
        <w:rPr>
          <w:rFonts w:ascii="Arial" w:hAnsi="Arial" w:cs="Arial"/>
          <w:sz w:val="22"/>
          <w:szCs w:val="22"/>
        </w:rPr>
        <w:t>r</w:t>
      </w:r>
      <w:r w:rsidRPr="00A74CF5">
        <w:rPr>
          <w:rFonts w:ascii="Arial" w:hAnsi="Arial" w:cs="Arial"/>
          <w:sz w:val="22"/>
          <w:szCs w:val="22"/>
        </w:rPr>
        <w:t xml:space="preserve">ealizate </w:t>
      </w:r>
      <w:r w:rsidR="0062144D" w:rsidRPr="00A74CF5">
        <w:rPr>
          <w:rFonts w:ascii="Arial" w:hAnsi="Arial" w:cs="Arial"/>
          <w:sz w:val="22"/>
          <w:szCs w:val="22"/>
        </w:rPr>
        <w:t>în perioada ianuarie-</w:t>
      </w:r>
      <w:r w:rsidR="00E733E8">
        <w:rPr>
          <w:rFonts w:ascii="Arial" w:hAnsi="Arial" w:cs="Arial"/>
          <w:sz w:val="22"/>
          <w:szCs w:val="22"/>
        </w:rPr>
        <w:t>iunie</w:t>
      </w:r>
      <w:r w:rsidRPr="00A74CF5">
        <w:rPr>
          <w:rFonts w:ascii="Arial" w:hAnsi="Arial" w:cs="Arial"/>
          <w:sz w:val="22"/>
          <w:szCs w:val="22"/>
        </w:rPr>
        <w:t xml:space="preserve"> </w:t>
      </w:r>
      <w:r w:rsidR="00DF2C30" w:rsidRPr="00A74CF5">
        <w:rPr>
          <w:rFonts w:ascii="Arial" w:hAnsi="Arial" w:cs="Arial"/>
          <w:sz w:val="22"/>
          <w:szCs w:val="22"/>
        </w:rPr>
        <w:t>2018</w:t>
      </w:r>
      <w:r w:rsidRPr="00A74CF5">
        <w:rPr>
          <w:rFonts w:ascii="Arial" w:hAnsi="Arial" w:cs="Arial"/>
          <w:sz w:val="22"/>
          <w:szCs w:val="22"/>
        </w:rPr>
        <w:t xml:space="preserve">, comparativ cu </w:t>
      </w:r>
      <w:r w:rsidR="0062144D" w:rsidRPr="00A74CF5">
        <w:rPr>
          <w:rFonts w:ascii="Arial" w:hAnsi="Arial" w:cs="Arial"/>
          <w:sz w:val="22"/>
          <w:szCs w:val="22"/>
        </w:rPr>
        <w:t>aceeași perioadă a anului precedent</w:t>
      </w:r>
      <w:r w:rsidRPr="00A74CF5">
        <w:rPr>
          <w:rFonts w:ascii="Arial" w:hAnsi="Arial" w:cs="Arial"/>
          <w:sz w:val="22"/>
          <w:szCs w:val="22"/>
        </w:rPr>
        <w:t xml:space="preserve"> și </w:t>
      </w:r>
      <w:r w:rsidR="000E7C31" w:rsidRPr="00A74CF5">
        <w:rPr>
          <w:rFonts w:ascii="Arial" w:hAnsi="Arial" w:cs="Arial"/>
          <w:sz w:val="22"/>
          <w:szCs w:val="22"/>
        </w:rPr>
        <w:t xml:space="preserve">cu </w:t>
      </w:r>
      <w:r w:rsidRPr="00A74CF5">
        <w:rPr>
          <w:rFonts w:ascii="Arial" w:hAnsi="Arial" w:cs="Arial"/>
          <w:sz w:val="22"/>
          <w:szCs w:val="22"/>
        </w:rPr>
        <w:t>prevederile bugetate se prezintă astfel:</w:t>
      </w:r>
    </w:p>
    <w:p w:rsidR="00D948FA" w:rsidRDefault="00D948FA" w:rsidP="000502E4">
      <w:pPr>
        <w:spacing w:line="276" w:lineRule="auto"/>
        <w:jc w:val="both"/>
        <w:rPr>
          <w:rFonts w:ascii="Arial" w:hAnsi="Arial" w:cs="Arial"/>
          <w:sz w:val="22"/>
          <w:szCs w:val="22"/>
        </w:rPr>
      </w:pPr>
    </w:p>
    <w:tbl>
      <w:tblPr>
        <w:tblW w:w="9625" w:type="dxa"/>
        <w:jc w:val="center"/>
        <w:tblLook w:val="04A0" w:firstRow="1" w:lastRow="0" w:firstColumn="1" w:lastColumn="0" w:noHBand="0" w:noVBand="1"/>
      </w:tblPr>
      <w:tblGrid>
        <w:gridCol w:w="989"/>
        <w:gridCol w:w="979"/>
        <w:gridCol w:w="1204"/>
        <w:gridCol w:w="2777"/>
        <w:gridCol w:w="1246"/>
        <w:gridCol w:w="1263"/>
        <w:gridCol w:w="1167"/>
      </w:tblGrid>
      <w:tr w:rsidR="00D948FA" w:rsidRPr="00D948FA" w:rsidTr="0027205E">
        <w:trPr>
          <w:trHeight w:val="301"/>
          <w:tblHeader/>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DEEAF6"/>
            <w:vAlign w:val="center"/>
            <w:hideMark/>
          </w:tcPr>
          <w:p w:rsidR="00D948FA" w:rsidRPr="00D948FA" w:rsidRDefault="0027205E" w:rsidP="00D948FA">
            <w:pPr>
              <w:widowControl/>
              <w:autoSpaceDE/>
              <w:autoSpaceDN/>
              <w:adjustRightInd/>
              <w:jc w:val="center"/>
              <w:rPr>
                <w:rFonts w:ascii="Arial" w:hAnsi="Arial" w:cs="Arial"/>
                <w:b/>
                <w:bCs/>
                <w:color w:val="000000"/>
                <w:lang w:val="en-US" w:eastAsia="en-US"/>
              </w:rPr>
            </w:pPr>
            <w:r>
              <w:rPr>
                <w:rFonts w:ascii="Arial" w:hAnsi="Arial" w:cs="Arial"/>
                <w:b/>
                <w:bCs/>
                <w:color w:val="000000"/>
                <w:lang w:val="en-US" w:eastAsia="en-US"/>
              </w:rPr>
              <w:t>Sem. I</w:t>
            </w:r>
            <w:r w:rsidR="00D948FA" w:rsidRPr="00D948FA">
              <w:rPr>
                <w:rFonts w:ascii="Arial" w:hAnsi="Arial" w:cs="Arial"/>
                <w:b/>
                <w:bCs/>
                <w:color w:val="000000"/>
                <w:lang w:val="en-US" w:eastAsia="en-US"/>
              </w:rPr>
              <w:t xml:space="preserve"> 2018</w:t>
            </w:r>
          </w:p>
        </w:tc>
        <w:tc>
          <w:tcPr>
            <w:tcW w:w="1204" w:type="dxa"/>
            <w:tcBorders>
              <w:top w:val="single" w:sz="4" w:space="0" w:color="auto"/>
              <w:left w:val="nil"/>
              <w:bottom w:val="single" w:sz="4" w:space="0" w:color="auto"/>
              <w:right w:val="single" w:sz="4" w:space="0" w:color="auto"/>
            </w:tcBorders>
            <w:shd w:val="clear" w:color="000000" w:fill="DEEAF6"/>
            <w:vAlign w:val="center"/>
            <w:hideMark/>
          </w:tcPr>
          <w:p w:rsidR="00D948FA" w:rsidRPr="00D948FA" w:rsidRDefault="00D948FA" w:rsidP="00D948FA">
            <w:pPr>
              <w:widowControl/>
              <w:autoSpaceDE/>
              <w:autoSpaceDN/>
              <w:adjustRightInd/>
              <w:jc w:val="center"/>
              <w:rPr>
                <w:rFonts w:ascii="Arial" w:hAnsi="Arial" w:cs="Arial"/>
                <w:b/>
                <w:bCs/>
                <w:color w:val="000000"/>
                <w:lang w:val="en-US" w:eastAsia="en-US"/>
              </w:rPr>
            </w:pPr>
            <w:r w:rsidRPr="00D948FA">
              <w:rPr>
                <w:rFonts w:ascii="Arial" w:hAnsi="Arial" w:cs="Arial"/>
                <w:b/>
                <w:bCs/>
                <w:color w:val="000000"/>
                <w:lang w:val="en-US" w:eastAsia="en-US"/>
              </w:rPr>
              <w:t xml:space="preserve">Variație % </w:t>
            </w:r>
          </w:p>
        </w:tc>
        <w:tc>
          <w:tcPr>
            <w:tcW w:w="2777"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D948FA" w:rsidRPr="00D948FA" w:rsidRDefault="00D948FA" w:rsidP="00D948FA">
            <w:pPr>
              <w:widowControl/>
              <w:autoSpaceDE/>
              <w:autoSpaceDN/>
              <w:adjustRightInd/>
              <w:jc w:val="center"/>
              <w:rPr>
                <w:rFonts w:ascii="Arial" w:hAnsi="Arial" w:cs="Arial"/>
                <w:b/>
                <w:bCs/>
                <w:color w:val="000000"/>
                <w:lang w:val="en-US" w:eastAsia="en-US"/>
              </w:rPr>
            </w:pPr>
            <w:r w:rsidRPr="00D948FA">
              <w:rPr>
                <w:rFonts w:ascii="Arial" w:hAnsi="Arial" w:cs="Arial"/>
                <w:b/>
                <w:bCs/>
                <w:color w:val="000000"/>
                <w:lang w:val="en-US" w:eastAsia="en-US"/>
              </w:rPr>
              <w:t>Indicatori (mii lei)</w:t>
            </w:r>
          </w:p>
        </w:tc>
        <w:tc>
          <w:tcPr>
            <w:tcW w:w="1246"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D948FA" w:rsidRPr="00D948FA" w:rsidRDefault="0027205E" w:rsidP="00D948FA">
            <w:pPr>
              <w:widowControl/>
              <w:autoSpaceDE/>
              <w:autoSpaceDN/>
              <w:adjustRightInd/>
              <w:jc w:val="center"/>
              <w:rPr>
                <w:rFonts w:ascii="Arial" w:hAnsi="Arial" w:cs="Arial"/>
                <w:b/>
                <w:bCs/>
                <w:color w:val="000000"/>
                <w:lang w:val="en-US" w:eastAsia="en-US"/>
              </w:rPr>
            </w:pPr>
            <w:r>
              <w:rPr>
                <w:rFonts w:ascii="Arial" w:hAnsi="Arial" w:cs="Arial"/>
                <w:b/>
                <w:bCs/>
                <w:color w:val="000000"/>
                <w:lang w:val="en-US" w:eastAsia="en-US"/>
              </w:rPr>
              <w:t>Sem. I</w:t>
            </w:r>
            <w:r w:rsidR="00D948FA" w:rsidRPr="00D948FA">
              <w:rPr>
                <w:rFonts w:ascii="Arial" w:hAnsi="Arial" w:cs="Arial"/>
                <w:b/>
                <w:bCs/>
                <w:color w:val="000000"/>
                <w:lang w:val="en-US" w:eastAsia="en-US"/>
              </w:rPr>
              <w:t xml:space="preserve">  2018</w:t>
            </w:r>
          </w:p>
        </w:tc>
        <w:tc>
          <w:tcPr>
            <w:tcW w:w="1263"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27205E" w:rsidRDefault="0027205E" w:rsidP="0027205E">
            <w:pPr>
              <w:widowControl/>
              <w:autoSpaceDE/>
              <w:autoSpaceDN/>
              <w:adjustRightInd/>
              <w:jc w:val="center"/>
              <w:rPr>
                <w:rFonts w:ascii="Arial" w:hAnsi="Arial" w:cs="Arial"/>
                <w:b/>
                <w:bCs/>
                <w:color w:val="000000"/>
                <w:lang w:val="en-US" w:eastAsia="en-US"/>
              </w:rPr>
            </w:pPr>
            <w:r>
              <w:rPr>
                <w:rFonts w:ascii="Arial" w:hAnsi="Arial" w:cs="Arial"/>
                <w:b/>
                <w:bCs/>
                <w:color w:val="000000"/>
                <w:lang w:val="en-US" w:eastAsia="en-US"/>
              </w:rPr>
              <w:t>Sem. I</w:t>
            </w:r>
          </w:p>
          <w:p w:rsidR="00D948FA" w:rsidRPr="00D948FA" w:rsidRDefault="00D948FA" w:rsidP="0027205E">
            <w:pPr>
              <w:widowControl/>
              <w:autoSpaceDE/>
              <w:autoSpaceDN/>
              <w:adjustRightInd/>
              <w:jc w:val="center"/>
              <w:rPr>
                <w:rFonts w:ascii="Arial" w:hAnsi="Arial" w:cs="Arial"/>
                <w:b/>
                <w:bCs/>
                <w:color w:val="000000"/>
                <w:lang w:val="en-US" w:eastAsia="en-US"/>
              </w:rPr>
            </w:pPr>
            <w:r w:rsidRPr="00D948FA">
              <w:rPr>
                <w:rFonts w:ascii="Arial" w:hAnsi="Arial" w:cs="Arial"/>
                <w:b/>
                <w:bCs/>
                <w:color w:val="000000"/>
                <w:lang w:val="en-US" w:eastAsia="en-US"/>
              </w:rPr>
              <w:t xml:space="preserve"> 2017</w:t>
            </w:r>
          </w:p>
        </w:tc>
        <w:tc>
          <w:tcPr>
            <w:tcW w:w="1167" w:type="dxa"/>
            <w:tcBorders>
              <w:top w:val="single" w:sz="4" w:space="0" w:color="auto"/>
              <w:left w:val="nil"/>
              <w:bottom w:val="single" w:sz="4" w:space="0" w:color="auto"/>
              <w:right w:val="single" w:sz="4" w:space="0" w:color="auto"/>
            </w:tcBorders>
            <w:shd w:val="clear" w:color="000000" w:fill="DEEAF6"/>
            <w:vAlign w:val="center"/>
            <w:hideMark/>
          </w:tcPr>
          <w:p w:rsidR="00D948FA" w:rsidRPr="00D948FA" w:rsidRDefault="00D948FA" w:rsidP="00D948FA">
            <w:pPr>
              <w:widowControl/>
              <w:autoSpaceDE/>
              <w:autoSpaceDN/>
              <w:adjustRightInd/>
              <w:jc w:val="center"/>
              <w:rPr>
                <w:rFonts w:ascii="Arial" w:hAnsi="Arial" w:cs="Arial"/>
                <w:b/>
                <w:bCs/>
                <w:color w:val="000000"/>
                <w:lang w:val="en-US" w:eastAsia="en-US"/>
              </w:rPr>
            </w:pPr>
            <w:r w:rsidRPr="00D948FA">
              <w:rPr>
                <w:rFonts w:ascii="Arial" w:hAnsi="Arial" w:cs="Arial"/>
                <w:b/>
                <w:bCs/>
                <w:color w:val="000000"/>
                <w:lang w:val="en-US" w:eastAsia="en-US"/>
              </w:rPr>
              <w:t>Variație</w:t>
            </w:r>
          </w:p>
        </w:tc>
      </w:tr>
      <w:tr w:rsidR="00D948FA" w:rsidRPr="00D948FA" w:rsidTr="0027205E">
        <w:trPr>
          <w:trHeight w:val="512"/>
          <w:tblHeader/>
          <w:jc w:val="center"/>
        </w:trPr>
        <w:tc>
          <w:tcPr>
            <w:tcW w:w="989" w:type="dxa"/>
            <w:tcBorders>
              <w:top w:val="nil"/>
              <w:left w:val="single" w:sz="4" w:space="0" w:color="auto"/>
              <w:bottom w:val="single" w:sz="4" w:space="0" w:color="auto"/>
              <w:right w:val="single" w:sz="4" w:space="0" w:color="auto"/>
            </w:tcBorders>
            <w:shd w:val="clear" w:color="000000" w:fill="DEEAF6"/>
            <w:vAlign w:val="center"/>
            <w:hideMark/>
          </w:tcPr>
          <w:p w:rsidR="00D948FA" w:rsidRPr="00D948FA" w:rsidRDefault="00D948FA" w:rsidP="00D948FA">
            <w:pPr>
              <w:widowControl/>
              <w:autoSpaceDE/>
              <w:autoSpaceDN/>
              <w:adjustRightInd/>
              <w:jc w:val="center"/>
              <w:rPr>
                <w:rFonts w:ascii="Arial" w:hAnsi="Arial" w:cs="Arial"/>
                <w:b/>
                <w:bCs/>
                <w:color w:val="000000"/>
                <w:lang w:val="en-US" w:eastAsia="en-US"/>
              </w:rPr>
            </w:pPr>
            <w:r w:rsidRPr="00D948FA">
              <w:rPr>
                <w:rFonts w:ascii="Arial" w:hAnsi="Arial" w:cs="Arial"/>
                <w:b/>
                <w:bCs/>
                <w:color w:val="000000"/>
                <w:lang w:val="en-US" w:eastAsia="en-US"/>
              </w:rPr>
              <w:t>Realizat</w:t>
            </w:r>
          </w:p>
        </w:tc>
        <w:tc>
          <w:tcPr>
            <w:tcW w:w="979" w:type="dxa"/>
            <w:tcBorders>
              <w:top w:val="nil"/>
              <w:left w:val="nil"/>
              <w:bottom w:val="single" w:sz="4" w:space="0" w:color="auto"/>
              <w:right w:val="single" w:sz="4" w:space="0" w:color="auto"/>
            </w:tcBorders>
            <w:shd w:val="clear" w:color="000000" w:fill="DEEAF6"/>
            <w:noWrap/>
            <w:vAlign w:val="center"/>
            <w:hideMark/>
          </w:tcPr>
          <w:p w:rsidR="00D948FA" w:rsidRPr="00D948FA" w:rsidRDefault="00D948FA" w:rsidP="00D948FA">
            <w:pPr>
              <w:widowControl/>
              <w:autoSpaceDE/>
              <w:autoSpaceDN/>
              <w:adjustRightInd/>
              <w:jc w:val="center"/>
              <w:rPr>
                <w:rFonts w:ascii="Arial" w:hAnsi="Arial" w:cs="Arial"/>
                <w:b/>
                <w:bCs/>
                <w:color w:val="000000"/>
                <w:lang w:val="en-US" w:eastAsia="en-US"/>
              </w:rPr>
            </w:pPr>
            <w:r w:rsidRPr="00D948FA">
              <w:rPr>
                <w:rFonts w:ascii="Arial" w:hAnsi="Arial" w:cs="Arial"/>
                <w:b/>
                <w:bCs/>
                <w:color w:val="000000"/>
                <w:lang w:val="en-US" w:eastAsia="en-US"/>
              </w:rPr>
              <w:t>B</w:t>
            </w:r>
            <w:r w:rsidR="0027205E">
              <w:rPr>
                <w:rFonts w:ascii="Arial" w:hAnsi="Arial" w:cs="Arial"/>
                <w:b/>
                <w:bCs/>
                <w:color w:val="000000"/>
                <w:lang w:val="en-US" w:eastAsia="en-US"/>
              </w:rPr>
              <w:t>.</w:t>
            </w:r>
            <w:r w:rsidRPr="00D948FA">
              <w:rPr>
                <w:rFonts w:ascii="Arial" w:hAnsi="Arial" w:cs="Arial"/>
                <w:b/>
                <w:bCs/>
                <w:color w:val="000000"/>
                <w:lang w:val="en-US" w:eastAsia="en-US"/>
              </w:rPr>
              <w:t>V</w:t>
            </w:r>
            <w:r w:rsidR="0027205E">
              <w:rPr>
                <w:rFonts w:ascii="Arial" w:hAnsi="Arial" w:cs="Arial"/>
                <w:b/>
                <w:bCs/>
                <w:color w:val="000000"/>
                <w:lang w:val="en-US" w:eastAsia="en-US"/>
              </w:rPr>
              <w:t>.</w:t>
            </w:r>
            <w:r w:rsidRPr="00D948FA">
              <w:rPr>
                <w:rFonts w:ascii="Arial" w:hAnsi="Arial" w:cs="Arial"/>
                <w:b/>
                <w:bCs/>
                <w:color w:val="000000"/>
                <w:lang w:val="en-US" w:eastAsia="en-US"/>
              </w:rPr>
              <w:t>C</w:t>
            </w:r>
            <w:r w:rsidR="0027205E">
              <w:rPr>
                <w:rFonts w:ascii="Arial" w:hAnsi="Arial" w:cs="Arial"/>
                <w:b/>
                <w:bCs/>
                <w:color w:val="000000"/>
                <w:lang w:val="en-US" w:eastAsia="en-US"/>
              </w:rPr>
              <w:t>.</w:t>
            </w:r>
          </w:p>
        </w:tc>
        <w:tc>
          <w:tcPr>
            <w:tcW w:w="1204" w:type="dxa"/>
            <w:tcBorders>
              <w:top w:val="nil"/>
              <w:left w:val="nil"/>
              <w:bottom w:val="single" w:sz="4" w:space="0" w:color="auto"/>
              <w:right w:val="single" w:sz="4" w:space="0" w:color="auto"/>
            </w:tcBorders>
            <w:shd w:val="clear" w:color="000000" w:fill="DEEAF6"/>
            <w:vAlign w:val="center"/>
            <w:hideMark/>
          </w:tcPr>
          <w:p w:rsidR="00D948FA" w:rsidRPr="00D948FA" w:rsidRDefault="0027205E" w:rsidP="00D948FA">
            <w:pPr>
              <w:widowControl/>
              <w:autoSpaceDE/>
              <w:autoSpaceDN/>
              <w:adjustRightInd/>
              <w:jc w:val="center"/>
              <w:rPr>
                <w:rFonts w:ascii="Arial" w:hAnsi="Arial" w:cs="Arial"/>
                <w:b/>
                <w:bCs/>
                <w:color w:val="000000"/>
                <w:lang w:val="en-US" w:eastAsia="en-US"/>
              </w:rPr>
            </w:pPr>
            <w:r>
              <w:rPr>
                <w:rFonts w:ascii="Arial" w:hAnsi="Arial" w:cs="Arial"/>
                <w:b/>
                <w:bCs/>
                <w:color w:val="000000"/>
                <w:lang w:val="en-US" w:eastAsia="en-US"/>
              </w:rPr>
              <w:t>R</w:t>
            </w:r>
            <w:r w:rsidR="00D948FA" w:rsidRPr="00D948FA">
              <w:rPr>
                <w:rFonts w:ascii="Arial" w:hAnsi="Arial" w:cs="Arial"/>
                <w:b/>
                <w:bCs/>
                <w:color w:val="000000"/>
                <w:lang w:val="en-US" w:eastAsia="en-US"/>
              </w:rPr>
              <w:t>ealizat/  B</w:t>
            </w:r>
            <w:r>
              <w:rPr>
                <w:rFonts w:ascii="Arial" w:hAnsi="Arial" w:cs="Arial"/>
                <w:b/>
                <w:bCs/>
                <w:color w:val="000000"/>
                <w:lang w:val="en-US" w:eastAsia="en-US"/>
              </w:rPr>
              <w:t>.</w:t>
            </w:r>
            <w:r w:rsidR="00D948FA" w:rsidRPr="00D948FA">
              <w:rPr>
                <w:rFonts w:ascii="Arial" w:hAnsi="Arial" w:cs="Arial"/>
                <w:b/>
                <w:bCs/>
                <w:color w:val="000000"/>
                <w:lang w:val="en-US" w:eastAsia="en-US"/>
              </w:rPr>
              <w:t>V</w:t>
            </w:r>
            <w:r>
              <w:rPr>
                <w:rFonts w:ascii="Arial" w:hAnsi="Arial" w:cs="Arial"/>
                <w:b/>
                <w:bCs/>
                <w:color w:val="000000"/>
                <w:lang w:val="en-US" w:eastAsia="en-US"/>
              </w:rPr>
              <w:t>.</w:t>
            </w:r>
            <w:r w:rsidR="00D948FA" w:rsidRPr="00D948FA">
              <w:rPr>
                <w:rFonts w:ascii="Arial" w:hAnsi="Arial" w:cs="Arial"/>
                <w:b/>
                <w:bCs/>
                <w:color w:val="000000"/>
                <w:lang w:val="en-US" w:eastAsia="en-US"/>
              </w:rPr>
              <w:t>C</w:t>
            </w:r>
            <w:r>
              <w:rPr>
                <w:rFonts w:ascii="Arial" w:hAnsi="Arial" w:cs="Arial"/>
                <w:b/>
                <w:bCs/>
                <w:color w:val="000000"/>
                <w:lang w:val="en-US" w:eastAsia="en-US"/>
              </w:rPr>
              <w:t>.</w:t>
            </w:r>
          </w:p>
        </w:tc>
        <w:tc>
          <w:tcPr>
            <w:tcW w:w="2777" w:type="dxa"/>
            <w:vMerge/>
            <w:tcBorders>
              <w:top w:val="single" w:sz="4" w:space="0" w:color="auto"/>
              <w:left w:val="single" w:sz="4" w:space="0" w:color="auto"/>
              <w:bottom w:val="single" w:sz="4" w:space="0" w:color="auto"/>
              <w:right w:val="single" w:sz="4" w:space="0" w:color="auto"/>
            </w:tcBorders>
            <w:vAlign w:val="center"/>
            <w:hideMark/>
          </w:tcPr>
          <w:p w:rsidR="00D948FA" w:rsidRPr="00D948FA" w:rsidRDefault="00D948FA" w:rsidP="00D948FA">
            <w:pPr>
              <w:widowControl/>
              <w:autoSpaceDE/>
              <w:autoSpaceDN/>
              <w:adjustRightInd/>
              <w:rPr>
                <w:rFonts w:ascii="Arial" w:hAnsi="Arial" w:cs="Arial"/>
                <w:b/>
                <w:bCs/>
                <w:color w:val="000000"/>
                <w:lang w:val="en-US" w:eastAsia="en-US"/>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D948FA" w:rsidRPr="00D948FA" w:rsidRDefault="00D948FA" w:rsidP="00D948FA">
            <w:pPr>
              <w:widowControl/>
              <w:autoSpaceDE/>
              <w:autoSpaceDN/>
              <w:adjustRightInd/>
              <w:rPr>
                <w:rFonts w:ascii="Arial" w:hAnsi="Arial" w:cs="Arial"/>
                <w:b/>
                <w:bCs/>
                <w:color w:val="000000"/>
                <w:lang w:val="en-US" w:eastAsia="en-US"/>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D948FA" w:rsidRPr="00D948FA" w:rsidRDefault="00D948FA" w:rsidP="00D948FA">
            <w:pPr>
              <w:widowControl/>
              <w:autoSpaceDE/>
              <w:autoSpaceDN/>
              <w:adjustRightInd/>
              <w:rPr>
                <w:rFonts w:ascii="Arial" w:hAnsi="Arial" w:cs="Arial"/>
                <w:b/>
                <w:bCs/>
                <w:color w:val="000000"/>
                <w:lang w:val="en-US" w:eastAsia="en-US"/>
              </w:rPr>
            </w:pPr>
          </w:p>
        </w:tc>
        <w:tc>
          <w:tcPr>
            <w:tcW w:w="1167" w:type="dxa"/>
            <w:tcBorders>
              <w:top w:val="nil"/>
              <w:left w:val="nil"/>
              <w:bottom w:val="single" w:sz="4" w:space="0" w:color="auto"/>
              <w:right w:val="single" w:sz="4" w:space="0" w:color="auto"/>
            </w:tcBorders>
            <w:shd w:val="clear" w:color="000000" w:fill="DEEAF6"/>
            <w:vAlign w:val="center"/>
            <w:hideMark/>
          </w:tcPr>
          <w:p w:rsidR="00D948FA" w:rsidRPr="00D948FA" w:rsidRDefault="00D948FA" w:rsidP="00D948FA">
            <w:pPr>
              <w:widowControl/>
              <w:autoSpaceDE/>
              <w:autoSpaceDN/>
              <w:adjustRightInd/>
              <w:jc w:val="center"/>
              <w:rPr>
                <w:rFonts w:ascii="Arial" w:hAnsi="Arial" w:cs="Arial"/>
                <w:b/>
                <w:bCs/>
                <w:color w:val="000000"/>
                <w:lang w:val="en-US" w:eastAsia="en-US"/>
              </w:rPr>
            </w:pPr>
            <w:r w:rsidRPr="00D948FA">
              <w:rPr>
                <w:rFonts w:ascii="Arial" w:hAnsi="Arial" w:cs="Arial"/>
                <w:b/>
                <w:bCs/>
                <w:color w:val="000000"/>
                <w:lang w:val="en-US" w:eastAsia="en-US"/>
              </w:rPr>
              <w:t xml:space="preserve"> % 2018/2017</w:t>
            </w:r>
          </w:p>
        </w:tc>
      </w:tr>
      <w:tr w:rsidR="00AE23BD"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E23BD" w:rsidRPr="00AE23BD" w:rsidRDefault="00AE23BD" w:rsidP="00AE23BD">
            <w:pPr>
              <w:widowControl/>
              <w:autoSpaceDE/>
              <w:autoSpaceDN/>
              <w:adjustRightInd/>
              <w:jc w:val="right"/>
              <w:rPr>
                <w:rFonts w:ascii="Arial" w:hAnsi="Arial" w:cs="Arial"/>
                <w:b/>
                <w:bCs/>
                <w:color w:val="000000"/>
              </w:rPr>
            </w:pPr>
            <w:r w:rsidRPr="00AE23BD">
              <w:rPr>
                <w:rFonts w:ascii="Arial" w:hAnsi="Arial" w:cs="Arial"/>
                <w:b/>
                <w:bCs/>
                <w:color w:val="000000"/>
              </w:rPr>
              <w:t>3.269</w:t>
            </w:r>
          </w:p>
        </w:tc>
        <w:tc>
          <w:tcPr>
            <w:tcW w:w="979" w:type="dxa"/>
            <w:tcBorders>
              <w:top w:val="nil"/>
              <w:left w:val="nil"/>
              <w:bottom w:val="single" w:sz="4" w:space="0" w:color="auto"/>
              <w:right w:val="single" w:sz="4" w:space="0" w:color="auto"/>
            </w:tcBorders>
            <w:shd w:val="clear" w:color="auto" w:fill="auto"/>
            <w:noWrap/>
            <w:vAlign w:val="center"/>
            <w:hideMark/>
          </w:tcPr>
          <w:p w:rsidR="00AE23BD" w:rsidRPr="00AE23BD" w:rsidRDefault="00AE23BD" w:rsidP="00AE23BD">
            <w:pPr>
              <w:jc w:val="right"/>
              <w:rPr>
                <w:rFonts w:ascii="Arial" w:hAnsi="Arial" w:cs="Arial"/>
                <w:b/>
                <w:bCs/>
                <w:color w:val="000000"/>
              </w:rPr>
            </w:pPr>
            <w:r w:rsidRPr="00AE23BD">
              <w:rPr>
                <w:rFonts w:ascii="Arial" w:hAnsi="Arial" w:cs="Arial"/>
                <w:b/>
                <w:bCs/>
                <w:color w:val="000000"/>
              </w:rPr>
              <w:t>3.668</w:t>
            </w:r>
          </w:p>
        </w:tc>
        <w:tc>
          <w:tcPr>
            <w:tcW w:w="1204" w:type="dxa"/>
            <w:tcBorders>
              <w:top w:val="nil"/>
              <w:left w:val="nil"/>
              <w:bottom w:val="single" w:sz="4" w:space="0" w:color="auto"/>
              <w:right w:val="single" w:sz="4" w:space="0" w:color="auto"/>
            </w:tcBorders>
            <w:shd w:val="clear" w:color="auto" w:fill="auto"/>
            <w:noWrap/>
            <w:vAlign w:val="center"/>
            <w:hideMark/>
          </w:tcPr>
          <w:p w:rsidR="00AE23BD" w:rsidRPr="00AE23BD" w:rsidRDefault="00843942" w:rsidP="00AE23BD">
            <w:pPr>
              <w:jc w:val="right"/>
              <w:rPr>
                <w:rFonts w:ascii="Arial" w:hAnsi="Arial" w:cs="Arial"/>
                <w:b/>
                <w:bCs/>
                <w:color w:val="000000"/>
              </w:rPr>
            </w:pPr>
            <w:r w:rsidRPr="002A0064">
              <w:rPr>
                <w:rFonts w:ascii="Arial" w:hAnsi="Arial" w:cs="Arial"/>
                <w:b/>
                <w:bCs/>
                <w:color w:val="000000"/>
                <w:lang w:val="en-US" w:eastAsia="en-US"/>
              </w:rPr>
              <w:t>▼</w:t>
            </w:r>
            <w:r>
              <w:rPr>
                <w:rFonts w:ascii="Arial" w:hAnsi="Arial" w:cs="Arial"/>
                <w:b/>
                <w:bCs/>
                <w:color w:val="000000"/>
              </w:rPr>
              <w:t>10,86</w:t>
            </w:r>
            <w:r w:rsidR="00AE23BD" w:rsidRPr="00AE23BD">
              <w:rPr>
                <w:rFonts w:ascii="Arial" w:hAnsi="Arial" w:cs="Arial"/>
                <w:b/>
                <w:bCs/>
                <w:color w:val="000000"/>
              </w:rPr>
              <w:t>%</w:t>
            </w:r>
          </w:p>
        </w:tc>
        <w:tc>
          <w:tcPr>
            <w:tcW w:w="2777" w:type="dxa"/>
            <w:tcBorders>
              <w:top w:val="nil"/>
              <w:left w:val="nil"/>
              <w:bottom w:val="single" w:sz="4" w:space="0" w:color="auto"/>
              <w:right w:val="single" w:sz="4" w:space="0" w:color="auto"/>
            </w:tcBorders>
            <w:shd w:val="clear" w:color="auto" w:fill="auto"/>
            <w:vAlign w:val="center"/>
            <w:hideMark/>
          </w:tcPr>
          <w:p w:rsidR="0027205E" w:rsidRDefault="00AE23BD" w:rsidP="00AE23BD">
            <w:pPr>
              <w:widowControl/>
              <w:autoSpaceDE/>
              <w:autoSpaceDN/>
              <w:adjustRightInd/>
              <w:rPr>
                <w:rFonts w:ascii="Arial" w:hAnsi="Arial" w:cs="Arial"/>
                <w:b/>
                <w:bCs/>
                <w:color w:val="000000"/>
                <w:lang w:val="en-US" w:eastAsia="en-US"/>
              </w:rPr>
            </w:pPr>
            <w:r w:rsidRPr="00D948FA">
              <w:rPr>
                <w:rFonts w:ascii="Arial" w:hAnsi="Arial" w:cs="Arial"/>
                <w:b/>
                <w:bCs/>
                <w:color w:val="000000"/>
                <w:lang w:val="en-US" w:eastAsia="en-US"/>
              </w:rPr>
              <w:t xml:space="preserve">Cheltuieli materiale, </w:t>
            </w:r>
          </w:p>
          <w:p w:rsidR="00AE23BD" w:rsidRPr="00D948FA" w:rsidRDefault="00AE23BD" w:rsidP="00AE23BD">
            <w:pPr>
              <w:widowControl/>
              <w:autoSpaceDE/>
              <w:autoSpaceDN/>
              <w:adjustRightInd/>
              <w:rPr>
                <w:rFonts w:ascii="Arial" w:hAnsi="Arial" w:cs="Arial"/>
                <w:b/>
                <w:bCs/>
                <w:color w:val="000000"/>
                <w:lang w:val="en-US" w:eastAsia="en-US"/>
              </w:rPr>
            </w:pPr>
            <w:r w:rsidRPr="00D948FA">
              <w:rPr>
                <w:rFonts w:ascii="Arial" w:hAnsi="Arial" w:cs="Arial"/>
                <w:b/>
                <w:bCs/>
                <w:color w:val="000000"/>
                <w:lang w:val="en-US" w:eastAsia="en-US"/>
              </w:rPr>
              <w:t>din care:</w:t>
            </w:r>
          </w:p>
        </w:tc>
        <w:tc>
          <w:tcPr>
            <w:tcW w:w="1246" w:type="dxa"/>
            <w:tcBorders>
              <w:top w:val="nil"/>
              <w:left w:val="nil"/>
              <w:bottom w:val="single" w:sz="4" w:space="0" w:color="auto"/>
              <w:right w:val="single" w:sz="4" w:space="0" w:color="auto"/>
            </w:tcBorders>
            <w:shd w:val="clear" w:color="auto" w:fill="auto"/>
            <w:noWrap/>
            <w:vAlign w:val="center"/>
            <w:hideMark/>
          </w:tcPr>
          <w:p w:rsidR="00AE23BD" w:rsidRPr="00AE23BD" w:rsidRDefault="00AE23BD" w:rsidP="00AE23BD">
            <w:pPr>
              <w:widowControl/>
              <w:autoSpaceDE/>
              <w:autoSpaceDN/>
              <w:adjustRightInd/>
              <w:jc w:val="right"/>
              <w:rPr>
                <w:rFonts w:ascii="Arial" w:hAnsi="Arial" w:cs="Arial"/>
                <w:b/>
                <w:bCs/>
                <w:color w:val="000000"/>
              </w:rPr>
            </w:pPr>
            <w:r w:rsidRPr="00AE23BD">
              <w:rPr>
                <w:rFonts w:ascii="Arial" w:hAnsi="Arial" w:cs="Arial"/>
                <w:b/>
                <w:bCs/>
                <w:color w:val="000000"/>
              </w:rPr>
              <w:t>3.269</w:t>
            </w:r>
          </w:p>
        </w:tc>
        <w:tc>
          <w:tcPr>
            <w:tcW w:w="1263" w:type="dxa"/>
            <w:tcBorders>
              <w:top w:val="nil"/>
              <w:left w:val="nil"/>
              <w:bottom w:val="single" w:sz="4" w:space="0" w:color="auto"/>
              <w:right w:val="single" w:sz="4" w:space="0" w:color="auto"/>
            </w:tcBorders>
            <w:shd w:val="clear" w:color="auto" w:fill="auto"/>
            <w:noWrap/>
            <w:vAlign w:val="center"/>
            <w:hideMark/>
          </w:tcPr>
          <w:p w:rsidR="00AE23BD" w:rsidRPr="00AE23BD" w:rsidRDefault="00AE23BD" w:rsidP="00AE23BD">
            <w:pPr>
              <w:jc w:val="right"/>
              <w:rPr>
                <w:rFonts w:ascii="Arial" w:hAnsi="Arial" w:cs="Arial"/>
                <w:b/>
                <w:bCs/>
                <w:color w:val="000000"/>
              </w:rPr>
            </w:pPr>
            <w:r w:rsidRPr="00AE23BD">
              <w:rPr>
                <w:rFonts w:ascii="Arial" w:hAnsi="Arial" w:cs="Arial"/>
                <w:b/>
                <w:bCs/>
                <w:color w:val="000000"/>
              </w:rPr>
              <w:t>3.230</w:t>
            </w:r>
          </w:p>
        </w:tc>
        <w:tc>
          <w:tcPr>
            <w:tcW w:w="1167" w:type="dxa"/>
            <w:tcBorders>
              <w:top w:val="nil"/>
              <w:left w:val="nil"/>
              <w:bottom w:val="single" w:sz="4" w:space="0" w:color="auto"/>
              <w:right w:val="single" w:sz="4" w:space="0" w:color="auto"/>
            </w:tcBorders>
            <w:shd w:val="clear" w:color="auto" w:fill="auto"/>
            <w:noWrap/>
            <w:vAlign w:val="center"/>
            <w:hideMark/>
          </w:tcPr>
          <w:p w:rsidR="00AE23BD" w:rsidRPr="00AE23BD" w:rsidRDefault="00554E9A" w:rsidP="00AE23BD">
            <w:pPr>
              <w:jc w:val="right"/>
              <w:rPr>
                <w:rFonts w:ascii="Arial" w:hAnsi="Arial" w:cs="Arial"/>
                <w:b/>
                <w:bCs/>
                <w:color w:val="000000"/>
              </w:rPr>
            </w:pPr>
            <w:r w:rsidRPr="002A0064">
              <w:rPr>
                <w:rFonts w:ascii="Arial" w:hAnsi="Arial" w:cs="Arial"/>
                <w:b/>
                <w:bCs/>
                <w:color w:val="000000"/>
                <w:lang w:val="en-US" w:eastAsia="en-US"/>
              </w:rPr>
              <w:t>▲</w:t>
            </w:r>
            <w:r w:rsidR="00AE23BD" w:rsidRPr="00AE23BD">
              <w:rPr>
                <w:rFonts w:ascii="Arial" w:hAnsi="Arial" w:cs="Arial"/>
                <w:b/>
                <w:bCs/>
                <w:color w:val="000000"/>
              </w:rPr>
              <w:t>1,2</w:t>
            </w:r>
            <w:r w:rsidR="0072567C">
              <w:rPr>
                <w:rFonts w:ascii="Arial" w:hAnsi="Arial" w:cs="Arial"/>
                <w:b/>
                <w:bCs/>
                <w:color w:val="000000"/>
              </w:rPr>
              <w:t>1</w:t>
            </w:r>
            <w:r w:rsidR="00AE23BD" w:rsidRPr="00AE23BD">
              <w:rPr>
                <w:rFonts w:ascii="Arial" w:hAnsi="Arial" w:cs="Arial"/>
                <w:b/>
                <w:bCs/>
                <w:color w:val="000000"/>
              </w:rPr>
              <w:t>%</w:t>
            </w:r>
          </w:p>
        </w:tc>
      </w:tr>
      <w:tr w:rsidR="00AE23BD"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E23BD" w:rsidRPr="00E34E4D" w:rsidRDefault="00AE23BD" w:rsidP="006C3EBC">
            <w:pPr>
              <w:jc w:val="right"/>
              <w:rPr>
                <w:rFonts w:ascii="Arial" w:hAnsi="Arial" w:cs="Arial"/>
                <w:color w:val="000000"/>
              </w:rPr>
            </w:pPr>
            <w:r w:rsidRPr="00E34E4D">
              <w:rPr>
                <w:rFonts w:ascii="Arial" w:hAnsi="Arial" w:cs="Arial"/>
                <w:color w:val="000000"/>
              </w:rPr>
              <w:t>1.</w:t>
            </w:r>
            <w:r w:rsidR="006C3EBC" w:rsidRPr="00E34E4D">
              <w:rPr>
                <w:rFonts w:ascii="Arial" w:hAnsi="Arial" w:cs="Arial"/>
                <w:color w:val="000000"/>
              </w:rPr>
              <w:t>824</w:t>
            </w:r>
          </w:p>
        </w:tc>
        <w:tc>
          <w:tcPr>
            <w:tcW w:w="979" w:type="dxa"/>
            <w:tcBorders>
              <w:top w:val="nil"/>
              <w:left w:val="nil"/>
              <w:bottom w:val="single" w:sz="4" w:space="0" w:color="auto"/>
              <w:right w:val="single" w:sz="4" w:space="0" w:color="auto"/>
            </w:tcBorders>
            <w:shd w:val="clear" w:color="auto" w:fill="auto"/>
            <w:noWrap/>
            <w:vAlign w:val="center"/>
            <w:hideMark/>
          </w:tcPr>
          <w:p w:rsidR="00AE23BD" w:rsidRPr="00E34E4D" w:rsidRDefault="00AE23BD" w:rsidP="00AE23BD">
            <w:pPr>
              <w:jc w:val="right"/>
              <w:rPr>
                <w:rFonts w:ascii="Arial" w:hAnsi="Arial" w:cs="Arial"/>
                <w:color w:val="000000"/>
              </w:rPr>
            </w:pPr>
            <w:r w:rsidRPr="00E34E4D">
              <w:rPr>
                <w:rFonts w:ascii="Arial" w:hAnsi="Arial" w:cs="Arial"/>
                <w:color w:val="000000"/>
              </w:rPr>
              <w:t>1.719</w:t>
            </w:r>
          </w:p>
        </w:tc>
        <w:tc>
          <w:tcPr>
            <w:tcW w:w="1204" w:type="dxa"/>
            <w:tcBorders>
              <w:top w:val="nil"/>
              <w:left w:val="nil"/>
              <w:bottom w:val="single" w:sz="4" w:space="0" w:color="auto"/>
              <w:right w:val="single" w:sz="4" w:space="0" w:color="auto"/>
            </w:tcBorders>
            <w:shd w:val="clear" w:color="auto" w:fill="auto"/>
            <w:noWrap/>
            <w:vAlign w:val="center"/>
            <w:hideMark/>
          </w:tcPr>
          <w:p w:rsidR="00AE23BD" w:rsidRPr="00E34E4D" w:rsidRDefault="00554E9A" w:rsidP="006C3EBC">
            <w:pPr>
              <w:jc w:val="right"/>
              <w:rPr>
                <w:rFonts w:ascii="Arial" w:hAnsi="Arial" w:cs="Arial"/>
                <w:bCs/>
                <w:color w:val="000000"/>
              </w:rPr>
            </w:pPr>
            <w:r w:rsidRPr="00E34E4D">
              <w:rPr>
                <w:rFonts w:ascii="Arial" w:hAnsi="Arial" w:cs="Arial"/>
                <w:bCs/>
                <w:color w:val="000000"/>
                <w:lang w:val="en-US" w:eastAsia="en-US"/>
              </w:rPr>
              <w:t>▲</w:t>
            </w:r>
            <w:r w:rsidR="00AE23BD" w:rsidRPr="00E34E4D">
              <w:rPr>
                <w:rFonts w:ascii="Arial" w:hAnsi="Arial" w:cs="Arial"/>
                <w:bCs/>
                <w:color w:val="000000"/>
              </w:rPr>
              <w:t>6,</w:t>
            </w:r>
            <w:r w:rsidR="006C3EBC" w:rsidRPr="00E34E4D">
              <w:rPr>
                <w:rFonts w:ascii="Arial" w:hAnsi="Arial" w:cs="Arial"/>
                <w:bCs/>
                <w:color w:val="000000"/>
              </w:rPr>
              <w:t>11</w:t>
            </w:r>
            <w:r w:rsidR="00AE23BD" w:rsidRPr="00E34E4D">
              <w:rPr>
                <w:rFonts w:ascii="Arial" w:hAnsi="Arial" w:cs="Arial"/>
                <w:bCs/>
                <w:color w:val="000000"/>
              </w:rPr>
              <w:t>%</w:t>
            </w:r>
          </w:p>
        </w:tc>
        <w:tc>
          <w:tcPr>
            <w:tcW w:w="2777" w:type="dxa"/>
            <w:tcBorders>
              <w:top w:val="nil"/>
              <w:left w:val="nil"/>
              <w:bottom w:val="single" w:sz="4" w:space="0" w:color="auto"/>
              <w:right w:val="single" w:sz="4" w:space="0" w:color="auto"/>
            </w:tcBorders>
            <w:shd w:val="clear" w:color="auto" w:fill="auto"/>
            <w:vAlign w:val="center"/>
            <w:hideMark/>
          </w:tcPr>
          <w:p w:rsidR="00AE23BD" w:rsidRPr="00E34E4D" w:rsidRDefault="00AE23BD" w:rsidP="00AE23BD">
            <w:pPr>
              <w:widowControl/>
              <w:autoSpaceDE/>
              <w:autoSpaceDN/>
              <w:adjustRightInd/>
              <w:rPr>
                <w:rFonts w:ascii="Arial" w:hAnsi="Arial" w:cs="Arial"/>
                <w:iCs/>
                <w:color w:val="000000"/>
                <w:lang w:val="en-US" w:eastAsia="en-US"/>
              </w:rPr>
            </w:pPr>
            <w:r w:rsidRPr="00E34E4D">
              <w:rPr>
                <w:rFonts w:ascii="Arial" w:hAnsi="Arial" w:cs="Arial"/>
                <w:iCs/>
                <w:color w:val="000000"/>
                <w:lang w:val="en-US" w:eastAsia="en-US"/>
              </w:rPr>
              <w:t>-cheltuieli cu materialele consumabile</w:t>
            </w:r>
          </w:p>
        </w:tc>
        <w:tc>
          <w:tcPr>
            <w:tcW w:w="1246" w:type="dxa"/>
            <w:tcBorders>
              <w:top w:val="nil"/>
              <w:left w:val="nil"/>
              <w:bottom w:val="single" w:sz="4" w:space="0" w:color="auto"/>
              <w:right w:val="single" w:sz="4" w:space="0" w:color="auto"/>
            </w:tcBorders>
            <w:shd w:val="clear" w:color="auto" w:fill="auto"/>
            <w:noWrap/>
            <w:vAlign w:val="center"/>
            <w:hideMark/>
          </w:tcPr>
          <w:p w:rsidR="00AE23BD" w:rsidRPr="00E34E4D" w:rsidRDefault="006C3EBC" w:rsidP="00AE23BD">
            <w:pPr>
              <w:jc w:val="right"/>
              <w:rPr>
                <w:rFonts w:ascii="Arial" w:hAnsi="Arial" w:cs="Arial"/>
                <w:bCs/>
                <w:color w:val="000000"/>
              </w:rPr>
            </w:pPr>
            <w:r w:rsidRPr="00E34E4D">
              <w:rPr>
                <w:rFonts w:ascii="Arial" w:hAnsi="Arial" w:cs="Arial"/>
                <w:bCs/>
                <w:color w:val="000000"/>
              </w:rPr>
              <w:t>1.824</w:t>
            </w:r>
          </w:p>
        </w:tc>
        <w:tc>
          <w:tcPr>
            <w:tcW w:w="1263" w:type="dxa"/>
            <w:tcBorders>
              <w:top w:val="nil"/>
              <w:left w:val="nil"/>
              <w:bottom w:val="single" w:sz="4" w:space="0" w:color="auto"/>
              <w:right w:val="single" w:sz="4" w:space="0" w:color="auto"/>
            </w:tcBorders>
            <w:shd w:val="clear" w:color="auto" w:fill="auto"/>
            <w:noWrap/>
            <w:vAlign w:val="center"/>
            <w:hideMark/>
          </w:tcPr>
          <w:p w:rsidR="00AE23BD" w:rsidRPr="00E34E4D" w:rsidRDefault="00AE23BD" w:rsidP="006C3EBC">
            <w:pPr>
              <w:jc w:val="right"/>
              <w:rPr>
                <w:rFonts w:ascii="Arial" w:hAnsi="Arial" w:cs="Arial"/>
                <w:bCs/>
                <w:color w:val="000000"/>
              </w:rPr>
            </w:pPr>
            <w:r w:rsidRPr="00E34E4D">
              <w:rPr>
                <w:rFonts w:ascii="Arial" w:hAnsi="Arial" w:cs="Arial"/>
                <w:bCs/>
                <w:color w:val="000000"/>
              </w:rPr>
              <w:t>1.</w:t>
            </w:r>
            <w:r w:rsidR="006C3EBC" w:rsidRPr="00E34E4D">
              <w:rPr>
                <w:rFonts w:ascii="Arial" w:hAnsi="Arial" w:cs="Arial"/>
                <w:bCs/>
                <w:color w:val="000000"/>
              </w:rPr>
              <w:t>709</w:t>
            </w:r>
          </w:p>
        </w:tc>
        <w:tc>
          <w:tcPr>
            <w:tcW w:w="1167" w:type="dxa"/>
            <w:tcBorders>
              <w:top w:val="nil"/>
              <w:left w:val="nil"/>
              <w:bottom w:val="single" w:sz="4" w:space="0" w:color="auto"/>
              <w:right w:val="single" w:sz="4" w:space="0" w:color="auto"/>
            </w:tcBorders>
            <w:shd w:val="clear" w:color="auto" w:fill="auto"/>
            <w:noWrap/>
            <w:vAlign w:val="center"/>
            <w:hideMark/>
          </w:tcPr>
          <w:p w:rsidR="00AE23BD" w:rsidRPr="00E34E4D" w:rsidRDefault="00554E9A" w:rsidP="006C3EBC">
            <w:pPr>
              <w:jc w:val="right"/>
              <w:rPr>
                <w:rFonts w:ascii="Arial" w:hAnsi="Arial" w:cs="Arial"/>
                <w:bCs/>
                <w:color w:val="000000"/>
              </w:rPr>
            </w:pPr>
            <w:r w:rsidRPr="00E34E4D">
              <w:rPr>
                <w:rFonts w:ascii="Arial" w:hAnsi="Arial" w:cs="Arial"/>
                <w:bCs/>
                <w:color w:val="000000"/>
                <w:lang w:val="en-US" w:eastAsia="en-US"/>
              </w:rPr>
              <w:t>▲</w:t>
            </w:r>
            <w:r w:rsidR="00AE23BD" w:rsidRPr="00E34E4D">
              <w:rPr>
                <w:rFonts w:ascii="Arial" w:hAnsi="Arial" w:cs="Arial"/>
                <w:bCs/>
                <w:color w:val="000000"/>
              </w:rPr>
              <w:t>6,</w:t>
            </w:r>
            <w:r w:rsidR="006C3EBC" w:rsidRPr="00E34E4D">
              <w:rPr>
                <w:rFonts w:ascii="Arial" w:hAnsi="Arial" w:cs="Arial"/>
                <w:bCs/>
                <w:color w:val="000000"/>
              </w:rPr>
              <w:t>73</w:t>
            </w:r>
            <w:r w:rsidR="00AE23BD" w:rsidRPr="00E34E4D">
              <w:rPr>
                <w:rFonts w:ascii="Arial" w:hAnsi="Arial" w:cs="Arial"/>
                <w:bCs/>
                <w:color w:val="000000"/>
              </w:rPr>
              <w:t>%</w:t>
            </w:r>
          </w:p>
        </w:tc>
      </w:tr>
      <w:tr w:rsidR="00AE23BD"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E23BD" w:rsidRPr="00E34E4D" w:rsidRDefault="00AE23BD" w:rsidP="00AE23BD">
            <w:pPr>
              <w:jc w:val="right"/>
              <w:rPr>
                <w:rFonts w:ascii="Arial" w:hAnsi="Arial" w:cs="Arial"/>
                <w:color w:val="000000"/>
              </w:rPr>
            </w:pPr>
            <w:r w:rsidRPr="00E34E4D">
              <w:rPr>
                <w:rFonts w:ascii="Arial" w:hAnsi="Arial" w:cs="Arial"/>
                <w:color w:val="000000"/>
              </w:rPr>
              <w:t>930</w:t>
            </w:r>
          </w:p>
        </w:tc>
        <w:tc>
          <w:tcPr>
            <w:tcW w:w="979" w:type="dxa"/>
            <w:tcBorders>
              <w:top w:val="nil"/>
              <w:left w:val="nil"/>
              <w:bottom w:val="single" w:sz="4" w:space="0" w:color="auto"/>
              <w:right w:val="single" w:sz="4" w:space="0" w:color="auto"/>
            </w:tcBorders>
            <w:shd w:val="clear" w:color="auto" w:fill="auto"/>
            <w:noWrap/>
            <w:vAlign w:val="center"/>
            <w:hideMark/>
          </w:tcPr>
          <w:p w:rsidR="00AE23BD" w:rsidRPr="00E34E4D" w:rsidRDefault="00AE23BD" w:rsidP="00AE23BD">
            <w:pPr>
              <w:jc w:val="right"/>
              <w:rPr>
                <w:rFonts w:ascii="Arial" w:hAnsi="Arial" w:cs="Arial"/>
                <w:color w:val="000000"/>
              </w:rPr>
            </w:pPr>
            <w:r w:rsidRPr="00E34E4D">
              <w:rPr>
                <w:rFonts w:ascii="Arial" w:hAnsi="Arial" w:cs="Arial"/>
                <w:color w:val="000000"/>
              </w:rPr>
              <w:t>1.090</w:t>
            </w:r>
          </w:p>
        </w:tc>
        <w:tc>
          <w:tcPr>
            <w:tcW w:w="1204" w:type="dxa"/>
            <w:tcBorders>
              <w:top w:val="nil"/>
              <w:left w:val="nil"/>
              <w:bottom w:val="single" w:sz="4" w:space="0" w:color="auto"/>
              <w:right w:val="single" w:sz="4" w:space="0" w:color="auto"/>
            </w:tcBorders>
            <w:shd w:val="clear" w:color="auto" w:fill="auto"/>
            <w:noWrap/>
            <w:vAlign w:val="center"/>
            <w:hideMark/>
          </w:tcPr>
          <w:p w:rsidR="00AE23BD" w:rsidRPr="00E34E4D" w:rsidRDefault="00843942" w:rsidP="00AE23BD">
            <w:pPr>
              <w:jc w:val="right"/>
              <w:rPr>
                <w:rFonts w:ascii="Arial" w:hAnsi="Arial" w:cs="Arial"/>
                <w:bCs/>
                <w:color w:val="000000"/>
              </w:rPr>
            </w:pPr>
            <w:r w:rsidRPr="00E34E4D">
              <w:rPr>
                <w:rFonts w:ascii="Arial" w:hAnsi="Arial" w:cs="Arial"/>
                <w:bCs/>
                <w:color w:val="000000"/>
                <w:lang w:val="en-US" w:eastAsia="en-US"/>
              </w:rPr>
              <w:t>▼</w:t>
            </w:r>
            <w:r w:rsidRPr="00E34E4D">
              <w:rPr>
                <w:rFonts w:ascii="Arial" w:hAnsi="Arial" w:cs="Arial"/>
                <w:bCs/>
                <w:color w:val="000000"/>
              </w:rPr>
              <w:t>14,7</w:t>
            </w:r>
            <w:r w:rsidR="00AE23BD" w:rsidRPr="00E34E4D">
              <w:rPr>
                <w:rFonts w:ascii="Arial" w:hAnsi="Arial" w:cs="Arial"/>
                <w:bCs/>
                <w:color w:val="000000"/>
              </w:rPr>
              <w:t>0%</w:t>
            </w:r>
          </w:p>
        </w:tc>
        <w:tc>
          <w:tcPr>
            <w:tcW w:w="2777" w:type="dxa"/>
            <w:tcBorders>
              <w:top w:val="nil"/>
              <w:left w:val="nil"/>
              <w:bottom w:val="single" w:sz="4" w:space="0" w:color="auto"/>
              <w:right w:val="single" w:sz="4" w:space="0" w:color="auto"/>
            </w:tcBorders>
            <w:shd w:val="clear" w:color="auto" w:fill="auto"/>
            <w:vAlign w:val="center"/>
            <w:hideMark/>
          </w:tcPr>
          <w:p w:rsidR="00AE23BD" w:rsidRPr="00E34E4D" w:rsidRDefault="00AE23BD" w:rsidP="00AE23BD">
            <w:pPr>
              <w:widowControl/>
              <w:autoSpaceDE/>
              <w:autoSpaceDN/>
              <w:adjustRightInd/>
              <w:rPr>
                <w:rFonts w:ascii="Arial" w:hAnsi="Arial" w:cs="Arial"/>
                <w:iCs/>
                <w:color w:val="000000"/>
                <w:lang w:val="en-US" w:eastAsia="en-US"/>
              </w:rPr>
            </w:pPr>
            <w:r w:rsidRPr="00E34E4D">
              <w:rPr>
                <w:rFonts w:ascii="Arial" w:hAnsi="Arial" w:cs="Arial"/>
                <w:iCs/>
                <w:color w:val="000000"/>
                <w:lang w:val="en-US" w:eastAsia="en-US"/>
              </w:rPr>
              <w:t>-cheltuieli cu combustibilul</w:t>
            </w:r>
          </w:p>
        </w:tc>
        <w:tc>
          <w:tcPr>
            <w:tcW w:w="1246" w:type="dxa"/>
            <w:tcBorders>
              <w:top w:val="nil"/>
              <w:left w:val="nil"/>
              <w:bottom w:val="single" w:sz="4" w:space="0" w:color="auto"/>
              <w:right w:val="single" w:sz="4" w:space="0" w:color="auto"/>
            </w:tcBorders>
            <w:shd w:val="clear" w:color="auto" w:fill="auto"/>
            <w:noWrap/>
            <w:vAlign w:val="center"/>
            <w:hideMark/>
          </w:tcPr>
          <w:p w:rsidR="00AE23BD" w:rsidRPr="00E34E4D" w:rsidRDefault="00AE23BD" w:rsidP="00AE23BD">
            <w:pPr>
              <w:jc w:val="right"/>
              <w:rPr>
                <w:rFonts w:ascii="Arial" w:hAnsi="Arial" w:cs="Arial"/>
                <w:bCs/>
                <w:color w:val="000000"/>
              </w:rPr>
            </w:pPr>
            <w:r w:rsidRPr="00E34E4D">
              <w:rPr>
                <w:rFonts w:ascii="Arial" w:hAnsi="Arial" w:cs="Arial"/>
                <w:bCs/>
                <w:color w:val="000000"/>
              </w:rPr>
              <w:t>930</w:t>
            </w:r>
          </w:p>
        </w:tc>
        <w:tc>
          <w:tcPr>
            <w:tcW w:w="1263" w:type="dxa"/>
            <w:tcBorders>
              <w:top w:val="nil"/>
              <w:left w:val="nil"/>
              <w:bottom w:val="single" w:sz="4" w:space="0" w:color="auto"/>
              <w:right w:val="single" w:sz="4" w:space="0" w:color="auto"/>
            </w:tcBorders>
            <w:shd w:val="clear" w:color="auto" w:fill="auto"/>
            <w:noWrap/>
            <w:vAlign w:val="center"/>
            <w:hideMark/>
          </w:tcPr>
          <w:p w:rsidR="00AE23BD" w:rsidRPr="00E34E4D" w:rsidRDefault="00AE23BD" w:rsidP="00AE23BD">
            <w:pPr>
              <w:jc w:val="right"/>
              <w:rPr>
                <w:rFonts w:ascii="Arial" w:hAnsi="Arial" w:cs="Arial"/>
                <w:bCs/>
                <w:color w:val="000000"/>
              </w:rPr>
            </w:pPr>
            <w:r w:rsidRPr="00E34E4D">
              <w:rPr>
                <w:rFonts w:ascii="Arial" w:hAnsi="Arial" w:cs="Arial"/>
                <w:bCs/>
                <w:color w:val="000000"/>
              </w:rPr>
              <w:t>823</w:t>
            </w:r>
          </w:p>
        </w:tc>
        <w:tc>
          <w:tcPr>
            <w:tcW w:w="1167" w:type="dxa"/>
            <w:tcBorders>
              <w:top w:val="nil"/>
              <w:left w:val="nil"/>
              <w:bottom w:val="single" w:sz="4" w:space="0" w:color="auto"/>
              <w:right w:val="single" w:sz="4" w:space="0" w:color="auto"/>
            </w:tcBorders>
            <w:shd w:val="clear" w:color="auto" w:fill="auto"/>
            <w:noWrap/>
            <w:vAlign w:val="center"/>
            <w:hideMark/>
          </w:tcPr>
          <w:p w:rsidR="00AE23BD" w:rsidRPr="00E34E4D" w:rsidRDefault="00554E9A" w:rsidP="00AE23BD">
            <w:pPr>
              <w:jc w:val="right"/>
              <w:rPr>
                <w:rFonts w:ascii="Arial" w:hAnsi="Arial" w:cs="Arial"/>
                <w:bCs/>
                <w:color w:val="000000"/>
              </w:rPr>
            </w:pPr>
            <w:r w:rsidRPr="00E34E4D">
              <w:rPr>
                <w:rFonts w:ascii="Arial" w:hAnsi="Arial" w:cs="Arial"/>
                <w:bCs/>
                <w:color w:val="000000"/>
                <w:lang w:val="en-US" w:eastAsia="en-US"/>
              </w:rPr>
              <w:t>▲</w:t>
            </w:r>
            <w:r w:rsidR="00AE23BD" w:rsidRPr="00E34E4D">
              <w:rPr>
                <w:rFonts w:ascii="Arial" w:hAnsi="Arial" w:cs="Arial"/>
                <w:bCs/>
                <w:color w:val="000000"/>
              </w:rPr>
              <w:t>13,0</w:t>
            </w:r>
            <w:r w:rsidR="0072567C" w:rsidRPr="00E34E4D">
              <w:rPr>
                <w:rFonts w:ascii="Arial" w:hAnsi="Arial" w:cs="Arial"/>
                <w:bCs/>
                <w:color w:val="000000"/>
              </w:rPr>
              <w:t>0</w:t>
            </w:r>
            <w:r w:rsidR="00AE23BD" w:rsidRPr="00E34E4D">
              <w:rPr>
                <w:rFonts w:ascii="Arial" w:hAnsi="Arial" w:cs="Arial"/>
                <w:bCs/>
                <w:color w:val="000000"/>
              </w:rPr>
              <w:t>%</w:t>
            </w:r>
          </w:p>
        </w:tc>
      </w:tr>
      <w:tr w:rsidR="00AD6201" w:rsidRPr="00D948FA" w:rsidTr="0027205E">
        <w:trPr>
          <w:trHeight w:val="512"/>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sidRPr="00AE23BD">
              <w:rPr>
                <w:rFonts w:ascii="Arial" w:hAnsi="Arial" w:cs="Arial"/>
                <w:b/>
                <w:bCs/>
                <w:color w:val="000000"/>
              </w:rPr>
              <w:t>5.</w:t>
            </w:r>
            <w:r>
              <w:rPr>
                <w:rFonts w:ascii="Arial" w:hAnsi="Arial" w:cs="Arial"/>
                <w:b/>
                <w:bCs/>
                <w:color w:val="000000"/>
              </w:rPr>
              <w:t>949</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sidRPr="00AE23BD">
              <w:rPr>
                <w:rFonts w:ascii="Arial" w:hAnsi="Arial" w:cs="Arial"/>
                <w:b/>
                <w:bCs/>
                <w:color w:val="000000"/>
              </w:rPr>
              <w:t>6.057</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sidRPr="002A0064">
              <w:rPr>
                <w:rFonts w:ascii="Arial" w:hAnsi="Arial" w:cs="Arial"/>
                <w:b/>
                <w:bCs/>
                <w:color w:val="000000"/>
                <w:lang w:val="en-US" w:eastAsia="en-US"/>
              </w:rPr>
              <w:t>▼</w:t>
            </w:r>
            <w:r>
              <w:rPr>
                <w:rFonts w:ascii="Arial" w:hAnsi="Arial" w:cs="Arial"/>
                <w:b/>
                <w:bCs/>
                <w:color w:val="000000"/>
              </w:rPr>
              <w:t>1,78</w:t>
            </w:r>
            <w:r w:rsidRPr="00AE23BD">
              <w:rPr>
                <w:rFonts w:ascii="Arial" w:hAnsi="Arial" w:cs="Arial"/>
                <w:b/>
                <w:bCs/>
                <w:color w:val="000000"/>
              </w:rPr>
              <w:t>%</w:t>
            </w:r>
          </w:p>
        </w:tc>
        <w:tc>
          <w:tcPr>
            <w:tcW w:w="2777" w:type="dxa"/>
            <w:tcBorders>
              <w:top w:val="nil"/>
              <w:left w:val="nil"/>
              <w:bottom w:val="single" w:sz="4" w:space="0" w:color="auto"/>
              <w:right w:val="single" w:sz="4" w:space="0" w:color="auto"/>
            </w:tcBorders>
            <w:shd w:val="clear" w:color="auto" w:fill="auto"/>
            <w:vAlign w:val="center"/>
            <w:hideMark/>
          </w:tcPr>
          <w:p w:rsidR="00AD6201" w:rsidRPr="00D948FA" w:rsidRDefault="00AD6201" w:rsidP="00AD6201">
            <w:pPr>
              <w:widowControl/>
              <w:autoSpaceDE/>
              <w:autoSpaceDN/>
              <w:adjustRightInd/>
              <w:rPr>
                <w:rFonts w:ascii="Arial" w:hAnsi="Arial" w:cs="Arial"/>
                <w:b/>
                <w:bCs/>
                <w:color w:val="000000"/>
                <w:lang w:val="en-US" w:eastAsia="en-US"/>
              </w:rPr>
            </w:pPr>
            <w:r w:rsidRPr="00D948FA">
              <w:rPr>
                <w:rFonts w:ascii="Arial" w:hAnsi="Arial" w:cs="Arial"/>
                <w:b/>
                <w:bCs/>
                <w:color w:val="000000"/>
                <w:lang w:val="en-US" w:eastAsia="en-US"/>
              </w:rPr>
              <w:t>Alte cheltuieli externe (cu energia si apa)</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sidRPr="00AE23BD">
              <w:rPr>
                <w:rFonts w:ascii="Arial" w:hAnsi="Arial" w:cs="Arial"/>
                <w:b/>
                <w:bCs/>
                <w:color w:val="000000"/>
              </w:rPr>
              <w:t>5.</w:t>
            </w:r>
            <w:r>
              <w:rPr>
                <w:rFonts w:ascii="Arial" w:hAnsi="Arial" w:cs="Arial"/>
                <w:b/>
                <w:bCs/>
                <w:color w:val="000000"/>
              </w:rPr>
              <w:t>949</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cs="Arial"/>
                <w:b/>
                <w:bCs/>
                <w:color w:val="000000"/>
              </w:rPr>
              <w:t>5.172</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sidRPr="002A0064">
              <w:rPr>
                <w:rFonts w:ascii="Arial" w:hAnsi="Arial" w:cs="Arial"/>
                <w:b/>
                <w:bCs/>
                <w:color w:val="000000"/>
                <w:lang w:val="en-US" w:eastAsia="en-US"/>
              </w:rPr>
              <w:t>▲</w:t>
            </w:r>
            <w:r w:rsidRPr="00AE23BD">
              <w:rPr>
                <w:rFonts w:ascii="Arial" w:hAnsi="Arial" w:cs="Arial"/>
                <w:b/>
                <w:bCs/>
                <w:color w:val="000000"/>
              </w:rPr>
              <w:t>1</w:t>
            </w:r>
            <w:r>
              <w:rPr>
                <w:rFonts w:ascii="Arial" w:hAnsi="Arial" w:cs="Arial"/>
                <w:b/>
                <w:bCs/>
                <w:color w:val="000000"/>
              </w:rPr>
              <w:t>5</w:t>
            </w:r>
            <w:r w:rsidRPr="00AE23BD">
              <w:rPr>
                <w:rFonts w:ascii="Arial" w:hAnsi="Arial" w:cs="Arial"/>
                <w:b/>
                <w:bCs/>
                <w:color w:val="000000"/>
              </w:rPr>
              <w:t>,</w:t>
            </w:r>
            <w:r>
              <w:rPr>
                <w:rFonts w:ascii="Arial" w:hAnsi="Arial" w:cs="Arial"/>
                <w:b/>
                <w:bCs/>
                <w:color w:val="000000"/>
              </w:rPr>
              <w:t>02</w:t>
            </w:r>
            <w:r w:rsidRPr="00AE23BD">
              <w:rPr>
                <w:rFonts w:ascii="Arial" w:hAnsi="Arial" w:cs="Arial"/>
                <w:b/>
                <w:bCs/>
                <w:color w:val="000000"/>
              </w:rPr>
              <w:t>%</w:t>
            </w:r>
          </w:p>
        </w:tc>
      </w:tr>
      <w:tr w:rsidR="00AD6201"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AE23BD" w:rsidRDefault="00AD6201" w:rsidP="005050DD">
            <w:pPr>
              <w:jc w:val="right"/>
              <w:rPr>
                <w:rFonts w:ascii="Arial" w:hAnsi="Arial" w:cs="Arial"/>
                <w:b/>
                <w:bCs/>
                <w:color w:val="000000"/>
              </w:rPr>
            </w:pPr>
            <w:r w:rsidRPr="00AE23BD">
              <w:rPr>
                <w:rFonts w:ascii="Arial" w:hAnsi="Arial" w:cs="Arial"/>
                <w:b/>
                <w:bCs/>
                <w:color w:val="000000"/>
              </w:rPr>
              <w:t>65.</w:t>
            </w:r>
            <w:r>
              <w:rPr>
                <w:rFonts w:ascii="Arial" w:hAnsi="Arial" w:cs="Arial"/>
                <w:b/>
                <w:bCs/>
                <w:color w:val="000000"/>
              </w:rPr>
              <w:t>95</w:t>
            </w:r>
            <w:r w:rsidR="005050DD">
              <w:rPr>
                <w:rFonts w:ascii="Arial" w:hAnsi="Arial" w:cs="Arial"/>
                <w:b/>
                <w:bCs/>
                <w:color w:val="000000"/>
              </w:rPr>
              <w:t>9</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26431C" w:rsidRDefault="00AD6201" w:rsidP="00AD6201">
            <w:pPr>
              <w:widowControl/>
              <w:autoSpaceDE/>
              <w:autoSpaceDN/>
              <w:adjustRightInd/>
              <w:jc w:val="right"/>
              <w:rPr>
                <w:rFonts w:ascii="Arial" w:hAnsi="Arial" w:cs="Arial"/>
                <w:b/>
                <w:bCs/>
                <w:color w:val="000000"/>
              </w:rPr>
            </w:pPr>
            <w:r w:rsidRPr="0026431C">
              <w:rPr>
                <w:rFonts w:ascii="Arial" w:hAnsi="Arial" w:cs="Arial"/>
                <w:b/>
                <w:bCs/>
                <w:color w:val="000000"/>
              </w:rPr>
              <w:t>67.59</w:t>
            </w:r>
            <w:r>
              <w:rPr>
                <w:rFonts w:ascii="Arial" w:hAnsi="Arial" w:cs="Arial"/>
                <w:b/>
                <w:bCs/>
                <w:color w:val="000000"/>
              </w:rPr>
              <w:t>5</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26431C" w:rsidRDefault="00AD6201" w:rsidP="00AD6201">
            <w:pPr>
              <w:jc w:val="right"/>
              <w:rPr>
                <w:rFonts w:ascii="Arial" w:hAnsi="Arial" w:cs="Arial"/>
                <w:b/>
                <w:bCs/>
                <w:color w:val="000000"/>
              </w:rPr>
            </w:pPr>
            <w:r w:rsidRPr="002A0064">
              <w:rPr>
                <w:rFonts w:ascii="Arial" w:hAnsi="Arial" w:cs="Arial"/>
                <w:b/>
                <w:bCs/>
                <w:color w:val="000000"/>
                <w:lang w:val="en-US" w:eastAsia="en-US"/>
              </w:rPr>
              <w:t>▼</w:t>
            </w:r>
            <w:r>
              <w:rPr>
                <w:rFonts w:ascii="Arial" w:hAnsi="Arial" w:cs="Arial"/>
                <w:b/>
                <w:bCs/>
                <w:color w:val="000000"/>
              </w:rPr>
              <w:t>2</w:t>
            </w:r>
            <w:r w:rsidRPr="0026431C">
              <w:rPr>
                <w:rFonts w:ascii="Arial" w:hAnsi="Arial" w:cs="Arial"/>
                <w:b/>
                <w:bCs/>
                <w:color w:val="000000"/>
              </w:rPr>
              <w:t>,</w:t>
            </w:r>
            <w:r>
              <w:rPr>
                <w:rFonts w:ascii="Arial" w:hAnsi="Arial" w:cs="Arial"/>
                <w:b/>
                <w:bCs/>
                <w:color w:val="000000"/>
              </w:rPr>
              <w:t>42</w:t>
            </w:r>
            <w:r w:rsidRPr="0026431C">
              <w:rPr>
                <w:rFonts w:ascii="Arial" w:hAnsi="Arial" w:cs="Arial"/>
                <w:b/>
                <w:bCs/>
                <w:color w:val="000000"/>
              </w:rPr>
              <w:t>%</w:t>
            </w:r>
          </w:p>
        </w:tc>
        <w:tc>
          <w:tcPr>
            <w:tcW w:w="2777" w:type="dxa"/>
            <w:tcBorders>
              <w:top w:val="nil"/>
              <w:left w:val="nil"/>
              <w:bottom w:val="single" w:sz="4" w:space="0" w:color="auto"/>
              <w:right w:val="single" w:sz="4" w:space="0" w:color="auto"/>
            </w:tcBorders>
            <w:shd w:val="clear" w:color="auto" w:fill="auto"/>
            <w:vAlign w:val="center"/>
            <w:hideMark/>
          </w:tcPr>
          <w:p w:rsidR="00AD6201" w:rsidRPr="00D948FA" w:rsidRDefault="00AD6201" w:rsidP="00AD6201">
            <w:pPr>
              <w:widowControl/>
              <w:autoSpaceDE/>
              <w:autoSpaceDN/>
              <w:adjustRightInd/>
              <w:rPr>
                <w:rFonts w:ascii="Arial" w:hAnsi="Arial" w:cs="Arial"/>
                <w:b/>
                <w:bCs/>
                <w:color w:val="000000"/>
                <w:lang w:val="en-US" w:eastAsia="en-US"/>
              </w:rPr>
            </w:pPr>
            <w:r w:rsidRPr="00D948FA">
              <w:rPr>
                <w:rFonts w:ascii="Arial" w:hAnsi="Arial" w:cs="Arial"/>
                <w:b/>
                <w:bCs/>
                <w:color w:val="000000"/>
                <w:lang w:val="en-US" w:eastAsia="en-US"/>
              </w:rPr>
              <w:t>Cheltuieli cu personalul</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5050DD">
            <w:pPr>
              <w:jc w:val="right"/>
              <w:rPr>
                <w:rFonts w:ascii="Arial" w:hAnsi="Arial" w:cs="Arial"/>
                <w:b/>
                <w:bCs/>
                <w:color w:val="000000"/>
              </w:rPr>
            </w:pPr>
            <w:r w:rsidRPr="00AE23BD">
              <w:rPr>
                <w:rFonts w:ascii="Arial" w:hAnsi="Arial" w:cs="Arial"/>
                <w:b/>
                <w:bCs/>
                <w:color w:val="000000"/>
              </w:rPr>
              <w:t>65.</w:t>
            </w:r>
            <w:r>
              <w:rPr>
                <w:rFonts w:ascii="Arial" w:hAnsi="Arial" w:cs="Arial"/>
                <w:b/>
                <w:bCs/>
                <w:color w:val="000000"/>
              </w:rPr>
              <w:t>95</w:t>
            </w:r>
            <w:r w:rsidR="005050DD">
              <w:rPr>
                <w:rFonts w:ascii="Arial" w:hAnsi="Arial" w:cs="Arial"/>
                <w:b/>
                <w:bCs/>
                <w:color w:val="000000"/>
              </w:rPr>
              <w:t>9</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cs="Arial"/>
                <w:b/>
                <w:bCs/>
                <w:color w:val="000000"/>
              </w:rPr>
              <w:t>57.854</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pPr>
              <w:jc w:val="right"/>
              <w:rPr>
                <w:rFonts w:ascii="Arial" w:hAnsi="Arial" w:cs="Arial"/>
                <w:b/>
                <w:bCs/>
                <w:color w:val="000000"/>
              </w:rPr>
            </w:pPr>
            <w:r w:rsidRPr="002A0064">
              <w:rPr>
                <w:rFonts w:ascii="Arial" w:hAnsi="Arial" w:cs="Arial"/>
                <w:b/>
                <w:bCs/>
                <w:color w:val="000000"/>
                <w:lang w:val="en-US" w:eastAsia="en-US"/>
              </w:rPr>
              <w:t>▲</w:t>
            </w:r>
            <w:r w:rsidRPr="00AE23BD">
              <w:rPr>
                <w:rFonts w:ascii="Arial" w:hAnsi="Arial" w:cs="Arial"/>
                <w:b/>
                <w:bCs/>
                <w:color w:val="000000"/>
              </w:rPr>
              <w:t>1</w:t>
            </w:r>
            <w:r>
              <w:rPr>
                <w:rFonts w:ascii="Arial" w:hAnsi="Arial" w:cs="Arial"/>
                <w:b/>
                <w:bCs/>
                <w:color w:val="000000"/>
              </w:rPr>
              <w:t>4</w:t>
            </w:r>
            <w:r w:rsidRPr="00AE23BD">
              <w:rPr>
                <w:rFonts w:ascii="Arial" w:hAnsi="Arial" w:cs="Arial"/>
                <w:b/>
                <w:bCs/>
                <w:color w:val="000000"/>
              </w:rPr>
              <w:t>,</w:t>
            </w:r>
            <w:r>
              <w:rPr>
                <w:rFonts w:ascii="Arial" w:hAnsi="Arial" w:cs="Arial"/>
                <w:b/>
                <w:bCs/>
                <w:color w:val="000000"/>
              </w:rPr>
              <w:t>01</w:t>
            </w:r>
            <w:r w:rsidRPr="00AE23BD">
              <w:rPr>
                <w:rFonts w:ascii="Arial" w:hAnsi="Arial" w:cs="Arial"/>
                <w:b/>
                <w:bCs/>
                <w:color w:val="000000"/>
              </w:rPr>
              <w:t>%</w:t>
            </w:r>
          </w:p>
        </w:tc>
      </w:tr>
      <w:tr w:rsidR="00AD6201" w:rsidRPr="00D948FA" w:rsidTr="0027205E">
        <w:trPr>
          <w:trHeight w:val="512"/>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sidRPr="00AE23BD">
              <w:rPr>
                <w:rFonts w:ascii="Arial" w:hAnsi="Arial" w:cs="Arial"/>
                <w:b/>
                <w:bCs/>
                <w:color w:val="000000"/>
              </w:rPr>
              <w:t>22.242</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sidRPr="00AE23BD">
              <w:rPr>
                <w:rFonts w:ascii="Arial" w:hAnsi="Arial" w:cs="Arial"/>
                <w:b/>
                <w:bCs/>
                <w:color w:val="000000"/>
              </w:rPr>
              <w:t>22.338</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sidRPr="002A0064">
              <w:rPr>
                <w:rFonts w:ascii="Arial" w:hAnsi="Arial" w:cs="Arial"/>
                <w:b/>
                <w:bCs/>
                <w:color w:val="000000"/>
                <w:lang w:val="en-US" w:eastAsia="en-US"/>
              </w:rPr>
              <w:t>▼</w:t>
            </w:r>
            <w:r>
              <w:rPr>
                <w:rFonts w:ascii="Arial" w:hAnsi="Arial" w:cs="Arial"/>
                <w:b/>
                <w:bCs/>
                <w:color w:val="000000"/>
              </w:rPr>
              <w:t>0,43</w:t>
            </w:r>
            <w:r w:rsidRPr="00AE23BD">
              <w:rPr>
                <w:rFonts w:ascii="Arial" w:hAnsi="Arial" w:cs="Arial"/>
                <w:b/>
                <w:bCs/>
                <w:color w:val="000000"/>
              </w:rPr>
              <w:t>%</w:t>
            </w:r>
          </w:p>
        </w:tc>
        <w:tc>
          <w:tcPr>
            <w:tcW w:w="2777" w:type="dxa"/>
            <w:tcBorders>
              <w:top w:val="nil"/>
              <w:left w:val="nil"/>
              <w:bottom w:val="single" w:sz="4" w:space="0" w:color="auto"/>
              <w:right w:val="single" w:sz="4" w:space="0" w:color="auto"/>
            </w:tcBorders>
            <w:shd w:val="clear" w:color="auto" w:fill="auto"/>
            <w:vAlign w:val="center"/>
            <w:hideMark/>
          </w:tcPr>
          <w:p w:rsidR="00AD6201" w:rsidRPr="00D948FA" w:rsidRDefault="00AD6201" w:rsidP="00AD6201">
            <w:pPr>
              <w:widowControl/>
              <w:autoSpaceDE/>
              <w:autoSpaceDN/>
              <w:adjustRightInd/>
              <w:rPr>
                <w:rFonts w:ascii="Arial" w:hAnsi="Arial" w:cs="Arial"/>
                <w:b/>
                <w:bCs/>
                <w:color w:val="000000"/>
                <w:lang w:val="en-US" w:eastAsia="en-US"/>
              </w:rPr>
            </w:pPr>
            <w:r w:rsidRPr="00D948FA">
              <w:rPr>
                <w:rFonts w:ascii="Arial" w:hAnsi="Arial" w:cs="Arial"/>
                <w:b/>
                <w:bCs/>
                <w:color w:val="000000"/>
                <w:lang w:val="en-US" w:eastAsia="en-US"/>
              </w:rPr>
              <w:t>Chelt. cu amortizarea imobil. corporale și necorporale</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sidRPr="00AE23BD">
              <w:rPr>
                <w:rFonts w:ascii="Arial" w:hAnsi="Arial" w:cs="Arial"/>
                <w:b/>
                <w:bCs/>
                <w:color w:val="000000"/>
              </w:rPr>
              <w:t>22.242</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cs="Arial"/>
                <w:b/>
                <w:bCs/>
                <w:color w:val="000000"/>
              </w:rPr>
              <w:t>22.280</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sidRPr="002A0064">
              <w:rPr>
                <w:rFonts w:ascii="Arial" w:hAnsi="Arial" w:cs="Arial"/>
                <w:b/>
                <w:bCs/>
                <w:color w:val="000000"/>
                <w:lang w:val="en-US" w:eastAsia="en-US"/>
              </w:rPr>
              <w:t>▼</w:t>
            </w:r>
            <w:r>
              <w:rPr>
                <w:rFonts w:ascii="Arial" w:hAnsi="Arial" w:cs="Arial"/>
                <w:b/>
                <w:bCs/>
                <w:color w:val="000000"/>
              </w:rPr>
              <w:t>0</w:t>
            </w:r>
            <w:r w:rsidRPr="00AE23BD">
              <w:rPr>
                <w:rFonts w:ascii="Arial" w:hAnsi="Arial" w:cs="Arial"/>
                <w:b/>
                <w:bCs/>
                <w:color w:val="000000"/>
              </w:rPr>
              <w:t>,</w:t>
            </w:r>
            <w:r>
              <w:rPr>
                <w:rFonts w:ascii="Arial" w:hAnsi="Arial" w:cs="Arial"/>
                <w:b/>
                <w:bCs/>
                <w:color w:val="000000"/>
              </w:rPr>
              <w:t>17</w:t>
            </w:r>
            <w:r w:rsidRPr="00AE23BD">
              <w:rPr>
                <w:rFonts w:ascii="Arial" w:hAnsi="Arial" w:cs="Arial"/>
                <w:b/>
                <w:bCs/>
                <w:color w:val="000000"/>
              </w:rPr>
              <w:t>%</w:t>
            </w:r>
          </w:p>
        </w:tc>
      </w:tr>
      <w:tr w:rsidR="00AD6201" w:rsidRPr="00D948FA" w:rsidTr="0027205E">
        <w:trPr>
          <w:trHeight w:val="512"/>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AE23BD" w:rsidRDefault="00AD6201" w:rsidP="005050DD">
            <w:pPr>
              <w:jc w:val="right"/>
              <w:rPr>
                <w:rFonts w:ascii="Arial" w:hAnsi="Arial" w:cs="Arial"/>
                <w:b/>
                <w:bCs/>
                <w:color w:val="000000"/>
              </w:rPr>
            </w:pPr>
            <w:r w:rsidRPr="00AE23BD">
              <w:rPr>
                <w:rFonts w:ascii="Arial" w:hAnsi="Arial" w:cs="Arial"/>
                <w:b/>
                <w:bCs/>
                <w:color w:val="000000"/>
              </w:rPr>
              <w:t>4</w:t>
            </w:r>
            <w:r>
              <w:rPr>
                <w:rFonts w:ascii="Arial" w:hAnsi="Arial" w:cs="Arial"/>
                <w:b/>
                <w:bCs/>
                <w:color w:val="000000"/>
              </w:rPr>
              <w:t>8</w:t>
            </w:r>
            <w:r w:rsidRPr="00AE23BD">
              <w:rPr>
                <w:rFonts w:ascii="Arial" w:hAnsi="Arial" w:cs="Arial"/>
                <w:b/>
                <w:bCs/>
                <w:color w:val="000000"/>
              </w:rPr>
              <w:t>.</w:t>
            </w:r>
            <w:r>
              <w:rPr>
                <w:rFonts w:ascii="Arial" w:hAnsi="Arial" w:cs="Arial"/>
                <w:b/>
                <w:bCs/>
                <w:color w:val="000000"/>
              </w:rPr>
              <w:t>81</w:t>
            </w:r>
            <w:r w:rsidR="005050DD">
              <w:rPr>
                <w:rFonts w:ascii="Arial" w:hAnsi="Arial" w:cs="Arial"/>
                <w:b/>
                <w:bCs/>
                <w:color w:val="000000"/>
              </w:rPr>
              <w:t>8</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sidRPr="00AE23BD">
              <w:rPr>
                <w:rFonts w:ascii="Arial" w:hAnsi="Arial" w:cs="Arial"/>
                <w:b/>
                <w:bCs/>
                <w:color w:val="000000"/>
              </w:rPr>
              <w:t>5</w:t>
            </w:r>
            <w:r>
              <w:rPr>
                <w:rFonts w:ascii="Arial" w:hAnsi="Arial" w:cs="Arial"/>
                <w:b/>
                <w:bCs/>
                <w:color w:val="000000"/>
              </w:rPr>
              <w:t>0</w:t>
            </w:r>
            <w:r w:rsidRPr="00AE23BD">
              <w:rPr>
                <w:rFonts w:ascii="Arial" w:hAnsi="Arial" w:cs="Arial"/>
                <w:b/>
                <w:bCs/>
                <w:color w:val="000000"/>
              </w:rPr>
              <w:t>.</w:t>
            </w:r>
            <w:r w:rsidR="002A4139">
              <w:rPr>
                <w:rFonts w:ascii="Arial" w:hAnsi="Arial" w:cs="Arial"/>
                <w:b/>
                <w:bCs/>
                <w:color w:val="000000"/>
              </w:rPr>
              <w:t>755</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sidRPr="002A0064">
              <w:rPr>
                <w:rFonts w:ascii="Arial" w:hAnsi="Arial" w:cs="Arial"/>
                <w:b/>
                <w:bCs/>
                <w:color w:val="000000"/>
                <w:lang w:val="en-US" w:eastAsia="en-US"/>
              </w:rPr>
              <w:t>▼</w:t>
            </w:r>
            <w:r>
              <w:rPr>
                <w:rFonts w:ascii="Arial" w:hAnsi="Arial" w:cs="Arial"/>
                <w:b/>
                <w:bCs/>
                <w:color w:val="000000"/>
                <w:lang w:val="en-US" w:eastAsia="en-US"/>
              </w:rPr>
              <w:t>3</w:t>
            </w:r>
            <w:r>
              <w:rPr>
                <w:rFonts w:ascii="Arial" w:hAnsi="Arial" w:cs="Arial"/>
                <w:b/>
                <w:bCs/>
                <w:color w:val="000000"/>
              </w:rPr>
              <w:t>,82</w:t>
            </w:r>
            <w:r w:rsidRPr="00AE23BD">
              <w:rPr>
                <w:rFonts w:ascii="Arial" w:hAnsi="Arial" w:cs="Arial"/>
                <w:b/>
                <w:bCs/>
                <w:color w:val="000000"/>
              </w:rPr>
              <w:t>%</w:t>
            </w:r>
          </w:p>
        </w:tc>
        <w:tc>
          <w:tcPr>
            <w:tcW w:w="2777" w:type="dxa"/>
            <w:tcBorders>
              <w:top w:val="nil"/>
              <w:left w:val="nil"/>
              <w:bottom w:val="single" w:sz="4" w:space="0" w:color="auto"/>
              <w:right w:val="single" w:sz="4" w:space="0" w:color="auto"/>
            </w:tcBorders>
            <w:shd w:val="clear" w:color="auto" w:fill="auto"/>
            <w:vAlign w:val="center"/>
            <w:hideMark/>
          </w:tcPr>
          <w:p w:rsidR="00AD6201" w:rsidRPr="00D948FA" w:rsidRDefault="00AD6201" w:rsidP="00AD6201">
            <w:pPr>
              <w:widowControl/>
              <w:autoSpaceDE/>
              <w:autoSpaceDN/>
              <w:adjustRightInd/>
              <w:rPr>
                <w:rFonts w:ascii="Arial" w:hAnsi="Arial" w:cs="Arial"/>
                <w:b/>
                <w:bCs/>
                <w:color w:val="000000"/>
                <w:lang w:val="en-US" w:eastAsia="en-US"/>
              </w:rPr>
            </w:pPr>
            <w:r w:rsidRPr="00D948FA">
              <w:rPr>
                <w:rFonts w:ascii="Arial" w:hAnsi="Arial" w:cs="Arial"/>
                <w:b/>
                <w:bCs/>
                <w:color w:val="000000"/>
                <w:lang w:val="en-US" w:eastAsia="en-US"/>
              </w:rPr>
              <w:t>Cheltuieli cu prestațiile externe, din care:</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5050DD">
            <w:pPr>
              <w:jc w:val="right"/>
              <w:rPr>
                <w:rFonts w:ascii="Arial" w:hAnsi="Arial" w:cs="Arial"/>
                <w:b/>
                <w:bCs/>
                <w:color w:val="000000"/>
              </w:rPr>
            </w:pPr>
            <w:r w:rsidRPr="00AE23BD">
              <w:rPr>
                <w:rFonts w:ascii="Arial" w:hAnsi="Arial" w:cs="Arial"/>
                <w:b/>
                <w:bCs/>
                <w:color w:val="000000"/>
              </w:rPr>
              <w:t>4</w:t>
            </w:r>
            <w:r>
              <w:rPr>
                <w:rFonts w:ascii="Arial" w:hAnsi="Arial" w:cs="Arial"/>
                <w:b/>
                <w:bCs/>
                <w:color w:val="000000"/>
              </w:rPr>
              <w:t>8</w:t>
            </w:r>
            <w:r w:rsidRPr="00AE23BD">
              <w:rPr>
                <w:rFonts w:ascii="Arial" w:hAnsi="Arial" w:cs="Arial"/>
                <w:b/>
                <w:bCs/>
                <w:color w:val="000000"/>
              </w:rPr>
              <w:t>.</w:t>
            </w:r>
            <w:r>
              <w:rPr>
                <w:rFonts w:ascii="Arial" w:hAnsi="Arial" w:cs="Arial"/>
                <w:b/>
                <w:bCs/>
                <w:color w:val="000000"/>
              </w:rPr>
              <w:t>81</w:t>
            </w:r>
            <w:r w:rsidR="005050DD">
              <w:rPr>
                <w:rFonts w:ascii="Arial" w:hAnsi="Arial" w:cs="Arial"/>
                <w:b/>
                <w:bCs/>
                <w:color w:val="000000"/>
              </w:rPr>
              <w:t>8</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cs="Arial"/>
                <w:b/>
                <w:bCs/>
                <w:color w:val="000000"/>
              </w:rPr>
              <w:t>49.074</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pPr>
              <w:jc w:val="right"/>
              <w:rPr>
                <w:rFonts w:ascii="Arial" w:hAnsi="Arial" w:cs="Arial"/>
                <w:b/>
                <w:bCs/>
                <w:color w:val="000000"/>
              </w:rPr>
            </w:pPr>
            <w:r w:rsidRPr="002A0064">
              <w:rPr>
                <w:rFonts w:ascii="Arial" w:hAnsi="Arial" w:cs="Arial"/>
                <w:b/>
                <w:bCs/>
                <w:color w:val="000000"/>
                <w:lang w:val="en-US" w:eastAsia="en-US"/>
              </w:rPr>
              <w:t>▼</w:t>
            </w:r>
            <w:r>
              <w:rPr>
                <w:rFonts w:ascii="Arial" w:hAnsi="Arial" w:cs="Arial"/>
                <w:b/>
                <w:bCs/>
                <w:color w:val="000000"/>
              </w:rPr>
              <w:t>0,</w:t>
            </w:r>
            <w:r w:rsidR="0043301A">
              <w:rPr>
                <w:rFonts w:ascii="Arial" w:hAnsi="Arial" w:cs="Arial"/>
                <w:b/>
                <w:bCs/>
                <w:color w:val="000000"/>
              </w:rPr>
              <w:t>52</w:t>
            </w:r>
            <w:r w:rsidRPr="00AE23BD">
              <w:rPr>
                <w:rFonts w:ascii="Arial" w:hAnsi="Arial" w:cs="Arial"/>
                <w:b/>
                <w:bCs/>
                <w:color w:val="000000"/>
              </w:rPr>
              <w:t>%</w:t>
            </w:r>
          </w:p>
        </w:tc>
      </w:tr>
      <w:tr w:rsidR="00AD6201" w:rsidRPr="00D948FA" w:rsidTr="00C1011A">
        <w:trPr>
          <w:trHeight w:val="478"/>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sidRPr="00E34E4D">
              <w:rPr>
                <w:rFonts w:ascii="Arial" w:hAnsi="Arial" w:cs="Arial"/>
                <w:color w:val="000000"/>
              </w:rPr>
              <w:t>1.118</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sidRPr="00E34E4D">
              <w:rPr>
                <w:rFonts w:ascii="Arial" w:hAnsi="Arial" w:cs="Arial"/>
                <w:color w:val="000000"/>
              </w:rPr>
              <w:t>2.512</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sidRPr="00E34E4D">
              <w:rPr>
                <w:rFonts w:ascii="Arial" w:hAnsi="Arial" w:cs="Arial"/>
                <w:bCs/>
                <w:color w:val="000000"/>
                <w:lang w:val="en-US" w:eastAsia="en-US"/>
              </w:rPr>
              <w:t>▼54</w:t>
            </w:r>
            <w:r w:rsidRPr="00E34E4D">
              <w:rPr>
                <w:rFonts w:ascii="Arial" w:hAnsi="Arial" w:cs="Arial"/>
                <w:bCs/>
                <w:color w:val="000000"/>
              </w:rPr>
              <w:t>,49%</w:t>
            </w:r>
          </w:p>
        </w:tc>
        <w:tc>
          <w:tcPr>
            <w:tcW w:w="2777" w:type="dxa"/>
            <w:tcBorders>
              <w:top w:val="nil"/>
              <w:left w:val="nil"/>
              <w:bottom w:val="single" w:sz="4" w:space="0" w:color="auto"/>
              <w:right w:val="single" w:sz="4" w:space="0" w:color="auto"/>
            </w:tcBorders>
            <w:shd w:val="clear" w:color="auto" w:fill="auto"/>
            <w:vAlign w:val="center"/>
            <w:hideMark/>
          </w:tcPr>
          <w:p w:rsidR="00AD6201" w:rsidRPr="00E34E4D" w:rsidRDefault="004546BD" w:rsidP="004546BD">
            <w:pPr>
              <w:widowControl/>
              <w:autoSpaceDE/>
              <w:autoSpaceDN/>
              <w:adjustRightInd/>
              <w:rPr>
                <w:rFonts w:ascii="Arial" w:hAnsi="Arial" w:cs="Arial"/>
                <w:iCs/>
                <w:color w:val="000000"/>
                <w:lang w:val="en-US" w:eastAsia="en-US"/>
              </w:rPr>
            </w:pPr>
            <w:r>
              <w:rPr>
                <w:rFonts w:ascii="Arial" w:hAnsi="Arial" w:cs="Arial"/>
                <w:iCs/>
                <w:color w:val="000000"/>
                <w:lang w:val="en-US" w:eastAsia="en-US"/>
              </w:rPr>
              <w:t>-cheltuieli cu mentenanț</w:t>
            </w:r>
            <w:r w:rsidR="00AD6201" w:rsidRPr="00E34E4D">
              <w:rPr>
                <w:rFonts w:ascii="Arial" w:hAnsi="Arial" w:cs="Arial"/>
                <w:iCs/>
                <w:color w:val="000000"/>
                <w:lang w:val="en-US" w:eastAsia="en-US"/>
              </w:rPr>
              <w:t xml:space="preserve">a </w:t>
            </w:r>
            <w:r>
              <w:rPr>
                <w:rFonts w:ascii="Arial" w:hAnsi="Arial" w:cs="Arial"/>
                <w:iCs/>
                <w:color w:val="000000"/>
                <w:lang w:val="en-US" w:eastAsia="en-US"/>
              </w:rPr>
              <w:t xml:space="preserve">    </w:t>
            </w:r>
            <w:r w:rsidR="00AD6201" w:rsidRPr="00E34E4D">
              <w:rPr>
                <w:rFonts w:ascii="Arial" w:hAnsi="Arial" w:cs="Arial"/>
                <w:iCs/>
                <w:color w:val="000000"/>
                <w:lang w:val="en-US" w:eastAsia="en-US"/>
              </w:rPr>
              <w:t xml:space="preserve">(întreținere, reparații curente și capitale ) </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sidRPr="00E34E4D">
              <w:rPr>
                <w:rFonts w:ascii="Arial" w:hAnsi="Arial" w:cs="Arial"/>
                <w:color w:val="000000"/>
              </w:rPr>
              <w:t>1.118</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sidRPr="00E34E4D">
              <w:rPr>
                <w:rFonts w:ascii="Arial" w:hAnsi="Arial" w:cs="Arial"/>
                <w:color w:val="000000"/>
              </w:rPr>
              <w:t>700</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sidRPr="00E34E4D">
              <w:rPr>
                <w:rFonts w:ascii="Arial" w:hAnsi="Arial" w:cs="Arial"/>
                <w:bCs/>
                <w:color w:val="000000"/>
                <w:lang w:val="en-US" w:eastAsia="en-US"/>
              </w:rPr>
              <w:t>▲</w:t>
            </w:r>
            <w:r w:rsidRPr="00E34E4D">
              <w:rPr>
                <w:rFonts w:ascii="Arial" w:hAnsi="Arial" w:cs="Arial"/>
                <w:bCs/>
                <w:color w:val="000000"/>
              </w:rPr>
              <w:t>59,71%</w:t>
            </w:r>
          </w:p>
        </w:tc>
      </w:tr>
      <w:tr w:rsidR="00AD6201" w:rsidRPr="00D948FA" w:rsidTr="0027205E">
        <w:trPr>
          <w:trHeight w:val="512"/>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sidRPr="00E34E4D">
              <w:rPr>
                <w:rFonts w:ascii="Arial" w:hAnsi="Arial" w:cs="Arial"/>
                <w:color w:val="000000"/>
              </w:rPr>
              <w:t>27.681</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sidRPr="00E34E4D">
              <w:rPr>
                <w:rFonts w:ascii="Arial" w:hAnsi="Arial" w:cs="Arial"/>
                <w:color w:val="000000"/>
              </w:rPr>
              <w:t>26.201</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sidRPr="00E34E4D">
              <w:rPr>
                <w:rFonts w:ascii="Arial" w:hAnsi="Arial" w:cs="Arial"/>
                <w:bCs/>
                <w:color w:val="000000"/>
                <w:lang w:val="en-US" w:eastAsia="en-US"/>
              </w:rPr>
              <w:t>▲5</w:t>
            </w:r>
            <w:r w:rsidRPr="00E34E4D">
              <w:rPr>
                <w:rFonts w:ascii="Arial" w:hAnsi="Arial" w:cs="Arial"/>
                <w:bCs/>
                <w:color w:val="000000"/>
              </w:rPr>
              <w:t>,65%</w:t>
            </w:r>
          </w:p>
        </w:tc>
        <w:tc>
          <w:tcPr>
            <w:tcW w:w="2777" w:type="dxa"/>
            <w:tcBorders>
              <w:top w:val="nil"/>
              <w:left w:val="nil"/>
              <w:bottom w:val="single" w:sz="4" w:space="0" w:color="auto"/>
              <w:right w:val="single" w:sz="4" w:space="0" w:color="auto"/>
            </w:tcBorders>
            <w:shd w:val="clear" w:color="auto" w:fill="auto"/>
            <w:vAlign w:val="center"/>
            <w:hideMark/>
          </w:tcPr>
          <w:p w:rsidR="00AD6201" w:rsidRPr="00E34E4D" w:rsidRDefault="00AD6201" w:rsidP="00AD6201">
            <w:pPr>
              <w:widowControl/>
              <w:autoSpaceDE/>
              <w:autoSpaceDN/>
              <w:adjustRightInd/>
              <w:rPr>
                <w:rFonts w:ascii="Arial" w:hAnsi="Arial" w:cs="Arial"/>
                <w:iCs/>
                <w:color w:val="000000"/>
                <w:lang w:val="en-US" w:eastAsia="en-US"/>
              </w:rPr>
            </w:pPr>
            <w:r w:rsidRPr="00E34E4D">
              <w:rPr>
                <w:rFonts w:ascii="Arial" w:hAnsi="Arial" w:cs="Arial"/>
                <w:iCs/>
                <w:color w:val="000000"/>
                <w:lang w:val="en-US" w:eastAsia="en-US"/>
              </w:rPr>
              <w:t>-cheltuieli cu transportul țițeiului pe calea ferată</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sidRPr="00E34E4D">
              <w:rPr>
                <w:rFonts w:ascii="Arial" w:hAnsi="Arial" w:cs="Arial"/>
                <w:color w:val="000000"/>
              </w:rPr>
              <w:t>27.681</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sidRPr="00E34E4D">
              <w:rPr>
                <w:rFonts w:ascii="Arial" w:hAnsi="Arial" w:cs="Arial"/>
                <w:color w:val="000000"/>
              </w:rPr>
              <w:t>28.104</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sidRPr="00E34E4D">
              <w:rPr>
                <w:rFonts w:ascii="Arial" w:hAnsi="Arial" w:cs="Arial"/>
                <w:bCs/>
                <w:color w:val="000000"/>
                <w:lang w:val="en-US" w:eastAsia="en-US"/>
              </w:rPr>
              <w:t>▼</w:t>
            </w:r>
            <w:r w:rsidRPr="00E34E4D">
              <w:rPr>
                <w:rFonts w:ascii="Arial" w:hAnsi="Arial" w:cs="Arial"/>
                <w:bCs/>
                <w:color w:val="000000"/>
              </w:rPr>
              <w:t>1,51%</w:t>
            </w:r>
          </w:p>
        </w:tc>
      </w:tr>
      <w:tr w:rsidR="00AD6201"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sidRPr="00E34E4D">
              <w:rPr>
                <w:rFonts w:ascii="Arial" w:hAnsi="Arial" w:cs="Arial"/>
                <w:color w:val="000000"/>
              </w:rPr>
              <w:t>353</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sidRPr="00E34E4D">
              <w:rPr>
                <w:rFonts w:ascii="Arial" w:hAnsi="Arial" w:cs="Arial"/>
                <w:color w:val="000000"/>
              </w:rPr>
              <w:t>783</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sidRPr="00E34E4D">
              <w:rPr>
                <w:rFonts w:ascii="Arial" w:hAnsi="Arial" w:cs="Arial"/>
                <w:bCs/>
                <w:color w:val="000000"/>
                <w:lang w:val="en-US" w:eastAsia="en-US"/>
              </w:rPr>
              <w:t>▼</w:t>
            </w:r>
            <w:r w:rsidRPr="00E34E4D">
              <w:rPr>
                <w:rFonts w:ascii="Arial" w:hAnsi="Arial" w:cs="Arial"/>
                <w:bCs/>
                <w:color w:val="000000"/>
              </w:rPr>
              <w:t>54,92%</w:t>
            </w:r>
          </w:p>
        </w:tc>
        <w:tc>
          <w:tcPr>
            <w:tcW w:w="2777" w:type="dxa"/>
            <w:tcBorders>
              <w:top w:val="nil"/>
              <w:left w:val="nil"/>
              <w:bottom w:val="single" w:sz="4" w:space="0" w:color="auto"/>
              <w:right w:val="single" w:sz="4" w:space="0" w:color="auto"/>
            </w:tcBorders>
            <w:shd w:val="clear" w:color="auto" w:fill="auto"/>
            <w:vAlign w:val="center"/>
            <w:hideMark/>
          </w:tcPr>
          <w:p w:rsidR="00AD6201" w:rsidRPr="00E34E4D" w:rsidRDefault="00AD6201" w:rsidP="00AD6201">
            <w:pPr>
              <w:widowControl/>
              <w:autoSpaceDE/>
              <w:autoSpaceDN/>
              <w:adjustRightInd/>
              <w:rPr>
                <w:rFonts w:ascii="Arial" w:hAnsi="Arial" w:cs="Arial"/>
                <w:iCs/>
                <w:color w:val="000000"/>
                <w:lang w:val="en-US" w:eastAsia="en-US"/>
              </w:rPr>
            </w:pPr>
            <w:r w:rsidRPr="00E34E4D">
              <w:rPr>
                <w:rFonts w:ascii="Arial" w:hAnsi="Arial" w:cs="Arial"/>
                <w:iCs/>
                <w:color w:val="000000"/>
                <w:lang w:val="en-US" w:eastAsia="en-US"/>
              </w:rPr>
              <w:t xml:space="preserve">-cheltuieli cu lucrările de ecologizare  </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sidRPr="00E34E4D">
              <w:rPr>
                <w:rFonts w:ascii="Arial" w:hAnsi="Arial" w:cs="Arial"/>
                <w:color w:val="000000"/>
              </w:rPr>
              <w:t>353</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sidRPr="00E34E4D">
              <w:rPr>
                <w:rFonts w:ascii="Arial" w:hAnsi="Arial" w:cs="Arial"/>
                <w:color w:val="000000"/>
              </w:rPr>
              <w:t>221</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sidRPr="00E34E4D">
              <w:rPr>
                <w:rFonts w:ascii="Arial" w:hAnsi="Arial" w:cs="Arial"/>
                <w:bCs/>
                <w:color w:val="000000"/>
                <w:lang w:val="en-US" w:eastAsia="en-US"/>
              </w:rPr>
              <w:t>▲</w:t>
            </w:r>
            <w:r w:rsidRPr="00E34E4D">
              <w:rPr>
                <w:rFonts w:ascii="Arial" w:hAnsi="Arial" w:cs="Arial"/>
                <w:bCs/>
                <w:color w:val="000000"/>
              </w:rPr>
              <w:t>59,73%</w:t>
            </w:r>
          </w:p>
        </w:tc>
      </w:tr>
      <w:tr w:rsidR="00AD6201"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sidRPr="00E34E4D">
              <w:rPr>
                <w:rFonts w:ascii="Arial" w:hAnsi="Arial" w:cs="Arial"/>
                <w:color w:val="000000"/>
              </w:rPr>
              <w:t>14.016</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sidRPr="00E34E4D">
              <w:rPr>
                <w:rFonts w:ascii="Arial" w:hAnsi="Arial" w:cs="Arial"/>
                <w:color w:val="000000"/>
              </w:rPr>
              <w:t>13.844</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sidRPr="00E34E4D">
              <w:rPr>
                <w:rFonts w:ascii="Arial" w:hAnsi="Arial" w:cs="Arial"/>
                <w:bCs/>
                <w:color w:val="000000"/>
                <w:lang w:val="en-US" w:eastAsia="en-US"/>
              </w:rPr>
              <w:t>▲</w:t>
            </w:r>
            <w:r w:rsidRPr="00E34E4D">
              <w:rPr>
                <w:rFonts w:ascii="Arial" w:hAnsi="Arial" w:cs="Arial"/>
                <w:bCs/>
                <w:color w:val="000000"/>
              </w:rPr>
              <w:t>1,24%</w:t>
            </w:r>
          </w:p>
        </w:tc>
        <w:tc>
          <w:tcPr>
            <w:tcW w:w="2777" w:type="dxa"/>
            <w:tcBorders>
              <w:top w:val="nil"/>
              <w:left w:val="nil"/>
              <w:bottom w:val="single" w:sz="4" w:space="0" w:color="auto"/>
              <w:right w:val="single" w:sz="4" w:space="0" w:color="auto"/>
            </w:tcBorders>
            <w:shd w:val="clear" w:color="auto" w:fill="auto"/>
            <w:vAlign w:val="center"/>
            <w:hideMark/>
          </w:tcPr>
          <w:p w:rsidR="00AD6201" w:rsidRPr="00E34E4D" w:rsidRDefault="00AD6201" w:rsidP="00AD6201">
            <w:pPr>
              <w:widowControl/>
              <w:autoSpaceDE/>
              <w:autoSpaceDN/>
              <w:adjustRightInd/>
              <w:rPr>
                <w:rFonts w:ascii="Arial" w:hAnsi="Arial" w:cs="Arial"/>
                <w:iCs/>
                <w:color w:val="000000"/>
                <w:lang w:val="en-US" w:eastAsia="en-US"/>
              </w:rPr>
            </w:pPr>
            <w:r w:rsidRPr="00E34E4D">
              <w:rPr>
                <w:rFonts w:ascii="Arial" w:hAnsi="Arial" w:cs="Arial"/>
                <w:iCs/>
                <w:color w:val="000000"/>
                <w:lang w:val="en-US" w:eastAsia="en-US"/>
              </w:rPr>
              <w:t>-redevență petrolieră</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sidRPr="00E34E4D">
              <w:rPr>
                <w:rFonts w:ascii="Arial" w:hAnsi="Arial" w:cs="Arial"/>
                <w:color w:val="000000"/>
              </w:rPr>
              <w:t>14.016</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sidRPr="00E34E4D">
              <w:rPr>
                <w:rFonts w:ascii="Arial" w:hAnsi="Arial" w:cs="Arial"/>
                <w:color w:val="000000"/>
              </w:rPr>
              <w:t>14.147</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sidRPr="00E34E4D">
              <w:rPr>
                <w:rFonts w:ascii="Arial" w:hAnsi="Arial" w:cs="Arial"/>
                <w:bCs/>
                <w:color w:val="000000"/>
                <w:lang w:val="en-US" w:eastAsia="en-US"/>
              </w:rPr>
              <w:t>▼</w:t>
            </w:r>
            <w:r w:rsidRPr="00E34E4D">
              <w:rPr>
                <w:rFonts w:ascii="Arial" w:hAnsi="Arial" w:cs="Arial"/>
                <w:bCs/>
                <w:color w:val="000000"/>
              </w:rPr>
              <w:t>0,93%</w:t>
            </w:r>
          </w:p>
        </w:tc>
      </w:tr>
      <w:tr w:rsidR="00AD6201"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E34E4D" w:rsidRDefault="00FD25A2" w:rsidP="00AD6201">
            <w:pPr>
              <w:jc w:val="right"/>
              <w:rPr>
                <w:rFonts w:ascii="Arial" w:hAnsi="Arial" w:cs="Arial"/>
                <w:color w:val="000000"/>
              </w:rPr>
            </w:pPr>
            <w:r>
              <w:rPr>
                <w:rFonts w:ascii="Arial" w:hAnsi="Arial" w:cs="Arial"/>
                <w:color w:val="000000"/>
              </w:rPr>
              <w:t>5.650</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sidRPr="00E34E4D">
              <w:rPr>
                <w:rFonts w:ascii="Arial" w:hAnsi="Arial" w:cs="Arial"/>
                <w:color w:val="000000"/>
              </w:rPr>
              <w:t>7.415</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sidRPr="00E34E4D">
              <w:rPr>
                <w:rFonts w:ascii="Arial" w:hAnsi="Arial" w:cs="Arial"/>
                <w:bCs/>
                <w:color w:val="000000"/>
                <w:lang w:val="en-US" w:eastAsia="en-US"/>
              </w:rPr>
              <w:t>▼</w:t>
            </w:r>
            <w:r w:rsidRPr="00E34E4D">
              <w:rPr>
                <w:rFonts w:ascii="Arial" w:hAnsi="Arial" w:cs="Arial"/>
                <w:bCs/>
                <w:color w:val="000000"/>
              </w:rPr>
              <w:t>23,82%</w:t>
            </w:r>
          </w:p>
        </w:tc>
        <w:tc>
          <w:tcPr>
            <w:tcW w:w="2777" w:type="dxa"/>
            <w:tcBorders>
              <w:top w:val="nil"/>
              <w:left w:val="nil"/>
              <w:bottom w:val="single" w:sz="4" w:space="0" w:color="auto"/>
              <w:right w:val="single" w:sz="4" w:space="0" w:color="auto"/>
            </w:tcBorders>
            <w:shd w:val="clear" w:color="auto" w:fill="auto"/>
            <w:vAlign w:val="center"/>
            <w:hideMark/>
          </w:tcPr>
          <w:p w:rsidR="00AD6201" w:rsidRPr="00E34E4D" w:rsidRDefault="00AD6201" w:rsidP="00AD6201">
            <w:pPr>
              <w:widowControl/>
              <w:autoSpaceDE/>
              <w:autoSpaceDN/>
              <w:adjustRightInd/>
              <w:rPr>
                <w:rFonts w:ascii="Arial" w:hAnsi="Arial" w:cs="Arial"/>
                <w:iCs/>
                <w:color w:val="000000"/>
                <w:lang w:val="en-US" w:eastAsia="en-US"/>
              </w:rPr>
            </w:pPr>
            <w:r w:rsidRPr="00E34E4D">
              <w:rPr>
                <w:rFonts w:ascii="Arial" w:hAnsi="Arial" w:cs="Arial"/>
                <w:iCs/>
                <w:color w:val="000000"/>
                <w:lang w:val="en-US" w:eastAsia="en-US"/>
              </w:rPr>
              <w:t>-alte servicii executate de terți</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E34E4D" w:rsidRDefault="00FD25A2" w:rsidP="00AD6201">
            <w:pPr>
              <w:jc w:val="right"/>
              <w:rPr>
                <w:rFonts w:ascii="Arial" w:hAnsi="Arial" w:cs="Arial"/>
                <w:color w:val="000000"/>
              </w:rPr>
            </w:pPr>
            <w:r>
              <w:rPr>
                <w:rFonts w:ascii="Arial" w:hAnsi="Arial" w:cs="Arial"/>
                <w:color w:val="000000"/>
              </w:rPr>
              <w:t>5.650</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sidRPr="00E34E4D">
              <w:rPr>
                <w:rFonts w:ascii="Arial" w:hAnsi="Arial" w:cs="Arial"/>
                <w:color w:val="000000"/>
              </w:rPr>
              <w:t>5.902</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pPr>
              <w:jc w:val="right"/>
              <w:rPr>
                <w:rFonts w:ascii="Arial" w:hAnsi="Arial" w:cs="Arial"/>
                <w:bCs/>
                <w:color w:val="000000"/>
              </w:rPr>
            </w:pPr>
            <w:r w:rsidRPr="00E34E4D">
              <w:rPr>
                <w:rFonts w:ascii="Arial" w:hAnsi="Arial" w:cs="Arial"/>
                <w:b/>
                <w:bCs/>
                <w:color w:val="000000"/>
                <w:lang w:val="en-US" w:eastAsia="en-US"/>
              </w:rPr>
              <w:t>▼</w:t>
            </w:r>
            <w:r w:rsidR="00D2356B" w:rsidRPr="00E34E4D">
              <w:rPr>
                <w:rFonts w:ascii="Arial" w:hAnsi="Arial" w:cs="Arial"/>
                <w:bCs/>
                <w:color w:val="000000"/>
              </w:rPr>
              <w:t>4</w:t>
            </w:r>
            <w:r w:rsidRPr="00E34E4D">
              <w:rPr>
                <w:rFonts w:ascii="Arial" w:hAnsi="Arial" w:cs="Arial"/>
                <w:bCs/>
                <w:color w:val="000000"/>
              </w:rPr>
              <w:t>,</w:t>
            </w:r>
            <w:r w:rsidR="00D2356B" w:rsidRPr="00E34E4D">
              <w:rPr>
                <w:rFonts w:ascii="Arial" w:hAnsi="Arial" w:cs="Arial"/>
                <w:bCs/>
                <w:color w:val="000000"/>
              </w:rPr>
              <w:t>29</w:t>
            </w:r>
            <w:r w:rsidRPr="00E34E4D">
              <w:rPr>
                <w:rFonts w:ascii="Arial" w:hAnsi="Arial" w:cs="Arial"/>
                <w:bCs/>
                <w:color w:val="000000"/>
              </w:rPr>
              <w:t>%</w:t>
            </w:r>
          </w:p>
        </w:tc>
      </w:tr>
      <w:tr w:rsidR="00AD6201" w:rsidRPr="00D948FA" w:rsidTr="0027205E">
        <w:trPr>
          <w:trHeight w:val="512"/>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sidRPr="00AE23BD">
              <w:rPr>
                <w:rFonts w:ascii="Arial" w:hAnsi="Arial" w:cs="Arial"/>
                <w:b/>
                <w:bCs/>
                <w:color w:val="000000"/>
              </w:rPr>
              <w:t>-97</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cs="Arial"/>
                <w:b/>
                <w:bCs/>
                <w:color w:val="000000"/>
              </w:rPr>
              <w:t>-</w:t>
            </w:r>
            <w:r w:rsidRPr="00AE23BD">
              <w:rPr>
                <w:rFonts w:ascii="Arial" w:hAnsi="Arial" w:cs="Arial"/>
                <w:b/>
                <w:bCs/>
                <w:color w:val="000000"/>
              </w:rPr>
              <w:t>260</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sidRPr="002A0064">
              <w:rPr>
                <w:rFonts w:ascii="Arial" w:hAnsi="Arial" w:cs="Arial"/>
                <w:b/>
                <w:bCs/>
                <w:color w:val="000000"/>
                <w:lang w:val="en-US" w:eastAsia="en-US"/>
              </w:rPr>
              <w:t>▲</w:t>
            </w:r>
            <w:r w:rsidRPr="00961459">
              <w:rPr>
                <w:rFonts w:ascii="Arial" w:hAnsi="Arial" w:cs="Arial"/>
                <w:b/>
                <w:bCs/>
              </w:rPr>
              <w:t>37,31%</w:t>
            </w:r>
          </w:p>
        </w:tc>
        <w:tc>
          <w:tcPr>
            <w:tcW w:w="2777" w:type="dxa"/>
            <w:tcBorders>
              <w:top w:val="nil"/>
              <w:left w:val="nil"/>
              <w:bottom w:val="single" w:sz="4" w:space="0" w:color="auto"/>
              <w:right w:val="single" w:sz="4" w:space="0" w:color="auto"/>
            </w:tcBorders>
            <w:shd w:val="clear" w:color="auto" w:fill="auto"/>
            <w:vAlign w:val="center"/>
            <w:hideMark/>
          </w:tcPr>
          <w:p w:rsidR="00AD6201" w:rsidRPr="00D948FA" w:rsidRDefault="00AD6201" w:rsidP="00AD6201">
            <w:pPr>
              <w:widowControl/>
              <w:autoSpaceDE/>
              <w:autoSpaceDN/>
              <w:adjustRightInd/>
              <w:rPr>
                <w:rFonts w:ascii="Arial" w:hAnsi="Arial" w:cs="Arial"/>
                <w:b/>
                <w:bCs/>
                <w:color w:val="000000"/>
                <w:lang w:val="en-US" w:eastAsia="en-US"/>
              </w:rPr>
            </w:pPr>
            <w:r w:rsidRPr="00D948FA">
              <w:rPr>
                <w:rFonts w:ascii="Arial" w:hAnsi="Arial" w:cs="Arial"/>
                <w:b/>
                <w:bCs/>
                <w:color w:val="000000"/>
                <w:lang w:val="en-US" w:eastAsia="en-US"/>
              </w:rPr>
              <w:t xml:space="preserve">Ajustări de valoare privind activele circulante </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sidRPr="00AE23BD">
              <w:rPr>
                <w:rFonts w:ascii="Arial" w:hAnsi="Arial" w:cs="Arial"/>
                <w:b/>
                <w:bCs/>
                <w:color w:val="000000"/>
              </w:rPr>
              <w:t>-97</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cs="Arial"/>
                <w:b/>
                <w:bCs/>
                <w:color w:val="000000"/>
              </w:rPr>
              <w:t>-1.063</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sidRPr="002A0064">
              <w:rPr>
                <w:rFonts w:ascii="Arial" w:hAnsi="Arial" w:cs="Arial"/>
                <w:b/>
                <w:bCs/>
                <w:color w:val="000000"/>
                <w:lang w:val="en-US" w:eastAsia="en-US"/>
              </w:rPr>
              <w:t>▲</w:t>
            </w:r>
            <w:r w:rsidRPr="00AE23BD">
              <w:rPr>
                <w:rFonts w:ascii="Arial" w:hAnsi="Arial" w:cs="Arial"/>
                <w:b/>
                <w:bCs/>
                <w:color w:val="000000"/>
              </w:rPr>
              <w:t>9,1</w:t>
            </w:r>
            <w:r>
              <w:rPr>
                <w:rFonts w:ascii="Arial" w:hAnsi="Arial" w:cs="Arial"/>
                <w:b/>
                <w:bCs/>
                <w:color w:val="000000"/>
              </w:rPr>
              <w:t>3</w:t>
            </w:r>
            <w:r w:rsidRPr="00AE23BD">
              <w:rPr>
                <w:rFonts w:ascii="Arial" w:hAnsi="Arial" w:cs="Arial"/>
                <w:b/>
                <w:bCs/>
                <w:color w:val="000000"/>
              </w:rPr>
              <w:t>%</w:t>
            </w:r>
          </w:p>
        </w:tc>
      </w:tr>
      <w:tr w:rsidR="00AD6201"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
                <w:bCs/>
                <w:color w:val="000000"/>
              </w:rPr>
            </w:pPr>
            <w:r w:rsidRPr="00E34E4D">
              <w:rPr>
                <w:rFonts w:ascii="Arial" w:hAnsi="Arial" w:cs="Arial"/>
                <w:b/>
                <w:bCs/>
                <w:color w:val="000000"/>
              </w:rPr>
              <w:t>3.881</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
                <w:bCs/>
                <w:color w:val="000000"/>
              </w:rPr>
            </w:pPr>
            <w:r w:rsidRPr="00E34E4D">
              <w:rPr>
                <w:rFonts w:ascii="Arial" w:hAnsi="Arial" w:cs="Arial"/>
                <w:b/>
                <w:bCs/>
                <w:color w:val="000000"/>
              </w:rPr>
              <w:t>1.439</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
                <w:bCs/>
                <w:color w:val="000000"/>
              </w:rPr>
            </w:pPr>
            <w:r w:rsidRPr="00E34E4D">
              <w:rPr>
                <w:rFonts w:ascii="Arial" w:hAnsi="Arial" w:cs="Arial"/>
                <w:b/>
                <w:bCs/>
                <w:color w:val="000000"/>
                <w:lang w:val="en-US" w:eastAsia="en-US"/>
              </w:rPr>
              <w:t>▲</w:t>
            </w:r>
            <w:r w:rsidRPr="00E34E4D">
              <w:rPr>
                <w:rFonts w:ascii="Arial" w:hAnsi="Arial" w:cs="Arial"/>
                <w:b/>
                <w:bCs/>
                <w:color w:val="000000"/>
              </w:rPr>
              <w:t>169,70%</w:t>
            </w:r>
          </w:p>
        </w:tc>
        <w:tc>
          <w:tcPr>
            <w:tcW w:w="2777" w:type="dxa"/>
            <w:tcBorders>
              <w:top w:val="nil"/>
              <w:left w:val="nil"/>
              <w:bottom w:val="single" w:sz="4" w:space="0" w:color="auto"/>
              <w:right w:val="single" w:sz="4" w:space="0" w:color="auto"/>
            </w:tcBorders>
            <w:shd w:val="clear" w:color="auto" w:fill="auto"/>
            <w:vAlign w:val="center"/>
            <w:hideMark/>
          </w:tcPr>
          <w:p w:rsidR="00AD6201" w:rsidRPr="00E34E4D" w:rsidRDefault="00AD6201" w:rsidP="00AD6201">
            <w:pPr>
              <w:widowControl/>
              <w:autoSpaceDE/>
              <w:autoSpaceDN/>
              <w:adjustRightInd/>
              <w:rPr>
                <w:rFonts w:ascii="Arial" w:hAnsi="Arial" w:cs="Arial"/>
                <w:b/>
                <w:bCs/>
                <w:iCs/>
                <w:color w:val="000000"/>
                <w:lang w:val="en-US" w:eastAsia="en-US"/>
              </w:rPr>
            </w:pPr>
            <w:r w:rsidRPr="00E34E4D">
              <w:rPr>
                <w:rFonts w:ascii="Arial" w:hAnsi="Arial" w:cs="Arial"/>
                <w:b/>
                <w:bCs/>
                <w:iCs/>
                <w:color w:val="000000"/>
                <w:lang w:val="en-US" w:eastAsia="en-US"/>
              </w:rPr>
              <w:t>Ajustări privind provizioanele</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
                <w:bCs/>
                <w:color w:val="000000"/>
              </w:rPr>
            </w:pPr>
            <w:r w:rsidRPr="00E34E4D">
              <w:rPr>
                <w:rFonts w:ascii="Arial" w:hAnsi="Arial" w:cs="Arial"/>
                <w:b/>
                <w:bCs/>
                <w:color w:val="000000"/>
              </w:rPr>
              <w:t>3.881</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
                <w:bCs/>
                <w:color w:val="000000"/>
              </w:rPr>
            </w:pPr>
            <w:r w:rsidRPr="00E34E4D">
              <w:rPr>
                <w:rFonts w:ascii="Arial" w:hAnsi="Arial" w:cs="Arial"/>
                <w:b/>
                <w:bCs/>
                <w:color w:val="000000"/>
              </w:rPr>
              <w:t>-2.192</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E34E4D" w:rsidRDefault="00E34E4D" w:rsidP="00AD6201">
            <w:pPr>
              <w:jc w:val="right"/>
              <w:rPr>
                <w:rFonts w:ascii="Arial" w:hAnsi="Arial" w:cs="Arial"/>
                <w:b/>
                <w:bCs/>
                <w:color w:val="000000"/>
              </w:rPr>
            </w:pPr>
            <w:r>
              <w:rPr>
                <w:rFonts w:ascii="Arial" w:hAnsi="Arial" w:cs="Arial"/>
                <w:b/>
                <w:bCs/>
                <w:color w:val="000000"/>
                <w:lang w:val="en-US" w:eastAsia="en-US"/>
              </w:rPr>
              <w:t>-</w:t>
            </w:r>
          </w:p>
        </w:tc>
      </w:tr>
      <w:tr w:rsidR="00AD6201"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D100EF" w:rsidRDefault="00AD6201" w:rsidP="00AD6201">
            <w:pPr>
              <w:jc w:val="right"/>
              <w:rPr>
                <w:rFonts w:ascii="Arial" w:hAnsi="Arial" w:cs="Arial"/>
                <w:b/>
                <w:bCs/>
                <w:color w:val="000000"/>
              </w:rPr>
            </w:pPr>
            <w:r w:rsidRPr="00D100EF">
              <w:rPr>
                <w:rFonts w:ascii="Arial" w:hAnsi="Arial" w:cs="Arial"/>
                <w:b/>
                <w:bCs/>
                <w:color w:val="000000"/>
              </w:rPr>
              <w:t>26.701</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D100EF" w:rsidRDefault="00AD6201" w:rsidP="00AD6201">
            <w:pPr>
              <w:widowControl/>
              <w:autoSpaceDE/>
              <w:autoSpaceDN/>
              <w:adjustRightInd/>
              <w:jc w:val="right"/>
              <w:rPr>
                <w:rFonts w:ascii="Arial" w:hAnsi="Arial" w:cs="Arial"/>
                <w:b/>
                <w:bCs/>
                <w:color w:val="000000"/>
              </w:rPr>
            </w:pPr>
            <w:r w:rsidRPr="00D100EF">
              <w:rPr>
                <w:rFonts w:ascii="Arial" w:hAnsi="Arial" w:cs="Arial"/>
                <w:b/>
                <w:bCs/>
                <w:color w:val="000000"/>
              </w:rPr>
              <w:t>21.</w:t>
            </w:r>
            <w:r w:rsidR="002A4139" w:rsidRPr="00D100EF">
              <w:rPr>
                <w:rFonts w:ascii="Arial" w:hAnsi="Arial" w:cs="Arial"/>
                <w:b/>
                <w:bCs/>
                <w:color w:val="000000"/>
              </w:rPr>
              <w:t>447</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D100EF" w:rsidRDefault="00AD6201" w:rsidP="00AD6201">
            <w:pPr>
              <w:jc w:val="right"/>
              <w:rPr>
                <w:rFonts w:ascii="Arial" w:hAnsi="Arial" w:cs="Arial"/>
                <w:b/>
                <w:bCs/>
                <w:color w:val="000000"/>
              </w:rPr>
            </w:pPr>
            <w:r w:rsidRPr="00D100EF">
              <w:rPr>
                <w:rFonts w:ascii="Arial" w:hAnsi="Arial" w:cs="Arial"/>
                <w:b/>
                <w:bCs/>
                <w:color w:val="000000"/>
                <w:lang w:val="en-US" w:eastAsia="en-US"/>
              </w:rPr>
              <w:t>▲</w:t>
            </w:r>
            <w:r w:rsidRPr="00D100EF">
              <w:rPr>
                <w:rFonts w:ascii="Arial" w:hAnsi="Arial" w:cs="Arial"/>
                <w:b/>
                <w:bCs/>
                <w:color w:val="000000"/>
              </w:rPr>
              <w:t>24,50%</w:t>
            </w:r>
          </w:p>
        </w:tc>
        <w:tc>
          <w:tcPr>
            <w:tcW w:w="2777" w:type="dxa"/>
            <w:tcBorders>
              <w:top w:val="nil"/>
              <w:left w:val="nil"/>
              <w:bottom w:val="single" w:sz="4" w:space="0" w:color="auto"/>
              <w:right w:val="single" w:sz="4" w:space="0" w:color="auto"/>
            </w:tcBorders>
            <w:shd w:val="clear" w:color="auto" w:fill="auto"/>
            <w:vAlign w:val="center"/>
            <w:hideMark/>
          </w:tcPr>
          <w:p w:rsidR="00AD6201" w:rsidRPr="00D100EF" w:rsidRDefault="00AD6201" w:rsidP="00AD6201">
            <w:pPr>
              <w:widowControl/>
              <w:autoSpaceDE/>
              <w:autoSpaceDN/>
              <w:adjustRightInd/>
              <w:rPr>
                <w:rFonts w:ascii="Arial" w:hAnsi="Arial" w:cs="Arial"/>
                <w:b/>
                <w:bCs/>
                <w:iCs/>
                <w:color w:val="000000"/>
                <w:lang w:val="en-US" w:eastAsia="en-US"/>
              </w:rPr>
            </w:pPr>
            <w:r w:rsidRPr="00D100EF">
              <w:rPr>
                <w:rFonts w:ascii="Arial" w:hAnsi="Arial" w:cs="Arial"/>
                <w:b/>
                <w:bCs/>
                <w:iCs/>
                <w:color w:val="000000"/>
                <w:lang w:val="en-US" w:eastAsia="en-US"/>
              </w:rPr>
              <w:t>Alte cheltuieli de exploatare, din care:</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D100EF" w:rsidRDefault="00AD6201" w:rsidP="00AD6201">
            <w:pPr>
              <w:jc w:val="right"/>
              <w:rPr>
                <w:rFonts w:ascii="Arial" w:hAnsi="Arial" w:cs="Arial"/>
                <w:b/>
                <w:bCs/>
                <w:color w:val="000000"/>
              </w:rPr>
            </w:pPr>
            <w:r w:rsidRPr="00D100EF">
              <w:rPr>
                <w:rFonts w:ascii="Arial" w:hAnsi="Arial" w:cs="Arial"/>
                <w:b/>
                <w:bCs/>
                <w:color w:val="000000"/>
              </w:rPr>
              <w:t>26.701</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D100EF" w:rsidRDefault="00AD6201" w:rsidP="00AD6201">
            <w:pPr>
              <w:jc w:val="right"/>
              <w:rPr>
                <w:rFonts w:ascii="Arial" w:hAnsi="Arial" w:cs="Arial"/>
                <w:b/>
                <w:bCs/>
                <w:color w:val="000000"/>
              </w:rPr>
            </w:pPr>
            <w:r w:rsidRPr="00D100EF">
              <w:rPr>
                <w:rFonts w:ascii="Arial" w:hAnsi="Arial" w:cs="Arial"/>
                <w:b/>
                <w:bCs/>
                <w:color w:val="000000"/>
              </w:rPr>
              <w:t>27.820</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D100EF" w:rsidRDefault="00AD6201" w:rsidP="00AD6201">
            <w:pPr>
              <w:jc w:val="right"/>
              <w:rPr>
                <w:rFonts w:ascii="Arial" w:hAnsi="Arial" w:cs="Arial"/>
                <w:b/>
                <w:bCs/>
                <w:color w:val="000000"/>
              </w:rPr>
            </w:pPr>
            <w:r w:rsidRPr="00D100EF">
              <w:rPr>
                <w:rFonts w:ascii="Arial" w:hAnsi="Arial" w:cs="Arial"/>
                <w:b/>
                <w:bCs/>
                <w:color w:val="000000"/>
                <w:lang w:val="en-US" w:eastAsia="en-US"/>
              </w:rPr>
              <w:t>▼</w:t>
            </w:r>
            <w:r w:rsidRPr="00D100EF">
              <w:rPr>
                <w:rFonts w:ascii="Arial" w:hAnsi="Arial" w:cs="Arial"/>
                <w:b/>
                <w:bCs/>
                <w:color w:val="000000"/>
              </w:rPr>
              <w:t>4,02%</w:t>
            </w:r>
          </w:p>
        </w:tc>
      </w:tr>
      <w:tr w:rsidR="00AE23BD"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E23BD" w:rsidRPr="00E34E4D" w:rsidRDefault="00AE23BD" w:rsidP="00AE23BD">
            <w:pPr>
              <w:jc w:val="right"/>
              <w:rPr>
                <w:rFonts w:ascii="Arial" w:hAnsi="Arial" w:cs="Arial"/>
                <w:color w:val="000000"/>
              </w:rPr>
            </w:pPr>
            <w:r w:rsidRPr="00E34E4D">
              <w:rPr>
                <w:rFonts w:ascii="Arial" w:hAnsi="Arial" w:cs="Arial"/>
                <w:color w:val="000000"/>
              </w:rPr>
              <w:t>25.326</w:t>
            </w:r>
          </w:p>
        </w:tc>
        <w:tc>
          <w:tcPr>
            <w:tcW w:w="979" w:type="dxa"/>
            <w:tcBorders>
              <w:top w:val="nil"/>
              <w:left w:val="nil"/>
              <w:bottom w:val="single" w:sz="4" w:space="0" w:color="auto"/>
              <w:right w:val="single" w:sz="4" w:space="0" w:color="auto"/>
            </w:tcBorders>
            <w:shd w:val="clear" w:color="auto" w:fill="auto"/>
            <w:noWrap/>
            <w:vAlign w:val="center"/>
            <w:hideMark/>
          </w:tcPr>
          <w:p w:rsidR="00AE23BD" w:rsidRPr="00E34E4D" w:rsidRDefault="00AE23BD" w:rsidP="00AE23BD">
            <w:pPr>
              <w:jc w:val="right"/>
              <w:rPr>
                <w:rFonts w:ascii="Arial" w:hAnsi="Arial" w:cs="Arial"/>
                <w:color w:val="000000"/>
              </w:rPr>
            </w:pPr>
            <w:r w:rsidRPr="00E34E4D">
              <w:rPr>
                <w:rFonts w:ascii="Arial" w:hAnsi="Arial" w:cs="Arial"/>
                <w:color w:val="000000"/>
              </w:rPr>
              <w:t>19.422</w:t>
            </w:r>
          </w:p>
        </w:tc>
        <w:tc>
          <w:tcPr>
            <w:tcW w:w="1204" w:type="dxa"/>
            <w:tcBorders>
              <w:top w:val="nil"/>
              <w:left w:val="nil"/>
              <w:bottom w:val="single" w:sz="4" w:space="0" w:color="auto"/>
              <w:right w:val="single" w:sz="4" w:space="0" w:color="auto"/>
            </w:tcBorders>
            <w:shd w:val="clear" w:color="auto" w:fill="auto"/>
            <w:noWrap/>
            <w:vAlign w:val="center"/>
            <w:hideMark/>
          </w:tcPr>
          <w:p w:rsidR="00AE23BD" w:rsidRPr="00E34E4D" w:rsidRDefault="00554E9A" w:rsidP="00AE23BD">
            <w:pPr>
              <w:jc w:val="right"/>
              <w:rPr>
                <w:rFonts w:ascii="Arial" w:hAnsi="Arial" w:cs="Arial"/>
                <w:color w:val="000000"/>
              </w:rPr>
            </w:pPr>
            <w:r w:rsidRPr="00E34E4D">
              <w:rPr>
                <w:rFonts w:ascii="Arial" w:hAnsi="Arial" w:cs="Arial"/>
                <w:b/>
                <w:bCs/>
                <w:color w:val="000000"/>
                <w:lang w:val="en-US" w:eastAsia="en-US"/>
              </w:rPr>
              <w:t>▲</w:t>
            </w:r>
            <w:r w:rsidR="00AE23BD" w:rsidRPr="00E34E4D">
              <w:rPr>
                <w:rFonts w:ascii="Arial" w:hAnsi="Arial" w:cs="Arial"/>
                <w:color w:val="000000"/>
              </w:rPr>
              <w:t>30,40%</w:t>
            </w:r>
          </w:p>
        </w:tc>
        <w:tc>
          <w:tcPr>
            <w:tcW w:w="2777" w:type="dxa"/>
            <w:tcBorders>
              <w:top w:val="nil"/>
              <w:left w:val="nil"/>
              <w:bottom w:val="single" w:sz="4" w:space="0" w:color="auto"/>
              <w:right w:val="single" w:sz="4" w:space="0" w:color="auto"/>
            </w:tcBorders>
            <w:shd w:val="clear" w:color="auto" w:fill="auto"/>
            <w:vAlign w:val="center"/>
            <w:hideMark/>
          </w:tcPr>
          <w:p w:rsidR="00AE23BD" w:rsidRPr="00E34E4D" w:rsidRDefault="00AE23BD" w:rsidP="00AE23BD">
            <w:pPr>
              <w:widowControl/>
              <w:autoSpaceDE/>
              <w:autoSpaceDN/>
              <w:adjustRightInd/>
              <w:rPr>
                <w:rFonts w:ascii="Arial" w:hAnsi="Arial" w:cs="Arial"/>
                <w:iCs/>
                <w:color w:val="000000"/>
                <w:lang w:val="en-US" w:eastAsia="en-US"/>
              </w:rPr>
            </w:pPr>
            <w:r w:rsidRPr="00E34E4D">
              <w:rPr>
                <w:rFonts w:ascii="Arial" w:hAnsi="Arial" w:cs="Arial"/>
                <w:iCs/>
                <w:color w:val="000000"/>
                <w:lang w:val="en-US" w:eastAsia="en-US"/>
              </w:rPr>
              <w:t>-cheltuieli cota de modernizare</w:t>
            </w:r>
          </w:p>
        </w:tc>
        <w:tc>
          <w:tcPr>
            <w:tcW w:w="1246" w:type="dxa"/>
            <w:tcBorders>
              <w:top w:val="nil"/>
              <w:left w:val="nil"/>
              <w:bottom w:val="single" w:sz="4" w:space="0" w:color="auto"/>
              <w:right w:val="single" w:sz="4" w:space="0" w:color="auto"/>
            </w:tcBorders>
            <w:shd w:val="clear" w:color="auto" w:fill="auto"/>
            <w:noWrap/>
            <w:vAlign w:val="center"/>
            <w:hideMark/>
          </w:tcPr>
          <w:p w:rsidR="00AE23BD" w:rsidRPr="00E34E4D" w:rsidRDefault="00AE23BD" w:rsidP="00AE23BD">
            <w:pPr>
              <w:jc w:val="right"/>
              <w:rPr>
                <w:rFonts w:ascii="Arial" w:hAnsi="Arial" w:cs="Arial"/>
                <w:color w:val="000000"/>
              </w:rPr>
            </w:pPr>
            <w:r w:rsidRPr="00E34E4D">
              <w:rPr>
                <w:rFonts w:ascii="Arial" w:hAnsi="Arial" w:cs="Arial"/>
                <w:color w:val="000000"/>
              </w:rPr>
              <w:t>25.326</w:t>
            </w:r>
          </w:p>
        </w:tc>
        <w:tc>
          <w:tcPr>
            <w:tcW w:w="1263" w:type="dxa"/>
            <w:tcBorders>
              <w:top w:val="nil"/>
              <w:left w:val="nil"/>
              <w:bottom w:val="single" w:sz="4" w:space="0" w:color="auto"/>
              <w:right w:val="single" w:sz="4" w:space="0" w:color="auto"/>
            </w:tcBorders>
            <w:shd w:val="clear" w:color="auto" w:fill="auto"/>
            <w:noWrap/>
            <w:vAlign w:val="center"/>
            <w:hideMark/>
          </w:tcPr>
          <w:p w:rsidR="00AE23BD" w:rsidRPr="00E34E4D" w:rsidRDefault="00AE23BD" w:rsidP="00AE23BD">
            <w:pPr>
              <w:jc w:val="right"/>
              <w:rPr>
                <w:rFonts w:ascii="Arial" w:hAnsi="Arial" w:cs="Arial"/>
                <w:bCs/>
                <w:color w:val="000000"/>
              </w:rPr>
            </w:pPr>
            <w:r w:rsidRPr="00E34E4D">
              <w:rPr>
                <w:rFonts w:ascii="Arial" w:hAnsi="Arial" w:cs="Arial"/>
                <w:bCs/>
                <w:color w:val="000000"/>
              </w:rPr>
              <w:t>25.963</w:t>
            </w:r>
          </w:p>
        </w:tc>
        <w:tc>
          <w:tcPr>
            <w:tcW w:w="1167" w:type="dxa"/>
            <w:tcBorders>
              <w:top w:val="nil"/>
              <w:left w:val="nil"/>
              <w:bottom w:val="single" w:sz="4" w:space="0" w:color="auto"/>
              <w:right w:val="single" w:sz="4" w:space="0" w:color="auto"/>
            </w:tcBorders>
            <w:shd w:val="clear" w:color="auto" w:fill="auto"/>
            <w:noWrap/>
            <w:vAlign w:val="center"/>
            <w:hideMark/>
          </w:tcPr>
          <w:p w:rsidR="00AE23BD" w:rsidRPr="00E34E4D" w:rsidRDefault="00843942" w:rsidP="00AE23BD">
            <w:pPr>
              <w:jc w:val="right"/>
              <w:rPr>
                <w:rFonts w:ascii="Arial" w:hAnsi="Arial" w:cs="Arial"/>
                <w:color w:val="000000"/>
              </w:rPr>
            </w:pPr>
            <w:r w:rsidRPr="00E34E4D">
              <w:rPr>
                <w:rFonts w:ascii="Arial" w:hAnsi="Arial" w:cs="Arial"/>
                <w:b/>
                <w:bCs/>
                <w:color w:val="000000"/>
                <w:lang w:val="en-US" w:eastAsia="en-US"/>
              </w:rPr>
              <w:t>▼</w:t>
            </w:r>
            <w:r w:rsidR="00B459AE" w:rsidRPr="00E34E4D">
              <w:rPr>
                <w:rFonts w:ascii="Arial" w:hAnsi="Arial" w:cs="Arial"/>
                <w:color w:val="000000"/>
              </w:rPr>
              <w:t>2,4</w:t>
            </w:r>
            <w:r w:rsidR="00AE23BD" w:rsidRPr="00E34E4D">
              <w:rPr>
                <w:rFonts w:ascii="Arial" w:hAnsi="Arial" w:cs="Arial"/>
                <w:color w:val="000000"/>
              </w:rPr>
              <w:t>5%</w:t>
            </w:r>
          </w:p>
        </w:tc>
      </w:tr>
      <w:tr w:rsidR="00AE23BD"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000000" w:fill="D9E1F2"/>
            <w:noWrap/>
            <w:vAlign w:val="center"/>
            <w:hideMark/>
          </w:tcPr>
          <w:p w:rsidR="00AE23BD" w:rsidRPr="00AE23BD" w:rsidRDefault="00AE23BD" w:rsidP="00AE23BD">
            <w:pPr>
              <w:jc w:val="right"/>
              <w:rPr>
                <w:rFonts w:ascii="Arial" w:hAnsi="Arial" w:cs="Arial"/>
                <w:b/>
                <w:bCs/>
                <w:color w:val="000000"/>
              </w:rPr>
            </w:pPr>
            <w:r w:rsidRPr="00AE23BD">
              <w:rPr>
                <w:rFonts w:ascii="Arial" w:hAnsi="Arial" w:cs="Arial"/>
                <w:b/>
                <w:bCs/>
                <w:color w:val="000000"/>
              </w:rPr>
              <w:t>176.722</w:t>
            </w:r>
          </w:p>
        </w:tc>
        <w:tc>
          <w:tcPr>
            <w:tcW w:w="979" w:type="dxa"/>
            <w:tcBorders>
              <w:top w:val="nil"/>
              <w:left w:val="nil"/>
              <w:bottom w:val="single" w:sz="4" w:space="0" w:color="auto"/>
              <w:right w:val="single" w:sz="4" w:space="0" w:color="auto"/>
            </w:tcBorders>
            <w:shd w:val="clear" w:color="000000" w:fill="D9E1F2"/>
            <w:noWrap/>
            <w:vAlign w:val="center"/>
            <w:hideMark/>
          </w:tcPr>
          <w:p w:rsidR="00AE23BD" w:rsidRPr="00AE23BD" w:rsidRDefault="00AE23BD" w:rsidP="00AE23BD">
            <w:pPr>
              <w:jc w:val="right"/>
              <w:rPr>
                <w:rFonts w:ascii="Arial" w:hAnsi="Arial" w:cs="Arial"/>
                <w:b/>
                <w:bCs/>
                <w:color w:val="000000"/>
              </w:rPr>
            </w:pPr>
            <w:r w:rsidRPr="00AE23BD">
              <w:rPr>
                <w:rFonts w:ascii="Arial" w:hAnsi="Arial" w:cs="Arial"/>
                <w:b/>
                <w:bCs/>
                <w:color w:val="000000"/>
              </w:rPr>
              <w:t>173.039</w:t>
            </w:r>
          </w:p>
        </w:tc>
        <w:tc>
          <w:tcPr>
            <w:tcW w:w="1204" w:type="dxa"/>
            <w:tcBorders>
              <w:top w:val="nil"/>
              <w:left w:val="nil"/>
              <w:bottom w:val="single" w:sz="4" w:space="0" w:color="auto"/>
              <w:right w:val="single" w:sz="4" w:space="0" w:color="auto"/>
            </w:tcBorders>
            <w:shd w:val="clear" w:color="000000" w:fill="DDEBF7"/>
            <w:noWrap/>
            <w:vAlign w:val="center"/>
            <w:hideMark/>
          </w:tcPr>
          <w:p w:rsidR="00AE23BD" w:rsidRPr="00AE23BD" w:rsidRDefault="00554E9A" w:rsidP="00AE23BD">
            <w:pPr>
              <w:jc w:val="right"/>
              <w:rPr>
                <w:rFonts w:ascii="Arial" w:hAnsi="Arial" w:cs="Arial"/>
                <w:b/>
                <w:bCs/>
                <w:color w:val="000000"/>
              </w:rPr>
            </w:pPr>
            <w:r w:rsidRPr="002A0064">
              <w:rPr>
                <w:rFonts w:ascii="Arial" w:hAnsi="Arial" w:cs="Arial"/>
                <w:b/>
                <w:bCs/>
                <w:color w:val="000000"/>
                <w:lang w:val="en-US" w:eastAsia="en-US"/>
              </w:rPr>
              <w:t>▲</w:t>
            </w:r>
            <w:r w:rsidR="00AE23BD" w:rsidRPr="00AE23BD">
              <w:rPr>
                <w:rFonts w:ascii="Arial" w:hAnsi="Arial" w:cs="Arial"/>
                <w:b/>
                <w:bCs/>
                <w:color w:val="000000"/>
              </w:rPr>
              <w:t>2,13%</w:t>
            </w:r>
          </w:p>
        </w:tc>
        <w:tc>
          <w:tcPr>
            <w:tcW w:w="2777" w:type="dxa"/>
            <w:tcBorders>
              <w:top w:val="nil"/>
              <w:left w:val="nil"/>
              <w:bottom w:val="single" w:sz="4" w:space="0" w:color="auto"/>
              <w:right w:val="single" w:sz="4" w:space="0" w:color="auto"/>
            </w:tcBorders>
            <w:shd w:val="clear" w:color="000000" w:fill="DEEAF6"/>
            <w:vAlign w:val="center"/>
            <w:hideMark/>
          </w:tcPr>
          <w:p w:rsidR="00AE23BD" w:rsidRPr="00D948FA" w:rsidRDefault="00AE23BD" w:rsidP="00AE23BD">
            <w:pPr>
              <w:widowControl/>
              <w:autoSpaceDE/>
              <w:autoSpaceDN/>
              <w:adjustRightInd/>
              <w:rPr>
                <w:rFonts w:ascii="Arial" w:hAnsi="Arial" w:cs="Arial"/>
                <w:b/>
                <w:bCs/>
                <w:color w:val="000000"/>
                <w:lang w:val="en-US" w:eastAsia="en-US"/>
              </w:rPr>
            </w:pPr>
            <w:r w:rsidRPr="00D948FA">
              <w:rPr>
                <w:rFonts w:ascii="Arial" w:hAnsi="Arial" w:cs="Arial"/>
                <w:b/>
                <w:bCs/>
                <w:color w:val="000000"/>
                <w:lang w:val="en-US" w:eastAsia="en-US"/>
              </w:rPr>
              <w:t>Total cheltuieli de exploatare</w:t>
            </w:r>
          </w:p>
        </w:tc>
        <w:tc>
          <w:tcPr>
            <w:tcW w:w="1246" w:type="dxa"/>
            <w:tcBorders>
              <w:top w:val="nil"/>
              <w:left w:val="nil"/>
              <w:bottom w:val="single" w:sz="4" w:space="0" w:color="auto"/>
              <w:right w:val="single" w:sz="4" w:space="0" w:color="auto"/>
            </w:tcBorders>
            <w:shd w:val="clear" w:color="000000" w:fill="D9E1F2"/>
            <w:noWrap/>
            <w:vAlign w:val="center"/>
            <w:hideMark/>
          </w:tcPr>
          <w:p w:rsidR="00AE23BD" w:rsidRPr="00AE23BD" w:rsidRDefault="00AE23BD" w:rsidP="00AE23BD">
            <w:pPr>
              <w:jc w:val="right"/>
              <w:rPr>
                <w:rFonts w:ascii="Arial" w:hAnsi="Arial" w:cs="Arial"/>
                <w:b/>
                <w:bCs/>
                <w:color w:val="000000"/>
              </w:rPr>
            </w:pPr>
            <w:r w:rsidRPr="00AE23BD">
              <w:rPr>
                <w:rFonts w:ascii="Arial" w:hAnsi="Arial" w:cs="Arial"/>
                <w:b/>
                <w:bCs/>
                <w:color w:val="000000"/>
              </w:rPr>
              <w:t>176.722</w:t>
            </w:r>
          </w:p>
        </w:tc>
        <w:tc>
          <w:tcPr>
            <w:tcW w:w="1263" w:type="dxa"/>
            <w:tcBorders>
              <w:top w:val="nil"/>
              <w:left w:val="nil"/>
              <w:bottom w:val="single" w:sz="4" w:space="0" w:color="auto"/>
              <w:right w:val="single" w:sz="4" w:space="0" w:color="auto"/>
            </w:tcBorders>
            <w:shd w:val="clear" w:color="000000" w:fill="D9E1F2"/>
            <w:noWrap/>
            <w:vAlign w:val="center"/>
            <w:hideMark/>
          </w:tcPr>
          <w:p w:rsidR="00AE23BD" w:rsidRPr="00AE23BD" w:rsidRDefault="00AE23BD">
            <w:pPr>
              <w:jc w:val="right"/>
              <w:rPr>
                <w:rFonts w:ascii="Arial" w:hAnsi="Arial" w:cs="Arial"/>
                <w:b/>
                <w:bCs/>
                <w:color w:val="000000"/>
              </w:rPr>
            </w:pPr>
            <w:r w:rsidRPr="00AE23BD">
              <w:rPr>
                <w:rFonts w:ascii="Arial" w:hAnsi="Arial" w:cs="Arial"/>
                <w:b/>
                <w:bCs/>
                <w:color w:val="000000"/>
              </w:rPr>
              <w:t>16</w:t>
            </w:r>
            <w:r w:rsidR="00155A57">
              <w:rPr>
                <w:rFonts w:ascii="Arial" w:hAnsi="Arial" w:cs="Arial"/>
                <w:b/>
                <w:bCs/>
                <w:color w:val="000000"/>
              </w:rPr>
              <w:t>2</w:t>
            </w:r>
            <w:r w:rsidRPr="00AE23BD">
              <w:rPr>
                <w:rFonts w:ascii="Arial" w:hAnsi="Arial" w:cs="Arial"/>
                <w:b/>
                <w:bCs/>
                <w:color w:val="000000"/>
              </w:rPr>
              <w:t>.</w:t>
            </w:r>
            <w:r w:rsidR="00155A57">
              <w:rPr>
                <w:rFonts w:ascii="Arial" w:hAnsi="Arial" w:cs="Arial"/>
                <w:b/>
                <w:bCs/>
                <w:color w:val="000000"/>
              </w:rPr>
              <w:t>1</w:t>
            </w:r>
            <w:r w:rsidRPr="00AE23BD">
              <w:rPr>
                <w:rFonts w:ascii="Arial" w:hAnsi="Arial" w:cs="Arial"/>
                <w:b/>
                <w:bCs/>
                <w:color w:val="000000"/>
              </w:rPr>
              <w:t>7</w:t>
            </w:r>
            <w:r w:rsidR="00155A57">
              <w:rPr>
                <w:rFonts w:ascii="Arial" w:hAnsi="Arial" w:cs="Arial"/>
                <w:b/>
                <w:bCs/>
                <w:color w:val="000000"/>
              </w:rPr>
              <w:t>5</w:t>
            </w:r>
          </w:p>
        </w:tc>
        <w:tc>
          <w:tcPr>
            <w:tcW w:w="1167" w:type="dxa"/>
            <w:tcBorders>
              <w:top w:val="nil"/>
              <w:left w:val="nil"/>
              <w:bottom w:val="single" w:sz="4" w:space="0" w:color="auto"/>
              <w:right w:val="single" w:sz="4" w:space="0" w:color="auto"/>
            </w:tcBorders>
            <w:shd w:val="clear" w:color="000000" w:fill="DEEAF6"/>
            <w:noWrap/>
            <w:vAlign w:val="center"/>
            <w:hideMark/>
          </w:tcPr>
          <w:p w:rsidR="00AE23BD" w:rsidRPr="00AE23BD" w:rsidRDefault="00554E9A" w:rsidP="00AE23BD">
            <w:pPr>
              <w:jc w:val="right"/>
              <w:rPr>
                <w:rFonts w:ascii="Arial" w:hAnsi="Arial" w:cs="Arial"/>
                <w:b/>
                <w:bCs/>
                <w:color w:val="000000"/>
              </w:rPr>
            </w:pPr>
            <w:r w:rsidRPr="002A0064">
              <w:rPr>
                <w:rFonts w:ascii="Arial" w:hAnsi="Arial" w:cs="Arial"/>
                <w:b/>
                <w:bCs/>
                <w:color w:val="000000"/>
                <w:lang w:val="en-US" w:eastAsia="en-US"/>
              </w:rPr>
              <w:t>▲</w:t>
            </w:r>
            <w:r w:rsidR="00155A57">
              <w:rPr>
                <w:rFonts w:ascii="Arial" w:hAnsi="Arial" w:cs="Arial"/>
                <w:b/>
                <w:bCs/>
                <w:color w:val="000000"/>
              </w:rPr>
              <w:t>8</w:t>
            </w:r>
            <w:r w:rsidR="00AE23BD" w:rsidRPr="00AE23BD">
              <w:rPr>
                <w:rFonts w:ascii="Arial" w:hAnsi="Arial" w:cs="Arial"/>
                <w:b/>
                <w:bCs/>
                <w:color w:val="000000"/>
              </w:rPr>
              <w:t>,</w:t>
            </w:r>
            <w:r w:rsidR="00155A57">
              <w:rPr>
                <w:rFonts w:ascii="Arial" w:hAnsi="Arial" w:cs="Arial"/>
                <w:b/>
                <w:bCs/>
                <w:color w:val="000000"/>
              </w:rPr>
              <w:t>97</w:t>
            </w:r>
            <w:r w:rsidR="00AE23BD" w:rsidRPr="00AE23BD">
              <w:rPr>
                <w:rFonts w:ascii="Arial" w:hAnsi="Arial" w:cs="Arial"/>
                <w:b/>
                <w:bCs/>
                <w:color w:val="000000"/>
              </w:rPr>
              <w:t>%</w:t>
            </w:r>
          </w:p>
        </w:tc>
      </w:tr>
    </w:tbl>
    <w:p w:rsidR="00F43345" w:rsidRDefault="00F43345" w:rsidP="00BD7A1D">
      <w:pPr>
        <w:spacing w:line="276" w:lineRule="auto"/>
        <w:jc w:val="center"/>
        <w:rPr>
          <w:rFonts w:ascii="Arial" w:hAnsi="Arial" w:cs="Arial"/>
          <w:sz w:val="16"/>
          <w:szCs w:val="16"/>
        </w:rPr>
      </w:pPr>
    </w:p>
    <w:p w:rsidR="00BD7A1D" w:rsidRPr="00F43345" w:rsidRDefault="00BD7A1D" w:rsidP="00BD7A1D">
      <w:pPr>
        <w:spacing w:line="276" w:lineRule="auto"/>
        <w:jc w:val="center"/>
        <w:rPr>
          <w:rFonts w:ascii="Arial" w:hAnsi="Arial" w:cs="Arial"/>
          <w:sz w:val="16"/>
          <w:szCs w:val="16"/>
        </w:rPr>
      </w:pPr>
      <w:r w:rsidRPr="00F43345">
        <w:rPr>
          <w:rFonts w:ascii="Arial" w:hAnsi="Arial" w:cs="Arial"/>
          <w:sz w:val="16"/>
          <w:szCs w:val="16"/>
        </w:rPr>
        <w:t xml:space="preserve">Tabel </w:t>
      </w:r>
      <w:r w:rsidR="007239FA" w:rsidRPr="00F43345">
        <w:rPr>
          <w:rFonts w:ascii="Arial" w:hAnsi="Arial" w:cs="Arial"/>
          <w:sz w:val="16"/>
          <w:szCs w:val="16"/>
        </w:rPr>
        <w:t>13</w:t>
      </w:r>
      <w:r w:rsidRPr="00F43345">
        <w:rPr>
          <w:rFonts w:ascii="Arial" w:hAnsi="Arial" w:cs="Arial"/>
          <w:sz w:val="16"/>
          <w:szCs w:val="16"/>
        </w:rPr>
        <w:t>- Situația cheltuielilor de exploatare</w:t>
      </w:r>
    </w:p>
    <w:p w:rsidR="00BD7A1D" w:rsidRPr="00BD7A1D" w:rsidRDefault="00BD7A1D" w:rsidP="00BD7A1D">
      <w:pPr>
        <w:spacing w:line="276" w:lineRule="auto"/>
        <w:jc w:val="center"/>
        <w:rPr>
          <w:rFonts w:ascii="Arial" w:hAnsi="Arial" w:cs="Arial"/>
          <w:i/>
          <w:sz w:val="18"/>
          <w:szCs w:val="18"/>
        </w:rPr>
      </w:pPr>
    </w:p>
    <w:p w:rsidR="00584ADC" w:rsidRDefault="00584ADC" w:rsidP="000360F8">
      <w:pPr>
        <w:spacing w:line="276" w:lineRule="auto"/>
        <w:jc w:val="both"/>
        <w:rPr>
          <w:rFonts w:ascii="Arial" w:hAnsi="Arial" w:cs="Arial"/>
          <w:sz w:val="22"/>
          <w:szCs w:val="22"/>
        </w:rPr>
      </w:pPr>
    </w:p>
    <w:p w:rsidR="00584ADC" w:rsidRDefault="00584ADC" w:rsidP="000360F8">
      <w:pPr>
        <w:spacing w:line="276" w:lineRule="auto"/>
        <w:jc w:val="both"/>
        <w:rPr>
          <w:rFonts w:ascii="Arial" w:hAnsi="Arial" w:cs="Arial"/>
          <w:sz w:val="22"/>
          <w:szCs w:val="22"/>
        </w:rPr>
      </w:pPr>
    </w:p>
    <w:p w:rsidR="00F43345" w:rsidRDefault="00D948FA" w:rsidP="000360F8">
      <w:pPr>
        <w:spacing w:line="276" w:lineRule="auto"/>
        <w:jc w:val="both"/>
        <w:rPr>
          <w:rFonts w:ascii="Arial" w:hAnsi="Arial" w:cs="Arial"/>
          <w:sz w:val="22"/>
          <w:szCs w:val="22"/>
        </w:rPr>
      </w:pPr>
      <w:r w:rsidRPr="00961459">
        <w:rPr>
          <w:rFonts w:ascii="Arial" w:hAnsi="Arial" w:cs="Arial"/>
          <w:sz w:val="22"/>
          <w:szCs w:val="22"/>
        </w:rPr>
        <w:lastRenderedPageBreak/>
        <w:t xml:space="preserve">În primele </w:t>
      </w:r>
      <w:r w:rsidR="008664D5" w:rsidRPr="00961459">
        <w:rPr>
          <w:rFonts w:ascii="Arial" w:hAnsi="Arial" w:cs="Arial"/>
          <w:sz w:val="22"/>
          <w:szCs w:val="22"/>
        </w:rPr>
        <w:t>6</w:t>
      </w:r>
      <w:r w:rsidRPr="00961459">
        <w:rPr>
          <w:rFonts w:ascii="Arial" w:hAnsi="Arial" w:cs="Arial"/>
          <w:sz w:val="22"/>
          <w:szCs w:val="22"/>
        </w:rPr>
        <w:t xml:space="preserve"> luni 2018, cheltuielile</w:t>
      </w:r>
      <w:r w:rsidRPr="00ED373F">
        <w:rPr>
          <w:rFonts w:ascii="Arial" w:hAnsi="Arial" w:cs="Arial"/>
          <w:sz w:val="22"/>
          <w:szCs w:val="22"/>
        </w:rPr>
        <w:t xml:space="preserve"> de exploatare sunt în sumă de </w:t>
      </w:r>
      <w:r w:rsidR="005F6AE5" w:rsidRPr="00ED373F">
        <w:rPr>
          <w:rFonts w:ascii="Arial" w:hAnsi="Arial" w:cs="Arial"/>
          <w:sz w:val="22"/>
          <w:szCs w:val="22"/>
        </w:rPr>
        <w:t>17</w:t>
      </w:r>
      <w:r w:rsidRPr="00ED373F">
        <w:rPr>
          <w:rFonts w:ascii="Arial" w:hAnsi="Arial" w:cs="Arial"/>
          <w:sz w:val="22"/>
          <w:szCs w:val="22"/>
        </w:rPr>
        <w:t>6.</w:t>
      </w:r>
      <w:r w:rsidR="005F6AE5" w:rsidRPr="00ED373F">
        <w:rPr>
          <w:rFonts w:ascii="Arial" w:hAnsi="Arial" w:cs="Arial"/>
          <w:sz w:val="22"/>
          <w:szCs w:val="22"/>
        </w:rPr>
        <w:t>722</w:t>
      </w:r>
      <w:r w:rsidRPr="00ED373F">
        <w:rPr>
          <w:rFonts w:ascii="Arial" w:hAnsi="Arial" w:cs="Arial"/>
          <w:sz w:val="22"/>
          <w:szCs w:val="22"/>
        </w:rPr>
        <w:t xml:space="preserve"> mii lei, înregistrând o </w:t>
      </w:r>
      <w:r w:rsidR="005F6AE5" w:rsidRPr="00ED373F">
        <w:rPr>
          <w:rFonts w:ascii="Arial" w:hAnsi="Arial" w:cs="Arial"/>
          <w:sz w:val="22"/>
          <w:szCs w:val="22"/>
        </w:rPr>
        <w:t>creștere</w:t>
      </w:r>
      <w:r w:rsidRPr="00ED373F">
        <w:rPr>
          <w:rFonts w:ascii="Arial" w:hAnsi="Arial" w:cs="Arial"/>
          <w:sz w:val="22"/>
          <w:szCs w:val="22"/>
        </w:rPr>
        <w:t xml:space="preserve"> </w:t>
      </w:r>
      <w:r w:rsidR="00A82CEE">
        <w:rPr>
          <w:rFonts w:ascii="Arial" w:hAnsi="Arial" w:cs="Arial"/>
          <w:sz w:val="22"/>
          <w:szCs w:val="22"/>
        </w:rPr>
        <w:t>cu</w:t>
      </w:r>
      <w:r w:rsidR="00EC4D63" w:rsidRPr="00ED373F">
        <w:rPr>
          <w:rFonts w:ascii="Arial" w:hAnsi="Arial" w:cs="Arial"/>
          <w:sz w:val="22"/>
          <w:szCs w:val="22"/>
        </w:rPr>
        <w:t xml:space="preserve"> </w:t>
      </w:r>
      <w:r w:rsidR="00A82CEE">
        <w:rPr>
          <w:rFonts w:ascii="Arial" w:hAnsi="Arial" w:cs="Arial"/>
          <w:sz w:val="22"/>
          <w:szCs w:val="22"/>
        </w:rPr>
        <w:t>8</w:t>
      </w:r>
      <w:r w:rsidR="00ED373F">
        <w:rPr>
          <w:rFonts w:ascii="Arial" w:hAnsi="Arial" w:cs="Arial"/>
          <w:sz w:val="22"/>
          <w:szCs w:val="22"/>
        </w:rPr>
        <w:t>,</w:t>
      </w:r>
      <w:r w:rsidR="00A82CEE">
        <w:rPr>
          <w:rFonts w:ascii="Arial" w:hAnsi="Arial" w:cs="Arial"/>
          <w:sz w:val="22"/>
          <w:szCs w:val="22"/>
        </w:rPr>
        <w:t>97</w:t>
      </w:r>
      <w:r w:rsidR="00ED373F">
        <w:rPr>
          <w:rFonts w:ascii="Arial" w:hAnsi="Arial" w:cs="Arial"/>
          <w:sz w:val="22"/>
          <w:szCs w:val="22"/>
        </w:rPr>
        <w:t>% față de cele înregistrate în prima jumătate a anului 2017, în principal datorită creșterilor salariale și a cheltuielilor cu provizioanele (concedii de odihnă neefectuate, participarea slariaților la profit, drepturi cuvenite salariaților la data pensionării)</w:t>
      </w:r>
      <w:r w:rsidR="00106B35">
        <w:rPr>
          <w:rFonts w:ascii="Arial" w:hAnsi="Arial" w:cs="Arial"/>
          <w:sz w:val="22"/>
          <w:szCs w:val="22"/>
        </w:rPr>
        <w:t xml:space="preserve"> înregistrate în semestrul I 2018.</w:t>
      </w:r>
    </w:p>
    <w:p w:rsidR="00F30E3A" w:rsidRDefault="00F30E3A" w:rsidP="000360F8">
      <w:pPr>
        <w:spacing w:line="276" w:lineRule="auto"/>
        <w:jc w:val="both"/>
        <w:rPr>
          <w:rFonts w:ascii="Arial" w:hAnsi="Arial" w:cs="Arial"/>
          <w:sz w:val="22"/>
          <w:szCs w:val="22"/>
        </w:rPr>
      </w:pPr>
    </w:p>
    <w:p w:rsidR="007624A2" w:rsidRDefault="007624A2" w:rsidP="000360F8">
      <w:pPr>
        <w:spacing w:line="276" w:lineRule="auto"/>
        <w:jc w:val="both"/>
        <w:rPr>
          <w:rFonts w:ascii="Arial" w:hAnsi="Arial" w:cs="Arial"/>
          <w:sz w:val="22"/>
          <w:szCs w:val="22"/>
        </w:rPr>
      </w:pPr>
      <w:r>
        <w:rPr>
          <w:rFonts w:ascii="Arial" w:hAnsi="Arial" w:cs="Arial"/>
          <w:sz w:val="22"/>
          <w:szCs w:val="22"/>
        </w:rPr>
        <w:t xml:space="preserve">S-au înregistrat </w:t>
      </w:r>
      <w:r w:rsidR="0062085F" w:rsidRPr="00666FD5">
        <w:rPr>
          <w:rFonts w:ascii="Arial" w:hAnsi="Arial" w:cs="Arial"/>
          <w:sz w:val="22"/>
          <w:szCs w:val="22"/>
        </w:rPr>
        <w:t>economii</w:t>
      </w:r>
      <w:r w:rsidRPr="00666FD5">
        <w:rPr>
          <w:rFonts w:ascii="Arial" w:hAnsi="Arial" w:cs="Arial"/>
          <w:sz w:val="22"/>
          <w:szCs w:val="22"/>
        </w:rPr>
        <w:t xml:space="preserve"> de cheltuieli</w:t>
      </w:r>
      <w:r>
        <w:rPr>
          <w:rFonts w:ascii="Arial" w:hAnsi="Arial" w:cs="Arial"/>
          <w:sz w:val="22"/>
          <w:szCs w:val="22"/>
        </w:rPr>
        <w:t xml:space="preserve"> față d</w:t>
      </w:r>
      <w:r w:rsidR="000120C9">
        <w:rPr>
          <w:rFonts w:ascii="Arial" w:hAnsi="Arial" w:cs="Arial"/>
          <w:sz w:val="22"/>
          <w:szCs w:val="22"/>
        </w:rPr>
        <w:t>e prevederile din buget, astfel:</w:t>
      </w:r>
    </w:p>
    <w:p w:rsidR="00D632D0" w:rsidRPr="00D632D0" w:rsidRDefault="00D632D0" w:rsidP="00585384">
      <w:pPr>
        <w:pStyle w:val="ListParagraph"/>
        <w:numPr>
          <w:ilvl w:val="0"/>
          <w:numId w:val="3"/>
        </w:numPr>
        <w:jc w:val="both"/>
        <w:rPr>
          <w:rFonts w:ascii="Arial" w:hAnsi="Arial" w:cs="Arial"/>
        </w:rPr>
      </w:pPr>
      <w:r w:rsidRPr="00D632D0">
        <w:rPr>
          <w:rFonts w:ascii="Arial" w:hAnsi="Arial" w:cs="Arial"/>
        </w:rPr>
        <w:t>cheltuieli cu prestațiil</w:t>
      </w:r>
      <w:r w:rsidR="007D5C04">
        <w:rPr>
          <w:rFonts w:ascii="Arial" w:hAnsi="Arial" w:cs="Arial"/>
        </w:rPr>
        <w:t>e externe: 1.937 mii lei (3,82%</w:t>
      </w:r>
      <w:r w:rsidRPr="00D632D0">
        <w:rPr>
          <w:rFonts w:ascii="Arial" w:hAnsi="Arial" w:cs="Arial"/>
        </w:rPr>
        <w:t>);</w:t>
      </w:r>
    </w:p>
    <w:p w:rsidR="006E5E16" w:rsidRPr="00585384" w:rsidRDefault="006E5E16" w:rsidP="00585384">
      <w:pPr>
        <w:pStyle w:val="ListParagraph"/>
        <w:numPr>
          <w:ilvl w:val="0"/>
          <w:numId w:val="3"/>
        </w:numPr>
        <w:jc w:val="both"/>
        <w:rPr>
          <w:rFonts w:ascii="Arial" w:hAnsi="Arial" w:cs="Arial"/>
        </w:rPr>
      </w:pPr>
      <w:r w:rsidRPr="00585384">
        <w:rPr>
          <w:rFonts w:ascii="Arial" w:hAnsi="Arial" w:cs="Arial"/>
        </w:rPr>
        <w:t>cheltui</w:t>
      </w:r>
      <w:r w:rsidR="007D5C04" w:rsidRPr="00585384">
        <w:rPr>
          <w:rFonts w:ascii="Arial" w:hAnsi="Arial" w:cs="Arial"/>
        </w:rPr>
        <w:t>eli cu personalul: 1.636</w:t>
      </w:r>
      <w:r w:rsidRPr="00585384">
        <w:rPr>
          <w:rFonts w:ascii="Arial" w:hAnsi="Arial" w:cs="Arial"/>
        </w:rPr>
        <w:t xml:space="preserve"> mii lei (2,42%</w:t>
      </w:r>
      <w:r w:rsidR="007D5C04" w:rsidRPr="00585384">
        <w:rPr>
          <w:rFonts w:ascii="Arial" w:hAnsi="Arial" w:cs="Arial"/>
        </w:rPr>
        <w:t>)</w:t>
      </w:r>
      <w:r w:rsidRPr="00585384">
        <w:rPr>
          <w:rFonts w:ascii="Arial" w:hAnsi="Arial" w:cs="Arial"/>
        </w:rPr>
        <w:t>;</w:t>
      </w:r>
    </w:p>
    <w:p w:rsidR="006E5E16" w:rsidRDefault="006E5E16" w:rsidP="00585384">
      <w:pPr>
        <w:pStyle w:val="ListParagraph"/>
        <w:numPr>
          <w:ilvl w:val="0"/>
          <w:numId w:val="3"/>
        </w:numPr>
        <w:jc w:val="both"/>
        <w:rPr>
          <w:rFonts w:ascii="Arial" w:hAnsi="Arial" w:cs="Arial"/>
        </w:rPr>
      </w:pPr>
      <w:r>
        <w:rPr>
          <w:rFonts w:ascii="Arial" w:hAnsi="Arial" w:cs="Arial"/>
        </w:rPr>
        <w:t>cheltuieli materiale: 399 mii lei (10,86%</w:t>
      </w:r>
      <w:r w:rsidR="007D5C04">
        <w:rPr>
          <w:rFonts w:ascii="Arial" w:hAnsi="Arial" w:cs="Arial"/>
        </w:rPr>
        <w:t>)</w:t>
      </w:r>
      <w:r>
        <w:rPr>
          <w:rFonts w:ascii="Arial" w:hAnsi="Arial" w:cs="Arial"/>
        </w:rPr>
        <w:t>;</w:t>
      </w:r>
    </w:p>
    <w:p w:rsidR="00D632D0" w:rsidRDefault="00D632D0" w:rsidP="00585384">
      <w:pPr>
        <w:pStyle w:val="ListParagraph"/>
        <w:numPr>
          <w:ilvl w:val="0"/>
          <w:numId w:val="3"/>
        </w:numPr>
        <w:jc w:val="both"/>
        <w:rPr>
          <w:rFonts w:ascii="Arial" w:hAnsi="Arial" w:cs="Arial"/>
        </w:rPr>
      </w:pPr>
      <w:r>
        <w:rPr>
          <w:rFonts w:ascii="Arial" w:hAnsi="Arial" w:cs="Arial"/>
        </w:rPr>
        <w:t>cheltuieli cu energia și apa: 108 mii lei (1,78%</w:t>
      </w:r>
      <w:r w:rsidR="00585384">
        <w:rPr>
          <w:rFonts w:ascii="Arial" w:hAnsi="Arial" w:cs="Arial"/>
        </w:rPr>
        <w:t>).</w:t>
      </w:r>
    </w:p>
    <w:p w:rsidR="004F64D2" w:rsidRPr="001D750A" w:rsidRDefault="004F64D2" w:rsidP="00FE1B45">
      <w:pPr>
        <w:spacing w:line="276" w:lineRule="auto"/>
        <w:jc w:val="both"/>
        <w:rPr>
          <w:rFonts w:ascii="Arial" w:hAnsi="Arial" w:cs="Arial"/>
          <w:sz w:val="22"/>
          <w:szCs w:val="22"/>
        </w:rPr>
      </w:pPr>
      <w:r w:rsidRPr="001D750A">
        <w:rPr>
          <w:rFonts w:ascii="Arial" w:hAnsi="Arial" w:cs="Arial"/>
          <w:sz w:val="22"/>
          <w:szCs w:val="22"/>
        </w:rPr>
        <w:t>Costurile operaționale</w:t>
      </w:r>
      <w:r w:rsidRPr="001D750A">
        <w:rPr>
          <w:rFonts w:ascii="Arial" w:hAnsi="Arial" w:cs="Arial"/>
          <w:b/>
          <w:bCs/>
          <w:sz w:val="22"/>
          <w:szCs w:val="22"/>
        </w:rPr>
        <w:t xml:space="preserve"> </w:t>
      </w:r>
      <w:r w:rsidRPr="001D750A">
        <w:rPr>
          <w:rFonts w:ascii="Arial" w:hAnsi="Arial" w:cs="Arial"/>
          <w:sz w:val="22"/>
          <w:szCs w:val="22"/>
        </w:rPr>
        <w:t xml:space="preserve">înregistrate cu exploatarea celor două subsisteme de transport (țară și import) în </w:t>
      </w:r>
      <w:r w:rsidR="004779A2" w:rsidRPr="001D750A">
        <w:rPr>
          <w:rFonts w:ascii="Arial" w:hAnsi="Arial" w:cs="Arial"/>
          <w:sz w:val="22"/>
          <w:szCs w:val="22"/>
        </w:rPr>
        <w:t>s</w:t>
      </w:r>
      <w:r w:rsidR="00E733E8" w:rsidRPr="001D750A">
        <w:rPr>
          <w:rFonts w:ascii="Arial" w:hAnsi="Arial" w:cs="Arial"/>
          <w:sz w:val="22"/>
          <w:szCs w:val="22"/>
        </w:rPr>
        <w:t>em</w:t>
      </w:r>
      <w:r w:rsidRPr="001D750A">
        <w:rPr>
          <w:rFonts w:ascii="Arial" w:hAnsi="Arial" w:cs="Arial"/>
          <w:sz w:val="22"/>
          <w:szCs w:val="22"/>
        </w:rPr>
        <w:t xml:space="preserve">estrul I 2018 sunt </w:t>
      </w:r>
      <w:r w:rsidR="00281A6C" w:rsidRPr="001D750A">
        <w:rPr>
          <w:rFonts w:ascii="Arial" w:hAnsi="Arial" w:cs="Arial"/>
          <w:sz w:val="22"/>
          <w:szCs w:val="22"/>
        </w:rPr>
        <w:t xml:space="preserve">crescute cu </w:t>
      </w:r>
      <w:r w:rsidR="001D750A" w:rsidRPr="001D750A">
        <w:rPr>
          <w:rFonts w:ascii="Arial" w:hAnsi="Arial" w:cs="Arial"/>
          <w:sz w:val="22"/>
          <w:szCs w:val="22"/>
        </w:rPr>
        <w:t>6,16</w:t>
      </w:r>
      <w:r w:rsidR="00281A6C" w:rsidRPr="001D750A">
        <w:rPr>
          <w:rFonts w:ascii="Arial" w:hAnsi="Arial" w:cs="Arial"/>
          <w:sz w:val="22"/>
          <w:szCs w:val="22"/>
        </w:rPr>
        <w:t xml:space="preserve">% </w:t>
      </w:r>
      <w:r w:rsidRPr="001D750A">
        <w:rPr>
          <w:rFonts w:ascii="Arial" w:hAnsi="Arial" w:cs="Arial"/>
          <w:sz w:val="22"/>
          <w:szCs w:val="22"/>
        </w:rPr>
        <w:t>față de 201</w:t>
      </w:r>
      <w:r w:rsidR="00281A6C" w:rsidRPr="001D750A">
        <w:rPr>
          <w:rFonts w:ascii="Arial" w:hAnsi="Arial" w:cs="Arial"/>
          <w:sz w:val="22"/>
          <w:szCs w:val="22"/>
        </w:rPr>
        <w:t>7</w:t>
      </w:r>
      <w:r w:rsidR="00177522" w:rsidRPr="001D750A">
        <w:rPr>
          <w:rFonts w:ascii="Arial" w:hAnsi="Arial" w:cs="Arial"/>
          <w:sz w:val="22"/>
          <w:szCs w:val="22"/>
        </w:rPr>
        <w:t xml:space="preserve"> </w:t>
      </w:r>
      <w:r w:rsidR="00F551C2" w:rsidRPr="001D750A">
        <w:rPr>
          <w:rFonts w:ascii="Arial" w:hAnsi="Arial" w:cs="Arial"/>
          <w:sz w:val="22"/>
          <w:szCs w:val="22"/>
        </w:rPr>
        <w:t>și sunt gen</w:t>
      </w:r>
      <w:r w:rsidR="004779A2" w:rsidRPr="001D750A">
        <w:rPr>
          <w:rFonts w:ascii="Arial" w:hAnsi="Arial" w:cs="Arial"/>
          <w:sz w:val="22"/>
          <w:szCs w:val="22"/>
        </w:rPr>
        <w:t xml:space="preserve">erate de influența unor factori, </w:t>
      </w:r>
      <w:r w:rsidR="00F551C2" w:rsidRPr="001D750A">
        <w:rPr>
          <w:rFonts w:ascii="Arial" w:hAnsi="Arial" w:cs="Arial"/>
          <w:sz w:val="22"/>
          <w:szCs w:val="22"/>
        </w:rPr>
        <w:t>precum: creșteri de prețuri la energie electrică și gaze, creșterea cheltuielilor cu personalul ca urmare a negocierii noului contract colectiv de muncă și a creșterii salariului mi</w:t>
      </w:r>
      <w:r w:rsidR="00EE1578" w:rsidRPr="001D750A">
        <w:rPr>
          <w:rFonts w:ascii="Arial" w:hAnsi="Arial" w:cs="Arial"/>
          <w:sz w:val="22"/>
          <w:szCs w:val="22"/>
        </w:rPr>
        <w:t>n</w:t>
      </w:r>
      <w:r w:rsidR="00F551C2" w:rsidRPr="001D750A">
        <w:rPr>
          <w:rFonts w:ascii="Arial" w:hAnsi="Arial" w:cs="Arial"/>
          <w:sz w:val="22"/>
          <w:szCs w:val="22"/>
        </w:rPr>
        <w:t>im brut.</w:t>
      </w:r>
    </w:p>
    <w:p w:rsidR="00A72106" w:rsidRPr="001F4E79" w:rsidRDefault="00A72106" w:rsidP="00A72106">
      <w:pPr>
        <w:jc w:val="right"/>
        <w:rPr>
          <w:rFonts w:ascii="Arial" w:hAnsi="Arial" w:cs="Arial"/>
          <w:noProof/>
        </w:rPr>
      </w:pPr>
    </w:p>
    <w:p w:rsidR="00A72106" w:rsidRDefault="00A72106" w:rsidP="00A72106">
      <w:pPr>
        <w:jc w:val="both"/>
        <w:rPr>
          <w:rFonts w:ascii="Arial" w:hAnsi="Arial" w:cs="Arial"/>
          <w:noProof/>
          <w:sz w:val="22"/>
          <w:szCs w:val="22"/>
        </w:rPr>
      </w:pPr>
      <w:r w:rsidRPr="00A72106">
        <w:rPr>
          <w:rFonts w:ascii="Arial" w:hAnsi="Arial" w:cs="Arial"/>
          <w:noProof/>
          <w:sz w:val="22"/>
          <w:szCs w:val="22"/>
        </w:rPr>
        <w:t>Profitul aferent activității de transport pe subsistemul țară a scăzut cu 7</w:t>
      </w:r>
      <w:r w:rsidR="004779A2">
        <w:rPr>
          <w:rFonts w:ascii="Arial" w:hAnsi="Arial" w:cs="Arial"/>
          <w:noProof/>
          <w:sz w:val="22"/>
          <w:szCs w:val="22"/>
        </w:rPr>
        <w:t>.475</w:t>
      </w:r>
      <w:r w:rsidRPr="00A72106">
        <w:rPr>
          <w:rFonts w:ascii="Arial" w:hAnsi="Arial" w:cs="Arial"/>
          <w:noProof/>
          <w:sz w:val="22"/>
          <w:szCs w:val="22"/>
        </w:rPr>
        <w:t xml:space="preserve"> mi</w:t>
      </w:r>
      <w:r w:rsidR="004779A2">
        <w:rPr>
          <w:rFonts w:ascii="Arial" w:hAnsi="Arial" w:cs="Arial"/>
          <w:noProof/>
          <w:sz w:val="22"/>
          <w:szCs w:val="22"/>
        </w:rPr>
        <w:t>i</w:t>
      </w:r>
      <w:r w:rsidRPr="00A72106">
        <w:rPr>
          <w:rFonts w:ascii="Arial" w:hAnsi="Arial" w:cs="Arial"/>
          <w:noProof/>
          <w:sz w:val="22"/>
          <w:szCs w:val="22"/>
        </w:rPr>
        <w:t xml:space="preserve"> lei în principal ca urmare a creșterii cheltuielilor cu personalul (6</w:t>
      </w:r>
      <w:r w:rsidR="004779A2">
        <w:rPr>
          <w:rFonts w:ascii="Arial" w:hAnsi="Arial" w:cs="Arial"/>
          <w:noProof/>
          <w:sz w:val="22"/>
          <w:szCs w:val="22"/>
        </w:rPr>
        <w:t>.</w:t>
      </w:r>
      <w:r w:rsidRPr="00A72106">
        <w:rPr>
          <w:rFonts w:ascii="Arial" w:hAnsi="Arial" w:cs="Arial"/>
          <w:noProof/>
          <w:sz w:val="22"/>
          <w:szCs w:val="22"/>
        </w:rPr>
        <w:t>40</w:t>
      </w:r>
      <w:r w:rsidR="004779A2">
        <w:rPr>
          <w:rFonts w:ascii="Arial" w:hAnsi="Arial" w:cs="Arial"/>
          <w:noProof/>
          <w:sz w:val="22"/>
          <w:szCs w:val="22"/>
        </w:rPr>
        <w:t>2</w:t>
      </w:r>
      <w:r w:rsidRPr="00A72106">
        <w:rPr>
          <w:rFonts w:ascii="Arial" w:hAnsi="Arial" w:cs="Arial"/>
          <w:noProof/>
          <w:sz w:val="22"/>
          <w:szCs w:val="22"/>
        </w:rPr>
        <w:t xml:space="preserve"> mi</w:t>
      </w:r>
      <w:r w:rsidR="004779A2">
        <w:rPr>
          <w:rFonts w:ascii="Arial" w:hAnsi="Arial" w:cs="Arial"/>
          <w:noProof/>
          <w:sz w:val="22"/>
          <w:szCs w:val="22"/>
        </w:rPr>
        <w:t>i</w:t>
      </w:r>
      <w:r w:rsidRPr="00A72106">
        <w:rPr>
          <w:rFonts w:ascii="Arial" w:hAnsi="Arial" w:cs="Arial"/>
          <w:noProof/>
          <w:sz w:val="22"/>
          <w:szCs w:val="22"/>
        </w:rPr>
        <w:t xml:space="preserve"> lei). </w:t>
      </w:r>
    </w:p>
    <w:p w:rsidR="00A72106" w:rsidRDefault="00A72106" w:rsidP="00A72106">
      <w:pPr>
        <w:jc w:val="both"/>
        <w:rPr>
          <w:rFonts w:ascii="Arial" w:hAnsi="Arial" w:cs="Arial"/>
          <w:noProof/>
          <w:sz w:val="22"/>
          <w:szCs w:val="22"/>
        </w:rPr>
      </w:pPr>
    </w:p>
    <w:p w:rsidR="00A72106" w:rsidRDefault="00A72106" w:rsidP="00A72106">
      <w:pPr>
        <w:jc w:val="both"/>
        <w:rPr>
          <w:rFonts w:ascii="Arial" w:hAnsi="Arial" w:cs="Arial"/>
          <w:noProof/>
          <w:sz w:val="22"/>
          <w:szCs w:val="22"/>
        </w:rPr>
      </w:pPr>
      <w:r w:rsidRPr="00A72106">
        <w:rPr>
          <w:rFonts w:ascii="Arial" w:hAnsi="Arial" w:cs="Arial"/>
          <w:noProof/>
          <w:sz w:val="22"/>
          <w:szCs w:val="22"/>
        </w:rPr>
        <w:t xml:space="preserve">Din activitatea de transport pe subsistemul de import în </w:t>
      </w:r>
      <w:r w:rsidRPr="00A72106">
        <w:rPr>
          <w:rFonts w:ascii="Arial" w:hAnsi="Arial" w:cs="Arial"/>
          <w:sz w:val="22"/>
          <w:szCs w:val="22"/>
        </w:rPr>
        <w:t xml:space="preserve">perioada ianuarie – iunie 2018 </w:t>
      </w:r>
      <w:r w:rsidR="004779A2">
        <w:rPr>
          <w:rFonts w:ascii="Arial" w:hAnsi="Arial" w:cs="Arial"/>
          <w:noProof/>
          <w:sz w:val="22"/>
          <w:szCs w:val="22"/>
        </w:rPr>
        <w:t xml:space="preserve">a rezultat un profit cu 3.788 </w:t>
      </w:r>
      <w:r w:rsidRPr="00A72106">
        <w:rPr>
          <w:rFonts w:ascii="Arial" w:hAnsi="Arial" w:cs="Arial"/>
          <w:noProof/>
          <w:sz w:val="22"/>
          <w:szCs w:val="22"/>
        </w:rPr>
        <w:t>mi</w:t>
      </w:r>
      <w:r w:rsidR="004779A2">
        <w:rPr>
          <w:rFonts w:ascii="Arial" w:hAnsi="Arial" w:cs="Arial"/>
          <w:noProof/>
          <w:sz w:val="22"/>
          <w:szCs w:val="22"/>
        </w:rPr>
        <w:t>i</w:t>
      </w:r>
      <w:r w:rsidRPr="00A72106">
        <w:rPr>
          <w:rFonts w:ascii="Arial" w:hAnsi="Arial" w:cs="Arial"/>
          <w:noProof/>
          <w:sz w:val="22"/>
          <w:szCs w:val="22"/>
        </w:rPr>
        <w:t xml:space="preserve"> lei mai mic față de perioada similară a anului 2017</w:t>
      </w:r>
      <w:r w:rsidR="00177522">
        <w:rPr>
          <w:rFonts w:ascii="Arial" w:hAnsi="Arial" w:cs="Arial"/>
          <w:noProof/>
          <w:sz w:val="22"/>
          <w:szCs w:val="22"/>
        </w:rPr>
        <w:t>,</w:t>
      </w:r>
      <w:r w:rsidRPr="00A72106">
        <w:rPr>
          <w:rFonts w:ascii="Arial" w:hAnsi="Arial" w:cs="Arial"/>
          <w:noProof/>
          <w:sz w:val="22"/>
          <w:szCs w:val="22"/>
        </w:rPr>
        <w:t xml:space="preserve"> în special datorită scăder</w:t>
      </w:r>
      <w:r w:rsidR="004779A2">
        <w:rPr>
          <w:rFonts w:ascii="Arial" w:hAnsi="Arial" w:cs="Arial"/>
          <w:noProof/>
          <w:sz w:val="22"/>
          <w:szCs w:val="22"/>
        </w:rPr>
        <w:t>ii veniturilor din transport (1.</w:t>
      </w:r>
      <w:r w:rsidRPr="00A72106">
        <w:rPr>
          <w:rFonts w:ascii="Arial" w:hAnsi="Arial" w:cs="Arial"/>
          <w:noProof/>
          <w:sz w:val="22"/>
          <w:szCs w:val="22"/>
        </w:rPr>
        <w:t>91</w:t>
      </w:r>
      <w:r w:rsidR="004779A2">
        <w:rPr>
          <w:rFonts w:ascii="Arial" w:hAnsi="Arial" w:cs="Arial"/>
          <w:noProof/>
          <w:sz w:val="22"/>
          <w:szCs w:val="22"/>
        </w:rPr>
        <w:t>3</w:t>
      </w:r>
      <w:r w:rsidRPr="00A72106">
        <w:rPr>
          <w:rFonts w:ascii="Arial" w:hAnsi="Arial" w:cs="Arial"/>
          <w:noProof/>
          <w:sz w:val="22"/>
          <w:szCs w:val="22"/>
        </w:rPr>
        <w:t xml:space="preserve"> mi</w:t>
      </w:r>
      <w:r w:rsidR="004779A2">
        <w:rPr>
          <w:rFonts w:ascii="Arial" w:hAnsi="Arial" w:cs="Arial"/>
          <w:noProof/>
          <w:sz w:val="22"/>
          <w:szCs w:val="22"/>
        </w:rPr>
        <w:t>i</w:t>
      </w:r>
      <w:r w:rsidRPr="00A72106">
        <w:rPr>
          <w:rFonts w:ascii="Arial" w:hAnsi="Arial" w:cs="Arial"/>
          <w:noProof/>
          <w:sz w:val="22"/>
          <w:szCs w:val="22"/>
        </w:rPr>
        <w:t xml:space="preserve"> lei) și a creșterii cheltuielilor cu personalul (1</w:t>
      </w:r>
      <w:r w:rsidR="004779A2">
        <w:rPr>
          <w:rFonts w:ascii="Arial" w:hAnsi="Arial" w:cs="Arial"/>
          <w:noProof/>
          <w:sz w:val="22"/>
          <w:szCs w:val="22"/>
        </w:rPr>
        <w:t>.658</w:t>
      </w:r>
      <w:r w:rsidRPr="00A72106">
        <w:rPr>
          <w:rFonts w:ascii="Arial" w:hAnsi="Arial" w:cs="Arial"/>
          <w:noProof/>
          <w:sz w:val="22"/>
          <w:szCs w:val="22"/>
        </w:rPr>
        <w:t xml:space="preserve"> mi</w:t>
      </w:r>
      <w:r w:rsidR="004779A2">
        <w:rPr>
          <w:rFonts w:ascii="Arial" w:hAnsi="Arial" w:cs="Arial"/>
          <w:noProof/>
          <w:sz w:val="22"/>
          <w:szCs w:val="22"/>
        </w:rPr>
        <w:t>i</w:t>
      </w:r>
      <w:r w:rsidRPr="00A72106">
        <w:rPr>
          <w:rFonts w:ascii="Arial" w:hAnsi="Arial" w:cs="Arial"/>
          <w:noProof/>
          <w:sz w:val="22"/>
          <w:szCs w:val="22"/>
        </w:rPr>
        <w:t xml:space="preserve"> lei).</w:t>
      </w:r>
    </w:p>
    <w:p w:rsidR="00D55F85" w:rsidRPr="00A72106" w:rsidRDefault="00D55F85" w:rsidP="00A72106">
      <w:pPr>
        <w:jc w:val="both"/>
        <w:rPr>
          <w:rFonts w:ascii="Arial" w:hAnsi="Arial" w:cs="Arial"/>
          <w:noProof/>
          <w:sz w:val="22"/>
          <w:szCs w:val="22"/>
        </w:rPr>
      </w:pPr>
    </w:p>
    <w:p w:rsidR="004E6FD5" w:rsidRDefault="004F64D2" w:rsidP="000360F8">
      <w:pPr>
        <w:spacing w:line="276" w:lineRule="auto"/>
        <w:jc w:val="both"/>
        <w:rPr>
          <w:rFonts w:ascii="Arial" w:hAnsi="Arial" w:cs="Arial"/>
          <w:color w:val="000000" w:themeColor="text1"/>
          <w:sz w:val="22"/>
          <w:szCs w:val="22"/>
        </w:rPr>
      </w:pPr>
      <w:r w:rsidRPr="00A72106">
        <w:rPr>
          <w:rFonts w:ascii="Arial" w:hAnsi="Arial" w:cs="Arial"/>
          <w:color w:val="000000" w:themeColor="text1"/>
          <w:sz w:val="22"/>
          <w:szCs w:val="22"/>
        </w:rPr>
        <w:t xml:space="preserve">Profitabilitatea </w:t>
      </w:r>
      <w:r w:rsidRPr="00D876A1">
        <w:rPr>
          <w:rFonts w:ascii="Arial" w:hAnsi="Arial" w:cs="Arial"/>
          <w:color w:val="000000" w:themeColor="text1"/>
          <w:sz w:val="22"/>
          <w:szCs w:val="22"/>
        </w:rPr>
        <w:t>subsistemelor de transport se prezintă astfel:</w:t>
      </w:r>
    </w:p>
    <w:p w:rsidR="004779A2" w:rsidRDefault="004779A2" w:rsidP="000360F8">
      <w:pPr>
        <w:spacing w:line="276" w:lineRule="auto"/>
        <w:jc w:val="both"/>
        <w:rPr>
          <w:rFonts w:ascii="Arial" w:hAnsi="Arial" w:cs="Arial"/>
          <w:color w:val="000000" w:themeColor="text1"/>
          <w:sz w:val="22"/>
          <w:szCs w:val="22"/>
        </w:rPr>
      </w:pPr>
    </w:p>
    <w:p w:rsidR="004779A2" w:rsidRDefault="004779A2" w:rsidP="00501B00">
      <w:pPr>
        <w:spacing w:line="276" w:lineRule="auto"/>
        <w:jc w:val="center"/>
        <w:rPr>
          <w:rFonts w:ascii="Arial" w:hAnsi="Arial" w:cs="Arial"/>
          <w:color w:val="000000" w:themeColor="text1"/>
          <w:sz w:val="22"/>
          <w:szCs w:val="22"/>
        </w:rPr>
      </w:pPr>
      <w:r>
        <w:rPr>
          <w:noProof/>
          <w:lang w:val="en-US" w:eastAsia="en-US"/>
        </w:rPr>
        <w:drawing>
          <wp:inline distT="0" distB="0" distL="0" distR="0" wp14:anchorId="194A0CB7" wp14:editId="48D68F4A">
            <wp:extent cx="5817600" cy="340524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21352" cy="3407438"/>
                    </a:xfrm>
                    <a:prstGeom prst="rect">
                      <a:avLst/>
                    </a:prstGeom>
                  </pic:spPr>
                </pic:pic>
              </a:graphicData>
            </a:graphic>
          </wp:inline>
        </w:drawing>
      </w:r>
    </w:p>
    <w:p w:rsidR="008A64D6" w:rsidRDefault="008A64D6" w:rsidP="008A64D6">
      <w:pPr>
        <w:spacing w:line="276" w:lineRule="auto"/>
        <w:jc w:val="center"/>
        <w:rPr>
          <w:rFonts w:ascii="Arial" w:hAnsi="Arial" w:cs="Arial"/>
          <w:sz w:val="16"/>
          <w:szCs w:val="16"/>
        </w:rPr>
      </w:pPr>
      <w:r w:rsidRPr="00F43345">
        <w:rPr>
          <w:rFonts w:ascii="Arial" w:hAnsi="Arial" w:cs="Arial"/>
          <w:sz w:val="16"/>
          <w:szCs w:val="16"/>
        </w:rPr>
        <w:t xml:space="preserve">Grafic </w:t>
      </w:r>
      <w:r w:rsidR="00584ADC">
        <w:rPr>
          <w:rFonts w:ascii="Arial" w:hAnsi="Arial" w:cs="Arial"/>
          <w:sz w:val="16"/>
          <w:szCs w:val="16"/>
        </w:rPr>
        <w:t>13</w:t>
      </w:r>
      <w:r w:rsidRPr="00F43345">
        <w:rPr>
          <w:rFonts w:ascii="Arial" w:hAnsi="Arial" w:cs="Arial"/>
          <w:sz w:val="16"/>
          <w:szCs w:val="16"/>
        </w:rPr>
        <w:t>- Profitabilitatea subsistemelor de transport</w:t>
      </w:r>
    </w:p>
    <w:p w:rsidR="00F43345" w:rsidRPr="00F43345" w:rsidRDefault="00F43345" w:rsidP="008A64D6">
      <w:pPr>
        <w:spacing w:line="276" w:lineRule="auto"/>
        <w:jc w:val="center"/>
        <w:rPr>
          <w:rFonts w:ascii="Arial" w:hAnsi="Arial" w:cs="Arial"/>
          <w:sz w:val="16"/>
          <w:szCs w:val="16"/>
        </w:rPr>
      </w:pPr>
    </w:p>
    <w:p w:rsidR="00584ADC" w:rsidRDefault="00584ADC" w:rsidP="007D26EA">
      <w:pPr>
        <w:widowControl/>
        <w:autoSpaceDE/>
        <w:autoSpaceDN/>
        <w:adjustRightInd/>
        <w:spacing w:line="276" w:lineRule="auto"/>
        <w:ind w:right="-29"/>
        <w:jc w:val="both"/>
        <w:rPr>
          <w:rFonts w:ascii="Arial" w:hAnsi="Arial" w:cs="Arial"/>
          <w:sz w:val="22"/>
          <w:szCs w:val="22"/>
          <w:lang w:val="en-US" w:eastAsia="en-US"/>
        </w:rPr>
      </w:pPr>
    </w:p>
    <w:p w:rsidR="00584ADC" w:rsidRDefault="00584ADC" w:rsidP="007D26EA">
      <w:pPr>
        <w:widowControl/>
        <w:autoSpaceDE/>
        <w:autoSpaceDN/>
        <w:adjustRightInd/>
        <w:spacing w:line="276" w:lineRule="auto"/>
        <w:ind w:right="-29"/>
        <w:jc w:val="both"/>
        <w:rPr>
          <w:rFonts w:ascii="Arial" w:hAnsi="Arial" w:cs="Arial"/>
          <w:sz w:val="22"/>
          <w:szCs w:val="22"/>
          <w:lang w:val="en-US" w:eastAsia="en-US"/>
        </w:rPr>
      </w:pPr>
    </w:p>
    <w:p w:rsidR="001A4B8B" w:rsidRPr="007D26EA" w:rsidRDefault="001A4B8B" w:rsidP="007D26EA">
      <w:pPr>
        <w:widowControl/>
        <w:autoSpaceDE/>
        <w:autoSpaceDN/>
        <w:adjustRightInd/>
        <w:spacing w:line="276" w:lineRule="auto"/>
        <w:ind w:right="-29"/>
        <w:jc w:val="both"/>
        <w:rPr>
          <w:rFonts w:ascii="Arial" w:hAnsi="Arial" w:cs="Arial"/>
          <w:sz w:val="22"/>
          <w:szCs w:val="22"/>
        </w:rPr>
      </w:pPr>
      <w:r w:rsidRPr="007D26EA">
        <w:rPr>
          <w:rFonts w:ascii="Arial" w:hAnsi="Arial" w:cs="Arial"/>
          <w:sz w:val="22"/>
          <w:szCs w:val="22"/>
          <w:lang w:val="en-US" w:eastAsia="en-US"/>
        </w:rPr>
        <w:lastRenderedPageBreak/>
        <w:t>Profitul din exploatare</w:t>
      </w:r>
      <w:r w:rsidR="00F551C2" w:rsidRPr="007D26EA">
        <w:rPr>
          <w:rFonts w:ascii="Arial" w:hAnsi="Arial" w:cs="Arial"/>
          <w:sz w:val="22"/>
          <w:szCs w:val="22"/>
          <w:lang w:val="en-US" w:eastAsia="en-US"/>
        </w:rPr>
        <w:t xml:space="preserve"> (</w:t>
      </w:r>
      <w:r w:rsidRPr="007D26EA">
        <w:rPr>
          <w:rFonts w:ascii="Arial" w:hAnsi="Arial" w:cs="Arial"/>
          <w:sz w:val="22"/>
          <w:szCs w:val="22"/>
          <w:lang w:val="en-US" w:eastAsia="en-US"/>
        </w:rPr>
        <w:t>EBIT</w:t>
      </w:r>
      <w:r w:rsidR="00F551C2" w:rsidRPr="007D26EA">
        <w:rPr>
          <w:rFonts w:ascii="Arial" w:hAnsi="Arial" w:cs="Arial"/>
          <w:sz w:val="22"/>
          <w:szCs w:val="22"/>
          <w:lang w:val="en-US" w:eastAsia="en-US"/>
        </w:rPr>
        <w:t>)</w:t>
      </w:r>
      <w:r w:rsidRPr="007D26EA">
        <w:rPr>
          <w:rFonts w:ascii="Arial" w:hAnsi="Arial" w:cs="Arial"/>
          <w:sz w:val="22"/>
          <w:szCs w:val="22"/>
          <w:lang w:val="en-US" w:eastAsia="en-US"/>
        </w:rPr>
        <w:t xml:space="preserve"> a </w:t>
      </w:r>
      <w:r w:rsidR="0075000A" w:rsidRPr="007D26EA">
        <w:rPr>
          <w:rFonts w:ascii="Arial" w:hAnsi="Arial" w:cs="Arial"/>
          <w:sz w:val="22"/>
          <w:szCs w:val="22"/>
          <w:lang w:val="en-US" w:eastAsia="en-US"/>
        </w:rPr>
        <w:t>scăzut</w:t>
      </w:r>
      <w:r w:rsidRPr="007D26EA">
        <w:rPr>
          <w:rFonts w:ascii="Arial" w:hAnsi="Arial" w:cs="Arial"/>
          <w:sz w:val="22"/>
          <w:szCs w:val="22"/>
          <w:lang w:val="en-US" w:eastAsia="en-US"/>
        </w:rPr>
        <w:t xml:space="preserve"> în perioada ianuarie-</w:t>
      </w:r>
      <w:r w:rsidR="00E733E8" w:rsidRPr="007D26EA">
        <w:rPr>
          <w:rFonts w:ascii="Arial" w:hAnsi="Arial" w:cs="Arial"/>
          <w:sz w:val="22"/>
          <w:szCs w:val="22"/>
          <w:lang w:val="en-US" w:eastAsia="en-US"/>
        </w:rPr>
        <w:t>iunie</w:t>
      </w:r>
      <w:r w:rsidR="00177522">
        <w:rPr>
          <w:rFonts w:ascii="Arial" w:hAnsi="Arial" w:cs="Arial"/>
          <w:sz w:val="22"/>
          <w:szCs w:val="22"/>
          <w:lang w:val="en-US" w:eastAsia="en-US"/>
        </w:rPr>
        <w:t xml:space="preserve"> 2018</w:t>
      </w:r>
      <w:r w:rsidRPr="007D26EA">
        <w:rPr>
          <w:rFonts w:ascii="Arial" w:hAnsi="Arial" w:cs="Arial"/>
          <w:sz w:val="22"/>
          <w:szCs w:val="22"/>
          <w:lang w:val="en-US" w:eastAsia="en-US"/>
        </w:rPr>
        <w:t xml:space="preserve"> cu </w:t>
      </w:r>
      <w:r w:rsidR="0075000A" w:rsidRPr="007D26EA">
        <w:rPr>
          <w:rFonts w:ascii="Arial" w:hAnsi="Arial" w:cs="Arial"/>
          <w:sz w:val="22"/>
          <w:szCs w:val="22"/>
          <w:lang w:val="en-US" w:eastAsia="en-US"/>
        </w:rPr>
        <w:t>611</w:t>
      </w:r>
      <w:r w:rsidR="00FE1B45" w:rsidRPr="007D26EA">
        <w:rPr>
          <w:rFonts w:ascii="Arial" w:hAnsi="Arial" w:cs="Arial"/>
          <w:sz w:val="22"/>
          <w:szCs w:val="22"/>
          <w:lang w:val="en-US" w:eastAsia="en-US"/>
        </w:rPr>
        <w:t xml:space="preserve"> mii</w:t>
      </w:r>
      <w:r w:rsidRPr="007D26EA">
        <w:rPr>
          <w:rFonts w:ascii="Arial" w:hAnsi="Arial" w:cs="Arial"/>
          <w:sz w:val="22"/>
          <w:szCs w:val="22"/>
          <w:lang w:val="en-US" w:eastAsia="en-US"/>
        </w:rPr>
        <w:t xml:space="preserve"> l</w:t>
      </w:r>
      <w:r w:rsidR="00F551C2" w:rsidRPr="007D26EA">
        <w:rPr>
          <w:rFonts w:ascii="Arial" w:hAnsi="Arial" w:cs="Arial"/>
          <w:sz w:val="22"/>
          <w:szCs w:val="22"/>
          <w:lang w:val="en-US" w:eastAsia="en-US"/>
        </w:rPr>
        <w:t>ei față de prevederile bugetare, iar p</w:t>
      </w:r>
      <w:r w:rsidRPr="007D26EA">
        <w:rPr>
          <w:rFonts w:ascii="Arial" w:hAnsi="Arial" w:cs="Arial"/>
          <w:sz w:val="22"/>
          <w:szCs w:val="22"/>
        </w:rPr>
        <w:t xml:space="preserve">rofitul net </w:t>
      </w:r>
      <w:r w:rsidR="00F551C2" w:rsidRPr="007D26EA">
        <w:rPr>
          <w:rFonts w:ascii="Arial" w:hAnsi="Arial" w:cs="Arial"/>
          <w:sz w:val="22"/>
          <w:szCs w:val="22"/>
        </w:rPr>
        <w:t>a</w:t>
      </w:r>
      <w:r w:rsidRPr="007D26EA">
        <w:rPr>
          <w:rFonts w:ascii="Arial" w:hAnsi="Arial" w:cs="Arial"/>
          <w:sz w:val="22"/>
          <w:szCs w:val="22"/>
        </w:rPr>
        <w:t xml:space="preserve"> crescut cu </w:t>
      </w:r>
      <w:r w:rsidR="0075000A" w:rsidRPr="007D26EA">
        <w:rPr>
          <w:rFonts w:ascii="Arial" w:hAnsi="Arial" w:cs="Arial"/>
          <w:sz w:val="22"/>
          <w:szCs w:val="22"/>
        </w:rPr>
        <w:t>1</w:t>
      </w:r>
      <w:r w:rsidR="00FE1B45" w:rsidRPr="007D26EA">
        <w:rPr>
          <w:rFonts w:ascii="Arial" w:hAnsi="Arial" w:cs="Arial"/>
          <w:sz w:val="22"/>
          <w:szCs w:val="22"/>
        </w:rPr>
        <w:t>.</w:t>
      </w:r>
      <w:r w:rsidR="0075000A" w:rsidRPr="007D26EA">
        <w:rPr>
          <w:rFonts w:ascii="Arial" w:hAnsi="Arial" w:cs="Arial"/>
          <w:sz w:val="22"/>
          <w:szCs w:val="22"/>
        </w:rPr>
        <w:t>105</w:t>
      </w:r>
      <w:r w:rsidR="00FE1B45" w:rsidRPr="007D26EA">
        <w:rPr>
          <w:rFonts w:ascii="Arial" w:hAnsi="Arial" w:cs="Arial"/>
          <w:sz w:val="22"/>
          <w:szCs w:val="22"/>
        </w:rPr>
        <w:t xml:space="preserve"> mii</w:t>
      </w:r>
      <w:r w:rsidRPr="007D26EA">
        <w:rPr>
          <w:rFonts w:ascii="Arial" w:hAnsi="Arial" w:cs="Arial"/>
          <w:sz w:val="22"/>
          <w:szCs w:val="22"/>
        </w:rPr>
        <w:t xml:space="preserve"> lei</w:t>
      </w:r>
      <w:r w:rsidR="003B75CD" w:rsidRPr="007D26EA">
        <w:rPr>
          <w:rFonts w:ascii="Arial" w:hAnsi="Arial" w:cs="Arial"/>
          <w:sz w:val="22"/>
          <w:szCs w:val="22"/>
        </w:rPr>
        <w:t>.</w:t>
      </w:r>
    </w:p>
    <w:p w:rsidR="00F551C2" w:rsidRPr="007D26EA" w:rsidRDefault="00F551C2" w:rsidP="007D26EA">
      <w:pPr>
        <w:widowControl/>
        <w:autoSpaceDE/>
        <w:autoSpaceDN/>
        <w:adjustRightInd/>
        <w:spacing w:line="276" w:lineRule="auto"/>
        <w:ind w:right="-29"/>
        <w:jc w:val="both"/>
        <w:rPr>
          <w:rFonts w:ascii="Arial" w:hAnsi="Arial" w:cs="Arial"/>
          <w:sz w:val="22"/>
          <w:szCs w:val="22"/>
          <w:lang w:val="en-US" w:eastAsia="en-US"/>
        </w:rPr>
      </w:pPr>
    </w:p>
    <w:p w:rsidR="003A798C" w:rsidRPr="007D26EA" w:rsidRDefault="00F551C2" w:rsidP="007D26EA">
      <w:pPr>
        <w:widowControl/>
        <w:autoSpaceDE/>
        <w:autoSpaceDN/>
        <w:adjustRightInd/>
        <w:spacing w:line="276" w:lineRule="auto"/>
        <w:ind w:right="-29"/>
        <w:jc w:val="both"/>
        <w:rPr>
          <w:rFonts w:ascii="Arial" w:hAnsi="Arial" w:cs="Arial"/>
          <w:sz w:val="22"/>
          <w:szCs w:val="22"/>
          <w:lang w:val="en-US" w:eastAsia="en-US"/>
        </w:rPr>
      </w:pPr>
      <w:r w:rsidRPr="007D26EA">
        <w:rPr>
          <w:rFonts w:ascii="Arial" w:hAnsi="Arial" w:cs="Arial"/>
          <w:sz w:val="22"/>
          <w:szCs w:val="22"/>
          <w:lang w:val="en-US" w:eastAsia="en-US"/>
        </w:rPr>
        <w:t xml:space="preserve">Comparativ cu </w:t>
      </w:r>
      <w:r w:rsidR="00E733E8" w:rsidRPr="007D26EA">
        <w:rPr>
          <w:rFonts w:ascii="Arial" w:hAnsi="Arial" w:cs="Arial"/>
          <w:sz w:val="22"/>
          <w:szCs w:val="22"/>
          <w:lang w:val="en-US" w:eastAsia="en-US"/>
        </w:rPr>
        <w:t>Sem</w:t>
      </w:r>
      <w:r w:rsidRPr="007D26EA">
        <w:rPr>
          <w:rFonts w:ascii="Arial" w:hAnsi="Arial" w:cs="Arial"/>
          <w:sz w:val="22"/>
          <w:szCs w:val="22"/>
          <w:lang w:val="en-US" w:eastAsia="en-US"/>
        </w:rPr>
        <w:t xml:space="preserve">estrul I 2017, profitul din exploatare (EBIT) a înregistrat o scădere </w:t>
      </w:r>
      <w:r w:rsidR="008D3BE0" w:rsidRPr="007D26EA">
        <w:rPr>
          <w:rFonts w:ascii="Arial" w:hAnsi="Arial" w:cs="Arial"/>
          <w:sz w:val="22"/>
          <w:szCs w:val="22"/>
          <w:lang w:val="en-US" w:eastAsia="en-US"/>
        </w:rPr>
        <w:t>cu</w:t>
      </w:r>
      <w:r w:rsidRPr="007D26EA">
        <w:rPr>
          <w:rFonts w:ascii="Arial" w:hAnsi="Arial" w:cs="Arial"/>
          <w:sz w:val="22"/>
          <w:szCs w:val="22"/>
          <w:lang w:val="en-US" w:eastAsia="en-US"/>
        </w:rPr>
        <w:t xml:space="preserve"> 4</w:t>
      </w:r>
      <w:r w:rsidR="007D26EA" w:rsidRPr="007D26EA">
        <w:rPr>
          <w:rFonts w:ascii="Arial" w:hAnsi="Arial" w:cs="Arial"/>
          <w:sz w:val="22"/>
          <w:szCs w:val="22"/>
          <w:lang w:val="en-US" w:eastAsia="en-US"/>
        </w:rPr>
        <w:t>2,48</w:t>
      </w:r>
      <w:r w:rsidR="003463D2" w:rsidRPr="007D26EA">
        <w:rPr>
          <w:rFonts w:ascii="Arial" w:hAnsi="Arial" w:cs="Arial"/>
          <w:sz w:val="22"/>
          <w:szCs w:val="22"/>
          <w:lang w:val="en-US" w:eastAsia="en-US"/>
        </w:rPr>
        <w:t xml:space="preserve">% </w:t>
      </w:r>
      <w:r w:rsidRPr="007D26EA">
        <w:rPr>
          <w:rFonts w:ascii="Arial" w:hAnsi="Arial" w:cs="Arial"/>
          <w:sz w:val="22"/>
          <w:szCs w:val="22"/>
          <w:lang w:val="en-US" w:eastAsia="en-US"/>
        </w:rPr>
        <w:t xml:space="preserve"> </w:t>
      </w:r>
      <w:r w:rsidR="003463D2" w:rsidRPr="007D26EA">
        <w:rPr>
          <w:rFonts w:ascii="Arial" w:hAnsi="Arial" w:cs="Arial"/>
          <w:sz w:val="22"/>
          <w:szCs w:val="22"/>
          <w:lang w:val="en-US" w:eastAsia="en-US"/>
        </w:rPr>
        <w:t>(</w:t>
      </w:r>
      <w:r w:rsidR="003A798C">
        <w:rPr>
          <w:rFonts w:ascii="Arial" w:hAnsi="Arial" w:cs="Arial"/>
          <w:sz w:val="22"/>
          <w:szCs w:val="22"/>
          <w:lang w:val="en-US" w:eastAsia="en-US"/>
        </w:rPr>
        <w:t>de la</w:t>
      </w:r>
      <w:r w:rsidR="00177522">
        <w:rPr>
          <w:rFonts w:ascii="Arial" w:hAnsi="Arial" w:cs="Arial"/>
          <w:sz w:val="22"/>
          <w:szCs w:val="22"/>
          <w:lang w:val="en-US" w:eastAsia="en-US"/>
        </w:rPr>
        <w:t xml:space="preserve"> </w:t>
      </w:r>
      <w:r w:rsidR="008D3BE0" w:rsidRPr="007D26EA">
        <w:rPr>
          <w:rFonts w:ascii="Arial" w:hAnsi="Arial" w:cs="Arial"/>
          <w:sz w:val="22"/>
          <w:szCs w:val="22"/>
          <w:lang w:val="en-US" w:eastAsia="en-US"/>
        </w:rPr>
        <w:t>4</w:t>
      </w:r>
      <w:r w:rsidR="007D26EA" w:rsidRPr="007D26EA">
        <w:rPr>
          <w:rFonts w:ascii="Arial" w:hAnsi="Arial" w:cs="Arial"/>
          <w:sz w:val="22"/>
          <w:szCs w:val="22"/>
          <w:lang w:val="en-US" w:eastAsia="en-US"/>
        </w:rPr>
        <w:t>0.428</w:t>
      </w:r>
      <w:r w:rsidRPr="007D26EA">
        <w:rPr>
          <w:rFonts w:ascii="Arial" w:hAnsi="Arial" w:cs="Arial"/>
          <w:sz w:val="22"/>
          <w:szCs w:val="22"/>
          <w:lang w:val="en-US" w:eastAsia="en-US"/>
        </w:rPr>
        <w:t xml:space="preserve"> mii lei</w:t>
      </w:r>
      <w:r w:rsidR="003A798C">
        <w:rPr>
          <w:rFonts w:ascii="Arial" w:hAnsi="Arial" w:cs="Arial"/>
          <w:sz w:val="22"/>
          <w:szCs w:val="22"/>
          <w:lang w:val="en-US" w:eastAsia="en-US"/>
        </w:rPr>
        <w:t xml:space="preserve"> la 23.255 mii lei în sem. I 2018</w:t>
      </w:r>
      <w:r w:rsidRPr="007D26EA">
        <w:rPr>
          <w:rFonts w:ascii="Arial" w:hAnsi="Arial" w:cs="Arial"/>
          <w:sz w:val="22"/>
          <w:szCs w:val="22"/>
          <w:lang w:val="en-US" w:eastAsia="en-US"/>
        </w:rPr>
        <w:t>).</w:t>
      </w:r>
    </w:p>
    <w:p w:rsidR="00F551C2" w:rsidRPr="007D26EA" w:rsidRDefault="00F551C2" w:rsidP="007D26EA">
      <w:pPr>
        <w:widowControl/>
        <w:autoSpaceDE/>
        <w:autoSpaceDN/>
        <w:adjustRightInd/>
        <w:spacing w:line="276" w:lineRule="auto"/>
        <w:ind w:right="-29"/>
        <w:jc w:val="both"/>
        <w:rPr>
          <w:rFonts w:ascii="Arial" w:hAnsi="Arial" w:cs="Arial"/>
          <w:sz w:val="22"/>
          <w:szCs w:val="22"/>
          <w:lang w:val="en-US" w:eastAsia="en-US"/>
        </w:rPr>
      </w:pPr>
      <w:r w:rsidRPr="007D26EA">
        <w:rPr>
          <w:rFonts w:ascii="Arial" w:hAnsi="Arial" w:cs="Arial"/>
          <w:sz w:val="22"/>
          <w:szCs w:val="22"/>
          <w:lang w:val="en-US" w:eastAsia="en-US"/>
        </w:rPr>
        <w:t>Profit</w:t>
      </w:r>
      <w:r w:rsidR="003463D2" w:rsidRPr="007D26EA">
        <w:rPr>
          <w:rFonts w:ascii="Arial" w:hAnsi="Arial" w:cs="Arial"/>
          <w:sz w:val="22"/>
          <w:szCs w:val="22"/>
          <w:lang w:val="en-US" w:eastAsia="en-US"/>
        </w:rPr>
        <w:t>ul</w:t>
      </w:r>
      <w:r w:rsidRPr="007D26EA">
        <w:rPr>
          <w:rFonts w:ascii="Arial" w:hAnsi="Arial" w:cs="Arial"/>
          <w:sz w:val="22"/>
          <w:szCs w:val="22"/>
          <w:lang w:val="en-US" w:eastAsia="en-US"/>
        </w:rPr>
        <w:t xml:space="preserve"> net a înregistrat o scădere cu </w:t>
      </w:r>
      <w:r w:rsidR="007D26EA" w:rsidRPr="007D26EA">
        <w:rPr>
          <w:rFonts w:ascii="Arial" w:hAnsi="Arial" w:cs="Arial"/>
          <w:sz w:val="22"/>
          <w:szCs w:val="22"/>
          <w:lang w:val="en-US" w:eastAsia="en-US"/>
        </w:rPr>
        <w:t>3</w:t>
      </w:r>
      <w:r w:rsidR="00B92724">
        <w:rPr>
          <w:rFonts w:ascii="Arial" w:hAnsi="Arial" w:cs="Arial"/>
          <w:sz w:val="22"/>
          <w:szCs w:val="22"/>
          <w:lang w:val="en-US" w:eastAsia="en-US"/>
        </w:rPr>
        <w:t>9,54</w:t>
      </w:r>
      <w:r w:rsidRPr="007D26EA">
        <w:rPr>
          <w:rFonts w:ascii="Arial" w:hAnsi="Arial" w:cs="Arial"/>
          <w:sz w:val="22"/>
          <w:szCs w:val="22"/>
          <w:lang w:val="en-US" w:eastAsia="en-US"/>
        </w:rPr>
        <w:t xml:space="preserve">% față de </w:t>
      </w:r>
      <w:r w:rsidR="003A798C">
        <w:rPr>
          <w:rFonts w:ascii="Arial" w:hAnsi="Arial" w:cs="Arial"/>
          <w:sz w:val="22"/>
          <w:szCs w:val="22"/>
          <w:lang w:val="en-US" w:eastAsia="en-US"/>
        </w:rPr>
        <w:t>Semestrul I</w:t>
      </w:r>
      <w:r w:rsidRPr="007D26EA">
        <w:rPr>
          <w:rFonts w:ascii="Arial" w:hAnsi="Arial" w:cs="Arial"/>
          <w:sz w:val="22"/>
          <w:szCs w:val="22"/>
          <w:lang w:val="en-US" w:eastAsia="en-US"/>
        </w:rPr>
        <w:t xml:space="preserve"> 2017 (</w:t>
      </w:r>
      <w:r w:rsidR="003A798C">
        <w:rPr>
          <w:rFonts w:ascii="Arial" w:hAnsi="Arial" w:cs="Arial"/>
          <w:sz w:val="22"/>
          <w:szCs w:val="22"/>
          <w:lang w:val="en-US" w:eastAsia="en-US"/>
        </w:rPr>
        <w:t>de la</w:t>
      </w:r>
      <w:r w:rsidR="00177522">
        <w:rPr>
          <w:rFonts w:ascii="Arial" w:hAnsi="Arial" w:cs="Arial"/>
          <w:sz w:val="22"/>
          <w:szCs w:val="22"/>
          <w:lang w:val="en-US" w:eastAsia="en-US"/>
        </w:rPr>
        <w:t xml:space="preserve"> </w:t>
      </w:r>
      <w:r w:rsidR="007D26EA" w:rsidRPr="007D26EA">
        <w:rPr>
          <w:rFonts w:ascii="Arial" w:hAnsi="Arial" w:cs="Arial"/>
          <w:sz w:val="22"/>
          <w:szCs w:val="22"/>
          <w:lang w:val="en-US" w:eastAsia="en-US"/>
        </w:rPr>
        <w:t>3</w:t>
      </w:r>
      <w:r w:rsidR="00B92724">
        <w:rPr>
          <w:rFonts w:ascii="Arial" w:hAnsi="Arial" w:cs="Arial"/>
          <w:sz w:val="22"/>
          <w:szCs w:val="22"/>
          <w:lang w:val="en-US" w:eastAsia="en-US"/>
        </w:rPr>
        <w:t>5.767</w:t>
      </w:r>
      <w:r w:rsidRPr="007D26EA">
        <w:rPr>
          <w:rFonts w:ascii="Arial" w:hAnsi="Arial" w:cs="Arial"/>
          <w:sz w:val="22"/>
          <w:szCs w:val="22"/>
          <w:lang w:val="en-US" w:eastAsia="en-US"/>
        </w:rPr>
        <w:t xml:space="preserve"> mii lei</w:t>
      </w:r>
      <w:r w:rsidR="003A798C">
        <w:rPr>
          <w:rFonts w:ascii="Arial" w:hAnsi="Arial" w:cs="Arial"/>
          <w:sz w:val="22"/>
          <w:szCs w:val="22"/>
          <w:lang w:val="en-US" w:eastAsia="en-US"/>
        </w:rPr>
        <w:t xml:space="preserve"> la 21.626 mii lei în sem. I 2018</w:t>
      </w:r>
      <w:r w:rsidRPr="007D26EA">
        <w:rPr>
          <w:rFonts w:ascii="Arial" w:hAnsi="Arial" w:cs="Arial"/>
          <w:sz w:val="22"/>
          <w:szCs w:val="22"/>
          <w:lang w:val="en-US" w:eastAsia="en-US"/>
        </w:rPr>
        <w:t xml:space="preserve">). </w:t>
      </w:r>
    </w:p>
    <w:p w:rsidR="00F551C2" w:rsidRPr="00A74CF5" w:rsidRDefault="00F551C2" w:rsidP="001A4B8B">
      <w:pPr>
        <w:widowControl/>
        <w:autoSpaceDE/>
        <w:autoSpaceDN/>
        <w:adjustRightInd/>
        <w:spacing w:line="276" w:lineRule="auto"/>
        <w:ind w:right="-29"/>
        <w:jc w:val="both"/>
        <w:rPr>
          <w:rFonts w:ascii="Arial" w:hAnsi="Arial" w:cs="Arial"/>
          <w:sz w:val="22"/>
          <w:szCs w:val="22"/>
          <w:lang w:val="en-US" w:eastAsia="en-US"/>
        </w:rPr>
      </w:pPr>
    </w:p>
    <w:p w:rsidR="003410BB" w:rsidRPr="00F03458" w:rsidRDefault="004B5C9C" w:rsidP="00F03458">
      <w:pPr>
        <w:pStyle w:val="ListParagraph"/>
        <w:numPr>
          <w:ilvl w:val="2"/>
          <w:numId w:val="48"/>
        </w:numPr>
        <w:jc w:val="both"/>
        <w:rPr>
          <w:rFonts w:ascii="Arial" w:hAnsi="Arial" w:cs="Arial"/>
          <w:b/>
          <w:color w:val="1F4E79" w:themeColor="accent1" w:themeShade="80"/>
          <w:lang w:val="en-US"/>
        </w:rPr>
      </w:pPr>
      <w:r w:rsidRPr="00F03458">
        <w:rPr>
          <w:rFonts w:ascii="Arial" w:hAnsi="Arial" w:cs="Arial"/>
          <w:b/>
          <w:color w:val="1F4E79" w:themeColor="accent1" w:themeShade="80"/>
          <w:sz w:val="24"/>
          <w:szCs w:val="24"/>
          <w:lang w:val="en-US"/>
        </w:rPr>
        <w:t xml:space="preserve">Principalii indicatori  economico – financiari </w:t>
      </w:r>
    </w:p>
    <w:tbl>
      <w:tblPr>
        <w:tblW w:w="9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4"/>
        <w:gridCol w:w="3494"/>
        <w:gridCol w:w="1347"/>
        <w:gridCol w:w="1222"/>
      </w:tblGrid>
      <w:tr w:rsidR="003410BB" w:rsidRPr="003410BB" w:rsidTr="004B16C6">
        <w:trPr>
          <w:trHeight w:val="491"/>
        </w:trPr>
        <w:tc>
          <w:tcPr>
            <w:tcW w:w="3164" w:type="dxa"/>
            <w:shd w:val="clear" w:color="auto" w:fill="DEEAF6" w:themeFill="accent1" w:themeFillTint="33"/>
            <w:vAlign w:val="center"/>
          </w:tcPr>
          <w:p w:rsidR="003410BB" w:rsidRPr="003410BB" w:rsidRDefault="003410BB" w:rsidP="003410BB">
            <w:pPr>
              <w:widowControl/>
              <w:autoSpaceDE/>
              <w:autoSpaceDN/>
              <w:adjustRightInd/>
              <w:spacing w:line="276" w:lineRule="auto"/>
              <w:jc w:val="center"/>
              <w:rPr>
                <w:rFonts w:ascii="Arial" w:hAnsi="Arial" w:cs="Arial"/>
                <w:b/>
                <w:bCs/>
                <w:sz w:val="22"/>
                <w:szCs w:val="22"/>
                <w:lang w:val="en-US" w:eastAsia="en-US"/>
              </w:rPr>
            </w:pPr>
            <w:r w:rsidRPr="003410BB">
              <w:rPr>
                <w:rFonts w:ascii="Arial" w:hAnsi="Arial" w:cs="Arial"/>
                <w:b/>
                <w:bCs/>
                <w:sz w:val="22"/>
                <w:szCs w:val="22"/>
                <w:lang w:val="en-US" w:eastAsia="en-US"/>
              </w:rPr>
              <w:t>Denumirea indicatorului</w:t>
            </w:r>
          </w:p>
        </w:tc>
        <w:tc>
          <w:tcPr>
            <w:tcW w:w="3494" w:type="dxa"/>
            <w:shd w:val="clear" w:color="auto" w:fill="DEEAF6" w:themeFill="accent1" w:themeFillTint="33"/>
            <w:vAlign w:val="center"/>
          </w:tcPr>
          <w:p w:rsidR="003410BB" w:rsidRPr="003410BB" w:rsidRDefault="003410BB" w:rsidP="003410BB">
            <w:pPr>
              <w:widowControl/>
              <w:autoSpaceDE/>
              <w:autoSpaceDN/>
              <w:adjustRightInd/>
              <w:spacing w:line="276" w:lineRule="auto"/>
              <w:jc w:val="center"/>
              <w:rPr>
                <w:rFonts w:ascii="Arial" w:hAnsi="Arial" w:cs="Arial"/>
                <w:b/>
                <w:bCs/>
                <w:sz w:val="22"/>
                <w:szCs w:val="22"/>
                <w:lang w:val="en-US" w:eastAsia="en-US"/>
              </w:rPr>
            </w:pPr>
            <w:r w:rsidRPr="003410BB">
              <w:rPr>
                <w:rFonts w:ascii="Arial" w:hAnsi="Arial" w:cs="Arial"/>
                <w:b/>
                <w:bCs/>
                <w:sz w:val="22"/>
                <w:szCs w:val="22"/>
                <w:lang w:val="en-US" w:eastAsia="en-US"/>
              </w:rPr>
              <w:t>Formula de calcul</w:t>
            </w:r>
          </w:p>
        </w:tc>
        <w:tc>
          <w:tcPr>
            <w:tcW w:w="1347" w:type="dxa"/>
            <w:shd w:val="clear" w:color="auto" w:fill="DEEAF6" w:themeFill="accent1" w:themeFillTint="33"/>
            <w:vAlign w:val="center"/>
          </w:tcPr>
          <w:p w:rsidR="003410BB" w:rsidRPr="003410BB" w:rsidRDefault="003410BB" w:rsidP="003410BB">
            <w:pPr>
              <w:widowControl/>
              <w:autoSpaceDE/>
              <w:autoSpaceDN/>
              <w:adjustRightInd/>
              <w:spacing w:line="276" w:lineRule="auto"/>
              <w:jc w:val="center"/>
              <w:rPr>
                <w:rFonts w:ascii="Arial" w:hAnsi="Arial" w:cs="Arial"/>
                <w:b/>
                <w:bCs/>
                <w:sz w:val="22"/>
                <w:szCs w:val="22"/>
                <w:lang w:val="en-US" w:eastAsia="en-US"/>
              </w:rPr>
            </w:pPr>
            <w:r w:rsidRPr="003410BB">
              <w:rPr>
                <w:rFonts w:ascii="Arial" w:hAnsi="Arial" w:cs="Arial"/>
                <w:b/>
                <w:bCs/>
                <w:sz w:val="22"/>
                <w:szCs w:val="22"/>
                <w:lang w:val="en-US" w:eastAsia="en-US"/>
              </w:rPr>
              <w:t xml:space="preserve">Realizat </w:t>
            </w:r>
            <w:r w:rsidR="00C526CF">
              <w:rPr>
                <w:rFonts w:ascii="Arial" w:hAnsi="Arial" w:cs="Arial"/>
                <w:b/>
                <w:bCs/>
                <w:sz w:val="22"/>
                <w:szCs w:val="22"/>
                <w:lang w:val="en-US" w:eastAsia="en-US"/>
              </w:rPr>
              <w:t>30 iunie</w:t>
            </w:r>
          </w:p>
          <w:p w:rsidR="003410BB" w:rsidRPr="003410BB" w:rsidRDefault="003410BB" w:rsidP="003410BB">
            <w:pPr>
              <w:widowControl/>
              <w:autoSpaceDE/>
              <w:autoSpaceDN/>
              <w:adjustRightInd/>
              <w:spacing w:line="276" w:lineRule="auto"/>
              <w:jc w:val="center"/>
              <w:rPr>
                <w:rFonts w:ascii="Arial" w:hAnsi="Arial" w:cs="Arial"/>
                <w:b/>
                <w:bCs/>
                <w:sz w:val="22"/>
                <w:szCs w:val="22"/>
                <w:lang w:val="en-US" w:eastAsia="en-US"/>
              </w:rPr>
            </w:pPr>
            <w:r w:rsidRPr="003410BB">
              <w:rPr>
                <w:rFonts w:ascii="Arial" w:hAnsi="Arial" w:cs="Arial"/>
                <w:b/>
                <w:bCs/>
                <w:sz w:val="22"/>
                <w:szCs w:val="22"/>
                <w:lang w:val="en-US" w:eastAsia="en-US"/>
              </w:rPr>
              <w:t>2018</w:t>
            </w:r>
          </w:p>
        </w:tc>
        <w:tc>
          <w:tcPr>
            <w:tcW w:w="1222" w:type="dxa"/>
            <w:shd w:val="clear" w:color="auto" w:fill="DEEAF6" w:themeFill="accent1" w:themeFillTint="33"/>
            <w:vAlign w:val="center"/>
          </w:tcPr>
          <w:p w:rsidR="003410BB" w:rsidRPr="003410BB" w:rsidRDefault="003410BB" w:rsidP="003410BB">
            <w:pPr>
              <w:widowControl/>
              <w:autoSpaceDE/>
              <w:autoSpaceDN/>
              <w:adjustRightInd/>
              <w:spacing w:line="276" w:lineRule="auto"/>
              <w:jc w:val="center"/>
              <w:rPr>
                <w:rFonts w:ascii="Arial" w:hAnsi="Arial" w:cs="Arial"/>
                <w:b/>
                <w:bCs/>
                <w:sz w:val="22"/>
                <w:szCs w:val="22"/>
                <w:lang w:val="en-US" w:eastAsia="en-US"/>
              </w:rPr>
            </w:pPr>
            <w:r w:rsidRPr="003410BB">
              <w:rPr>
                <w:rFonts w:ascii="Arial" w:hAnsi="Arial" w:cs="Arial"/>
                <w:b/>
                <w:bCs/>
                <w:sz w:val="22"/>
                <w:szCs w:val="22"/>
                <w:lang w:val="en-US" w:eastAsia="en-US"/>
              </w:rPr>
              <w:t xml:space="preserve">Realizat </w:t>
            </w:r>
            <w:r w:rsidR="00C526CF">
              <w:rPr>
                <w:rFonts w:ascii="Arial" w:hAnsi="Arial" w:cs="Arial"/>
                <w:b/>
                <w:bCs/>
                <w:sz w:val="22"/>
                <w:szCs w:val="22"/>
                <w:lang w:val="en-US" w:eastAsia="en-US"/>
              </w:rPr>
              <w:t>30 iunie</w:t>
            </w:r>
          </w:p>
          <w:p w:rsidR="003410BB" w:rsidRPr="003410BB" w:rsidRDefault="003410BB" w:rsidP="003410BB">
            <w:pPr>
              <w:widowControl/>
              <w:autoSpaceDE/>
              <w:autoSpaceDN/>
              <w:adjustRightInd/>
              <w:spacing w:line="276" w:lineRule="auto"/>
              <w:jc w:val="center"/>
              <w:rPr>
                <w:rFonts w:ascii="Arial" w:hAnsi="Arial" w:cs="Arial"/>
                <w:b/>
                <w:bCs/>
                <w:sz w:val="22"/>
                <w:szCs w:val="22"/>
                <w:lang w:val="en-US" w:eastAsia="en-US"/>
              </w:rPr>
            </w:pPr>
            <w:r w:rsidRPr="003410BB">
              <w:rPr>
                <w:rFonts w:ascii="Arial" w:hAnsi="Arial" w:cs="Arial"/>
                <w:b/>
                <w:bCs/>
                <w:sz w:val="22"/>
                <w:szCs w:val="22"/>
                <w:lang w:val="en-US" w:eastAsia="en-US"/>
              </w:rPr>
              <w:t xml:space="preserve"> 2017</w:t>
            </w:r>
          </w:p>
        </w:tc>
      </w:tr>
      <w:tr w:rsidR="009E16F9" w:rsidRPr="003410BB" w:rsidTr="004B16C6">
        <w:trPr>
          <w:trHeight w:val="477"/>
        </w:trPr>
        <w:tc>
          <w:tcPr>
            <w:tcW w:w="3164" w:type="dxa"/>
            <w:shd w:val="clear" w:color="auto" w:fill="auto"/>
            <w:vAlign w:val="center"/>
          </w:tcPr>
          <w:p w:rsidR="009E16F9" w:rsidRPr="003410BB" w:rsidRDefault="009E16F9" w:rsidP="009E16F9">
            <w:pPr>
              <w:widowControl/>
              <w:autoSpaceDE/>
              <w:autoSpaceDN/>
              <w:adjustRightInd/>
              <w:rPr>
                <w:rFonts w:ascii="Arial" w:hAnsi="Arial" w:cs="Arial"/>
                <w:bCs/>
                <w:sz w:val="22"/>
                <w:szCs w:val="22"/>
                <w:lang w:val="en-US" w:eastAsia="en-US"/>
              </w:rPr>
            </w:pPr>
            <w:r w:rsidRPr="003410BB">
              <w:rPr>
                <w:rFonts w:ascii="Arial" w:hAnsi="Arial" w:cs="Arial"/>
                <w:bCs/>
                <w:sz w:val="22"/>
                <w:szCs w:val="22"/>
                <w:lang w:val="en-US" w:eastAsia="en-US"/>
              </w:rPr>
              <w:t xml:space="preserve">Indicatorul lichidităţii curente </w:t>
            </w:r>
          </w:p>
        </w:tc>
        <w:tc>
          <w:tcPr>
            <w:tcW w:w="3494" w:type="dxa"/>
            <w:shd w:val="clear" w:color="auto" w:fill="auto"/>
            <w:vAlign w:val="center"/>
          </w:tcPr>
          <w:p w:rsidR="009E16F9" w:rsidRPr="003410BB" w:rsidRDefault="009E16F9" w:rsidP="009E16F9">
            <w:pPr>
              <w:widowControl/>
              <w:autoSpaceDE/>
              <w:autoSpaceDN/>
              <w:adjustRightInd/>
              <w:rPr>
                <w:rFonts w:ascii="Arial" w:hAnsi="Arial" w:cs="Arial"/>
                <w:sz w:val="22"/>
                <w:szCs w:val="22"/>
                <w:lang w:val="en-US" w:eastAsia="en-US"/>
              </w:rPr>
            </w:pPr>
            <w:r w:rsidRPr="003410BB">
              <w:rPr>
                <w:rFonts w:ascii="Arial" w:hAnsi="Arial" w:cs="Arial"/>
                <w:sz w:val="22"/>
                <w:szCs w:val="22"/>
                <w:lang w:val="en-US" w:eastAsia="en-US"/>
              </w:rPr>
              <w:t>Active curente/Datorii curente</w:t>
            </w:r>
          </w:p>
        </w:tc>
        <w:tc>
          <w:tcPr>
            <w:tcW w:w="1347" w:type="dxa"/>
            <w:shd w:val="clear" w:color="auto" w:fill="auto"/>
            <w:vAlign w:val="center"/>
          </w:tcPr>
          <w:p w:rsidR="009E16F9" w:rsidRDefault="009E16F9" w:rsidP="007D0985">
            <w:pPr>
              <w:widowControl/>
              <w:autoSpaceDE/>
              <w:autoSpaceDN/>
              <w:adjustRightInd/>
              <w:jc w:val="right"/>
              <w:rPr>
                <w:rFonts w:ascii="Arial" w:hAnsi="Arial" w:cs="Arial"/>
                <w:color w:val="000000"/>
                <w:sz w:val="22"/>
                <w:szCs w:val="22"/>
              </w:rPr>
            </w:pPr>
            <w:r>
              <w:rPr>
                <w:rFonts w:ascii="Arial" w:hAnsi="Arial" w:cs="Arial"/>
                <w:color w:val="000000"/>
                <w:sz w:val="22"/>
                <w:szCs w:val="22"/>
              </w:rPr>
              <w:t>3,</w:t>
            </w:r>
            <w:r w:rsidR="007D0985">
              <w:rPr>
                <w:rFonts w:ascii="Arial" w:hAnsi="Arial" w:cs="Arial"/>
                <w:color w:val="000000"/>
                <w:sz w:val="22"/>
                <w:szCs w:val="22"/>
              </w:rPr>
              <w:t>64</w:t>
            </w:r>
          </w:p>
        </w:tc>
        <w:tc>
          <w:tcPr>
            <w:tcW w:w="1222" w:type="dxa"/>
            <w:shd w:val="clear" w:color="auto" w:fill="auto"/>
            <w:vAlign w:val="center"/>
          </w:tcPr>
          <w:p w:rsidR="009E16F9" w:rsidRDefault="005B70C8" w:rsidP="009E16F9">
            <w:pPr>
              <w:jc w:val="right"/>
              <w:rPr>
                <w:rFonts w:ascii="Arial" w:hAnsi="Arial" w:cs="Arial"/>
                <w:color w:val="000000"/>
                <w:sz w:val="22"/>
                <w:szCs w:val="22"/>
              </w:rPr>
            </w:pPr>
            <w:r>
              <w:rPr>
                <w:rFonts w:ascii="Arial" w:hAnsi="Arial" w:cs="Arial"/>
                <w:color w:val="000000"/>
                <w:sz w:val="22"/>
                <w:szCs w:val="22"/>
              </w:rPr>
              <w:t>4,44</w:t>
            </w:r>
          </w:p>
        </w:tc>
      </w:tr>
      <w:tr w:rsidR="00365745" w:rsidRPr="003410BB" w:rsidTr="004B16C6">
        <w:trPr>
          <w:trHeight w:val="709"/>
        </w:trPr>
        <w:tc>
          <w:tcPr>
            <w:tcW w:w="3164" w:type="dxa"/>
            <w:shd w:val="clear" w:color="auto" w:fill="auto"/>
            <w:vAlign w:val="center"/>
          </w:tcPr>
          <w:p w:rsidR="00365745" w:rsidRPr="003410BB" w:rsidDel="00365745" w:rsidRDefault="00365745" w:rsidP="00365745">
            <w:pPr>
              <w:widowControl/>
              <w:autoSpaceDE/>
              <w:autoSpaceDN/>
              <w:adjustRightInd/>
              <w:rPr>
                <w:rFonts w:ascii="Arial" w:hAnsi="Arial" w:cs="Arial"/>
                <w:bCs/>
                <w:sz w:val="22"/>
                <w:szCs w:val="22"/>
                <w:lang w:val="en-US" w:eastAsia="en-US"/>
              </w:rPr>
            </w:pPr>
            <w:r>
              <w:rPr>
                <w:rFonts w:ascii="Arial" w:hAnsi="Arial" w:cs="Arial"/>
                <w:bCs/>
                <w:sz w:val="22"/>
                <w:szCs w:val="22"/>
                <w:lang w:val="en-US" w:eastAsia="en-US"/>
              </w:rPr>
              <w:t>Indicatorul gradului de îndatorare</w:t>
            </w:r>
          </w:p>
        </w:tc>
        <w:tc>
          <w:tcPr>
            <w:tcW w:w="3494" w:type="dxa"/>
            <w:shd w:val="clear" w:color="auto" w:fill="auto"/>
            <w:vAlign w:val="center"/>
          </w:tcPr>
          <w:p w:rsidR="00365745" w:rsidRPr="003410BB" w:rsidRDefault="00365745" w:rsidP="009E16F9">
            <w:pPr>
              <w:widowControl/>
              <w:autoSpaceDE/>
              <w:autoSpaceDN/>
              <w:adjustRightInd/>
              <w:rPr>
                <w:rFonts w:ascii="Arial" w:hAnsi="Arial" w:cs="Arial"/>
                <w:sz w:val="22"/>
                <w:szCs w:val="22"/>
                <w:lang w:val="en-US" w:eastAsia="en-US"/>
              </w:rPr>
            </w:pPr>
            <w:r>
              <w:rPr>
                <w:rFonts w:ascii="Arial" w:hAnsi="Arial" w:cs="Arial"/>
                <w:sz w:val="22"/>
                <w:szCs w:val="22"/>
                <w:lang w:val="en-US" w:eastAsia="en-US"/>
              </w:rPr>
              <w:t>(Capital împrumtat/Capital propriu) x 100</w:t>
            </w:r>
          </w:p>
        </w:tc>
        <w:tc>
          <w:tcPr>
            <w:tcW w:w="1347" w:type="dxa"/>
            <w:shd w:val="clear" w:color="auto" w:fill="auto"/>
            <w:vAlign w:val="center"/>
          </w:tcPr>
          <w:p w:rsidR="00365745" w:rsidRDefault="00365745" w:rsidP="009B297C">
            <w:pPr>
              <w:jc w:val="right"/>
              <w:rPr>
                <w:rFonts w:ascii="Arial" w:hAnsi="Arial" w:cs="Arial"/>
                <w:color w:val="000000"/>
                <w:sz w:val="22"/>
                <w:szCs w:val="22"/>
              </w:rPr>
            </w:pPr>
            <w:r>
              <w:rPr>
                <w:rFonts w:ascii="Arial" w:hAnsi="Arial" w:cs="Arial"/>
                <w:color w:val="000000"/>
                <w:sz w:val="22"/>
                <w:szCs w:val="22"/>
              </w:rPr>
              <w:t>0</w:t>
            </w:r>
          </w:p>
        </w:tc>
        <w:tc>
          <w:tcPr>
            <w:tcW w:w="1222" w:type="dxa"/>
            <w:shd w:val="clear" w:color="auto" w:fill="auto"/>
            <w:vAlign w:val="center"/>
          </w:tcPr>
          <w:p w:rsidR="00365745" w:rsidRDefault="00365745" w:rsidP="009E16F9">
            <w:pPr>
              <w:jc w:val="right"/>
              <w:rPr>
                <w:rFonts w:ascii="Arial" w:hAnsi="Arial" w:cs="Arial"/>
                <w:color w:val="000000"/>
                <w:sz w:val="22"/>
                <w:szCs w:val="22"/>
              </w:rPr>
            </w:pPr>
            <w:r>
              <w:rPr>
                <w:rFonts w:ascii="Arial" w:hAnsi="Arial" w:cs="Arial"/>
                <w:color w:val="000000"/>
                <w:sz w:val="22"/>
                <w:szCs w:val="22"/>
              </w:rPr>
              <w:t>0</w:t>
            </w:r>
          </w:p>
        </w:tc>
      </w:tr>
      <w:tr w:rsidR="009E16F9" w:rsidRPr="003410BB" w:rsidTr="004B16C6">
        <w:trPr>
          <w:trHeight w:val="709"/>
        </w:trPr>
        <w:tc>
          <w:tcPr>
            <w:tcW w:w="3164" w:type="dxa"/>
            <w:shd w:val="clear" w:color="auto" w:fill="auto"/>
            <w:vAlign w:val="center"/>
          </w:tcPr>
          <w:p w:rsidR="009E16F9" w:rsidRPr="003410BB" w:rsidRDefault="009E16F9" w:rsidP="009E16F9">
            <w:pPr>
              <w:widowControl/>
              <w:autoSpaceDE/>
              <w:autoSpaceDN/>
              <w:adjustRightInd/>
              <w:rPr>
                <w:rFonts w:ascii="Arial" w:hAnsi="Arial" w:cs="Arial"/>
                <w:bCs/>
                <w:sz w:val="22"/>
                <w:szCs w:val="22"/>
                <w:lang w:val="en-US" w:eastAsia="en-US"/>
              </w:rPr>
            </w:pPr>
            <w:r w:rsidRPr="003410BB">
              <w:rPr>
                <w:rFonts w:ascii="Arial" w:hAnsi="Arial" w:cs="Arial"/>
                <w:bCs/>
                <w:sz w:val="22"/>
                <w:szCs w:val="22"/>
                <w:lang w:val="en-US" w:eastAsia="en-US"/>
              </w:rPr>
              <w:t>Viteza de rotaţie a debitelor</w:t>
            </w:r>
          </w:p>
          <w:p w:rsidR="009E16F9" w:rsidRPr="003410BB" w:rsidRDefault="009E16F9" w:rsidP="009E16F9">
            <w:pPr>
              <w:widowControl/>
              <w:autoSpaceDE/>
              <w:autoSpaceDN/>
              <w:adjustRightInd/>
              <w:rPr>
                <w:rFonts w:ascii="Arial" w:hAnsi="Arial" w:cs="Arial"/>
                <w:bCs/>
                <w:sz w:val="22"/>
                <w:szCs w:val="22"/>
                <w:lang w:val="en-US" w:eastAsia="en-US"/>
              </w:rPr>
            </w:pPr>
            <w:r w:rsidRPr="003410BB">
              <w:rPr>
                <w:rFonts w:ascii="Arial" w:hAnsi="Arial" w:cs="Arial"/>
                <w:bCs/>
                <w:sz w:val="22"/>
                <w:szCs w:val="22"/>
                <w:lang w:val="en-US" w:eastAsia="en-US"/>
              </w:rPr>
              <w:t xml:space="preserve"> clienţi (zile)</w:t>
            </w:r>
          </w:p>
        </w:tc>
        <w:tc>
          <w:tcPr>
            <w:tcW w:w="3494" w:type="dxa"/>
            <w:shd w:val="clear" w:color="auto" w:fill="auto"/>
            <w:vAlign w:val="center"/>
          </w:tcPr>
          <w:p w:rsidR="009E16F9" w:rsidRPr="003410BB" w:rsidRDefault="00365745" w:rsidP="009E16F9">
            <w:pPr>
              <w:widowControl/>
              <w:autoSpaceDE/>
              <w:autoSpaceDN/>
              <w:adjustRightInd/>
              <w:rPr>
                <w:rFonts w:ascii="Arial" w:hAnsi="Arial" w:cs="Arial"/>
                <w:sz w:val="22"/>
                <w:szCs w:val="22"/>
                <w:lang w:val="en-US" w:eastAsia="en-US"/>
              </w:rPr>
            </w:pPr>
            <w:r>
              <w:rPr>
                <w:rFonts w:ascii="Arial" w:hAnsi="Arial" w:cs="Arial"/>
                <w:sz w:val="22"/>
                <w:szCs w:val="22"/>
                <w:lang w:val="en-US" w:eastAsia="en-US"/>
              </w:rPr>
              <w:t>(</w:t>
            </w:r>
            <w:r w:rsidR="009E16F9" w:rsidRPr="003410BB">
              <w:rPr>
                <w:rFonts w:ascii="Arial" w:hAnsi="Arial" w:cs="Arial"/>
                <w:sz w:val="22"/>
                <w:szCs w:val="22"/>
                <w:lang w:val="en-US" w:eastAsia="en-US"/>
              </w:rPr>
              <w:t>Sold mediu clienţi/</w:t>
            </w:r>
            <w:r w:rsidR="005A190C">
              <w:rPr>
                <w:rFonts w:ascii="Arial" w:hAnsi="Arial" w:cs="Arial"/>
                <w:sz w:val="22"/>
                <w:szCs w:val="22"/>
                <w:lang w:val="en-US" w:eastAsia="en-US"/>
              </w:rPr>
              <w:t xml:space="preserve"> </w:t>
            </w:r>
            <w:r w:rsidR="009E16F9" w:rsidRPr="003410BB">
              <w:rPr>
                <w:rFonts w:ascii="Arial" w:hAnsi="Arial" w:cs="Arial"/>
                <w:sz w:val="22"/>
                <w:szCs w:val="22"/>
                <w:lang w:val="en-US" w:eastAsia="en-US"/>
              </w:rPr>
              <w:t>Cifra de afaceri (inclusiv TVA)</w:t>
            </w:r>
            <w:r>
              <w:rPr>
                <w:rFonts w:ascii="Arial" w:hAnsi="Arial" w:cs="Arial"/>
                <w:sz w:val="22"/>
                <w:szCs w:val="22"/>
                <w:lang w:val="en-US" w:eastAsia="en-US"/>
              </w:rPr>
              <w:t>)</w:t>
            </w:r>
            <w:r w:rsidR="009E16F9" w:rsidRPr="003410BB">
              <w:rPr>
                <w:rFonts w:ascii="Arial" w:hAnsi="Arial" w:cs="Arial"/>
                <w:sz w:val="22"/>
                <w:szCs w:val="22"/>
                <w:lang w:val="en-US" w:eastAsia="en-US"/>
              </w:rPr>
              <w:t xml:space="preserve"> x </w:t>
            </w:r>
            <w:r w:rsidR="009E16F9">
              <w:rPr>
                <w:rFonts w:ascii="Arial" w:hAnsi="Arial" w:cs="Arial"/>
                <w:sz w:val="22"/>
                <w:szCs w:val="22"/>
                <w:lang w:val="en-US" w:eastAsia="en-US"/>
              </w:rPr>
              <w:t>18</w:t>
            </w:r>
            <w:r w:rsidR="009E16F9" w:rsidRPr="003410BB">
              <w:rPr>
                <w:rFonts w:ascii="Arial" w:hAnsi="Arial" w:cs="Arial"/>
                <w:sz w:val="22"/>
                <w:szCs w:val="22"/>
                <w:lang w:val="en-US" w:eastAsia="en-US"/>
              </w:rPr>
              <w:t>0</w:t>
            </w:r>
            <w:r w:rsidR="00177522">
              <w:rPr>
                <w:rFonts w:ascii="Arial" w:hAnsi="Arial" w:cs="Arial"/>
                <w:sz w:val="22"/>
                <w:szCs w:val="22"/>
                <w:lang w:val="en-US" w:eastAsia="en-US"/>
              </w:rPr>
              <w:t xml:space="preserve"> zile</w:t>
            </w:r>
            <w:r w:rsidR="009E16F9" w:rsidRPr="003410BB">
              <w:rPr>
                <w:rFonts w:ascii="Arial" w:hAnsi="Arial" w:cs="Arial"/>
                <w:sz w:val="22"/>
                <w:szCs w:val="22"/>
                <w:lang w:val="en-US" w:eastAsia="en-US"/>
              </w:rPr>
              <w:t xml:space="preserve">  </w:t>
            </w:r>
          </w:p>
        </w:tc>
        <w:tc>
          <w:tcPr>
            <w:tcW w:w="1347" w:type="dxa"/>
            <w:shd w:val="clear" w:color="auto" w:fill="auto"/>
            <w:vAlign w:val="center"/>
          </w:tcPr>
          <w:p w:rsidR="009E16F9" w:rsidRDefault="009E16F9" w:rsidP="009B297C">
            <w:pPr>
              <w:jc w:val="right"/>
              <w:rPr>
                <w:rFonts w:ascii="Arial" w:hAnsi="Arial" w:cs="Arial"/>
                <w:color w:val="000000"/>
                <w:sz w:val="22"/>
                <w:szCs w:val="22"/>
              </w:rPr>
            </w:pPr>
            <w:r>
              <w:rPr>
                <w:rFonts w:ascii="Arial" w:hAnsi="Arial" w:cs="Arial"/>
                <w:color w:val="000000"/>
                <w:sz w:val="22"/>
                <w:szCs w:val="22"/>
              </w:rPr>
              <w:t>3</w:t>
            </w:r>
            <w:r w:rsidR="009B297C">
              <w:rPr>
                <w:rFonts w:ascii="Arial" w:hAnsi="Arial" w:cs="Arial"/>
                <w:color w:val="000000"/>
                <w:sz w:val="22"/>
                <w:szCs w:val="22"/>
              </w:rPr>
              <w:t>0</w:t>
            </w:r>
          </w:p>
        </w:tc>
        <w:tc>
          <w:tcPr>
            <w:tcW w:w="1222" w:type="dxa"/>
            <w:shd w:val="clear" w:color="auto" w:fill="auto"/>
            <w:vAlign w:val="center"/>
          </w:tcPr>
          <w:p w:rsidR="009E16F9" w:rsidRDefault="009E16F9" w:rsidP="009E16F9">
            <w:pPr>
              <w:jc w:val="right"/>
              <w:rPr>
                <w:rFonts w:ascii="Arial" w:hAnsi="Arial" w:cs="Arial"/>
                <w:color w:val="000000"/>
                <w:sz w:val="22"/>
                <w:szCs w:val="22"/>
              </w:rPr>
            </w:pPr>
            <w:r>
              <w:rPr>
                <w:rFonts w:ascii="Arial" w:hAnsi="Arial" w:cs="Arial"/>
                <w:color w:val="000000"/>
                <w:sz w:val="22"/>
                <w:szCs w:val="22"/>
              </w:rPr>
              <w:t>29</w:t>
            </w:r>
          </w:p>
        </w:tc>
      </w:tr>
      <w:tr w:rsidR="007D0985" w:rsidRPr="003410BB" w:rsidTr="004B16C6">
        <w:trPr>
          <w:trHeight w:val="503"/>
        </w:trPr>
        <w:tc>
          <w:tcPr>
            <w:tcW w:w="3164" w:type="dxa"/>
            <w:shd w:val="clear" w:color="auto" w:fill="auto"/>
            <w:vAlign w:val="center"/>
          </w:tcPr>
          <w:p w:rsidR="007D0985" w:rsidRPr="003410BB" w:rsidRDefault="007D0985" w:rsidP="007D0985">
            <w:pPr>
              <w:widowControl/>
              <w:autoSpaceDE/>
              <w:autoSpaceDN/>
              <w:adjustRightInd/>
              <w:rPr>
                <w:rFonts w:ascii="Arial" w:hAnsi="Arial" w:cs="Arial"/>
                <w:bCs/>
                <w:sz w:val="22"/>
                <w:szCs w:val="22"/>
                <w:lang w:val="en-US" w:eastAsia="en-US"/>
              </w:rPr>
            </w:pPr>
            <w:r w:rsidRPr="003410BB">
              <w:rPr>
                <w:rFonts w:ascii="Arial" w:hAnsi="Arial" w:cs="Arial"/>
                <w:bCs/>
                <w:sz w:val="22"/>
                <w:szCs w:val="22"/>
                <w:lang w:val="en-US" w:eastAsia="en-US"/>
              </w:rPr>
              <w:t>Viteza de rotaţie a activelor imobilizate (ori)</w:t>
            </w:r>
          </w:p>
        </w:tc>
        <w:tc>
          <w:tcPr>
            <w:tcW w:w="3494" w:type="dxa"/>
            <w:shd w:val="clear" w:color="auto" w:fill="auto"/>
            <w:vAlign w:val="center"/>
          </w:tcPr>
          <w:p w:rsidR="007D0985" w:rsidRPr="003410BB" w:rsidRDefault="007D0985" w:rsidP="00365745">
            <w:pPr>
              <w:widowControl/>
              <w:autoSpaceDE/>
              <w:autoSpaceDN/>
              <w:adjustRightInd/>
              <w:rPr>
                <w:rFonts w:ascii="Arial" w:hAnsi="Arial" w:cs="Arial"/>
                <w:sz w:val="22"/>
                <w:szCs w:val="22"/>
                <w:lang w:val="en-US" w:eastAsia="en-US"/>
              </w:rPr>
            </w:pPr>
            <w:r w:rsidRPr="003410BB">
              <w:rPr>
                <w:rFonts w:ascii="Arial" w:hAnsi="Arial" w:cs="Arial"/>
                <w:sz w:val="22"/>
                <w:szCs w:val="22"/>
                <w:lang w:val="en-US" w:eastAsia="en-US"/>
              </w:rPr>
              <w:t>Cifra de afaceri/</w:t>
            </w:r>
            <w:r w:rsidR="00365745">
              <w:rPr>
                <w:rFonts w:ascii="Arial" w:hAnsi="Arial" w:cs="Arial"/>
                <w:sz w:val="22"/>
                <w:szCs w:val="22"/>
                <w:lang w:val="en-US" w:eastAsia="en-US"/>
              </w:rPr>
              <w:t>A</w:t>
            </w:r>
            <w:r w:rsidR="00365745" w:rsidRPr="003410BB">
              <w:rPr>
                <w:rFonts w:ascii="Arial" w:hAnsi="Arial" w:cs="Arial"/>
                <w:sz w:val="22"/>
                <w:szCs w:val="22"/>
                <w:lang w:val="en-US" w:eastAsia="en-US"/>
              </w:rPr>
              <w:t xml:space="preserve">ctive </w:t>
            </w:r>
            <w:r w:rsidRPr="003410BB">
              <w:rPr>
                <w:rFonts w:ascii="Arial" w:hAnsi="Arial" w:cs="Arial"/>
                <w:sz w:val="22"/>
                <w:szCs w:val="22"/>
                <w:lang w:val="en-US" w:eastAsia="en-US"/>
              </w:rPr>
              <w:t>imobilizate</w:t>
            </w:r>
          </w:p>
        </w:tc>
        <w:tc>
          <w:tcPr>
            <w:tcW w:w="1347" w:type="dxa"/>
            <w:shd w:val="clear" w:color="auto" w:fill="auto"/>
            <w:vAlign w:val="center"/>
          </w:tcPr>
          <w:p w:rsidR="007D0985" w:rsidRDefault="007D0985" w:rsidP="007D0985">
            <w:pPr>
              <w:widowControl/>
              <w:autoSpaceDE/>
              <w:autoSpaceDN/>
              <w:adjustRightInd/>
              <w:jc w:val="right"/>
              <w:rPr>
                <w:rFonts w:ascii="Arial" w:hAnsi="Arial" w:cs="Arial"/>
                <w:color w:val="000000"/>
                <w:sz w:val="22"/>
                <w:szCs w:val="22"/>
              </w:rPr>
            </w:pPr>
            <w:r>
              <w:rPr>
                <w:rFonts w:ascii="Arial" w:hAnsi="Arial" w:cs="Arial"/>
                <w:color w:val="000000"/>
                <w:sz w:val="22"/>
                <w:szCs w:val="22"/>
              </w:rPr>
              <w:t>0,44</w:t>
            </w:r>
          </w:p>
        </w:tc>
        <w:tc>
          <w:tcPr>
            <w:tcW w:w="1222" w:type="dxa"/>
            <w:shd w:val="clear" w:color="auto" w:fill="auto"/>
            <w:vAlign w:val="center"/>
          </w:tcPr>
          <w:p w:rsidR="007D0985" w:rsidRDefault="005B70C8" w:rsidP="007D0985">
            <w:pPr>
              <w:jc w:val="right"/>
              <w:rPr>
                <w:rFonts w:ascii="Arial" w:hAnsi="Arial" w:cs="Arial"/>
                <w:color w:val="000000"/>
                <w:sz w:val="22"/>
                <w:szCs w:val="22"/>
              </w:rPr>
            </w:pPr>
            <w:r>
              <w:rPr>
                <w:rFonts w:ascii="Arial" w:hAnsi="Arial" w:cs="Arial"/>
                <w:color w:val="000000"/>
                <w:sz w:val="22"/>
                <w:szCs w:val="22"/>
              </w:rPr>
              <w:t>0,45</w:t>
            </w:r>
          </w:p>
        </w:tc>
      </w:tr>
    </w:tbl>
    <w:p w:rsidR="00BD7A1D" w:rsidRDefault="00BD7A1D" w:rsidP="00BD7A1D">
      <w:pPr>
        <w:widowControl/>
        <w:autoSpaceDE/>
        <w:autoSpaceDN/>
        <w:adjustRightInd/>
        <w:jc w:val="center"/>
        <w:rPr>
          <w:rFonts w:ascii="Arial" w:hAnsi="Arial" w:cs="Arial"/>
          <w:i/>
          <w:sz w:val="18"/>
          <w:szCs w:val="18"/>
          <w:lang w:val="en-US" w:eastAsia="en-US"/>
        </w:rPr>
      </w:pPr>
    </w:p>
    <w:p w:rsidR="003410BB" w:rsidRPr="001819A5" w:rsidRDefault="00BD7A1D" w:rsidP="00BD7A1D">
      <w:pPr>
        <w:widowControl/>
        <w:autoSpaceDE/>
        <w:autoSpaceDN/>
        <w:adjustRightInd/>
        <w:jc w:val="center"/>
        <w:rPr>
          <w:rFonts w:ascii="Arial" w:hAnsi="Arial" w:cs="Arial"/>
          <w:sz w:val="16"/>
          <w:szCs w:val="16"/>
          <w:lang w:val="en-US" w:eastAsia="en-US"/>
        </w:rPr>
      </w:pPr>
      <w:r w:rsidRPr="001819A5">
        <w:rPr>
          <w:rFonts w:ascii="Arial" w:hAnsi="Arial" w:cs="Arial"/>
          <w:sz w:val="16"/>
          <w:szCs w:val="16"/>
          <w:lang w:val="en-US" w:eastAsia="en-US"/>
        </w:rPr>
        <w:t>Tabel 1</w:t>
      </w:r>
      <w:r w:rsidR="007239FA" w:rsidRPr="001819A5">
        <w:rPr>
          <w:rFonts w:ascii="Arial" w:hAnsi="Arial" w:cs="Arial"/>
          <w:sz w:val="16"/>
          <w:szCs w:val="16"/>
          <w:lang w:val="en-US" w:eastAsia="en-US"/>
        </w:rPr>
        <w:t>4</w:t>
      </w:r>
      <w:r w:rsidRPr="001819A5">
        <w:rPr>
          <w:rFonts w:ascii="Arial" w:hAnsi="Arial" w:cs="Arial"/>
          <w:sz w:val="16"/>
          <w:szCs w:val="16"/>
          <w:lang w:val="en-US" w:eastAsia="en-US"/>
        </w:rPr>
        <w:t>- Principalii indicatori economico-financiari</w:t>
      </w:r>
    </w:p>
    <w:p w:rsidR="00BD7A1D" w:rsidRPr="003410BB" w:rsidRDefault="00BD7A1D" w:rsidP="003410BB">
      <w:pPr>
        <w:widowControl/>
        <w:autoSpaceDE/>
        <w:autoSpaceDN/>
        <w:adjustRightInd/>
        <w:rPr>
          <w:rFonts w:ascii="Arial" w:hAnsi="Arial" w:cs="Arial"/>
          <w:b/>
          <w:sz w:val="22"/>
          <w:szCs w:val="22"/>
          <w:lang w:val="en-US" w:eastAsia="en-US"/>
        </w:rPr>
      </w:pPr>
    </w:p>
    <w:p w:rsidR="003410BB" w:rsidRDefault="003410BB" w:rsidP="003410BB">
      <w:pPr>
        <w:widowControl/>
        <w:autoSpaceDE/>
        <w:autoSpaceDN/>
        <w:adjustRightInd/>
        <w:jc w:val="both"/>
        <w:rPr>
          <w:rFonts w:ascii="Arial" w:hAnsi="Arial" w:cs="Arial"/>
          <w:sz w:val="22"/>
          <w:szCs w:val="22"/>
          <w:lang w:val="en-US" w:eastAsia="en-US"/>
        </w:rPr>
      </w:pPr>
      <w:r w:rsidRPr="0026154A">
        <w:rPr>
          <w:rFonts w:ascii="Arial" w:hAnsi="Arial" w:cs="Arial"/>
          <w:b/>
          <w:color w:val="1F4E79" w:themeColor="accent1" w:themeShade="80"/>
          <w:sz w:val="22"/>
          <w:szCs w:val="22"/>
          <w:lang w:val="en-US" w:eastAsia="en-US"/>
        </w:rPr>
        <w:t>Indicatorul lichidităţii curente</w:t>
      </w:r>
      <w:r w:rsidR="00465BD4" w:rsidRPr="0026154A">
        <w:rPr>
          <w:rFonts w:ascii="Arial" w:hAnsi="Arial" w:cs="Arial"/>
          <w:b/>
          <w:color w:val="1F4E79" w:themeColor="accent1" w:themeShade="80"/>
          <w:sz w:val="22"/>
          <w:szCs w:val="22"/>
          <w:lang w:val="en-US" w:eastAsia="en-US"/>
        </w:rPr>
        <w:t>:</w:t>
      </w:r>
      <w:r w:rsidRPr="0026154A">
        <w:rPr>
          <w:rFonts w:ascii="Arial" w:hAnsi="Arial" w:cs="Arial"/>
          <w:color w:val="1F4E79" w:themeColor="accent1" w:themeShade="80"/>
          <w:sz w:val="22"/>
          <w:szCs w:val="22"/>
          <w:lang w:val="en-US" w:eastAsia="en-US"/>
        </w:rPr>
        <w:t xml:space="preserve"> </w:t>
      </w:r>
      <w:r w:rsidRPr="003410BB">
        <w:rPr>
          <w:rFonts w:ascii="Arial" w:hAnsi="Arial" w:cs="Arial"/>
          <w:sz w:val="22"/>
          <w:szCs w:val="22"/>
          <w:lang w:val="en-US" w:eastAsia="en-US"/>
        </w:rPr>
        <w:t xml:space="preserve">măsoară capacitatea societăţii de a-şi onora obligaţiile pe termen scurt. </w:t>
      </w:r>
      <w:r w:rsidR="00365745">
        <w:rPr>
          <w:rFonts w:ascii="Arial" w:hAnsi="Arial" w:cs="Arial"/>
          <w:sz w:val="22"/>
          <w:szCs w:val="22"/>
          <w:lang w:val="en-US" w:eastAsia="en-US"/>
        </w:rPr>
        <w:t xml:space="preserve"> </w:t>
      </w:r>
      <w:r w:rsidRPr="003410BB">
        <w:rPr>
          <w:rFonts w:ascii="Arial" w:hAnsi="Arial" w:cs="Arial"/>
          <w:sz w:val="22"/>
          <w:szCs w:val="22"/>
          <w:lang w:val="en-US" w:eastAsia="en-US"/>
        </w:rPr>
        <w:t xml:space="preserve">Indicatorul reflectă o capacitate bună a societăţii de acoperire a datoriilor curente pe seama activelor curente. </w:t>
      </w:r>
    </w:p>
    <w:p w:rsidR="00365745" w:rsidRDefault="00365745" w:rsidP="003410BB">
      <w:pPr>
        <w:widowControl/>
        <w:autoSpaceDE/>
        <w:autoSpaceDN/>
        <w:adjustRightInd/>
        <w:jc w:val="both"/>
        <w:rPr>
          <w:rFonts w:ascii="Arial" w:hAnsi="Arial" w:cs="Arial"/>
          <w:sz w:val="22"/>
          <w:szCs w:val="22"/>
          <w:lang w:val="en-US" w:eastAsia="en-US"/>
        </w:rPr>
      </w:pPr>
    </w:p>
    <w:p w:rsidR="00365745" w:rsidRPr="003410BB" w:rsidRDefault="00365745" w:rsidP="003410BB">
      <w:pPr>
        <w:widowControl/>
        <w:autoSpaceDE/>
        <w:autoSpaceDN/>
        <w:adjustRightInd/>
        <w:jc w:val="both"/>
        <w:rPr>
          <w:rFonts w:ascii="Arial" w:hAnsi="Arial" w:cs="Arial"/>
          <w:sz w:val="22"/>
          <w:szCs w:val="22"/>
          <w:lang w:val="en-US" w:eastAsia="en-US"/>
        </w:rPr>
      </w:pPr>
      <w:r w:rsidRPr="0026154A">
        <w:rPr>
          <w:rFonts w:ascii="Arial" w:hAnsi="Arial" w:cs="Arial"/>
          <w:b/>
          <w:color w:val="1F4E79" w:themeColor="accent1" w:themeShade="80"/>
          <w:sz w:val="22"/>
          <w:szCs w:val="22"/>
          <w:lang w:val="en-US" w:eastAsia="en-US"/>
        </w:rPr>
        <w:t>Indicatorul gradului de îndatorare</w:t>
      </w:r>
      <w:r w:rsidRPr="0026154A">
        <w:rPr>
          <w:rFonts w:ascii="Arial" w:hAnsi="Arial" w:cs="Arial"/>
          <w:color w:val="1F4E79" w:themeColor="accent1" w:themeShade="80"/>
          <w:sz w:val="22"/>
          <w:szCs w:val="22"/>
          <w:lang w:val="en-US" w:eastAsia="en-US"/>
        </w:rPr>
        <w:t xml:space="preserve">: </w:t>
      </w:r>
      <w:r>
        <w:rPr>
          <w:rFonts w:ascii="Arial" w:hAnsi="Arial" w:cs="Arial"/>
          <w:sz w:val="22"/>
          <w:szCs w:val="22"/>
          <w:lang w:val="en-US" w:eastAsia="en-US"/>
        </w:rPr>
        <w:t>societatea nu are angajate împrumuturi și în consecință nu există riscuri referito</w:t>
      </w:r>
      <w:r w:rsidR="00465BD4">
        <w:rPr>
          <w:rFonts w:ascii="Arial" w:hAnsi="Arial" w:cs="Arial"/>
          <w:sz w:val="22"/>
          <w:szCs w:val="22"/>
          <w:lang w:val="en-US" w:eastAsia="en-US"/>
        </w:rPr>
        <w:t>a</w:t>
      </w:r>
      <w:r>
        <w:rPr>
          <w:rFonts w:ascii="Arial" w:hAnsi="Arial" w:cs="Arial"/>
          <w:sz w:val="22"/>
          <w:szCs w:val="22"/>
          <w:lang w:val="en-US" w:eastAsia="en-US"/>
        </w:rPr>
        <w:t>r</w:t>
      </w:r>
      <w:r w:rsidR="00465BD4">
        <w:rPr>
          <w:rFonts w:ascii="Arial" w:hAnsi="Arial" w:cs="Arial"/>
          <w:sz w:val="22"/>
          <w:szCs w:val="22"/>
          <w:lang w:val="en-US" w:eastAsia="en-US"/>
        </w:rPr>
        <w:t>e</w:t>
      </w:r>
      <w:r w:rsidR="00177522">
        <w:rPr>
          <w:rFonts w:ascii="Arial" w:hAnsi="Arial" w:cs="Arial"/>
          <w:sz w:val="22"/>
          <w:szCs w:val="22"/>
          <w:lang w:val="en-US" w:eastAsia="en-US"/>
        </w:rPr>
        <w:t xml:space="preserve"> la o posibilă</w:t>
      </w:r>
      <w:r>
        <w:rPr>
          <w:rFonts w:ascii="Arial" w:hAnsi="Arial" w:cs="Arial"/>
          <w:sz w:val="22"/>
          <w:szCs w:val="22"/>
          <w:lang w:val="en-US" w:eastAsia="en-US"/>
        </w:rPr>
        <w:t xml:space="preserve"> neonorare a </w:t>
      </w:r>
      <w:r w:rsidR="00465BD4">
        <w:rPr>
          <w:rFonts w:ascii="Arial" w:hAnsi="Arial" w:cs="Arial"/>
          <w:sz w:val="22"/>
          <w:szCs w:val="22"/>
          <w:lang w:val="en-US" w:eastAsia="en-US"/>
        </w:rPr>
        <w:t>obligațiilor</w:t>
      </w:r>
      <w:r>
        <w:rPr>
          <w:rFonts w:ascii="Arial" w:hAnsi="Arial" w:cs="Arial"/>
          <w:sz w:val="22"/>
          <w:szCs w:val="22"/>
          <w:lang w:val="en-US" w:eastAsia="en-US"/>
        </w:rPr>
        <w:t xml:space="preserve"> de această natură.</w:t>
      </w:r>
    </w:p>
    <w:p w:rsidR="003410BB" w:rsidRPr="0026154A" w:rsidRDefault="003410BB" w:rsidP="003410BB">
      <w:pPr>
        <w:widowControl/>
        <w:autoSpaceDE/>
        <w:autoSpaceDN/>
        <w:adjustRightInd/>
        <w:spacing w:line="276" w:lineRule="auto"/>
        <w:jc w:val="both"/>
        <w:rPr>
          <w:rFonts w:ascii="Arial" w:hAnsi="Arial" w:cs="Arial"/>
          <w:b/>
          <w:color w:val="1F4E79" w:themeColor="accent1" w:themeShade="80"/>
          <w:sz w:val="16"/>
          <w:szCs w:val="16"/>
          <w:lang w:val="en-US" w:eastAsia="en-US"/>
        </w:rPr>
      </w:pPr>
    </w:p>
    <w:p w:rsidR="003410BB" w:rsidRPr="003410BB" w:rsidRDefault="003410BB" w:rsidP="003410BB">
      <w:pPr>
        <w:widowControl/>
        <w:autoSpaceDE/>
        <w:autoSpaceDN/>
        <w:adjustRightInd/>
        <w:jc w:val="both"/>
        <w:rPr>
          <w:rFonts w:ascii="Arial" w:hAnsi="Arial" w:cs="Arial"/>
          <w:sz w:val="22"/>
          <w:szCs w:val="22"/>
          <w:lang w:val="en-US" w:eastAsia="en-US"/>
        </w:rPr>
      </w:pPr>
      <w:r w:rsidRPr="0026154A">
        <w:rPr>
          <w:rFonts w:ascii="Arial" w:hAnsi="Arial" w:cs="Arial"/>
          <w:b/>
          <w:color w:val="1F4E79" w:themeColor="accent1" w:themeShade="80"/>
          <w:sz w:val="22"/>
          <w:szCs w:val="22"/>
          <w:lang w:val="en-US" w:eastAsia="en-US"/>
        </w:rPr>
        <w:t>Viteza de rotaţie a debitelor clienţi</w:t>
      </w:r>
      <w:r w:rsidR="00465BD4" w:rsidRPr="0026154A">
        <w:rPr>
          <w:rFonts w:ascii="Arial" w:hAnsi="Arial" w:cs="Arial"/>
          <w:b/>
          <w:color w:val="1F4E79" w:themeColor="accent1" w:themeShade="80"/>
          <w:sz w:val="22"/>
          <w:szCs w:val="22"/>
          <w:lang w:val="en-US" w:eastAsia="en-US"/>
        </w:rPr>
        <w:t>:</w:t>
      </w:r>
      <w:r w:rsidRPr="0026154A">
        <w:rPr>
          <w:rFonts w:ascii="Arial" w:hAnsi="Arial" w:cs="Arial"/>
          <w:color w:val="1F4E79" w:themeColor="accent1" w:themeShade="80"/>
          <w:sz w:val="22"/>
          <w:szCs w:val="22"/>
          <w:lang w:val="en-US" w:eastAsia="en-US"/>
        </w:rPr>
        <w:t xml:space="preserve"> </w:t>
      </w:r>
      <w:r w:rsidRPr="003410BB">
        <w:rPr>
          <w:rFonts w:ascii="Arial" w:hAnsi="Arial" w:cs="Arial"/>
          <w:sz w:val="22"/>
          <w:szCs w:val="22"/>
          <w:lang w:val="en-US" w:eastAsia="en-US"/>
        </w:rPr>
        <w:t>exprimă nivelul de eficacitate în colectarea creanţelor comerciale. Indicatorul înregistrează un nivel în creștere, concretizat în încasarea creanțelor în 3</w:t>
      </w:r>
      <w:r w:rsidR="002E5E5F">
        <w:rPr>
          <w:rFonts w:ascii="Arial" w:hAnsi="Arial" w:cs="Arial"/>
          <w:sz w:val="22"/>
          <w:szCs w:val="22"/>
          <w:lang w:val="en-US" w:eastAsia="en-US"/>
        </w:rPr>
        <w:t>0</w:t>
      </w:r>
      <w:r w:rsidRPr="003410BB">
        <w:rPr>
          <w:rFonts w:ascii="Arial" w:hAnsi="Arial" w:cs="Arial"/>
          <w:sz w:val="22"/>
          <w:szCs w:val="22"/>
          <w:lang w:val="en-US" w:eastAsia="en-US"/>
        </w:rPr>
        <w:t xml:space="preserve"> de zile.</w:t>
      </w:r>
    </w:p>
    <w:p w:rsidR="003410BB" w:rsidRPr="0026154A" w:rsidRDefault="003410BB" w:rsidP="003410BB">
      <w:pPr>
        <w:widowControl/>
        <w:autoSpaceDE/>
        <w:autoSpaceDN/>
        <w:adjustRightInd/>
        <w:jc w:val="both"/>
        <w:rPr>
          <w:rFonts w:ascii="Arial" w:hAnsi="Arial" w:cs="Arial"/>
          <w:b/>
          <w:color w:val="1F4E79" w:themeColor="accent1" w:themeShade="80"/>
          <w:sz w:val="22"/>
          <w:szCs w:val="22"/>
          <w:lang w:val="en-US" w:eastAsia="en-US"/>
        </w:rPr>
      </w:pPr>
    </w:p>
    <w:p w:rsidR="00584ADC" w:rsidRPr="00404E73" w:rsidRDefault="003410BB" w:rsidP="00404E73">
      <w:pPr>
        <w:widowControl/>
        <w:autoSpaceDE/>
        <w:autoSpaceDN/>
        <w:adjustRightInd/>
        <w:jc w:val="both"/>
        <w:rPr>
          <w:rFonts w:ascii="Arial" w:hAnsi="Arial" w:cs="Arial"/>
          <w:sz w:val="22"/>
          <w:szCs w:val="22"/>
          <w:lang w:val="en-US" w:eastAsia="en-US"/>
        </w:rPr>
      </w:pPr>
      <w:r w:rsidRPr="0026154A">
        <w:rPr>
          <w:rFonts w:ascii="Arial" w:hAnsi="Arial" w:cs="Arial"/>
          <w:b/>
          <w:color w:val="1F4E79" w:themeColor="accent1" w:themeShade="80"/>
          <w:sz w:val="22"/>
          <w:szCs w:val="22"/>
          <w:lang w:val="en-US" w:eastAsia="en-US"/>
        </w:rPr>
        <w:t>Viteza de rotaţie a activelor imobilizate</w:t>
      </w:r>
      <w:r w:rsidR="00465BD4" w:rsidRPr="0026154A">
        <w:rPr>
          <w:rFonts w:ascii="Arial" w:hAnsi="Arial" w:cs="Arial"/>
          <w:b/>
          <w:color w:val="1F4E79" w:themeColor="accent1" w:themeShade="80"/>
          <w:sz w:val="22"/>
          <w:szCs w:val="22"/>
          <w:lang w:val="en-US" w:eastAsia="en-US"/>
        </w:rPr>
        <w:t>:</w:t>
      </w:r>
      <w:r w:rsidRPr="0026154A">
        <w:rPr>
          <w:rFonts w:ascii="Arial" w:hAnsi="Arial" w:cs="Arial"/>
          <w:color w:val="1F4E79" w:themeColor="accent1" w:themeShade="80"/>
          <w:sz w:val="22"/>
          <w:szCs w:val="22"/>
          <w:lang w:val="en-US" w:eastAsia="en-US"/>
        </w:rPr>
        <w:t xml:space="preserve"> </w:t>
      </w:r>
      <w:r w:rsidRPr="003410BB">
        <w:rPr>
          <w:rFonts w:ascii="Arial" w:hAnsi="Arial" w:cs="Arial"/>
          <w:sz w:val="22"/>
          <w:szCs w:val="22"/>
          <w:lang w:val="en-US" w:eastAsia="en-US"/>
        </w:rPr>
        <w:t>evaluează eficacitatea activităţii activelor imobilizate prin examinarea valorii cifrei de afaceri generate de o anumită cantitate de active imobilizate. Nivelul acestui indicator este de 0,</w:t>
      </w:r>
      <w:r w:rsidR="00296D02">
        <w:rPr>
          <w:rFonts w:ascii="Arial" w:hAnsi="Arial" w:cs="Arial"/>
          <w:sz w:val="22"/>
          <w:szCs w:val="22"/>
          <w:lang w:val="en-US" w:eastAsia="en-US"/>
        </w:rPr>
        <w:t>44</w:t>
      </w:r>
      <w:r w:rsidRPr="003410BB">
        <w:rPr>
          <w:rFonts w:ascii="Arial" w:hAnsi="Arial" w:cs="Arial"/>
          <w:sz w:val="22"/>
          <w:szCs w:val="22"/>
          <w:lang w:val="en-US" w:eastAsia="en-US"/>
        </w:rPr>
        <w:t xml:space="preserve"> rotații aferente </w:t>
      </w:r>
      <w:r w:rsidR="007D26EA">
        <w:rPr>
          <w:rFonts w:ascii="Arial" w:hAnsi="Arial" w:cs="Arial"/>
          <w:sz w:val="22"/>
          <w:szCs w:val="22"/>
          <w:lang w:val="en-US" w:eastAsia="en-US"/>
        </w:rPr>
        <w:t>s</w:t>
      </w:r>
      <w:r w:rsidR="00E733E8">
        <w:rPr>
          <w:rFonts w:ascii="Arial" w:hAnsi="Arial" w:cs="Arial"/>
          <w:sz w:val="22"/>
          <w:szCs w:val="22"/>
          <w:lang w:val="en-US" w:eastAsia="en-US"/>
        </w:rPr>
        <w:t>em</w:t>
      </w:r>
      <w:r w:rsidRPr="003410BB">
        <w:rPr>
          <w:rFonts w:ascii="Arial" w:hAnsi="Arial" w:cs="Arial"/>
          <w:sz w:val="22"/>
          <w:szCs w:val="22"/>
          <w:lang w:val="en-US" w:eastAsia="en-US"/>
        </w:rPr>
        <w:t>estrului I 2018.</w:t>
      </w:r>
    </w:p>
    <w:p w:rsidR="00584ADC" w:rsidRDefault="00584ADC" w:rsidP="003410BB">
      <w:pPr>
        <w:tabs>
          <w:tab w:val="left" w:pos="450"/>
        </w:tabs>
        <w:rPr>
          <w:rFonts w:ascii="Arial" w:hAnsi="Arial" w:cs="Arial"/>
          <w:b/>
          <w:color w:val="5B9BD5" w:themeColor="accent1"/>
          <w:spacing w:val="3"/>
          <w:sz w:val="24"/>
          <w:szCs w:val="24"/>
        </w:rPr>
      </w:pPr>
    </w:p>
    <w:p w:rsidR="00A223AD" w:rsidRPr="004B5C9C" w:rsidRDefault="00A223AD" w:rsidP="003410BB">
      <w:pPr>
        <w:tabs>
          <w:tab w:val="left" w:pos="450"/>
        </w:tabs>
        <w:rPr>
          <w:rFonts w:ascii="Arial" w:hAnsi="Arial" w:cs="Arial"/>
          <w:b/>
          <w:color w:val="5B9BD5" w:themeColor="accent1"/>
          <w:spacing w:val="3"/>
          <w:sz w:val="24"/>
          <w:szCs w:val="24"/>
        </w:rPr>
      </w:pPr>
      <w:r w:rsidRPr="00E46854">
        <w:rPr>
          <w:rFonts w:ascii="Arial" w:hAnsi="Arial" w:cs="Arial"/>
          <w:b/>
          <w:color w:val="1F4E79" w:themeColor="accent1" w:themeShade="80"/>
          <w:spacing w:val="3"/>
          <w:sz w:val="24"/>
          <w:szCs w:val="24"/>
        </w:rPr>
        <w:t>3.</w:t>
      </w:r>
      <w:r w:rsidR="00AC0465" w:rsidRPr="00E46854">
        <w:rPr>
          <w:rFonts w:ascii="Arial" w:hAnsi="Arial" w:cs="Arial"/>
          <w:b/>
          <w:color w:val="1F4E79" w:themeColor="accent1" w:themeShade="80"/>
          <w:spacing w:val="3"/>
          <w:sz w:val="24"/>
          <w:szCs w:val="24"/>
        </w:rPr>
        <w:t>3</w:t>
      </w:r>
      <w:r w:rsidR="002228A3" w:rsidRPr="00E46854">
        <w:rPr>
          <w:rFonts w:ascii="Arial" w:hAnsi="Arial" w:cs="Arial"/>
          <w:b/>
          <w:color w:val="1F4E79" w:themeColor="accent1" w:themeShade="80"/>
          <w:spacing w:val="3"/>
          <w:sz w:val="24"/>
          <w:szCs w:val="24"/>
        </w:rPr>
        <w:t>.5</w:t>
      </w:r>
      <w:r w:rsidRPr="00E46854">
        <w:rPr>
          <w:rFonts w:ascii="Arial" w:hAnsi="Arial" w:cs="Arial"/>
          <w:b/>
          <w:color w:val="1F4E79" w:themeColor="accent1" w:themeShade="80"/>
          <w:spacing w:val="3"/>
          <w:sz w:val="24"/>
          <w:szCs w:val="24"/>
        </w:rPr>
        <w:tab/>
      </w:r>
      <w:r w:rsidRPr="00E46854">
        <w:rPr>
          <w:rFonts w:ascii="Arial" w:hAnsi="Arial" w:cs="Arial"/>
          <w:b/>
          <w:color w:val="1F4E79" w:themeColor="accent1" w:themeShade="80"/>
          <w:sz w:val="24"/>
          <w:szCs w:val="24"/>
          <w:lang w:val="it-IT" w:eastAsia="en-US"/>
        </w:rPr>
        <w:t>F</w:t>
      </w:r>
      <w:r w:rsidRPr="00E46854">
        <w:rPr>
          <w:rFonts w:ascii="Arial" w:hAnsi="Arial" w:cs="Arial"/>
          <w:b/>
          <w:color w:val="1F4E79" w:themeColor="accent1" w:themeShade="80"/>
          <w:sz w:val="24"/>
          <w:szCs w:val="24"/>
          <w:lang w:val="fr-FR" w:eastAsia="en-US"/>
        </w:rPr>
        <w:t>luxul de trezorerie</w:t>
      </w:r>
    </w:p>
    <w:p w:rsidR="00A223AD" w:rsidRDefault="00A223AD" w:rsidP="003410BB">
      <w:pPr>
        <w:tabs>
          <w:tab w:val="left" w:pos="450"/>
        </w:tabs>
        <w:rPr>
          <w:rFonts w:ascii="Arial" w:hAnsi="Arial" w:cs="Arial"/>
          <w:b/>
          <w:spacing w:val="3"/>
          <w:sz w:val="22"/>
          <w:szCs w:val="22"/>
        </w:rPr>
      </w:pPr>
    </w:p>
    <w:p w:rsidR="003410BB" w:rsidRDefault="00A223AD" w:rsidP="003410BB">
      <w:pPr>
        <w:tabs>
          <w:tab w:val="left" w:pos="450"/>
        </w:tabs>
        <w:rPr>
          <w:rFonts w:ascii="Arial" w:hAnsi="Arial" w:cs="Arial"/>
          <w:spacing w:val="3"/>
          <w:sz w:val="22"/>
          <w:szCs w:val="22"/>
        </w:rPr>
      </w:pPr>
      <w:r w:rsidRPr="001054BD">
        <w:rPr>
          <w:rFonts w:ascii="Arial" w:hAnsi="Arial" w:cs="Arial"/>
          <w:spacing w:val="3"/>
          <w:sz w:val="22"/>
          <w:szCs w:val="22"/>
        </w:rPr>
        <w:t xml:space="preserve">Situația fluxurilor de trezorerie pentru perioada de </w:t>
      </w:r>
      <w:r w:rsidR="008A0908" w:rsidRPr="001054BD">
        <w:rPr>
          <w:rFonts w:ascii="Arial" w:hAnsi="Arial" w:cs="Arial"/>
          <w:spacing w:val="3"/>
          <w:sz w:val="22"/>
          <w:szCs w:val="22"/>
        </w:rPr>
        <w:t xml:space="preserve">șase </w:t>
      </w:r>
      <w:r w:rsidRPr="001054BD">
        <w:rPr>
          <w:rFonts w:ascii="Arial" w:hAnsi="Arial" w:cs="Arial"/>
          <w:spacing w:val="3"/>
          <w:sz w:val="22"/>
          <w:szCs w:val="22"/>
        </w:rPr>
        <w:t xml:space="preserve">luni încheiată la </w:t>
      </w:r>
      <w:r w:rsidR="00C526CF" w:rsidRPr="001054BD">
        <w:rPr>
          <w:rFonts w:ascii="Arial" w:hAnsi="Arial" w:cs="Arial"/>
          <w:spacing w:val="3"/>
          <w:sz w:val="22"/>
          <w:szCs w:val="22"/>
        </w:rPr>
        <w:t>30 iunie</w:t>
      </w:r>
      <w:r w:rsidRPr="001054BD">
        <w:rPr>
          <w:rFonts w:ascii="Arial" w:hAnsi="Arial" w:cs="Arial"/>
          <w:spacing w:val="3"/>
          <w:sz w:val="22"/>
          <w:szCs w:val="22"/>
        </w:rPr>
        <w:t xml:space="preserve"> 2018 se prezintă astfel:</w:t>
      </w:r>
    </w:p>
    <w:p w:rsidR="00584ADC" w:rsidRPr="001054BD" w:rsidRDefault="00584ADC" w:rsidP="003410BB">
      <w:pPr>
        <w:tabs>
          <w:tab w:val="left" w:pos="450"/>
        </w:tabs>
        <w:rPr>
          <w:rFonts w:ascii="Arial" w:hAnsi="Arial" w:cs="Arial"/>
          <w:spacing w:val="3"/>
          <w:sz w:val="22"/>
          <w:szCs w:val="22"/>
        </w:rPr>
      </w:pPr>
    </w:p>
    <w:tbl>
      <w:tblPr>
        <w:tblW w:w="9428" w:type="dxa"/>
        <w:jc w:val="center"/>
        <w:tblLook w:val="04A0" w:firstRow="1" w:lastRow="0" w:firstColumn="1" w:lastColumn="0" w:noHBand="0" w:noVBand="1"/>
      </w:tblPr>
      <w:tblGrid>
        <w:gridCol w:w="504"/>
        <w:gridCol w:w="5076"/>
        <w:gridCol w:w="2171"/>
        <w:gridCol w:w="1677"/>
      </w:tblGrid>
      <w:tr w:rsidR="003410BB" w:rsidRPr="00A223AD" w:rsidTr="00404E73">
        <w:trPr>
          <w:trHeight w:val="269"/>
          <w:jc w:val="center"/>
        </w:trPr>
        <w:tc>
          <w:tcPr>
            <w:tcW w:w="5580" w:type="dxa"/>
            <w:gridSpan w:val="2"/>
            <w:tcBorders>
              <w:top w:val="nil"/>
              <w:left w:val="nil"/>
              <w:bottom w:val="nil"/>
              <w:right w:val="nil"/>
            </w:tcBorders>
            <w:shd w:val="clear" w:color="auto" w:fill="auto"/>
            <w:noWrap/>
            <w:vAlign w:val="bottom"/>
            <w:hideMark/>
          </w:tcPr>
          <w:p w:rsidR="003410BB" w:rsidRPr="008C57DB" w:rsidRDefault="003410BB" w:rsidP="003410BB">
            <w:pPr>
              <w:rPr>
                <w:rFonts w:ascii="Arial" w:hAnsi="Arial" w:cs="Arial"/>
                <w:b/>
                <w:bCs/>
                <w:sz w:val="18"/>
                <w:szCs w:val="18"/>
                <w:lang w:val="en-US"/>
              </w:rPr>
            </w:pPr>
            <w:r w:rsidRPr="008C57DB">
              <w:rPr>
                <w:rFonts w:ascii="Arial" w:hAnsi="Arial" w:cs="Arial"/>
                <w:b/>
                <w:bCs/>
                <w:sz w:val="18"/>
                <w:szCs w:val="18"/>
              </w:rPr>
              <w:t>(METODA DIRECTĂ)</w:t>
            </w:r>
          </w:p>
        </w:tc>
        <w:tc>
          <w:tcPr>
            <w:tcW w:w="2171" w:type="dxa"/>
            <w:tcBorders>
              <w:top w:val="nil"/>
              <w:left w:val="nil"/>
              <w:bottom w:val="nil"/>
              <w:right w:val="nil"/>
            </w:tcBorders>
            <w:shd w:val="clear" w:color="auto" w:fill="auto"/>
            <w:noWrap/>
            <w:vAlign w:val="bottom"/>
            <w:hideMark/>
          </w:tcPr>
          <w:p w:rsidR="003410BB" w:rsidRPr="00A223AD" w:rsidRDefault="003410BB" w:rsidP="003410BB">
            <w:pPr>
              <w:rPr>
                <w:rFonts w:ascii="Arial" w:hAnsi="Arial" w:cs="Arial"/>
                <w:lang w:val="en-US"/>
              </w:rPr>
            </w:pPr>
          </w:p>
        </w:tc>
        <w:tc>
          <w:tcPr>
            <w:tcW w:w="1677" w:type="dxa"/>
            <w:tcBorders>
              <w:top w:val="nil"/>
              <w:left w:val="nil"/>
              <w:bottom w:val="nil"/>
              <w:right w:val="nil"/>
            </w:tcBorders>
            <w:shd w:val="clear" w:color="auto" w:fill="auto"/>
            <w:noWrap/>
            <w:vAlign w:val="bottom"/>
            <w:hideMark/>
          </w:tcPr>
          <w:p w:rsidR="003410BB" w:rsidRPr="00A223AD" w:rsidRDefault="003410BB" w:rsidP="003410BB">
            <w:pPr>
              <w:rPr>
                <w:rFonts w:ascii="Arial" w:hAnsi="Arial" w:cs="Arial"/>
                <w:b/>
                <w:bCs/>
                <w:lang w:val="en-US"/>
              </w:rPr>
            </w:pPr>
          </w:p>
        </w:tc>
      </w:tr>
      <w:tr w:rsidR="003410BB" w:rsidRPr="00A223AD" w:rsidTr="00404E73">
        <w:trPr>
          <w:trHeight w:val="539"/>
          <w:jc w:val="center"/>
        </w:trPr>
        <w:tc>
          <w:tcPr>
            <w:tcW w:w="50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3410BB" w:rsidRPr="00A223AD" w:rsidRDefault="003410BB" w:rsidP="00A223AD">
            <w:pPr>
              <w:jc w:val="center"/>
              <w:rPr>
                <w:rFonts w:ascii="Arial" w:hAnsi="Arial" w:cs="Arial"/>
                <w:b/>
                <w:bCs/>
                <w:lang w:val="en-US"/>
              </w:rPr>
            </w:pPr>
          </w:p>
        </w:tc>
        <w:tc>
          <w:tcPr>
            <w:tcW w:w="5076"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3410BB" w:rsidRPr="00A223AD" w:rsidRDefault="003410BB" w:rsidP="00A223AD">
            <w:pPr>
              <w:jc w:val="center"/>
              <w:rPr>
                <w:rFonts w:ascii="Arial" w:hAnsi="Arial" w:cs="Arial"/>
                <w:b/>
                <w:bCs/>
                <w:lang w:val="en-US"/>
              </w:rPr>
            </w:pPr>
            <w:r w:rsidRPr="00A223AD">
              <w:rPr>
                <w:rFonts w:ascii="Arial" w:hAnsi="Arial" w:cs="Arial"/>
                <w:b/>
                <w:bCs/>
                <w:lang w:val="en-US"/>
              </w:rPr>
              <w:t>Denumirea elementului</w:t>
            </w:r>
            <w:r w:rsidR="00404E73">
              <w:rPr>
                <w:rFonts w:ascii="Arial" w:hAnsi="Arial" w:cs="Arial"/>
                <w:b/>
                <w:bCs/>
                <w:lang w:val="en-US"/>
              </w:rPr>
              <w:t xml:space="preserve"> (mii lei)</w:t>
            </w:r>
          </w:p>
        </w:tc>
        <w:tc>
          <w:tcPr>
            <w:tcW w:w="2171"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3410BB" w:rsidRPr="00A223AD" w:rsidRDefault="00404E73" w:rsidP="00404E73">
            <w:pPr>
              <w:jc w:val="center"/>
              <w:rPr>
                <w:rFonts w:ascii="Arial" w:hAnsi="Arial" w:cs="Arial"/>
                <w:b/>
                <w:bCs/>
                <w:lang w:val="en-US"/>
              </w:rPr>
            </w:pPr>
            <w:r>
              <w:rPr>
                <w:rFonts w:ascii="Arial" w:hAnsi="Arial" w:cs="Arial"/>
                <w:b/>
                <w:bCs/>
                <w:lang w:val="en-US"/>
              </w:rPr>
              <w:t xml:space="preserve">Ianuarie – </w:t>
            </w:r>
            <w:r w:rsidR="00E733E8">
              <w:rPr>
                <w:rFonts w:ascii="Arial" w:hAnsi="Arial" w:cs="Arial"/>
                <w:b/>
                <w:bCs/>
                <w:lang w:val="en-US"/>
              </w:rPr>
              <w:t>Iunie</w:t>
            </w:r>
          </w:p>
          <w:p w:rsidR="003410BB" w:rsidRPr="00A223AD" w:rsidRDefault="003410BB" w:rsidP="00A223AD">
            <w:pPr>
              <w:jc w:val="center"/>
              <w:rPr>
                <w:rFonts w:ascii="Arial" w:hAnsi="Arial" w:cs="Arial"/>
                <w:b/>
                <w:bCs/>
                <w:lang w:val="en-US"/>
              </w:rPr>
            </w:pPr>
            <w:r w:rsidRPr="00A223AD">
              <w:rPr>
                <w:rFonts w:ascii="Arial" w:hAnsi="Arial" w:cs="Arial"/>
                <w:b/>
                <w:bCs/>
                <w:lang w:val="en-US"/>
              </w:rPr>
              <w:t>2018</w:t>
            </w:r>
          </w:p>
        </w:tc>
        <w:tc>
          <w:tcPr>
            <w:tcW w:w="1677"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3410BB" w:rsidRPr="00A223AD" w:rsidRDefault="003410BB" w:rsidP="00A223AD">
            <w:pPr>
              <w:jc w:val="center"/>
              <w:rPr>
                <w:rFonts w:ascii="Arial" w:hAnsi="Arial" w:cs="Arial"/>
                <w:b/>
                <w:bCs/>
                <w:lang w:val="en-US"/>
              </w:rPr>
            </w:pPr>
            <w:r w:rsidRPr="00A223AD">
              <w:rPr>
                <w:rFonts w:ascii="Arial" w:hAnsi="Arial" w:cs="Arial"/>
                <w:b/>
                <w:bCs/>
                <w:lang w:val="en-US"/>
              </w:rPr>
              <w:t xml:space="preserve">Ianuarie – </w:t>
            </w:r>
            <w:r w:rsidR="00E733E8">
              <w:rPr>
                <w:rFonts w:ascii="Arial" w:hAnsi="Arial" w:cs="Arial"/>
                <w:b/>
                <w:bCs/>
                <w:lang w:val="en-US"/>
              </w:rPr>
              <w:t>Iunie</w:t>
            </w:r>
          </w:p>
          <w:p w:rsidR="003410BB" w:rsidRPr="00A223AD" w:rsidRDefault="003410BB" w:rsidP="00A223AD">
            <w:pPr>
              <w:jc w:val="center"/>
              <w:rPr>
                <w:rFonts w:ascii="Arial" w:hAnsi="Arial" w:cs="Arial"/>
                <w:b/>
                <w:bCs/>
                <w:lang w:val="en-US"/>
              </w:rPr>
            </w:pPr>
            <w:r w:rsidRPr="00A223AD">
              <w:rPr>
                <w:rFonts w:ascii="Arial" w:hAnsi="Arial" w:cs="Arial"/>
                <w:b/>
                <w:bCs/>
                <w:lang w:val="en-US"/>
              </w:rPr>
              <w:t>2017</w:t>
            </w:r>
          </w:p>
        </w:tc>
      </w:tr>
      <w:tr w:rsidR="001054BD" w:rsidRPr="001054BD" w:rsidTr="00404E73">
        <w:trPr>
          <w:trHeight w:val="269"/>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1054BD" w:rsidRPr="005D7AC7" w:rsidRDefault="001054BD" w:rsidP="001054BD">
            <w:pPr>
              <w:rPr>
                <w:rFonts w:ascii="Arial" w:hAnsi="Arial" w:cs="Arial"/>
                <w:bCs/>
                <w:iCs/>
                <w:lang w:val="en-US"/>
              </w:rPr>
            </w:pPr>
            <w:r w:rsidRPr="005D7AC7">
              <w:rPr>
                <w:rFonts w:ascii="Arial" w:hAnsi="Arial" w:cs="Arial"/>
                <w:bCs/>
                <w:iCs/>
                <w:lang w:val="en-US"/>
              </w:rPr>
              <w:t>A</w:t>
            </w:r>
          </w:p>
        </w:tc>
        <w:tc>
          <w:tcPr>
            <w:tcW w:w="5076" w:type="dxa"/>
            <w:tcBorders>
              <w:top w:val="nil"/>
              <w:left w:val="nil"/>
              <w:bottom w:val="single" w:sz="4" w:space="0" w:color="auto"/>
              <w:right w:val="single" w:sz="4" w:space="0" w:color="auto"/>
            </w:tcBorders>
            <w:shd w:val="clear" w:color="auto" w:fill="auto"/>
            <w:noWrap/>
            <w:vAlign w:val="center"/>
            <w:hideMark/>
          </w:tcPr>
          <w:p w:rsidR="001054BD" w:rsidRPr="005D7AC7" w:rsidRDefault="001054BD" w:rsidP="001054BD">
            <w:pPr>
              <w:rPr>
                <w:rFonts w:ascii="Arial" w:hAnsi="Arial" w:cs="Arial"/>
                <w:bCs/>
                <w:iCs/>
                <w:lang w:val="en-US"/>
              </w:rPr>
            </w:pPr>
            <w:r w:rsidRPr="005D7AC7">
              <w:rPr>
                <w:rFonts w:ascii="Arial" w:hAnsi="Arial" w:cs="Arial"/>
                <w:bCs/>
                <w:iCs/>
                <w:lang w:val="en-US"/>
              </w:rPr>
              <w:t>Numerar net din activități de exploatare</w:t>
            </w:r>
          </w:p>
        </w:tc>
        <w:tc>
          <w:tcPr>
            <w:tcW w:w="2171" w:type="dxa"/>
            <w:tcBorders>
              <w:top w:val="nil"/>
              <w:left w:val="nil"/>
              <w:bottom w:val="single" w:sz="4" w:space="0" w:color="auto"/>
              <w:right w:val="single" w:sz="4" w:space="0" w:color="auto"/>
            </w:tcBorders>
            <w:shd w:val="clear" w:color="auto" w:fill="auto"/>
            <w:noWrap/>
            <w:vAlign w:val="center"/>
          </w:tcPr>
          <w:p w:rsidR="001054BD" w:rsidRPr="005D7AC7" w:rsidRDefault="001054BD" w:rsidP="0069434A">
            <w:pPr>
              <w:widowControl/>
              <w:autoSpaceDE/>
              <w:autoSpaceDN/>
              <w:adjustRightInd/>
              <w:jc w:val="right"/>
              <w:rPr>
                <w:rFonts w:ascii="Arial" w:hAnsi="Arial" w:cs="Arial"/>
                <w:iCs/>
              </w:rPr>
            </w:pPr>
            <w:r w:rsidRPr="005D7AC7">
              <w:rPr>
                <w:rFonts w:ascii="Arial" w:hAnsi="Arial" w:cs="Arial"/>
                <w:iCs/>
              </w:rPr>
              <w:t>32.88</w:t>
            </w:r>
            <w:r w:rsidR="0069434A">
              <w:rPr>
                <w:rFonts w:ascii="Arial" w:hAnsi="Arial" w:cs="Arial"/>
                <w:iCs/>
              </w:rPr>
              <w:t>9</w:t>
            </w:r>
          </w:p>
        </w:tc>
        <w:tc>
          <w:tcPr>
            <w:tcW w:w="1677" w:type="dxa"/>
            <w:tcBorders>
              <w:top w:val="nil"/>
              <w:left w:val="nil"/>
              <w:bottom w:val="single" w:sz="4" w:space="0" w:color="auto"/>
              <w:right w:val="single" w:sz="4" w:space="0" w:color="auto"/>
            </w:tcBorders>
            <w:shd w:val="clear" w:color="auto" w:fill="auto"/>
            <w:noWrap/>
            <w:vAlign w:val="center"/>
          </w:tcPr>
          <w:p w:rsidR="001054BD" w:rsidRPr="005D7AC7" w:rsidRDefault="001054BD" w:rsidP="001054BD">
            <w:pPr>
              <w:jc w:val="right"/>
              <w:rPr>
                <w:rFonts w:ascii="Arial" w:hAnsi="Arial" w:cs="Arial"/>
                <w:iCs/>
              </w:rPr>
            </w:pPr>
            <w:r w:rsidRPr="005D7AC7">
              <w:rPr>
                <w:rFonts w:ascii="Arial" w:hAnsi="Arial" w:cs="Arial"/>
                <w:iCs/>
              </w:rPr>
              <w:t>41.429</w:t>
            </w:r>
          </w:p>
        </w:tc>
      </w:tr>
      <w:tr w:rsidR="001054BD" w:rsidRPr="001054BD" w:rsidTr="00404E73">
        <w:trPr>
          <w:trHeight w:val="269"/>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1054BD" w:rsidRPr="005D7AC7" w:rsidRDefault="001054BD" w:rsidP="001054BD">
            <w:pPr>
              <w:rPr>
                <w:rFonts w:ascii="Arial" w:hAnsi="Arial" w:cs="Arial"/>
                <w:bCs/>
                <w:iCs/>
                <w:lang w:val="en-US"/>
              </w:rPr>
            </w:pPr>
            <w:r w:rsidRPr="005D7AC7">
              <w:rPr>
                <w:rFonts w:ascii="Arial" w:hAnsi="Arial" w:cs="Arial"/>
                <w:bCs/>
                <w:iCs/>
                <w:lang w:val="en-US"/>
              </w:rPr>
              <w:t>B</w:t>
            </w:r>
          </w:p>
        </w:tc>
        <w:tc>
          <w:tcPr>
            <w:tcW w:w="5076" w:type="dxa"/>
            <w:tcBorders>
              <w:top w:val="nil"/>
              <w:left w:val="nil"/>
              <w:bottom w:val="single" w:sz="4" w:space="0" w:color="auto"/>
              <w:right w:val="single" w:sz="4" w:space="0" w:color="auto"/>
            </w:tcBorders>
            <w:shd w:val="clear" w:color="auto" w:fill="auto"/>
            <w:noWrap/>
            <w:vAlign w:val="center"/>
            <w:hideMark/>
          </w:tcPr>
          <w:p w:rsidR="001054BD" w:rsidRPr="005D7AC7" w:rsidRDefault="001054BD" w:rsidP="001054BD">
            <w:pPr>
              <w:rPr>
                <w:rFonts w:ascii="Arial" w:hAnsi="Arial" w:cs="Arial"/>
                <w:bCs/>
                <w:iCs/>
                <w:lang w:val="en-US"/>
              </w:rPr>
            </w:pPr>
            <w:r w:rsidRPr="005D7AC7">
              <w:rPr>
                <w:rFonts w:ascii="Arial" w:hAnsi="Arial" w:cs="Arial"/>
                <w:bCs/>
                <w:iCs/>
                <w:lang w:val="en-US"/>
              </w:rPr>
              <w:t>Numerar net din activități de investiție</w:t>
            </w:r>
          </w:p>
        </w:tc>
        <w:tc>
          <w:tcPr>
            <w:tcW w:w="2171" w:type="dxa"/>
            <w:tcBorders>
              <w:top w:val="nil"/>
              <w:left w:val="nil"/>
              <w:bottom w:val="single" w:sz="4" w:space="0" w:color="auto"/>
              <w:right w:val="single" w:sz="4" w:space="0" w:color="auto"/>
            </w:tcBorders>
            <w:shd w:val="clear" w:color="auto" w:fill="auto"/>
            <w:noWrap/>
            <w:vAlign w:val="center"/>
          </w:tcPr>
          <w:p w:rsidR="001054BD" w:rsidRPr="005D7AC7" w:rsidRDefault="001054BD" w:rsidP="001054BD">
            <w:pPr>
              <w:jc w:val="right"/>
              <w:rPr>
                <w:rFonts w:ascii="Arial" w:hAnsi="Arial" w:cs="Arial"/>
                <w:iCs/>
              </w:rPr>
            </w:pPr>
            <w:r w:rsidRPr="005D7AC7">
              <w:rPr>
                <w:rFonts w:ascii="Arial" w:hAnsi="Arial" w:cs="Arial"/>
                <w:iCs/>
              </w:rPr>
              <w:t>-15.169</w:t>
            </w:r>
          </w:p>
        </w:tc>
        <w:tc>
          <w:tcPr>
            <w:tcW w:w="1677" w:type="dxa"/>
            <w:tcBorders>
              <w:top w:val="nil"/>
              <w:left w:val="nil"/>
              <w:bottom w:val="single" w:sz="4" w:space="0" w:color="auto"/>
              <w:right w:val="single" w:sz="4" w:space="0" w:color="auto"/>
            </w:tcBorders>
            <w:shd w:val="clear" w:color="auto" w:fill="auto"/>
            <w:noWrap/>
            <w:vAlign w:val="center"/>
          </w:tcPr>
          <w:p w:rsidR="001054BD" w:rsidRPr="005D7AC7" w:rsidRDefault="001054BD" w:rsidP="001054BD">
            <w:pPr>
              <w:jc w:val="right"/>
              <w:rPr>
                <w:rFonts w:ascii="Arial" w:hAnsi="Arial" w:cs="Arial"/>
                <w:iCs/>
              </w:rPr>
            </w:pPr>
            <w:r w:rsidRPr="005D7AC7">
              <w:rPr>
                <w:rFonts w:ascii="Arial" w:hAnsi="Arial" w:cs="Arial"/>
                <w:iCs/>
              </w:rPr>
              <w:t>152.859</w:t>
            </w:r>
          </w:p>
        </w:tc>
      </w:tr>
      <w:tr w:rsidR="001054BD" w:rsidRPr="001054BD" w:rsidTr="00F52B39">
        <w:trPr>
          <w:trHeight w:val="269"/>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1054BD" w:rsidRPr="005D7AC7" w:rsidRDefault="001054BD" w:rsidP="001054BD">
            <w:pPr>
              <w:rPr>
                <w:rFonts w:ascii="Arial" w:hAnsi="Arial" w:cs="Arial"/>
                <w:bCs/>
                <w:iCs/>
                <w:lang w:val="en-US"/>
              </w:rPr>
            </w:pPr>
            <w:r w:rsidRPr="005D7AC7">
              <w:rPr>
                <w:rFonts w:ascii="Arial" w:hAnsi="Arial" w:cs="Arial"/>
                <w:bCs/>
                <w:iCs/>
                <w:lang w:val="en-US"/>
              </w:rPr>
              <w:t>C</w:t>
            </w:r>
          </w:p>
        </w:tc>
        <w:tc>
          <w:tcPr>
            <w:tcW w:w="5076" w:type="dxa"/>
            <w:tcBorders>
              <w:top w:val="nil"/>
              <w:left w:val="nil"/>
              <w:bottom w:val="single" w:sz="4" w:space="0" w:color="auto"/>
              <w:right w:val="single" w:sz="4" w:space="0" w:color="auto"/>
            </w:tcBorders>
            <w:shd w:val="clear" w:color="auto" w:fill="auto"/>
            <w:noWrap/>
            <w:vAlign w:val="center"/>
            <w:hideMark/>
          </w:tcPr>
          <w:p w:rsidR="001054BD" w:rsidRPr="005D7AC7" w:rsidRDefault="001054BD" w:rsidP="001054BD">
            <w:pPr>
              <w:rPr>
                <w:rFonts w:ascii="Arial" w:hAnsi="Arial" w:cs="Arial"/>
                <w:bCs/>
                <w:iCs/>
                <w:lang w:val="en-US"/>
              </w:rPr>
            </w:pPr>
            <w:r w:rsidRPr="005D7AC7">
              <w:rPr>
                <w:rFonts w:ascii="Arial" w:hAnsi="Arial" w:cs="Arial"/>
                <w:bCs/>
                <w:iCs/>
                <w:lang w:val="en-US"/>
              </w:rPr>
              <w:t>Numerar net din activități de finanțare</w:t>
            </w:r>
          </w:p>
        </w:tc>
        <w:tc>
          <w:tcPr>
            <w:tcW w:w="2171" w:type="dxa"/>
            <w:tcBorders>
              <w:top w:val="nil"/>
              <w:left w:val="nil"/>
              <w:bottom w:val="single" w:sz="4" w:space="0" w:color="auto"/>
              <w:right w:val="single" w:sz="4" w:space="0" w:color="auto"/>
            </w:tcBorders>
            <w:shd w:val="clear" w:color="auto" w:fill="auto"/>
            <w:noWrap/>
            <w:vAlign w:val="center"/>
          </w:tcPr>
          <w:p w:rsidR="001054BD" w:rsidRPr="005D7AC7" w:rsidRDefault="001054BD" w:rsidP="001054BD">
            <w:pPr>
              <w:jc w:val="right"/>
              <w:rPr>
                <w:rFonts w:ascii="Arial" w:hAnsi="Arial" w:cs="Arial"/>
                <w:iCs/>
              </w:rPr>
            </w:pPr>
            <w:r w:rsidRPr="005D7AC7">
              <w:rPr>
                <w:rFonts w:ascii="Arial" w:hAnsi="Arial" w:cs="Arial"/>
                <w:iCs/>
              </w:rPr>
              <w:t>-61.115</w:t>
            </w:r>
          </w:p>
        </w:tc>
        <w:tc>
          <w:tcPr>
            <w:tcW w:w="1677" w:type="dxa"/>
            <w:tcBorders>
              <w:top w:val="nil"/>
              <w:left w:val="nil"/>
              <w:bottom w:val="single" w:sz="4" w:space="0" w:color="auto"/>
              <w:right w:val="single" w:sz="4" w:space="0" w:color="auto"/>
            </w:tcBorders>
            <w:shd w:val="clear" w:color="auto" w:fill="auto"/>
            <w:noWrap/>
            <w:vAlign w:val="center"/>
          </w:tcPr>
          <w:p w:rsidR="001054BD" w:rsidRPr="005D7AC7" w:rsidRDefault="001054BD" w:rsidP="001054BD">
            <w:pPr>
              <w:jc w:val="right"/>
              <w:rPr>
                <w:rFonts w:ascii="Arial" w:hAnsi="Arial" w:cs="Arial"/>
                <w:iCs/>
              </w:rPr>
            </w:pPr>
            <w:r w:rsidRPr="005D7AC7">
              <w:rPr>
                <w:rFonts w:ascii="Arial" w:hAnsi="Arial" w:cs="Arial"/>
                <w:iCs/>
              </w:rPr>
              <w:t>2.567</w:t>
            </w:r>
          </w:p>
        </w:tc>
      </w:tr>
      <w:tr w:rsidR="001054BD" w:rsidRPr="001054BD" w:rsidTr="00F52B39">
        <w:trPr>
          <w:trHeight w:val="269"/>
          <w:jc w:val="center"/>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54BD" w:rsidRPr="001054BD" w:rsidRDefault="001054BD" w:rsidP="001054BD">
            <w:pPr>
              <w:rPr>
                <w:rFonts w:ascii="Arial" w:hAnsi="Arial" w:cs="Arial"/>
                <w:b/>
                <w:bCs/>
                <w:i/>
                <w:iCs/>
                <w:lang w:val="en-US"/>
              </w:rPr>
            </w:pPr>
            <w:r w:rsidRPr="001054BD">
              <w:rPr>
                <w:rFonts w:ascii="Arial" w:hAnsi="Arial" w:cs="Arial"/>
                <w:b/>
                <w:bCs/>
                <w:i/>
                <w:iCs/>
                <w:lang w:val="en-US"/>
              </w:rPr>
              <w:t> </w:t>
            </w:r>
          </w:p>
        </w:tc>
        <w:tc>
          <w:tcPr>
            <w:tcW w:w="5076" w:type="dxa"/>
            <w:tcBorders>
              <w:top w:val="single" w:sz="4" w:space="0" w:color="auto"/>
              <w:left w:val="nil"/>
              <w:bottom w:val="single" w:sz="4" w:space="0" w:color="auto"/>
              <w:right w:val="single" w:sz="4" w:space="0" w:color="auto"/>
            </w:tcBorders>
            <w:shd w:val="clear" w:color="auto" w:fill="auto"/>
            <w:noWrap/>
            <w:vAlign w:val="center"/>
            <w:hideMark/>
          </w:tcPr>
          <w:p w:rsidR="001054BD" w:rsidRPr="005D7AC7" w:rsidRDefault="001054BD" w:rsidP="00465BD4">
            <w:pPr>
              <w:rPr>
                <w:rFonts w:ascii="Arial" w:hAnsi="Arial" w:cs="Arial"/>
                <w:b/>
                <w:bCs/>
                <w:iCs/>
                <w:lang w:val="en-US"/>
              </w:rPr>
            </w:pPr>
            <w:r w:rsidRPr="005D7AC7">
              <w:rPr>
                <w:rFonts w:ascii="Arial" w:hAnsi="Arial" w:cs="Arial"/>
                <w:b/>
                <w:bCs/>
                <w:iCs/>
                <w:lang w:val="en-US"/>
              </w:rPr>
              <w:t>Creșterea netă a numerarului și echivalentelor de numerar=A+B+C</w:t>
            </w:r>
          </w:p>
        </w:tc>
        <w:tc>
          <w:tcPr>
            <w:tcW w:w="2171" w:type="dxa"/>
            <w:tcBorders>
              <w:top w:val="single" w:sz="4" w:space="0" w:color="auto"/>
              <w:left w:val="nil"/>
              <w:bottom w:val="single" w:sz="4" w:space="0" w:color="auto"/>
              <w:right w:val="single" w:sz="4" w:space="0" w:color="auto"/>
            </w:tcBorders>
            <w:shd w:val="clear" w:color="auto" w:fill="auto"/>
            <w:noWrap/>
            <w:vAlign w:val="center"/>
          </w:tcPr>
          <w:p w:rsidR="001054BD" w:rsidRPr="005D7AC7" w:rsidRDefault="001054BD" w:rsidP="0069434A">
            <w:pPr>
              <w:jc w:val="right"/>
              <w:rPr>
                <w:rFonts w:ascii="Arial" w:hAnsi="Arial" w:cs="Arial"/>
                <w:b/>
                <w:iCs/>
              </w:rPr>
            </w:pPr>
            <w:r w:rsidRPr="005D7AC7">
              <w:rPr>
                <w:rFonts w:ascii="Arial" w:hAnsi="Arial" w:cs="Arial"/>
                <w:b/>
                <w:iCs/>
              </w:rPr>
              <w:t>-43.</w:t>
            </w:r>
            <w:r w:rsidR="0069434A">
              <w:rPr>
                <w:rFonts w:ascii="Arial" w:hAnsi="Arial" w:cs="Arial"/>
                <w:b/>
                <w:iCs/>
              </w:rPr>
              <w:t>395</w:t>
            </w:r>
          </w:p>
        </w:tc>
        <w:tc>
          <w:tcPr>
            <w:tcW w:w="1677" w:type="dxa"/>
            <w:tcBorders>
              <w:top w:val="single" w:sz="4" w:space="0" w:color="auto"/>
              <w:left w:val="nil"/>
              <w:bottom w:val="single" w:sz="4" w:space="0" w:color="auto"/>
              <w:right w:val="single" w:sz="4" w:space="0" w:color="auto"/>
            </w:tcBorders>
            <w:shd w:val="clear" w:color="auto" w:fill="auto"/>
            <w:noWrap/>
            <w:vAlign w:val="center"/>
          </w:tcPr>
          <w:p w:rsidR="001054BD" w:rsidRPr="005D7AC7" w:rsidRDefault="001054BD" w:rsidP="001054BD">
            <w:pPr>
              <w:jc w:val="right"/>
              <w:rPr>
                <w:rFonts w:ascii="Arial" w:hAnsi="Arial" w:cs="Arial"/>
                <w:b/>
                <w:iCs/>
              </w:rPr>
            </w:pPr>
            <w:r w:rsidRPr="005D7AC7">
              <w:rPr>
                <w:rFonts w:ascii="Arial" w:hAnsi="Arial" w:cs="Arial"/>
                <w:b/>
                <w:iCs/>
              </w:rPr>
              <w:t>196.855</w:t>
            </w:r>
          </w:p>
        </w:tc>
      </w:tr>
      <w:tr w:rsidR="00404E73" w:rsidRPr="001054BD" w:rsidTr="00F52B39">
        <w:trPr>
          <w:trHeight w:val="269"/>
          <w:jc w:val="center"/>
        </w:trPr>
        <w:tc>
          <w:tcPr>
            <w:tcW w:w="504" w:type="dxa"/>
            <w:tcBorders>
              <w:top w:val="single" w:sz="4" w:space="0" w:color="auto"/>
              <w:bottom w:val="single" w:sz="4" w:space="0" w:color="auto"/>
            </w:tcBorders>
            <w:shd w:val="clear" w:color="auto" w:fill="auto"/>
            <w:noWrap/>
            <w:vAlign w:val="bottom"/>
          </w:tcPr>
          <w:p w:rsidR="00404E73" w:rsidRPr="001054BD" w:rsidRDefault="00404E73" w:rsidP="001054BD">
            <w:pPr>
              <w:rPr>
                <w:rFonts w:ascii="Arial" w:hAnsi="Arial" w:cs="Arial"/>
                <w:b/>
                <w:bCs/>
                <w:i/>
                <w:iCs/>
                <w:lang w:val="en-US"/>
              </w:rPr>
            </w:pPr>
          </w:p>
        </w:tc>
        <w:tc>
          <w:tcPr>
            <w:tcW w:w="5076" w:type="dxa"/>
            <w:tcBorders>
              <w:top w:val="single" w:sz="4" w:space="0" w:color="auto"/>
              <w:bottom w:val="single" w:sz="4" w:space="0" w:color="auto"/>
            </w:tcBorders>
            <w:shd w:val="clear" w:color="auto" w:fill="auto"/>
            <w:noWrap/>
            <w:vAlign w:val="center"/>
          </w:tcPr>
          <w:p w:rsidR="00404E73" w:rsidRPr="001054BD" w:rsidRDefault="00404E73" w:rsidP="00465BD4">
            <w:pPr>
              <w:rPr>
                <w:rFonts w:ascii="Arial" w:hAnsi="Arial" w:cs="Arial"/>
                <w:bCs/>
                <w:i/>
                <w:iCs/>
                <w:lang w:val="en-US"/>
              </w:rPr>
            </w:pPr>
          </w:p>
        </w:tc>
        <w:tc>
          <w:tcPr>
            <w:tcW w:w="2171" w:type="dxa"/>
            <w:tcBorders>
              <w:top w:val="single" w:sz="4" w:space="0" w:color="auto"/>
              <w:bottom w:val="single" w:sz="4" w:space="0" w:color="auto"/>
            </w:tcBorders>
            <w:shd w:val="clear" w:color="auto" w:fill="auto"/>
            <w:noWrap/>
            <w:vAlign w:val="center"/>
          </w:tcPr>
          <w:p w:rsidR="00404E73" w:rsidRPr="001054BD" w:rsidRDefault="00404E73" w:rsidP="001054BD">
            <w:pPr>
              <w:jc w:val="right"/>
              <w:rPr>
                <w:rFonts w:ascii="Arial" w:hAnsi="Arial" w:cs="Arial"/>
                <w:i/>
                <w:iCs/>
              </w:rPr>
            </w:pPr>
          </w:p>
        </w:tc>
        <w:tc>
          <w:tcPr>
            <w:tcW w:w="1677" w:type="dxa"/>
            <w:tcBorders>
              <w:top w:val="single" w:sz="4" w:space="0" w:color="auto"/>
              <w:bottom w:val="single" w:sz="4" w:space="0" w:color="auto"/>
            </w:tcBorders>
            <w:shd w:val="clear" w:color="auto" w:fill="auto"/>
            <w:noWrap/>
            <w:vAlign w:val="center"/>
          </w:tcPr>
          <w:p w:rsidR="00404E73" w:rsidRPr="001054BD" w:rsidRDefault="00404E73" w:rsidP="001054BD">
            <w:pPr>
              <w:jc w:val="right"/>
              <w:rPr>
                <w:rFonts w:ascii="Arial" w:hAnsi="Arial" w:cs="Arial"/>
                <w:i/>
                <w:iCs/>
              </w:rPr>
            </w:pPr>
          </w:p>
        </w:tc>
      </w:tr>
      <w:tr w:rsidR="00404E73" w:rsidRPr="001054BD" w:rsidTr="004914B1">
        <w:trPr>
          <w:trHeight w:val="269"/>
          <w:jc w:val="center"/>
        </w:trPr>
        <w:tc>
          <w:tcPr>
            <w:tcW w:w="50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404E73" w:rsidRPr="00A223AD" w:rsidRDefault="00404E73" w:rsidP="00404E73">
            <w:pPr>
              <w:jc w:val="center"/>
              <w:rPr>
                <w:rFonts w:ascii="Arial" w:hAnsi="Arial" w:cs="Arial"/>
                <w:b/>
                <w:bCs/>
                <w:lang w:val="en-US"/>
              </w:rPr>
            </w:pPr>
          </w:p>
        </w:tc>
        <w:tc>
          <w:tcPr>
            <w:tcW w:w="5076"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rsidR="00404E73" w:rsidRPr="00A223AD" w:rsidRDefault="00404E73" w:rsidP="00404E73">
            <w:pPr>
              <w:jc w:val="center"/>
              <w:rPr>
                <w:rFonts w:ascii="Arial" w:hAnsi="Arial" w:cs="Arial"/>
                <w:b/>
                <w:bCs/>
                <w:lang w:val="en-US"/>
              </w:rPr>
            </w:pPr>
            <w:r w:rsidRPr="00A223AD">
              <w:rPr>
                <w:rFonts w:ascii="Arial" w:hAnsi="Arial" w:cs="Arial"/>
                <w:b/>
                <w:bCs/>
                <w:lang w:val="en-US"/>
              </w:rPr>
              <w:t>Denumirea elementului</w:t>
            </w:r>
            <w:r>
              <w:rPr>
                <w:rFonts w:ascii="Arial" w:hAnsi="Arial" w:cs="Arial"/>
                <w:b/>
                <w:bCs/>
                <w:lang w:val="en-US"/>
              </w:rPr>
              <w:t xml:space="preserve"> (mii lei)</w:t>
            </w:r>
          </w:p>
        </w:tc>
        <w:tc>
          <w:tcPr>
            <w:tcW w:w="2171"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rsidR="00404E73" w:rsidRPr="00A223AD" w:rsidRDefault="00404E73" w:rsidP="00404E73">
            <w:pPr>
              <w:jc w:val="center"/>
              <w:rPr>
                <w:rFonts w:ascii="Arial" w:hAnsi="Arial" w:cs="Arial"/>
                <w:b/>
                <w:bCs/>
                <w:lang w:val="en-US"/>
              </w:rPr>
            </w:pPr>
            <w:r>
              <w:rPr>
                <w:rFonts w:ascii="Arial" w:hAnsi="Arial" w:cs="Arial"/>
                <w:b/>
                <w:bCs/>
                <w:lang w:val="en-US"/>
              </w:rPr>
              <w:t>Ianuarie – Iunie</w:t>
            </w:r>
          </w:p>
          <w:p w:rsidR="00404E73" w:rsidRPr="00A223AD" w:rsidRDefault="00404E73" w:rsidP="00404E73">
            <w:pPr>
              <w:jc w:val="center"/>
              <w:rPr>
                <w:rFonts w:ascii="Arial" w:hAnsi="Arial" w:cs="Arial"/>
                <w:b/>
                <w:bCs/>
                <w:lang w:val="en-US"/>
              </w:rPr>
            </w:pPr>
            <w:r w:rsidRPr="00A223AD">
              <w:rPr>
                <w:rFonts w:ascii="Arial" w:hAnsi="Arial" w:cs="Arial"/>
                <w:b/>
                <w:bCs/>
                <w:lang w:val="en-US"/>
              </w:rPr>
              <w:t>2018</w:t>
            </w:r>
          </w:p>
        </w:tc>
        <w:tc>
          <w:tcPr>
            <w:tcW w:w="1677"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rsidR="00404E73" w:rsidRPr="00A223AD" w:rsidRDefault="00404E73" w:rsidP="00404E73">
            <w:pPr>
              <w:jc w:val="center"/>
              <w:rPr>
                <w:rFonts w:ascii="Arial" w:hAnsi="Arial" w:cs="Arial"/>
                <w:b/>
                <w:bCs/>
                <w:lang w:val="en-US"/>
              </w:rPr>
            </w:pPr>
            <w:r w:rsidRPr="00A223AD">
              <w:rPr>
                <w:rFonts w:ascii="Arial" w:hAnsi="Arial" w:cs="Arial"/>
                <w:b/>
                <w:bCs/>
                <w:lang w:val="en-US"/>
              </w:rPr>
              <w:t xml:space="preserve">Ianuarie – </w:t>
            </w:r>
            <w:r>
              <w:rPr>
                <w:rFonts w:ascii="Arial" w:hAnsi="Arial" w:cs="Arial"/>
                <w:b/>
                <w:bCs/>
                <w:lang w:val="en-US"/>
              </w:rPr>
              <w:t>Iunie</w:t>
            </w:r>
          </w:p>
          <w:p w:rsidR="00404E73" w:rsidRPr="00A223AD" w:rsidRDefault="00404E73" w:rsidP="00404E73">
            <w:pPr>
              <w:jc w:val="center"/>
              <w:rPr>
                <w:rFonts w:ascii="Arial" w:hAnsi="Arial" w:cs="Arial"/>
                <w:b/>
                <w:bCs/>
                <w:lang w:val="en-US"/>
              </w:rPr>
            </w:pPr>
            <w:r w:rsidRPr="00A223AD">
              <w:rPr>
                <w:rFonts w:ascii="Arial" w:hAnsi="Arial" w:cs="Arial"/>
                <w:b/>
                <w:bCs/>
                <w:lang w:val="en-US"/>
              </w:rPr>
              <w:t>2017</w:t>
            </w:r>
          </w:p>
        </w:tc>
      </w:tr>
      <w:tr w:rsidR="00404E73" w:rsidRPr="001054BD" w:rsidTr="00404E73">
        <w:trPr>
          <w:trHeight w:val="269"/>
          <w:jc w:val="center"/>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E73" w:rsidRPr="005D7AC7" w:rsidRDefault="00404E73" w:rsidP="00404E73">
            <w:pPr>
              <w:rPr>
                <w:rFonts w:ascii="Arial" w:hAnsi="Arial" w:cs="Arial"/>
                <w:bCs/>
                <w:iCs/>
                <w:lang w:val="en-US"/>
              </w:rPr>
            </w:pPr>
            <w:r w:rsidRPr="005D7AC7">
              <w:rPr>
                <w:rFonts w:ascii="Arial" w:hAnsi="Arial" w:cs="Arial"/>
                <w:bCs/>
                <w:iCs/>
                <w:lang w:val="en-US"/>
              </w:rPr>
              <w:t>D1</w:t>
            </w:r>
          </w:p>
        </w:tc>
        <w:tc>
          <w:tcPr>
            <w:tcW w:w="5076" w:type="dxa"/>
            <w:tcBorders>
              <w:top w:val="single" w:sz="4" w:space="0" w:color="auto"/>
              <w:left w:val="nil"/>
              <w:bottom w:val="single" w:sz="4" w:space="0" w:color="auto"/>
              <w:right w:val="single" w:sz="4" w:space="0" w:color="auto"/>
            </w:tcBorders>
            <w:shd w:val="clear" w:color="auto" w:fill="auto"/>
            <w:noWrap/>
            <w:vAlign w:val="center"/>
            <w:hideMark/>
          </w:tcPr>
          <w:p w:rsidR="00404E73" w:rsidRPr="005D7AC7" w:rsidRDefault="00404E73" w:rsidP="00404E73">
            <w:pPr>
              <w:rPr>
                <w:rFonts w:ascii="Arial" w:hAnsi="Arial" w:cs="Arial"/>
                <w:bCs/>
                <w:iCs/>
                <w:lang w:val="en-US"/>
              </w:rPr>
            </w:pPr>
            <w:r w:rsidRPr="005D7AC7">
              <w:rPr>
                <w:rFonts w:ascii="Arial" w:hAnsi="Arial" w:cs="Arial"/>
                <w:bCs/>
                <w:iCs/>
                <w:lang w:val="en-US"/>
              </w:rPr>
              <w:t>Numerar și echivalente de numerar la începutul perioadei</w:t>
            </w:r>
          </w:p>
        </w:tc>
        <w:tc>
          <w:tcPr>
            <w:tcW w:w="2171" w:type="dxa"/>
            <w:tcBorders>
              <w:top w:val="single" w:sz="4" w:space="0" w:color="auto"/>
              <w:left w:val="nil"/>
              <w:bottom w:val="single" w:sz="4" w:space="0" w:color="auto"/>
              <w:right w:val="single" w:sz="4" w:space="0" w:color="auto"/>
            </w:tcBorders>
            <w:shd w:val="clear" w:color="auto" w:fill="auto"/>
            <w:noWrap/>
            <w:vAlign w:val="center"/>
          </w:tcPr>
          <w:p w:rsidR="00404E73" w:rsidRPr="005D7AC7" w:rsidRDefault="00404E73" w:rsidP="00404E73">
            <w:pPr>
              <w:jc w:val="right"/>
              <w:rPr>
                <w:rFonts w:ascii="Arial" w:hAnsi="Arial" w:cs="Arial"/>
                <w:iCs/>
              </w:rPr>
            </w:pPr>
            <w:r w:rsidRPr="005D7AC7">
              <w:rPr>
                <w:rFonts w:ascii="Arial" w:hAnsi="Arial" w:cs="Arial"/>
                <w:iCs/>
              </w:rPr>
              <w:t>209.846</w:t>
            </w:r>
          </w:p>
        </w:tc>
        <w:tc>
          <w:tcPr>
            <w:tcW w:w="1677" w:type="dxa"/>
            <w:tcBorders>
              <w:top w:val="single" w:sz="4" w:space="0" w:color="auto"/>
              <w:left w:val="nil"/>
              <w:bottom w:val="single" w:sz="4" w:space="0" w:color="auto"/>
              <w:right w:val="single" w:sz="4" w:space="0" w:color="auto"/>
            </w:tcBorders>
            <w:shd w:val="clear" w:color="auto" w:fill="auto"/>
            <w:noWrap/>
            <w:vAlign w:val="center"/>
          </w:tcPr>
          <w:p w:rsidR="00404E73" w:rsidRPr="005D7AC7" w:rsidRDefault="00404E73" w:rsidP="00404E73">
            <w:pPr>
              <w:jc w:val="right"/>
              <w:rPr>
                <w:rFonts w:ascii="Arial" w:hAnsi="Arial" w:cs="Arial"/>
                <w:iCs/>
              </w:rPr>
            </w:pPr>
            <w:r w:rsidRPr="005D7AC7">
              <w:rPr>
                <w:rFonts w:ascii="Arial" w:hAnsi="Arial" w:cs="Arial"/>
                <w:iCs/>
              </w:rPr>
              <w:t>244.598</w:t>
            </w:r>
          </w:p>
        </w:tc>
      </w:tr>
      <w:tr w:rsidR="00404E73" w:rsidRPr="001054BD" w:rsidTr="00404E73">
        <w:trPr>
          <w:trHeight w:val="269"/>
          <w:jc w:val="center"/>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E73" w:rsidRPr="005D7AC7" w:rsidRDefault="00404E73" w:rsidP="00404E73">
            <w:pPr>
              <w:rPr>
                <w:rFonts w:ascii="Arial" w:hAnsi="Arial" w:cs="Arial"/>
                <w:bCs/>
                <w:iCs/>
                <w:lang w:val="en-US"/>
              </w:rPr>
            </w:pPr>
            <w:r w:rsidRPr="005D7AC7">
              <w:rPr>
                <w:rFonts w:ascii="Arial" w:hAnsi="Arial" w:cs="Arial"/>
                <w:bCs/>
                <w:iCs/>
                <w:lang w:val="en-US"/>
              </w:rPr>
              <w:t>D2</w:t>
            </w:r>
          </w:p>
        </w:tc>
        <w:tc>
          <w:tcPr>
            <w:tcW w:w="5076" w:type="dxa"/>
            <w:tcBorders>
              <w:top w:val="single" w:sz="4" w:space="0" w:color="auto"/>
              <w:left w:val="nil"/>
              <w:bottom w:val="single" w:sz="4" w:space="0" w:color="auto"/>
              <w:right w:val="single" w:sz="4" w:space="0" w:color="auto"/>
            </w:tcBorders>
            <w:shd w:val="clear" w:color="auto" w:fill="auto"/>
            <w:noWrap/>
            <w:vAlign w:val="center"/>
            <w:hideMark/>
          </w:tcPr>
          <w:p w:rsidR="00404E73" w:rsidRPr="005D7AC7" w:rsidRDefault="00404E73" w:rsidP="00404E73">
            <w:pPr>
              <w:rPr>
                <w:rFonts w:ascii="Arial" w:hAnsi="Arial" w:cs="Arial"/>
                <w:bCs/>
                <w:iCs/>
                <w:lang w:val="en-US"/>
              </w:rPr>
            </w:pPr>
            <w:r w:rsidRPr="005D7AC7">
              <w:rPr>
                <w:rFonts w:ascii="Arial" w:hAnsi="Arial" w:cs="Arial"/>
                <w:bCs/>
                <w:iCs/>
                <w:lang w:val="en-US"/>
              </w:rPr>
              <w:t>Numerar și echivalente de numerar la sfârșitul perioadei</w:t>
            </w:r>
          </w:p>
        </w:tc>
        <w:tc>
          <w:tcPr>
            <w:tcW w:w="2171" w:type="dxa"/>
            <w:tcBorders>
              <w:top w:val="single" w:sz="4" w:space="0" w:color="auto"/>
              <w:left w:val="nil"/>
              <w:bottom w:val="single" w:sz="4" w:space="0" w:color="auto"/>
              <w:right w:val="single" w:sz="4" w:space="0" w:color="auto"/>
            </w:tcBorders>
            <w:shd w:val="clear" w:color="auto" w:fill="auto"/>
            <w:noWrap/>
            <w:vAlign w:val="center"/>
          </w:tcPr>
          <w:p w:rsidR="00404E73" w:rsidRPr="005D7AC7" w:rsidRDefault="00404E73" w:rsidP="0069434A">
            <w:pPr>
              <w:jc w:val="right"/>
              <w:rPr>
                <w:rFonts w:ascii="Arial" w:hAnsi="Arial" w:cs="Arial"/>
                <w:iCs/>
              </w:rPr>
            </w:pPr>
            <w:r w:rsidRPr="005D7AC7">
              <w:rPr>
                <w:rFonts w:ascii="Arial" w:hAnsi="Arial" w:cs="Arial"/>
                <w:iCs/>
              </w:rPr>
              <w:t>166.4</w:t>
            </w:r>
            <w:r w:rsidR="0069434A">
              <w:rPr>
                <w:rFonts w:ascii="Arial" w:hAnsi="Arial" w:cs="Arial"/>
                <w:iCs/>
              </w:rPr>
              <w:t>51</w:t>
            </w:r>
          </w:p>
        </w:tc>
        <w:tc>
          <w:tcPr>
            <w:tcW w:w="1677" w:type="dxa"/>
            <w:tcBorders>
              <w:top w:val="single" w:sz="4" w:space="0" w:color="auto"/>
              <w:left w:val="nil"/>
              <w:bottom w:val="single" w:sz="4" w:space="0" w:color="auto"/>
              <w:right w:val="single" w:sz="4" w:space="0" w:color="auto"/>
            </w:tcBorders>
            <w:shd w:val="clear" w:color="auto" w:fill="auto"/>
            <w:noWrap/>
            <w:vAlign w:val="center"/>
          </w:tcPr>
          <w:p w:rsidR="00404E73" w:rsidRPr="005D7AC7" w:rsidRDefault="00404E73" w:rsidP="00404E73">
            <w:pPr>
              <w:jc w:val="right"/>
              <w:rPr>
                <w:rFonts w:ascii="Arial" w:hAnsi="Arial" w:cs="Arial"/>
                <w:iCs/>
              </w:rPr>
            </w:pPr>
            <w:r w:rsidRPr="005D7AC7">
              <w:rPr>
                <w:rFonts w:ascii="Arial" w:hAnsi="Arial" w:cs="Arial"/>
                <w:iCs/>
              </w:rPr>
              <w:t>441.453</w:t>
            </w:r>
          </w:p>
        </w:tc>
      </w:tr>
      <w:tr w:rsidR="00404E73" w:rsidRPr="001054BD" w:rsidTr="00404E73">
        <w:trPr>
          <w:trHeight w:val="269"/>
          <w:jc w:val="center"/>
        </w:trPr>
        <w:tc>
          <w:tcPr>
            <w:tcW w:w="504" w:type="dxa"/>
            <w:tcBorders>
              <w:top w:val="single" w:sz="4" w:space="0" w:color="auto"/>
              <w:left w:val="nil"/>
              <w:bottom w:val="nil"/>
              <w:right w:val="nil"/>
            </w:tcBorders>
            <w:shd w:val="clear" w:color="auto" w:fill="auto"/>
            <w:noWrap/>
            <w:vAlign w:val="bottom"/>
            <w:hideMark/>
          </w:tcPr>
          <w:p w:rsidR="00404E73" w:rsidRPr="001054BD" w:rsidRDefault="00404E73" w:rsidP="00404E73">
            <w:pPr>
              <w:rPr>
                <w:rFonts w:ascii="Arial" w:hAnsi="Arial" w:cs="Arial"/>
                <w:b/>
                <w:bCs/>
                <w:i/>
                <w:iCs/>
                <w:lang w:val="en-US"/>
              </w:rPr>
            </w:pPr>
          </w:p>
        </w:tc>
        <w:tc>
          <w:tcPr>
            <w:tcW w:w="5076" w:type="dxa"/>
            <w:tcBorders>
              <w:top w:val="single" w:sz="4" w:space="0" w:color="auto"/>
              <w:left w:val="nil"/>
              <w:bottom w:val="nil"/>
              <w:right w:val="nil"/>
            </w:tcBorders>
            <w:shd w:val="clear" w:color="auto" w:fill="auto"/>
            <w:noWrap/>
            <w:vAlign w:val="center"/>
            <w:hideMark/>
          </w:tcPr>
          <w:p w:rsidR="00404E73" w:rsidRPr="005D7AC7" w:rsidRDefault="00404E73" w:rsidP="00404E73">
            <w:pPr>
              <w:rPr>
                <w:rFonts w:ascii="Arial" w:hAnsi="Arial" w:cs="Arial"/>
                <w:iCs/>
                <w:lang w:val="en-US"/>
              </w:rPr>
            </w:pPr>
            <w:r w:rsidRPr="005D7AC7">
              <w:rPr>
                <w:rFonts w:ascii="Arial" w:hAnsi="Arial" w:cs="Arial"/>
                <w:iCs/>
                <w:lang w:val="en-US"/>
              </w:rPr>
              <w:t>la care se adaugă:</w:t>
            </w:r>
          </w:p>
        </w:tc>
        <w:tc>
          <w:tcPr>
            <w:tcW w:w="2171" w:type="dxa"/>
            <w:tcBorders>
              <w:top w:val="single" w:sz="4" w:space="0" w:color="auto"/>
              <w:left w:val="nil"/>
              <w:bottom w:val="nil"/>
              <w:right w:val="nil"/>
            </w:tcBorders>
            <w:shd w:val="clear" w:color="auto" w:fill="auto"/>
            <w:noWrap/>
            <w:vAlign w:val="center"/>
          </w:tcPr>
          <w:p w:rsidR="00404E73" w:rsidRPr="005D7AC7" w:rsidRDefault="00404E73" w:rsidP="00404E73">
            <w:pPr>
              <w:jc w:val="right"/>
              <w:rPr>
                <w:rFonts w:ascii="Arial" w:hAnsi="Arial" w:cs="Arial"/>
              </w:rPr>
            </w:pPr>
          </w:p>
        </w:tc>
        <w:tc>
          <w:tcPr>
            <w:tcW w:w="1677" w:type="dxa"/>
            <w:tcBorders>
              <w:top w:val="single" w:sz="4" w:space="0" w:color="auto"/>
              <w:left w:val="nil"/>
              <w:bottom w:val="nil"/>
              <w:right w:val="nil"/>
            </w:tcBorders>
            <w:shd w:val="clear" w:color="auto" w:fill="auto"/>
            <w:noWrap/>
            <w:vAlign w:val="center"/>
          </w:tcPr>
          <w:p w:rsidR="00404E73" w:rsidRPr="005D7AC7" w:rsidRDefault="00404E73" w:rsidP="00404E73">
            <w:pPr>
              <w:jc w:val="right"/>
              <w:rPr>
                <w:rFonts w:ascii="Arial" w:hAnsi="Arial" w:cs="Arial"/>
              </w:rPr>
            </w:pPr>
          </w:p>
        </w:tc>
      </w:tr>
      <w:tr w:rsidR="00404E73" w:rsidRPr="001054BD" w:rsidTr="00404E73">
        <w:trPr>
          <w:trHeight w:val="269"/>
          <w:jc w:val="center"/>
        </w:trPr>
        <w:tc>
          <w:tcPr>
            <w:tcW w:w="504" w:type="dxa"/>
            <w:tcBorders>
              <w:top w:val="nil"/>
              <w:left w:val="nil"/>
              <w:bottom w:val="nil"/>
              <w:right w:val="nil"/>
            </w:tcBorders>
            <w:shd w:val="clear" w:color="auto" w:fill="auto"/>
            <w:noWrap/>
            <w:vAlign w:val="bottom"/>
            <w:hideMark/>
          </w:tcPr>
          <w:p w:rsidR="00404E73" w:rsidRPr="001054BD" w:rsidRDefault="00404E73" w:rsidP="00404E73">
            <w:pPr>
              <w:rPr>
                <w:rFonts w:ascii="Arial" w:hAnsi="Arial" w:cs="Arial"/>
                <w:lang w:val="en-US"/>
              </w:rPr>
            </w:pPr>
          </w:p>
        </w:tc>
        <w:tc>
          <w:tcPr>
            <w:tcW w:w="5076" w:type="dxa"/>
            <w:tcBorders>
              <w:top w:val="nil"/>
              <w:left w:val="nil"/>
              <w:bottom w:val="single" w:sz="4" w:space="0" w:color="auto"/>
              <w:right w:val="nil"/>
            </w:tcBorders>
            <w:shd w:val="clear" w:color="auto" w:fill="auto"/>
            <w:noWrap/>
            <w:vAlign w:val="center"/>
            <w:hideMark/>
          </w:tcPr>
          <w:p w:rsidR="00404E73" w:rsidRPr="001054BD" w:rsidRDefault="00404E73" w:rsidP="00404E73">
            <w:pPr>
              <w:rPr>
                <w:rFonts w:ascii="Arial" w:hAnsi="Arial" w:cs="Arial"/>
                <w:i/>
                <w:iCs/>
                <w:lang w:val="en-US"/>
              </w:rPr>
            </w:pPr>
            <w:r w:rsidRPr="001054BD">
              <w:rPr>
                <w:rFonts w:ascii="Arial" w:hAnsi="Arial" w:cs="Arial"/>
                <w:i/>
                <w:iCs/>
                <w:lang w:val="en-US"/>
              </w:rPr>
              <w:t>Titluri de stat sub forma obligațiunilor de stat și certificatelor de trezorerie</w:t>
            </w:r>
          </w:p>
        </w:tc>
        <w:tc>
          <w:tcPr>
            <w:tcW w:w="2171" w:type="dxa"/>
            <w:tcBorders>
              <w:top w:val="nil"/>
              <w:left w:val="nil"/>
              <w:bottom w:val="single" w:sz="4" w:space="0" w:color="auto"/>
              <w:right w:val="nil"/>
            </w:tcBorders>
            <w:shd w:val="clear" w:color="auto" w:fill="auto"/>
            <w:noWrap/>
            <w:vAlign w:val="center"/>
          </w:tcPr>
          <w:p w:rsidR="00404E73" w:rsidRPr="001054BD" w:rsidRDefault="00404E73" w:rsidP="0069434A">
            <w:pPr>
              <w:jc w:val="right"/>
              <w:rPr>
                <w:rFonts w:ascii="Arial" w:hAnsi="Arial" w:cs="Arial"/>
                <w:i/>
                <w:iCs/>
              </w:rPr>
            </w:pPr>
            <w:r w:rsidRPr="001054BD">
              <w:rPr>
                <w:rFonts w:ascii="Arial" w:hAnsi="Arial" w:cs="Arial"/>
                <w:i/>
                <w:iCs/>
              </w:rPr>
              <w:t>70.3</w:t>
            </w:r>
            <w:r w:rsidR="0069434A">
              <w:rPr>
                <w:rFonts w:ascii="Arial" w:hAnsi="Arial" w:cs="Arial"/>
                <w:i/>
                <w:iCs/>
              </w:rPr>
              <w:t>10</w:t>
            </w:r>
          </w:p>
        </w:tc>
        <w:tc>
          <w:tcPr>
            <w:tcW w:w="1677" w:type="dxa"/>
            <w:tcBorders>
              <w:top w:val="nil"/>
              <w:left w:val="nil"/>
              <w:bottom w:val="single" w:sz="4" w:space="0" w:color="auto"/>
              <w:right w:val="nil"/>
            </w:tcBorders>
            <w:shd w:val="clear" w:color="auto" w:fill="auto"/>
            <w:noWrap/>
            <w:vAlign w:val="center"/>
          </w:tcPr>
          <w:p w:rsidR="00404E73" w:rsidRPr="001054BD" w:rsidRDefault="00404E73" w:rsidP="00404E73">
            <w:pPr>
              <w:jc w:val="right"/>
              <w:rPr>
                <w:rFonts w:ascii="Arial" w:hAnsi="Arial" w:cs="Arial"/>
                <w:i/>
                <w:iCs/>
              </w:rPr>
            </w:pPr>
            <w:r w:rsidRPr="001054BD">
              <w:rPr>
                <w:rFonts w:ascii="Arial" w:hAnsi="Arial" w:cs="Arial"/>
                <w:i/>
                <w:iCs/>
              </w:rPr>
              <w:t>18.929</w:t>
            </w:r>
          </w:p>
        </w:tc>
      </w:tr>
      <w:tr w:rsidR="00404E73" w:rsidRPr="001054BD" w:rsidTr="00404E73">
        <w:trPr>
          <w:trHeight w:val="195"/>
          <w:jc w:val="center"/>
        </w:trPr>
        <w:tc>
          <w:tcPr>
            <w:tcW w:w="504" w:type="dxa"/>
            <w:tcBorders>
              <w:top w:val="nil"/>
              <w:left w:val="nil"/>
              <w:bottom w:val="nil"/>
              <w:right w:val="nil"/>
            </w:tcBorders>
            <w:shd w:val="clear" w:color="auto" w:fill="auto"/>
            <w:noWrap/>
            <w:vAlign w:val="bottom"/>
            <w:hideMark/>
          </w:tcPr>
          <w:p w:rsidR="00404E73" w:rsidRPr="001054BD" w:rsidRDefault="00404E73" w:rsidP="00404E73">
            <w:pPr>
              <w:rPr>
                <w:rFonts w:ascii="Arial" w:hAnsi="Arial" w:cs="Arial"/>
                <w:i/>
                <w:iCs/>
                <w:lang w:val="en-US"/>
              </w:rPr>
            </w:pPr>
          </w:p>
        </w:tc>
        <w:tc>
          <w:tcPr>
            <w:tcW w:w="5076" w:type="dxa"/>
            <w:tcBorders>
              <w:top w:val="nil"/>
              <w:left w:val="nil"/>
              <w:bottom w:val="double" w:sz="4" w:space="0" w:color="auto"/>
              <w:right w:val="nil"/>
            </w:tcBorders>
            <w:shd w:val="clear" w:color="auto" w:fill="auto"/>
            <w:noWrap/>
            <w:vAlign w:val="center"/>
            <w:hideMark/>
          </w:tcPr>
          <w:p w:rsidR="00404E73" w:rsidRPr="005D7AC7" w:rsidRDefault="00404E73" w:rsidP="00404E73">
            <w:pPr>
              <w:rPr>
                <w:rFonts w:ascii="Arial" w:hAnsi="Arial" w:cs="Arial"/>
                <w:b/>
                <w:bCs/>
                <w:iCs/>
                <w:lang w:val="en-US"/>
              </w:rPr>
            </w:pPr>
            <w:r w:rsidRPr="005D7AC7">
              <w:rPr>
                <w:rFonts w:ascii="Arial" w:hAnsi="Arial" w:cs="Arial"/>
                <w:b/>
                <w:bCs/>
                <w:iCs/>
                <w:lang w:val="en-US"/>
              </w:rPr>
              <w:t>Total disponibilități la sfârșitul perioadei</w:t>
            </w:r>
          </w:p>
        </w:tc>
        <w:tc>
          <w:tcPr>
            <w:tcW w:w="2171" w:type="dxa"/>
            <w:tcBorders>
              <w:top w:val="nil"/>
              <w:left w:val="nil"/>
              <w:bottom w:val="double" w:sz="4" w:space="0" w:color="auto"/>
              <w:right w:val="nil"/>
            </w:tcBorders>
            <w:shd w:val="clear" w:color="auto" w:fill="auto"/>
            <w:noWrap/>
            <w:vAlign w:val="center"/>
          </w:tcPr>
          <w:p w:rsidR="00404E73" w:rsidRPr="005D7AC7" w:rsidRDefault="00404E73" w:rsidP="0069434A">
            <w:pPr>
              <w:jc w:val="right"/>
              <w:rPr>
                <w:rFonts w:ascii="Arial" w:hAnsi="Arial" w:cs="Arial"/>
                <w:b/>
                <w:bCs/>
                <w:iCs/>
              </w:rPr>
            </w:pPr>
            <w:r w:rsidRPr="005D7AC7">
              <w:rPr>
                <w:rFonts w:ascii="Arial" w:hAnsi="Arial" w:cs="Arial"/>
                <w:b/>
                <w:bCs/>
                <w:iCs/>
              </w:rPr>
              <w:t>236.7</w:t>
            </w:r>
            <w:r w:rsidR="0069434A">
              <w:rPr>
                <w:rFonts w:ascii="Arial" w:hAnsi="Arial" w:cs="Arial"/>
                <w:b/>
                <w:bCs/>
                <w:iCs/>
              </w:rPr>
              <w:t>61</w:t>
            </w:r>
          </w:p>
        </w:tc>
        <w:tc>
          <w:tcPr>
            <w:tcW w:w="1677" w:type="dxa"/>
            <w:tcBorders>
              <w:top w:val="nil"/>
              <w:left w:val="nil"/>
              <w:bottom w:val="double" w:sz="4" w:space="0" w:color="auto"/>
              <w:right w:val="nil"/>
            </w:tcBorders>
            <w:shd w:val="clear" w:color="auto" w:fill="auto"/>
            <w:noWrap/>
            <w:vAlign w:val="center"/>
          </w:tcPr>
          <w:p w:rsidR="00404E73" w:rsidRPr="005D7AC7" w:rsidRDefault="00404E73" w:rsidP="00404E73">
            <w:pPr>
              <w:jc w:val="right"/>
              <w:rPr>
                <w:rFonts w:ascii="Arial" w:hAnsi="Arial" w:cs="Arial"/>
                <w:b/>
                <w:bCs/>
                <w:iCs/>
              </w:rPr>
            </w:pPr>
            <w:r w:rsidRPr="005D7AC7">
              <w:rPr>
                <w:rFonts w:ascii="Arial" w:hAnsi="Arial" w:cs="Arial"/>
                <w:b/>
                <w:bCs/>
                <w:iCs/>
              </w:rPr>
              <w:t>460.382</w:t>
            </w:r>
          </w:p>
        </w:tc>
      </w:tr>
    </w:tbl>
    <w:p w:rsidR="00BF605F" w:rsidRDefault="00BF605F" w:rsidP="008C57DB">
      <w:pPr>
        <w:tabs>
          <w:tab w:val="left" w:pos="450"/>
        </w:tabs>
        <w:jc w:val="center"/>
        <w:rPr>
          <w:rFonts w:ascii="Arial" w:hAnsi="Arial" w:cs="Arial"/>
          <w:sz w:val="16"/>
          <w:szCs w:val="16"/>
          <w:lang w:val="en-US"/>
        </w:rPr>
      </w:pPr>
    </w:p>
    <w:p w:rsidR="00A223AD" w:rsidRPr="001819A5" w:rsidRDefault="00A223AD" w:rsidP="008C57DB">
      <w:pPr>
        <w:tabs>
          <w:tab w:val="left" w:pos="450"/>
        </w:tabs>
        <w:jc w:val="center"/>
        <w:rPr>
          <w:rFonts w:ascii="Arial" w:hAnsi="Arial" w:cs="Arial"/>
          <w:spacing w:val="3"/>
          <w:sz w:val="16"/>
          <w:szCs w:val="16"/>
        </w:rPr>
      </w:pPr>
      <w:r w:rsidRPr="001819A5">
        <w:rPr>
          <w:rFonts w:ascii="Arial" w:hAnsi="Arial" w:cs="Arial"/>
          <w:sz w:val="16"/>
          <w:szCs w:val="16"/>
          <w:lang w:val="en-US"/>
        </w:rPr>
        <w:t>Tabel</w:t>
      </w:r>
      <w:r w:rsidR="00BD7A1D" w:rsidRPr="001819A5">
        <w:rPr>
          <w:rFonts w:ascii="Arial" w:hAnsi="Arial" w:cs="Arial"/>
          <w:sz w:val="16"/>
          <w:szCs w:val="16"/>
          <w:lang w:val="en-US"/>
        </w:rPr>
        <w:t xml:space="preserve"> </w:t>
      </w:r>
      <w:r w:rsidR="008F5405" w:rsidRPr="001819A5">
        <w:rPr>
          <w:rFonts w:ascii="Arial" w:hAnsi="Arial" w:cs="Arial"/>
          <w:sz w:val="16"/>
          <w:szCs w:val="16"/>
          <w:lang w:val="en-US"/>
        </w:rPr>
        <w:t>15</w:t>
      </w:r>
      <w:r w:rsidR="001819A5">
        <w:rPr>
          <w:rFonts w:ascii="Arial" w:hAnsi="Arial" w:cs="Arial"/>
          <w:sz w:val="16"/>
          <w:szCs w:val="16"/>
          <w:lang w:val="en-US"/>
        </w:rPr>
        <w:t xml:space="preserve"> - </w:t>
      </w:r>
      <w:r w:rsidRPr="001819A5">
        <w:rPr>
          <w:rFonts w:ascii="Arial" w:hAnsi="Arial" w:cs="Arial"/>
          <w:sz w:val="16"/>
          <w:szCs w:val="16"/>
          <w:lang w:val="en-US"/>
        </w:rPr>
        <w:t xml:space="preserve">Sinteză </w:t>
      </w:r>
      <w:r w:rsidR="001819A5">
        <w:rPr>
          <w:rFonts w:ascii="Arial" w:hAnsi="Arial" w:cs="Arial"/>
          <w:sz w:val="16"/>
          <w:szCs w:val="16"/>
          <w:lang w:val="en-US"/>
        </w:rPr>
        <w:t>S</w:t>
      </w:r>
      <w:r w:rsidRPr="001819A5">
        <w:rPr>
          <w:rFonts w:ascii="Arial" w:hAnsi="Arial" w:cs="Arial"/>
          <w:spacing w:val="3"/>
          <w:sz w:val="16"/>
          <w:szCs w:val="16"/>
        </w:rPr>
        <w:t xml:space="preserve">ituație fluxuri de trezorerie pentru perioada de </w:t>
      </w:r>
      <w:r w:rsidR="008A0908" w:rsidRPr="001819A5">
        <w:rPr>
          <w:rFonts w:ascii="Arial" w:hAnsi="Arial" w:cs="Arial"/>
          <w:spacing w:val="3"/>
          <w:sz w:val="16"/>
          <w:szCs w:val="16"/>
        </w:rPr>
        <w:t xml:space="preserve">șase </w:t>
      </w:r>
      <w:r w:rsidRPr="001819A5">
        <w:rPr>
          <w:rFonts w:ascii="Arial" w:hAnsi="Arial" w:cs="Arial"/>
          <w:spacing w:val="3"/>
          <w:sz w:val="16"/>
          <w:szCs w:val="16"/>
        </w:rPr>
        <w:t xml:space="preserve">luni încheiată la </w:t>
      </w:r>
      <w:r w:rsidR="00C526CF" w:rsidRPr="001819A5">
        <w:rPr>
          <w:rFonts w:ascii="Arial" w:hAnsi="Arial" w:cs="Arial"/>
          <w:spacing w:val="3"/>
          <w:sz w:val="16"/>
          <w:szCs w:val="16"/>
        </w:rPr>
        <w:t>30 iunie</w:t>
      </w:r>
      <w:r w:rsidRPr="001819A5">
        <w:rPr>
          <w:rFonts w:ascii="Arial" w:hAnsi="Arial" w:cs="Arial"/>
          <w:spacing w:val="3"/>
          <w:sz w:val="16"/>
          <w:szCs w:val="16"/>
        </w:rPr>
        <w:t xml:space="preserve"> 2018</w:t>
      </w:r>
      <w:r w:rsidR="001819A5">
        <w:rPr>
          <w:rFonts w:ascii="Arial" w:hAnsi="Arial" w:cs="Arial"/>
          <w:spacing w:val="3"/>
          <w:sz w:val="16"/>
          <w:szCs w:val="16"/>
        </w:rPr>
        <w:t xml:space="preserve"> vs 2017</w:t>
      </w:r>
    </w:p>
    <w:p w:rsidR="007D26EA" w:rsidRPr="001054BD" w:rsidRDefault="007D26EA" w:rsidP="008C57DB">
      <w:pPr>
        <w:tabs>
          <w:tab w:val="left" w:pos="450"/>
        </w:tabs>
        <w:jc w:val="center"/>
        <w:rPr>
          <w:rFonts w:ascii="Arial" w:hAnsi="Arial" w:cs="Arial"/>
          <w:bCs/>
          <w:i/>
          <w:sz w:val="22"/>
          <w:szCs w:val="22"/>
          <w:lang w:val="en-US"/>
        </w:rPr>
      </w:pPr>
    </w:p>
    <w:p w:rsidR="007D26EA" w:rsidRPr="00014EF8" w:rsidRDefault="007D26EA" w:rsidP="007D26EA">
      <w:pPr>
        <w:tabs>
          <w:tab w:val="left" w:pos="450"/>
        </w:tabs>
        <w:spacing w:line="276" w:lineRule="auto"/>
        <w:jc w:val="both"/>
        <w:rPr>
          <w:rFonts w:ascii="Arial" w:hAnsi="Arial" w:cs="Arial"/>
          <w:spacing w:val="3"/>
          <w:sz w:val="22"/>
          <w:szCs w:val="22"/>
        </w:rPr>
      </w:pPr>
      <w:r w:rsidRPr="00014EF8">
        <w:rPr>
          <w:rFonts w:ascii="Arial" w:hAnsi="Arial" w:cs="Arial"/>
          <w:spacing w:val="3"/>
          <w:sz w:val="22"/>
          <w:szCs w:val="22"/>
        </w:rPr>
        <w:t>Variația pe total flux de numerar cunoaște un trend descrescător de la 441mi</w:t>
      </w:r>
      <w:r w:rsidR="0020139A">
        <w:rPr>
          <w:rFonts w:ascii="Arial" w:hAnsi="Arial" w:cs="Arial"/>
          <w:spacing w:val="3"/>
          <w:sz w:val="22"/>
          <w:szCs w:val="22"/>
        </w:rPr>
        <w:t>l. lei la 166 mil.</w:t>
      </w:r>
      <w:r w:rsidRPr="00014EF8">
        <w:rPr>
          <w:rFonts w:ascii="Arial" w:hAnsi="Arial" w:cs="Arial"/>
          <w:spacing w:val="3"/>
          <w:sz w:val="22"/>
          <w:szCs w:val="22"/>
        </w:rPr>
        <w:t xml:space="preserve"> lei. Această scădere de numerar a fost determinată</w:t>
      </w:r>
      <w:r w:rsidR="00407442">
        <w:rPr>
          <w:rFonts w:ascii="Arial" w:hAnsi="Arial" w:cs="Arial"/>
          <w:spacing w:val="3"/>
          <w:sz w:val="22"/>
          <w:szCs w:val="22"/>
        </w:rPr>
        <w:t xml:space="preserve"> de</w:t>
      </w:r>
      <w:r w:rsidRPr="00014EF8">
        <w:rPr>
          <w:rFonts w:ascii="Arial" w:hAnsi="Arial" w:cs="Arial"/>
          <w:spacing w:val="3"/>
          <w:sz w:val="22"/>
          <w:szCs w:val="22"/>
        </w:rPr>
        <w:t xml:space="preserve"> pl</w:t>
      </w:r>
      <w:r w:rsidR="00177522">
        <w:rPr>
          <w:rFonts w:ascii="Arial" w:hAnsi="Arial" w:cs="Arial"/>
          <w:spacing w:val="3"/>
          <w:sz w:val="22"/>
          <w:szCs w:val="22"/>
        </w:rPr>
        <w:t>ă</w:t>
      </w:r>
      <w:r w:rsidRPr="00014EF8">
        <w:rPr>
          <w:rFonts w:ascii="Arial" w:hAnsi="Arial" w:cs="Arial"/>
          <w:spacing w:val="3"/>
          <w:sz w:val="22"/>
          <w:szCs w:val="22"/>
        </w:rPr>
        <w:t>țile de dividende din semestrul II 2017 (228 mil.</w:t>
      </w:r>
      <w:r>
        <w:rPr>
          <w:rFonts w:ascii="Arial" w:hAnsi="Arial" w:cs="Arial"/>
          <w:spacing w:val="3"/>
          <w:sz w:val="22"/>
          <w:szCs w:val="22"/>
        </w:rPr>
        <w:t>lei</w:t>
      </w:r>
      <w:r w:rsidRPr="00014EF8">
        <w:rPr>
          <w:rFonts w:ascii="Arial" w:hAnsi="Arial" w:cs="Arial"/>
          <w:spacing w:val="3"/>
          <w:sz w:val="22"/>
          <w:szCs w:val="22"/>
        </w:rPr>
        <w:t>), distribuite din profitul anului 2016 și din alte elemente de capitaluri (rezultat reportat și surse proprii de finanțare), precum și de plata, în perioada de raportare, a dividendelor</w:t>
      </w:r>
      <w:r>
        <w:rPr>
          <w:rFonts w:ascii="Arial" w:hAnsi="Arial" w:cs="Arial"/>
          <w:spacing w:val="3"/>
          <w:sz w:val="22"/>
          <w:szCs w:val="22"/>
        </w:rPr>
        <w:t xml:space="preserve"> nete</w:t>
      </w:r>
      <w:r w:rsidRPr="00014EF8">
        <w:rPr>
          <w:rFonts w:ascii="Arial" w:hAnsi="Arial" w:cs="Arial"/>
          <w:spacing w:val="3"/>
          <w:sz w:val="22"/>
          <w:szCs w:val="22"/>
        </w:rPr>
        <w:t xml:space="preserve"> repartizate din profitul net al exercițiului 2017 (</w:t>
      </w:r>
      <w:r>
        <w:rPr>
          <w:rFonts w:ascii="Arial" w:hAnsi="Arial" w:cs="Arial"/>
          <w:spacing w:val="3"/>
          <w:sz w:val="22"/>
          <w:szCs w:val="22"/>
        </w:rPr>
        <w:t>67</w:t>
      </w:r>
      <w:r w:rsidRPr="00014EF8">
        <w:rPr>
          <w:rFonts w:ascii="Arial" w:hAnsi="Arial" w:cs="Arial"/>
          <w:spacing w:val="3"/>
          <w:sz w:val="22"/>
          <w:szCs w:val="22"/>
        </w:rPr>
        <w:t xml:space="preserve"> mil. </w:t>
      </w:r>
      <w:r>
        <w:rPr>
          <w:rFonts w:ascii="Arial" w:hAnsi="Arial" w:cs="Arial"/>
          <w:spacing w:val="3"/>
          <w:sz w:val="22"/>
          <w:szCs w:val="22"/>
        </w:rPr>
        <w:t>l</w:t>
      </w:r>
      <w:r w:rsidRPr="00014EF8">
        <w:rPr>
          <w:rFonts w:ascii="Arial" w:hAnsi="Arial" w:cs="Arial"/>
          <w:spacing w:val="3"/>
          <w:sz w:val="22"/>
          <w:szCs w:val="22"/>
        </w:rPr>
        <w:t>ei)</w:t>
      </w:r>
      <w:r w:rsidR="00407442">
        <w:rPr>
          <w:rFonts w:ascii="Arial" w:hAnsi="Arial" w:cs="Arial"/>
          <w:spacing w:val="3"/>
          <w:sz w:val="22"/>
          <w:szCs w:val="22"/>
        </w:rPr>
        <w:t>.</w:t>
      </w:r>
    </w:p>
    <w:p w:rsidR="007D26EA" w:rsidRPr="00014EF8" w:rsidRDefault="007D26EA" w:rsidP="007D26EA">
      <w:pPr>
        <w:tabs>
          <w:tab w:val="left" w:pos="450"/>
        </w:tabs>
        <w:spacing w:line="276" w:lineRule="auto"/>
        <w:jc w:val="both"/>
        <w:rPr>
          <w:rFonts w:ascii="Arial" w:hAnsi="Arial" w:cs="Arial"/>
          <w:spacing w:val="3"/>
          <w:sz w:val="22"/>
          <w:szCs w:val="22"/>
        </w:rPr>
      </w:pPr>
    </w:p>
    <w:p w:rsidR="007D26EA" w:rsidRPr="00014EF8" w:rsidRDefault="007D26EA" w:rsidP="007D26EA">
      <w:pPr>
        <w:tabs>
          <w:tab w:val="left" w:pos="450"/>
        </w:tabs>
        <w:spacing w:line="276" w:lineRule="auto"/>
        <w:jc w:val="both"/>
        <w:rPr>
          <w:rFonts w:ascii="Arial" w:hAnsi="Arial" w:cs="Arial"/>
          <w:spacing w:val="3"/>
          <w:sz w:val="22"/>
          <w:szCs w:val="22"/>
        </w:rPr>
      </w:pPr>
      <w:r w:rsidRPr="00014EF8">
        <w:rPr>
          <w:rFonts w:ascii="Arial" w:hAnsi="Arial" w:cs="Arial"/>
          <w:spacing w:val="3"/>
          <w:sz w:val="22"/>
          <w:szCs w:val="22"/>
        </w:rPr>
        <w:t>Efectele celor trei arii de activitate (exploatare, investiții și finanțare) asupra cash-ului din perioada semestrului I 2018 se prezintă astfel:</w:t>
      </w:r>
    </w:p>
    <w:p w:rsidR="007D26EA" w:rsidRDefault="007D26EA" w:rsidP="00927A3A">
      <w:pPr>
        <w:pStyle w:val="ListParagraph"/>
        <w:numPr>
          <w:ilvl w:val="0"/>
          <w:numId w:val="49"/>
        </w:numPr>
        <w:tabs>
          <w:tab w:val="left" w:pos="450"/>
        </w:tabs>
        <w:jc w:val="both"/>
        <w:rPr>
          <w:rFonts w:ascii="Arial" w:hAnsi="Arial" w:cs="Arial"/>
          <w:spacing w:val="3"/>
        </w:rPr>
      </w:pPr>
      <w:r w:rsidRPr="00927A3A">
        <w:rPr>
          <w:rFonts w:ascii="Arial" w:hAnsi="Arial" w:cs="Arial"/>
          <w:spacing w:val="3"/>
        </w:rPr>
        <w:t xml:space="preserve">activitatea operațională a generat </w:t>
      </w:r>
      <w:r w:rsidR="00927A3A" w:rsidRPr="00927A3A">
        <w:rPr>
          <w:rFonts w:ascii="Arial" w:hAnsi="Arial" w:cs="Arial"/>
          <w:spacing w:val="3"/>
        </w:rPr>
        <w:t>un flux de numerar în sumă de 3</w:t>
      </w:r>
      <w:r w:rsidR="0020139A">
        <w:rPr>
          <w:rFonts w:ascii="Arial" w:hAnsi="Arial" w:cs="Arial"/>
          <w:spacing w:val="3"/>
        </w:rPr>
        <w:t>3</w:t>
      </w:r>
      <w:r w:rsidRPr="00927A3A">
        <w:rPr>
          <w:rFonts w:ascii="Arial" w:hAnsi="Arial" w:cs="Arial"/>
          <w:spacing w:val="3"/>
        </w:rPr>
        <w:t xml:space="preserve"> mi</w:t>
      </w:r>
      <w:r w:rsidR="0020139A">
        <w:rPr>
          <w:rFonts w:ascii="Arial" w:hAnsi="Arial" w:cs="Arial"/>
          <w:spacing w:val="3"/>
        </w:rPr>
        <w:t>l</w:t>
      </w:r>
      <w:r w:rsidRPr="00927A3A">
        <w:rPr>
          <w:rFonts w:ascii="Arial" w:hAnsi="Arial" w:cs="Arial"/>
          <w:spacing w:val="3"/>
        </w:rPr>
        <w:t xml:space="preserve"> lei;</w:t>
      </w:r>
    </w:p>
    <w:p w:rsidR="00927A3A" w:rsidRPr="00927A3A" w:rsidRDefault="00927A3A" w:rsidP="00927A3A">
      <w:pPr>
        <w:pStyle w:val="ListParagraph"/>
        <w:numPr>
          <w:ilvl w:val="0"/>
          <w:numId w:val="49"/>
        </w:numPr>
        <w:tabs>
          <w:tab w:val="left" w:pos="450"/>
        </w:tabs>
        <w:jc w:val="both"/>
        <w:rPr>
          <w:rFonts w:ascii="Arial" w:hAnsi="Arial" w:cs="Arial"/>
          <w:spacing w:val="3"/>
        </w:rPr>
      </w:pPr>
      <w:r w:rsidRPr="00927A3A">
        <w:rPr>
          <w:rFonts w:ascii="Arial" w:hAnsi="Arial" w:cs="Arial"/>
          <w:spacing w:val="3"/>
        </w:rPr>
        <w:t>activitatea de investiții s-a încheiat cu un flux de numerar negativ, plățile pentru achiziția de imobilizări fiind mai mari cu 15</w:t>
      </w:r>
      <w:r w:rsidR="0020139A">
        <w:rPr>
          <w:rFonts w:ascii="Arial" w:hAnsi="Arial" w:cs="Arial"/>
          <w:spacing w:val="3"/>
        </w:rPr>
        <w:t xml:space="preserve"> </w:t>
      </w:r>
      <w:r w:rsidRPr="00927A3A">
        <w:rPr>
          <w:rFonts w:ascii="Arial" w:hAnsi="Arial" w:cs="Arial"/>
          <w:spacing w:val="3"/>
        </w:rPr>
        <w:t>mi</w:t>
      </w:r>
      <w:r w:rsidR="0020139A">
        <w:rPr>
          <w:rFonts w:ascii="Arial" w:hAnsi="Arial" w:cs="Arial"/>
          <w:spacing w:val="3"/>
        </w:rPr>
        <w:t>l.</w:t>
      </w:r>
      <w:r w:rsidRPr="00927A3A">
        <w:rPr>
          <w:rFonts w:ascii="Arial" w:hAnsi="Arial" w:cs="Arial"/>
          <w:spacing w:val="3"/>
        </w:rPr>
        <w:t xml:space="preserve"> lei decât intrările de numerar din cota de modernizare;</w:t>
      </w:r>
    </w:p>
    <w:p w:rsidR="007D26EA" w:rsidRPr="00927A3A" w:rsidRDefault="00927A3A" w:rsidP="007D26EA">
      <w:pPr>
        <w:pStyle w:val="ListParagraph"/>
        <w:numPr>
          <w:ilvl w:val="0"/>
          <w:numId w:val="49"/>
        </w:numPr>
        <w:tabs>
          <w:tab w:val="left" w:pos="450"/>
        </w:tabs>
        <w:jc w:val="both"/>
        <w:rPr>
          <w:rFonts w:ascii="Arial" w:hAnsi="Arial" w:cs="Arial"/>
          <w:spacing w:val="3"/>
        </w:rPr>
      </w:pPr>
      <w:r w:rsidRPr="00927A3A">
        <w:rPr>
          <w:rFonts w:ascii="Arial" w:hAnsi="Arial" w:cs="Arial"/>
          <w:spacing w:val="3"/>
        </w:rPr>
        <w:t>activitatea de finanțare a diminuat fluxul total de numerar cu 61</w:t>
      </w:r>
      <w:r w:rsidR="002C4701">
        <w:rPr>
          <w:rFonts w:ascii="Arial" w:hAnsi="Arial" w:cs="Arial"/>
          <w:spacing w:val="3"/>
        </w:rPr>
        <w:t xml:space="preserve"> mi</w:t>
      </w:r>
      <w:r w:rsidR="0020139A">
        <w:rPr>
          <w:rFonts w:ascii="Arial" w:hAnsi="Arial" w:cs="Arial"/>
          <w:spacing w:val="3"/>
        </w:rPr>
        <w:t>l</w:t>
      </w:r>
      <w:r w:rsidRPr="00927A3A">
        <w:rPr>
          <w:rFonts w:ascii="Arial" w:hAnsi="Arial" w:cs="Arial"/>
          <w:spacing w:val="3"/>
        </w:rPr>
        <w:t xml:space="preserve"> lei datorită ieșirilor de numerar pentru plata dividendelor în sumă de 67</w:t>
      </w:r>
      <w:r w:rsidR="00932375">
        <w:rPr>
          <w:rFonts w:ascii="Arial" w:hAnsi="Arial" w:cs="Arial"/>
          <w:spacing w:val="3"/>
        </w:rPr>
        <w:t xml:space="preserve"> mi</w:t>
      </w:r>
      <w:r w:rsidR="0020139A">
        <w:rPr>
          <w:rFonts w:ascii="Arial" w:hAnsi="Arial" w:cs="Arial"/>
          <w:spacing w:val="3"/>
        </w:rPr>
        <w:t>l.</w:t>
      </w:r>
      <w:r w:rsidRPr="00927A3A">
        <w:rPr>
          <w:rFonts w:ascii="Arial" w:hAnsi="Arial" w:cs="Arial"/>
          <w:spacing w:val="3"/>
        </w:rPr>
        <w:t xml:space="preserve"> lei.</w:t>
      </w:r>
    </w:p>
    <w:p w:rsidR="007D26EA" w:rsidRPr="00014EF8" w:rsidRDefault="007D26EA" w:rsidP="007D26EA">
      <w:pPr>
        <w:tabs>
          <w:tab w:val="left" w:pos="450"/>
        </w:tabs>
        <w:spacing w:line="276" w:lineRule="auto"/>
        <w:jc w:val="both"/>
        <w:rPr>
          <w:rFonts w:ascii="Arial" w:hAnsi="Arial" w:cs="Arial"/>
          <w:spacing w:val="3"/>
          <w:sz w:val="22"/>
          <w:szCs w:val="22"/>
        </w:rPr>
      </w:pPr>
      <w:r w:rsidRPr="00014EF8">
        <w:rPr>
          <w:rFonts w:ascii="Arial" w:hAnsi="Arial" w:cs="Arial"/>
          <w:spacing w:val="3"/>
          <w:sz w:val="22"/>
          <w:szCs w:val="22"/>
        </w:rPr>
        <w:t>Comparativ cu aceeași perioadă a anului precedent, fluxul net de numerar generat de activitatea de exploatare din semestrul I 2018 a înregistrat o scădere cu 8 mi</w:t>
      </w:r>
      <w:r w:rsidR="0020139A">
        <w:rPr>
          <w:rFonts w:ascii="Arial" w:hAnsi="Arial" w:cs="Arial"/>
          <w:spacing w:val="3"/>
          <w:sz w:val="22"/>
          <w:szCs w:val="22"/>
        </w:rPr>
        <w:t>l</w:t>
      </w:r>
      <w:r w:rsidRPr="00014EF8">
        <w:rPr>
          <w:rFonts w:ascii="Arial" w:hAnsi="Arial" w:cs="Arial"/>
          <w:spacing w:val="3"/>
          <w:sz w:val="22"/>
          <w:szCs w:val="22"/>
        </w:rPr>
        <w:t xml:space="preserve"> lei. Această scădere a fost determinată de plățile mai mari către angajați, ca urmare a creșterii salariilor. </w:t>
      </w:r>
    </w:p>
    <w:p w:rsidR="007D26EA" w:rsidRPr="00014EF8" w:rsidRDefault="007D26EA" w:rsidP="007D26EA">
      <w:pPr>
        <w:tabs>
          <w:tab w:val="left" w:pos="450"/>
        </w:tabs>
        <w:spacing w:line="276" w:lineRule="auto"/>
        <w:jc w:val="both"/>
        <w:rPr>
          <w:rFonts w:ascii="Arial" w:hAnsi="Arial" w:cs="Arial"/>
          <w:spacing w:val="3"/>
          <w:sz w:val="22"/>
          <w:szCs w:val="22"/>
        </w:rPr>
      </w:pPr>
      <w:r w:rsidRPr="00014EF8">
        <w:rPr>
          <w:rFonts w:ascii="Arial" w:hAnsi="Arial" w:cs="Arial"/>
          <w:spacing w:val="3"/>
          <w:sz w:val="22"/>
          <w:szCs w:val="22"/>
        </w:rPr>
        <w:t>Î</w:t>
      </w:r>
      <w:r w:rsidR="00177522">
        <w:rPr>
          <w:rFonts w:ascii="Arial" w:hAnsi="Arial" w:cs="Arial"/>
          <w:spacing w:val="3"/>
          <w:sz w:val="22"/>
          <w:szCs w:val="22"/>
        </w:rPr>
        <w:t>n tabloul fluxurilor de numerar</w:t>
      </w:r>
      <w:r w:rsidRPr="00014EF8">
        <w:rPr>
          <w:rFonts w:ascii="Arial" w:hAnsi="Arial" w:cs="Arial"/>
          <w:spacing w:val="3"/>
          <w:sz w:val="22"/>
          <w:szCs w:val="22"/>
        </w:rPr>
        <w:t xml:space="preserve"> se poate observa o scădere în semestrul I 2018 a încasărilor din serviciile prestate, comparativ cu aceeași perioadă a anului 2017, aceast</w:t>
      </w:r>
      <w:r w:rsidR="00177522">
        <w:rPr>
          <w:rFonts w:ascii="Arial" w:hAnsi="Arial" w:cs="Arial"/>
          <w:spacing w:val="3"/>
          <w:sz w:val="22"/>
          <w:szCs w:val="22"/>
        </w:rPr>
        <w:t>ă scădere fiind determinată de î</w:t>
      </w:r>
      <w:r w:rsidRPr="00014EF8">
        <w:rPr>
          <w:rFonts w:ascii="Arial" w:hAnsi="Arial" w:cs="Arial"/>
          <w:spacing w:val="3"/>
          <w:sz w:val="22"/>
          <w:szCs w:val="22"/>
        </w:rPr>
        <w:t xml:space="preserve">ncasări mai mari în ianuarie 2017 provenite din </w:t>
      </w:r>
      <w:r w:rsidRPr="00014EF8">
        <w:rPr>
          <w:rFonts w:ascii="Arial" w:hAnsi="Arial" w:cs="Arial"/>
          <w:spacing w:val="3"/>
          <w:sz w:val="22"/>
          <w:szCs w:val="22"/>
          <w:lang w:val="en-US"/>
        </w:rPr>
        <w:t>facturile emise cu T</w:t>
      </w:r>
      <w:r w:rsidR="005010A6">
        <w:rPr>
          <w:rFonts w:ascii="Arial" w:hAnsi="Arial" w:cs="Arial"/>
          <w:spacing w:val="3"/>
          <w:sz w:val="22"/>
          <w:szCs w:val="22"/>
          <w:lang w:val="en-US"/>
        </w:rPr>
        <w:t>.</w:t>
      </w:r>
      <w:r w:rsidRPr="00014EF8">
        <w:rPr>
          <w:rFonts w:ascii="Arial" w:hAnsi="Arial" w:cs="Arial"/>
          <w:spacing w:val="3"/>
          <w:sz w:val="22"/>
          <w:szCs w:val="22"/>
          <w:lang w:val="en-US"/>
        </w:rPr>
        <w:t>V</w:t>
      </w:r>
      <w:r w:rsidR="005010A6">
        <w:rPr>
          <w:rFonts w:ascii="Arial" w:hAnsi="Arial" w:cs="Arial"/>
          <w:spacing w:val="3"/>
          <w:sz w:val="22"/>
          <w:szCs w:val="22"/>
          <w:lang w:val="en-US"/>
        </w:rPr>
        <w:t>.</w:t>
      </w:r>
      <w:r w:rsidRPr="00014EF8">
        <w:rPr>
          <w:rFonts w:ascii="Arial" w:hAnsi="Arial" w:cs="Arial"/>
          <w:spacing w:val="3"/>
          <w:sz w:val="22"/>
          <w:szCs w:val="22"/>
          <w:lang w:val="en-US"/>
        </w:rPr>
        <w:t>A</w:t>
      </w:r>
      <w:r w:rsidR="005010A6">
        <w:rPr>
          <w:rFonts w:ascii="Arial" w:hAnsi="Arial" w:cs="Arial"/>
          <w:spacing w:val="3"/>
          <w:sz w:val="22"/>
          <w:szCs w:val="22"/>
          <w:lang w:val="en-US"/>
        </w:rPr>
        <w:t>.</w:t>
      </w:r>
      <w:r w:rsidRPr="00014EF8">
        <w:rPr>
          <w:rFonts w:ascii="Arial" w:hAnsi="Arial" w:cs="Arial"/>
          <w:spacing w:val="3"/>
          <w:sz w:val="22"/>
          <w:szCs w:val="22"/>
          <w:lang w:val="en-US"/>
        </w:rPr>
        <w:t xml:space="preserve"> de 24%, existente în sold la data de 31.12.2016.</w:t>
      </w:r>
    </w:p>
    <w:p w:rsidR="007D26EA" w:rsidRPr="00014EF8" w:rsidRDefault="007D26EA" w:rsidP="007D26EA">
      <w:pPr>
        <w:tabs>
          <w:tab w:val="left" w:pos="450"/>
        </w:tabs>
        <w:spacing w:line="276" w:lineRule="auto"/>
        <w:jc w:val="both"/>
        <w:rPr>
          <w:rFonts w:ascii="Arial" w:hAnsi="Arial" w:cs="Arial"/>
          <w:spacing w:val="3"/>
          <w:sz w:val="22"/>
          <w:szCs w:val="22"/>
        </w:rPr>
      </w:pPr>
    </w:p>
    <w:p w:rsidR="007D26EA" w:rsidRPr="00AD3361" w:rsidRDefault="007D26EA" w:rsidP="007D26EA">
      <w:pPr>
        <w:tabs>
          <w:tab w:val="left" w:pos="450"/>
        </w:tabs>
        <w:spacing w:line="276" w:lineRule="auto"/>
        <w:jc w:val="both"/>
        <w:rPr>
          <w:rFonts w:ascii="Arial" w:hAnsi="Arial" w:cs="Arial"/>
          <w:spacing w:val="3"/>
          <w:sz w:val="22"/>
          <w:szCs w:val="22"/>
        </w:rPr>
      </w:pPr>
      <w:r w:rsidRPr="00AD3361">
        <w:rPr>
          <w:rFonts w:ascii="Arial" w:hAnsi="Arial" w:cs="Arial"/>
          <w:spacing w:val="3"/>
          <w:sz w:val="22"/>
          <w:szCs w:val="22"/>
        </w:rPr>
        <w:t>Numerarul activității de investiții a înregistrat o scădere în primele 6 luni</w:t>
      </w:r>
      <w:r w:rsidR="00AD3361">
        <w:rPr>
          <w:rFonts w:ascii="Arial" w:hAnsi="Arial" w:cs="Arial"/>
          <w:spacing w:val="3"/>
          <w:sz w:val="22"/>
          <w:szCs w:val="22"/>
        </w:rPr>
        <w:t xml:space="preserve"> din anul 2018, datorită diminuă</w:t>
      </w:r>
      <w:r w:rsidRPr="00AD3361">
        <w:rPr>
          <w:rFonts w:ascii="Arial" w:hAnsi="Arial" w:cs="Arial"/>
          <w:spacing w:val="3"/>
          <w:sz w:val="22"/>
          <w:szCs w:val="22"/>
        </w:rPr>
        <w:t>rii plasamentelor în tit</w:t>
      </w:r>
      <w:r w:rsidR="00177522" w:rsidRPr="00AD3361">
        <w:rPr>
          <w:rFonts w:ascii="Arial" w:hAnsi="Arial" w:cs="Arial"/>
          <w:spacing w:val="3"/>
          <w:sz w:val="22"/>
          <w:szCs w:val="22"/>
        </w:rPr>
        <w:t>luri de stat după efectuarea plă</w:t>
      </w:r>
      <w:r w:rsidRPr="00AD3361">
        <w:rPr>
          <w:rFonts w:ascii="Arial" w:hAnsi="Arial" w:cs="Arial"/>
          <w:spacing w:val="3"/>
          <w:sz w:val="22"/>
          <w:szCs w:val="22"/>
        </w:rPr>
        <w:t>ților de dividende din profit și din alte elemente de capitaluri (rezultat reportat și alte rezerve-surse proprii de finanțare) care au condus la o diminuare semnificativă a numerarului.</w:t>
      </w:r>
    </w:p>
    <w:p w:rsidR="00584ADC" w:rsidRDefault="00584ADC" w:rsidP="007D26EA">
      <w:pPr>
        <w:tabs>
          <w:tab w:val="left" w:pos="450"/>
        </w:tabs>
        <w:spacing w:line="276" w:lineRule="auto"/>
        <w:jc w:val="both"/>
        <w:rPr>
          <w:rFonts w:ascii="Arial" w:hAnsi="Arial" w:cs="Arial"/>
          <w:spacing w:val="3"/>
          <w:sz w:val="22"/>
          <w:szCs w:val="22"/>
        </w:rPr>
      </w:pPr>
    </w:p>
    <w:p w:rsidR="007D26EA" w:rsidRPr="00014EF8" w:rsidRDefault="007D26EA" w:rsidP="007D26EA">
      <w:pPr>
        <w:tabs>
          <w:tab w:val="left" w:pos="450"/>
        </w:tabs>
        <w:spacing w:line="276" w:lineRule="auto"/>
        <w:jc w:val="both"/>
        <w:rPr>
          <w:rFonts w:ascii="Arial" w:hAnsi="Arial" w:cs="Arial"/>
          <w:spacing w:val="3"/>
          <w:sz w:val="22"/>
          <w:szCs w:val="22"/>
        </w:rPr>
      </w:pPr>
      <w:r w:rsidRPr="00014EF8">
        <w:rPr>
          <w:rFonts w:ascii="Arial" w:hAnsi="Arial" w:cs="Arial"/>
          <w:spacing w:val="3"/>
          <w:sz w:val="22"/>
          <w:szCs w:val="22"/>
        </w:rPr>
        <w:t>Numerarul net din activități de fi</w:t>
      </w:r>
      <w:r w:rsidR="00177522">
        <w:rPr>
          <w:rFonts w:ascii="Arial" w:hAnsi="Arial" w:cs="Arial"/>
          <w:spacing w:val="3"/>
          <w:sz w:val="22"/>
          <w:szCs w:val="22"/>
        </w:rPr>
        <w:t>nanțare înregistrează de asemenea</w:t>
      </w:r>
      <w:r w:rsidRPr="00014EF8">
        <w:rPr>
          <w:rFonts w:ascii="Arial" w:hAnsi="Arial" w:cs="Arial"/>
          <w:spacing w:val="3"/>
          <w:sz w:val="22"/>
          <w:szCs w:val="22"/>
        </w:rPr>
        <w:t xml:space="preserve"> o scădere în perioada de raportare</w:t>
      </w:r>
      <w:r w:rsidR="00177522">
        <w:rPr>
          <w:rFonts w:ascii="Arial" w:hAnsi="Arial" w:cs="Arial"/>
          <w:spacing w:val="3"/>
          <w:sz w:val="22"/>
          <w:szCs w:val="22"/>
        </w:rPr>
        <w:t>,</w:t>
      </w:r>
      <w:r w:rsidRPr="00014EF8">
        <w:rPr>
          <w:rFonts w:ascii="Arial" w:hAnsi="Arial" w:cs="Arial"/>
          <w:spacing w:val="3"/>
          <w:sz w:val="22"/>
          <w:szCs w:val="22"/>
        </w:rPr>
        <w:t xml:space="preserve"> urmare a aprobării de către Adunarea Generală a Acționarilor a plății dividendelor în luna iunie 2018 comparativ cu anul 2017 când distribuirea a fost decisă pentru luna iulie.</w:t>
      </w:r>
    </w:p>
    <w:p w:rsidR="007D26EA" w:rsidRPr="00640F6E" w:rsidRDefault="007D26EA" w:rsidP="00A223AD">
      <w:pPr>
        <w:spacing w:line="276" w:lineRule="auto"/>
        <w:jc w:val="both"/>
        <w:rPr>
          <w:rFonts w:ascii="Arial" w:hAnsi="Arial" w:cs="Arial"/>
          <w:bCs/>
          <w:color w:val="FF0000"/>
          <w:sz w:val="22"/>
          <w:szCs w:val="22"/>
          <w:lang w:val="en-US"/>
        </w:rPr>
      </w:pPr>
    </w:p>
    <w:p w:rsidR="00A223AD" w:rsidRDefault="00A223AD" w:rsidP="00A223AD">
      <w:pPr>
        <w:spacing w:line="276" w:lineRule="auto"/>
        <w:jc w:val="both"/>
        <w:rPr>
          <w:rFonts w:ascii="Arial" w:hAnsi="Arial" w:cs="Arial"/>
          <w:bCs/>
          <w:sz w:val="22"/>
          <w:szCs w:val="22"/>
          <w:lang w:val="en-US"/>
        </w:rPr>
      </w:pPr>
      <w:r w:rsidRPr="001054BD">
        <w:rPr>
          <w:rFonts w:ascii="Arial" w:hAnsi="Arial" w:cs="Arial"/>
          <w:bCs/>
          <w:sz w:val="22"/>
          <w:szCs w:val="22"/>
          <w:lang w:val="en-US"/>
        </w:rPr>
        <w:t xml:space="preserve">Situația detaliată a fluxului de trezorerie pentru perioada de </w:t>
      </w:r>
      <w:r w:rsidR="008A0908" w:rsidRPr="001054BD">
        <w:rPr>
          <w:rFonts w:ascii="Arial" w:hAnsi="Arial" w:cs="Arial"/>
          <w:bCs/>
          <w:sz w:val="22"/>
          <w:szCs w:val="22"/>
          <w:lang w:val="en-US"/>
        </w:rPr>
        <w:t xml:space="preserve">șase </w:t>
      </w:r>
      <w:r w:rsidRPr="001054BD">
        <w:rPr>
          <w:rFonts w:ascii="Arial" w:hAnsi="Arial" w:cs="Arial"/>
          <w:bCs/>
          <w:sz w:val="22"/>
          <w:szCs w:val="22"/>
          <w:lang w:val="en-US"/>
        </w:rPr>
        <w:t xml:space="preserve">luni încheiată la </w:t>
      </w:r>
      <w:r w:rsidR="00C526CF" w:rsidRPr="001054BD">
        <w:rPr>
          <w:rFonts w:ascii="Arial" w:hAnsi="Arial" w:cs="Arial"/>
          <w:bCs/>
          <w:sz w:val="22"/>
          <w:szCs w:val="22"/>
          <w:lang w:val="en-US"/>
        </w:rPr>
        <w:t>30 iunie</w:t>
      </w:r>
      <w:r w:rsidRPr="001054BD">
        <w:rPr>
          <w:rFonts w:ascii="Arial" w:hAnsi="Arial" w:cs="Arial"/>
          <w:bCs/>
          <w:sz w:val="22"/>
          <w:szCs w:val="22"/>
          <w:lang w:val="en-US"/>
        </w:rPr>
        <w:t xml:space="preserve"> 2018 este prezentată în detaliu în anexa nr. 3.</w:t>
      </w:r>
    </w:p>
    <w:p w:rsidR="00D12A96" w:rsidRDefault="00D12A96" w:rsidP="00A223AD">
      <w:pPr>
        <w:spacing w:line="276" w:lineRule="auto"/>
        <w:jc w:val="both"/>
        <w:rPr>
          <w:rFonts w:ascii="Arial" w:hAnsi="Arial" w:cs="Arial"/>
          <w:bCs/>
          <w:sz w:val="22"/>
          <w:szCs w:val="22"/>
          <w:lang w:val="en-US"/>
        </w:rPr>
      </w:pPr>
    </w:p>
    <w:p w:rsidR="003B6AFB" w:rsidRDefault="003B6AFB" w:rsidP="00A223AD">
      <w:pPr>
        <w:spacing w:line="276" w:lineRule="auto"/>
        <w:jc w:val="both"/>
        <w:rPr>
          <w:rFonts w:ascii="Arial" w:hAnsi="Arial" w:cs="Arial"/>
          <w:bCs/>
          <w:sz w:val="22"/>
          <w:szCs w:val="22"/>
          <w:lang w:val="en-US"/>
        </w:rPr>
      </w:pPr>
    </w:p>
    <w:p w:rsidR="003B6AFB" w:rsidRDefault="003B6AFB" w:rsidP="00A223AD">
      <w:pPr>
        <w:spacing w:line="276" w:lineRule="auto"/>
        <w:jc w:val="both"/>
        <w:rPr>
          <w:rFonts w:ascii="Arial" w:hAnsi="Arial" w:cs="Arial"/>
          <w:bCs/>
          <w:sz w:val="22"/>
          <w:szCs w:val="22"/>
          <w:lang w:val="en-US"/>
        </w:rPr>
      </w:pPr>
    </w:p>
    <w:p w:rsidR="003B6AFB" w:rsidRDefault="003B6AFB" w:rsidP="00A223AD">
      <w:pPr>
        <w:spacing w:line="276" w:lineRule="auto"/>
        <w:jc w:val="both"/>
        <w:rPr>
          <w:rFonts w:ascii="Arial" w:hAnsi="Arial" w:cs="Arial"/>
          <w:bCs/>
          <w:sz w:val="22"/>
          <w:szCs w:val="22"/>
          <w:lang w:val="en-US"/>
        </w:rPr>
      </w:pPr>
    </w:p>
    <w:p w:rsidR="003B6AFB" w:rsidRDefault="003B6AFB" w:rsidP="00A223AD">
      <w:pPr>
        <w:spacing w:line="276" w:lineRule="auto"/>
        <w:jc w:val="both"/>
        <w:rPr>
          <w:rFonts w:ascii="Arial" w:hAnsi="Arial" w:cs="Arial"/>
          <w:bCs/>
          <w:sz w:val="22"/>
          <w:szCs w:val="22"/>
          <w:lang w:val="en-US"/>
        </w:rPr>
      </w:pPr>
    </w:p>
    <w:p w:rsidR="00D64FB0" w:rsidRPr="00E46854" w:rsidRDefault="00D12A96" w:rsidP="00D64FB0">
      <w:pPr>
        <w:spacing w:line="276" w:lineRule="auto"/>
        <w:jc w:val="both"/>
        <w:rPr>
          <w:rFonts w:ascii="Arial" w:hAnsi="Arial" w:cs="Arial"/>
          <w:b/>
          <w:color w:val="1F4E79" w:themeColor="accent1" w:themeShade="80"/>
          <w:sz w:val="22"/>
          <w:szCs w:val="22"/>
          <w:u w:val="single"/>
        </w:rPr>
      </w:pPr>
      <w:r w:rsidRPr="00E46854">
        <w:rPr>
          <w:rFonts w:ascii="Arial" w:hAnsi="Arial" w:cs="Arial"/>
          <w:b/>
          <w:bCs/>
          <w:color w:val="1F4E79" w:themeColor="accent1" w:themeShade="80"/>
          <w:sz w:val="22"/>
          <w:szCs w:val="22"/>
          <w:lang w:val="en-US"/>
        </w:rPr>
        <w:lastRenderedPageBreak/>
        <w:t>3.</w:t>
      </w:r>
      <w:r w:rsidR="00AC0465" w:rsidRPr="00E46854">
        <w:rPr>
          <w:rFonts w:ascii="Arial" w:hAnsi="Arial" w:cs="Arial"/>
          <w:b/>
          <w:bCs/>
          <w:color w:val="1F4E79" w:themeColor="accent1" w:themeShade="80"/>
          <w:sz w:val="22"/>
          <w:szCs w:val="22"/>
          <w:lang w:val="en-US"/>
        </w:rPr>
        <w:t>3</w:t>
      </w:r>
      <w:r w:rsidR="008F7E9A" w:rsidRPr="00E46854">
        <w:rPr>
          <w:rFonts w:ascii="Arial" w:hAnsi="Arial" w:cs="Arial"/>
          <w:b/>
          <w:bCs/>
          <w:color w:val="1F4E79" w:themeColor="accent1" w:themeShade="80"/>
          <w:sz w:val="22"/>
          <w:szCs w:val="22"/>
          <w:lang w:val="en-US"/>
        </w:rPr>
        <w:t xml:space="preserve">.6 </w:t>
      </w:r>
      <w:r w:rsidR="007D26EA" w:rsidRPr="00E46854">
        <w:rPr>
          <w:rFonts w:ascii="Arial" w:hAnsi="Arial" w:cs="Arial"/>
          <w:b/>
          <w:bCs/>
          <w:color w:val="1F4E79" w:themeColor="accent1" w:themeShade="80"/>
          <w:sz w:val="22"/>
          <w:szCs w:val="22"/>
          <w:lang w:val="en-US"/>
        </w:rPr>
        <w:t>Tranzacții părți legate</w:t>
      </w:r>
    </w:p>
    <w:p w:rsidR="00D64FB0" w:rsidRPr="0074145B" w:rsidRDefault="00D64FB0" w:rsidP="00D64FB0">
      <w:pPr>
        <w:tabs>
          <w:tab w:val="left" w:pos="450"/>
        </w:tabs>
        <w:contextualSpacing/>
        <w:jc w:val="both"/>
        <w:rPr>
          <w:rFonts w:ascii="Arial" w:hAnsi="Arial" w:cs="Arial"/>
          <w:strike/>
          <w:color w:val="FF0000"/>
          <w:sz w:val="22"/>
          <w:szCs w:val="22"/>
        </w:rPr>
      </w:pPr>
    </w:p>
    <w:p w:rsidR="00D64FB0" w:rsidRDefault="00D64FB0" w:rsidP="00D64FB0">
      <w:pPr>
        <w:jc w:val="both"/>
        <w:rPr>
          <w:rFonts w:ascii="Arial" w:hAnsi="Arial" w:cs="Arial"/>
          <w:sz w:val="22"/>
          <w:szCs w:val="22"/>
        </w:rPr>
      </w:pPr>
      <w:r w:rsidRPr="00B64FBC">
        <w:rPr>
          <w:rFonts w:ascii="Arial" w:hAnsi="Arial" w:cs="Arial"/>
          <w:sz w:val="22"/>
          <w:szCs w:val="22"/>
        </w:rPr>
        <w:t xml:space="preserve">În </w:t>
      </w:r>
      <w:r>
        <w:rPr>
          <w:rFonts w:ascii="Arial" w:hAnsi="Arial" w:cs="Arial"/>
          <w:sz w:val="22"/>
          <w:szCs w:val="22"/>
        </w:rPr>
        <w:t>seme</w:t>
      </w:r>
      <w:r w:rsidRPr="00B64FBC">
        <w:rPr>
          <w:rFonts w:ascii="Arial" w:hAnsi="Arial" w:cs="Arial"/>
          <w:sz w:val="22"/>
          <w:szCs w:val="22"/>
        </w:rPr>
        <w:t>strul I 2018, Societatea a derulat următoarele tranzacții semnificative cu părți legate:</w:t>
      </w:r>
    </w:p>
    <w:p w:rsidR="00D64FB0" w:rsidRPr="00B64FBC" w:rsidRDefault="00D64FB0" w:rsidP="00D64FB0">
      <w:pPr>
        <w:jc w:val="both"/>
        <w:rPr>
          <w:rFonts w:ascii="Arial" w:hAnsi="Arial" w:cs="Arial"/>
          <w:sz w:val="22"/>
          <w:szCs w:val="22"/>
        </w:rPr>
      </w:pPr>
    </w:p>
    <w:p w:rsidR="00D64FB0" w:rsidRPr="00B64FBC" w:rsidRDefault="00D64FB0" w:rsidP="00D64FB0">
      <w:pPr>
        <w:jc w:val="both"/>
        <w:rPr>
          <w:rFonts w:ascii="Arial" w:hAnsi="Arial" w:cs="Arial"/>
          <w:sz w:val="22"/>
          <w:szCs w:val="22"/>
        </w:rPr>
      </w:pPr>
      <w:r w:rsidRPr="00B64FBC">
        <w:rPr>
          <w:rFonts w:ascii="Arial" w:hAnsi="Arial" w:cs="Arial"/>
          <w:b/>
          <w:sz w:val="22"/>
          <w:szCs w:val="22"/>
        </w:rPr>
        <w:t>Achiziții de la părți legate</w:t>
      </w:r>
    </w:p>
    <w:p w:rsidR="00D64FB0" w:rsidRPr="00B64FBC" w:rsidRDefault="00D64FB0" w:rsidP="00D64FB0">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mii lei</w:t>
      </w:r>
    </w:p>
    <w:tbl>
      <w:tblPr>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710"/>
        <w:gridCol w:w="1474"/>
        <w:gridCol w:w="1586"/>
        <w:gridCol w:w="1843"/>
      </w:tblGrid>
      <w:tr w:rsidR="00D64FB0" w:rsidRPr="00B64FBC" w:rsidTr="00C75A15">
        <w:trPr>
          <w:trHeight w:val="377"/>
        </w:trPr>
        <w:tc>
          <w:tcPr>
            <w:tcW w:w="2700" w:type="dxa"/>
            <w:tcBorders>
              <w:top w:val="single" w:sz="4" w:space="0" w:color="auto"/>
              <w:left w:val="nil"/>
              <w:bottom w:val="single" w:sz="4" w:space="0" w:color="auto"/>
              <w:right w:val="nil"/>
            </w:tcBorders>
            <w:vAlign w:val="center"/>
          </w:tcPr>
          <w:p w:rsidR="00D64FB0" w:rsidRPr="00B64FBC" w:rsidRDefault="00D64FB0" w:rsidP="001D229E">
            <w:pPr>
              <w:ind w:right="-192"/>
              <w:rPr>
                <w:rFonts w:ascii="Arial" w:hAnsi="Arial" w:cs="Arial"/>
                <w:w w:val="105"/>
              </w:rPr>
            </w:pPr>
            <w:r w:rsidRPr="00B64FBC">
              <w:rPr>
                <w:rFonts w:ascii="Arial" w:hAnsi="Arial" w:cs="Arial"/>
                <w:b/>
                <w:w w:val="105"/>
              </w:rPr>
              <w:t>Partener</w:t>
            </w:r>
          </w:p>
        </w:tc>
        <w:tc>
          <w:tcPr>
            <w:tcW w:w="1710" w:type="dxa"/>
            <w:tcBorders>
              <w:top w:val="single" w:sz="4" w:space="0" w:color="auto"/>
              <w:left w:val="nil"/>
              <w:bottom w:val="single" w:sz="4" w:space="0" w:color="auto"/>
              <w:right w:val="nil"/>
            </w:tcBorders>
            <w:vAlign w:val="center"/>
          </w:tcPr>
          <w:p w:rsidR="00D64FB0" w:rsidRPr="00B64FBC" w:rsidRDefault="00D64FB0" w:rsidP="001D229E">
            <w:pPr>
              <w:jc w:val="center"/>
              <w:rPr>
                <w:rFonts w:ascii="Arial" w:hAnsi="Arial" w:cs="Arial"/>
                <w:b/>
                <w:w w:val="105"/>
              </w:rPr>
            </w:pPr>
            <w:r w:rsidRPr="00B64FBC">
              <w:rPr>
                <w:rFonts w:ascii="Arial" w:hAnsi="Arial" w:cs="Arial"/>
                <w:b/>
                <w:w w:val="105"/>
              </w:rPr>
              <w:t xml:space="preserve">Sume nedecontate la </w:t>
            </w:r>
          </w:p>
          <w:p w:rsidR="00D64FB0" w:rsidRPr="00B64FBC" w:rsidRDefault="00D64FB0" w:rsidP="001D229E">
            <w:pPr>
              <w:ind w:left="-216" w:right="-181"/>
              <w:jc w:val="center"/>
              <w:rPr>
                <w:rFonts w:ascii="Arial" w:hAnsi="Arial" w:cs="Arial"/>
                <w:b/>
                <w:w w:val="105"/>
              </w:rPr>
            </w:pPr>
            <w:r w:rsidRPr="00B64FBC">
              <w:rPr>
                <w:rFonts w:ascii="Arial" w:hAnsi="Arial" w:cs="Arial"/>
                <w:b/>
                <w:w w:val="105"/>
              </w:rPr>
              <w:t xml:space="preserve">31 decembrie </w:t>
            </w:r>
          </w:p>
          <w:p w:rsidR="00D64FB0" w:rsidRPr="00B64FBC" w:rsidRDefault="00D64FB0" w:rsidP="001D229E">
            <w:pPr>
              <w:ind w:left="-216" w:right="-181"/>
              <w:jc w:val="center"/>
              <w:rPr>
                <w:rFonts w:ascii="Arial" w:hAnsi="Arial" w:cs="Arial"/>
                <w:b/>
                <w:w w:val="105"/>
              </w:rPr>
            </w:pPr>
            <w:r w:rsidRPr="00B64FBC">
              <w:rPr>
                <w:rFonts w:ascii="Arial" w:hAnsi="Arial" w:cs="Arial"/>
                <w:b/>
                <w:w w:val="105"/>
              </w:rPr>
              <w:t>2017</w:t>
            </w:r>
          </w:p>
        </w:tc>
        <w:tc>
          <w:tcPr>
            <w:tcW w:w="1474" w:type="dxa"/>
            <w:tcBorders>
              <w:top w:val="single" w:sz="4" w:space="0" w:color="auto"/>
              <w:left w:val="nil"/>
              <w:bottom w:val="single" w:sz="4" w:space="0" w:color="auto"/>
              <w:right w:val="nil"/>
            </w:tcBorders>
            <w:vAlign w:val="center"/>
          </w:tcPr>
          <w:p w:rsidR="00D64FB0" w:rsidRPr="00B64FBC" w:rsidRDefault="00D64FB0" w:rsidP="001D229E">
            <w:pPr>
              <w:ind w:left="-122" w:right="-162"/>
              <w:jc w:val="center"/>
              <w:rPr>
                <w:rFonts w:ascii="Arial" w:hAnsi="Arial" w:cs="Arial"/>
                <w:b/>
                <w:w w:val="105"/>
              </w:rPr>
            </w:pPr>
            <w:r w:rsidRPr="00B64FBC">
              <w:rPr>
                <w:rFonts w:ascii="Arial" w:hAnsi="Arial" w:cs="Arial"/>
                <w:b/>
                <w:w w:val="105"/>
              </w:rPr>
              <w:t>Achiziții</w:t>
            </w:r>
          </w:p>
          <w:p w:rsidR="00D64FB0" w:rsidRPr="00B64FBC" w:rsidRDefault="00D64FB0" w:rsidP="001D229E">
            <w:pPr>
              <w:jc w:val="center"/>
              <w:rPr>
                <w:rFonts w:ascii="Arial" w:hAnsi="Arial" w:cs="Arial"/>
                <w:w w:val="105"/>
              </w:rPr>
            </w:pPr>
            <w:r w:rsidRPr="00B64FBC">
              <w:rPr>
                <w:rFonts w:ascii="Arial" w:hAnsi="Arial" w:cs="Arial"/>
                <w:b/>
                <w:w w:val="105"/>
              </w:rPr>
              <w:t xml:space="preserve">în perioada  ianuarie – </w:t>
            </w:r>
            <w:r>
              <w:rPr>
                <w:rFonts w:ascii="Arial" w:hAnsi="Arial" w:cs="Arial"/>
                <w:b/>
                <w:w w:val="105"/>
              </w:rPr>
              <w:t>iun</w:t>
            </w:r>
            <w:r w:rsidRPr="00B64FBC">
              <w:rPr>
                <w:rFonts w:ascii="Arial" w:hAnsi="Arial" w:cs="Arial"/>
                <w:b/>
                <w:w w:val="105"/>
              </w:rPr>
              <w:t>ie 2018</w:t>
            </w:r>
          </w:p>
        </w:tc>
        <w:tc>
          <w:tcPr>
            <w:tcW w:w="1586" w:type="dxa"/>
            <w:tcBorders>
              <w:top w:val="single" w:sz="4" w:space="0" w:color="auto"/>
              <w:left w:val="nil"/>
              <w:bottom w:val="single" w:sz="4" w:space="0" w:color="auto"/>
              <w:right w:val="nil"/>
            </w:tcBorders>
            <w:vAlign w:val="center"/>
          </w:tcPr>
          <w:p w:rsidR="00D64FB0" w:rsidRPr="00B64FBC" w:rsidRDefault="00D64FB0" w:rsidP="001D229E">
            <w:pPr>
              <w:jc w:val="center"/>
              <w:rPr>
                <w:rFonts w:ascii="Arial" w:hAnsi="Arial" w:cs="Arial"/>
                <w:b/>
                <w:w w:val="105"/>
              </w:rPr>
            </w:pPr>
            <w:r w:rsidRPr="00B64FBC">
              <w:rPr>
                <w:rFonts w:ascii="Arial" w:hAnsi="Arial" w:cs="Arial"/>
                <w:b/>
                <w:w w:val="105"/>
              </w:rPr>
              <w:t xml:space="preserve">Decontări </w:t>
            </w:r>
          </w:p>
          <w:p w:rsidR="00D64FB0" w:rsidRPr="00B64FBC" w:rsidRDefault="00D64FB0" w:rsidP="001D229E">
            <w:pPr>
              <w:jc w:val="center"/>
              <w:rPr>
                <w:rFonts w:ascii="Arial" w:hAnsi="Arial" w:cs="Arial"/>
                <w:b/>
                <w:w w:val="105"/>
              </w:rPr>
            </w:pPr>
            <w:r w:rsidRPr="00B64FBC">
              <w:rPr>
                <w:rFonts w:ascii="Arial" w:hAnsi="Arial" w:cs="Arial"/>
                <w:b/>
                <w:w w:val="105"/>
              </w:rPr>
              <w:t xml:space="preserve">în </w:t>
            </w:r>
          </w:p>
          <w:p w:rsidR="00D64FB0" w:rsidRPr="00B64FBC" w:rsidRDefault="00D64FB0" w:rsidP="001D229E">
            <w:pPr>
              <w:ind w:right="-10"/>
              <w:jc w:val="center"/>
              <w:rPr>
                <w:rFonts w:ascii="Arial" w:hAnsi="Arial" w:cs="Arial"/>
                <w:w w:val="105"/>
              </w:rPr>
            </w:pPr>
            <w:r w:rsidRPr="00B64FBC">
              <w:rPr>
                <w:rFonts w:ascii="Arial" w:hAnsi="Arial" w:cs="Arial"/>
                <w:b/>
                <w:w w:val="105"/>
              </w:rPr>
              <w:t xml:space="preserve">perioada  ianuarie – </w:t>
            </w:r>
            <w:r>
              <w:rPr>
                <w:rFonts w:ascii="Arial" w:hAnsi="Arial" w:cs="Arial"/>
                <w:b/>
                <w:w w:val="105"/>
              </w:rPr>
              <w:t>iun</w:t>
            </w:r>
            <w:r w:rsidRPr="00B64FBC">
              <w:rPr>
                <w:rFonts w:ascii="Arial" w:hAnsi="Arial" w:cs="Arial"/>
                <w:b/>
                <w:w w:val="105"/>
              </w:rPr>
              <w:t>ie 2018</w:t>
            </w:r>
          </w:p>
        </w:tc>
        <w:tc>
          <w:tcPr>
            <w:tcW w:w="1843" w:type="dxa"/>
            <w:tcBorders>
              <w:top w:val="single" w:sz="4" w:space="0" w:color="auto"/>
              <w:left w:val="nil"/>
              <w:bottom w:val="single" w:sz="4" w:space="0" w:color="auto"/>
              <w:right w:val="nil"/>
            </w:tcBorders>
            <w:vAlign w:val="center"/>
          </w:tcPr>
          <w:p w:rsidR="00D64FB0" w:rsidRPr="00B64FBC" w:rsidRDefault="00D64FB0" w:rsidP="001D229E">
            <w:pPr>
              <w:jc w:val="center"/>
              <w:rPr>
                <w:rFonts w:ascii="Arial" w:hAnsi="Arial" w:cs="Arial"/>
                <w:b/>
                <w:w w:val="105"/>
              </w:rPr>
            </w:pPr>
            <w:r w:rsidRPr="00B64FBC">
              <w:rPr>
                <w:rFonts w:ascii="Arial" w:hAnsi="Arial" w:cs="Arial"/>
                <w:b/>
                <w:w w:val="105"/>
              </w:rPr>
              <w:t>Sume nedecontate la</w:t>
            </w:r>
          </w:p>
          <w:p w:rsidR="00D64FB0" w:rsidRPr="00B64FBC" w:rsidRDefault="00D64FB0" w:rsidP="001D229E">
            <w:pPr>
              <w:jc w:val="center"/>
              <w:rPr>
                <w:rFonts w:ascii="Arial" w:hAnsi="Arial" w:cs="Arial"/>
                <w:b/>
                <w:w w:val="105"/>
              </w:rPr>
            </w:pPr>
            <w:r w:rsidRPr="00B64FBC">
              <w:rPr>
                <w:rFonts w:ascii="Arial" w:hAnsi="Arial" w:cs="Arial"/>
                <w:b/>
                <w:w w:val="105"/>
              </w:rPr>
              <w:t>3</w:t>
            </w:r>
            <w:r>
              <w:rPr>
                <w:rFonts w:ascii="Arial" w:hAnsi="Arial" w:cs="Arial"/>
                <w:b/>
                <w:w w:val="105"/>
              </w:rPr>
              <w:t>0</w:t>
            </w:r>
            <w:r w:rsidRPr="00B64FBC">
              <w:rPr>
                <w:rFonts w:ascii="Arial" w:hAnsi="Arial" w:cs="Arial"/>
                <w:b/>
                <w:w w:val="105"/>
              </w:rPr>
              <w:t xml:space="preserve"> </w:t>
            </w:r>
            <w:r>
              <w:rPr>
                <w:rFonts w:ascii="Arial" w:hAnsi="Arial" w:cs="Arial"/>
                <w:b/>
                <w:w w:val="105"/>
              </w:rPr>
              <w:t>iun</w:t>
            </w:r>
            <w:r w:rsidRPr="00B64FBC">
              <w:rPr>
                <w:rFonts w:ascii="Arial" w:hAnsi="Arial" w:cs="Arial"/>
                <w:b/>
                <w:w w:val="105"/>
              </w:rPr>
              <w:t>ie</w:t>
            </w:r>
          </w:p>
          <w:p w:rsidR="00D64FB0" w:rsidRPr="00B64FBC" w:rsidRDefault="00D64FB0" w:rsidP="001D229E">
            <w:pPr>
              <w:jc w:val="center"/>
              <w:rPr>
                <w:rFonts w:ascii="Arial" w:hAnsi="Arial" w:cs="Arial"/>
                <w:w w:val="105"/>
              </w:rPr>
            </w:pPr>
            <w:r w:rsidRPr="00B64FBC">
              <w:rPr>
                <w:rFonts w:ascii="Arial" w:hAnsi="Arial" w:cs="Arial"/>
                <w:b/>
                <w:w w:val="105"/>
              </w:rPr>
              <w:t xml:space="preserve"> 2018</w:t>
            </w:r>
          </w:p>
        </w:tc>
      </w:tr>
      <w:tr w:rsidR="00D64FB0" w:rsidRPr="00B64FBC" w:rsidTr="00C75A15">
        <w:trPr>
          <w:trHeight w:val="310"/>
        </w:trPr>
        <w:tc>
          <w:tcPr>
            <w:tcW w:w="2700" w:type="dxa"/>
            <w:tcBorders>
              <w:top w:val="single" w:sz="4" w:space="0" w:color="auto"/>
              <w:left w:val="nil"/>
              <w:bottom w:val="double" w:sz="4" w:space="0" w:color="auto"/>
              <w:right w:val="nil"/>
            </w:tcBorders>
            <w:vAlign w:val="center"/>
            <w:hideMark/>
          </w:tcPr>
          <w:p w:rsidR="00D64FB0" w:rsidRPr="00B64FBC" w:rsidRDefault="00D64FB0" w:rsidP="001D229E">
            <w:pPr>
              <w:rPr>
                <w:rFonts w:ascii="Arial" w:hAnsi="Arial" w:cs="Arial"/>
                <w:w w:val="105"/>
              </w:rPr>
            </w:pPr>
            <w:r w:rsidRPr="00B64FBC">
              <w:rPr>
                <w:rFonts w:ascii="Arial" w:hAnsi="Arial" w:cs="Arial"/>
                <w:w w:val="105"/>
              </w:rPr>
              <w:t>SNTFM CFR Marfă S</w:t>
            </w:r>
            <w:r w:rsidR="00C75A15">
              <w:rPr>
                <w:rFonts w:ascii="Arial" w:hAnsi="Arial" w:cs="Arial"/>
                <w:w w:val="105"/>
              </w:rPr>
              <w:t>.</w:t>
            </w:r>
            <w:r w:rsidRPr="00B64FBC">
              <w:rPr>
                <w:rFonts w:ascii="Arial" w:hAnsi="Arial" w:cs="Arial"/>
                <w:w w:val="105"/>
              </w:rPr>
              <w:t>A</w:t>
            </w:r>
            <w:r w:rsidR="00C75A15">
              <w:rPr>
                <w:rFonts w:ascii="Arial" w:hAnsi="Arial" w:cs="Arial"/>
                <w:w w:val="105"/>
              </w:rPr>
              <w:t>.</w:t>
            </w:r>
          </w:p>
        </w:tc>
        <w:tc>
          <w:tcPr>
            <w:tcW w:w="1710" w:type="dxa"/>
            <w:tcBorders>
              <w:top w:val="single" w:sz="4" w:space="0" w:color="auto"/>
              <w:left w:val="nil"/>
              <w:bottom w:val="double" w:sz="4" w:space="0" w:color="auto"/>
              <w:right w:val="nil"/>
            </w:tcBorders>
            <w:vAlign w:val="center"/>
            <w:hideMark/>
          </w:tcPr>
          <w:p w:rsidR="00D64FB0" w:rsidRPr="00B64FBC" w:rsidRDefault="00D64FB0" w:rsidP="00C75A15">
            <w:pPr>
              <w:ind w:right="76"/>
              <w:jc w:val="center"/>
              <w:rPr>
                <w:rFonts w:ascii="Arial" w:hAnsi="Arial" w:cs="Arial"/>
                <w:w w:val="105"/>
              </w:rPr>
            </w:pPr>
            <w:r w:rsidRPr="00B64FBC">
              <w:rPr>
                <w:rFonts w:ascii="Arial" w:hAnsi="Arial" w:cs="Arial"/>
                <w:w w:val="105"/>
              </w:rPr>
              <w:t>6.080</w:t>
            </w:r>
          </w:p>
        </w:tc>
        <w:tc>
          <w:tcPr>
            <w:tcW w:w="1474" w:type="dxa"/>
            <w:tcBorders>
              <w:top w:val="single" w:sz="4" w:space="0" w:color="auto"/>
              <w:left w:val="nil"/>
              <w:bottom w:val="double" w:sz="4" w:space="0" w:color="auto"/>
              <w:right w:val="nil"/>
            </w:tcBorders>
            <w:vAlign w:val="center"/>
            <w:hideMark/>
          </w:tcPr>
          <w:p w:rsidR="00D64FB0" w:rsidRPr="00B64FBC" w:rsidRDefault="00D64FB0" w:rsidP="00C75A15">
            <w:pPr>
              <w:jc w:val="center"/>
              <w:rPr>
                <w:rFonts w:ascii="Arial" w:hAnsi="Arial" w:cs="Arial"/>
                <w:w w:val="105"/>
              </w:rPr>
            </w:pPr>
            <w:r>
              <w:rPr>
                <w:rFonts w:ascii="Arial" w:hAnsi="Arial" w:cs="Arial"/>
                <w:w w:val="105"/>
              </w:rPr>
              <w:t>33.131</w:t>
            </w:r>
          </w:p>
        </w:tc>
        <w:tc>
          <w:tcPr>
            <w:tcW w:w="1586" w:type="dxa"/>
            <w:tcBorders>
              <w:top w:val="single" w:sz="4" w:space="0" w:color="auto"/>
              <w:left w:val="nil"/>
              <w:bottom w:val="double" w:sz="4" w:space="0" w:color="auto"/>
              <w:right w:val="nil"/>
            </w:tcBorders>
            <w:vAlign w:val="center"/>
            <w:hideMark/>
          </w:tcPr>
          <w:p w:rsidR="00D64FB0" w:rsidRPr="00B64FBC" w:rsidRDefault="00D64FB0" w:rsidP="00C75A15">
            <w:pPr>
              <w:jc w:val="center"/>
              <w:rPr>
                <w:rFonts w:ascii="Arial" w:hAnsi="Arial" w:cs="Arial"/>
                <w:w w:val="105"/>
              </w:rPr>
            </w:pPr>
            <w:r>
              <w:rPr>
                <w:rFonts w:ascii="Arial" w:hAnsi="Arial" w:cs="Arial"/>
                <w:w w:val="105"/>
              </w:rPr>
              <w:t>33.541</w:t>
            </w:r>
          </w:p>
        </w:tc>
        <w:tc>
          <w:tcPr>
            <w:tcW w:w="1843" w:type="dxa"/>
            <w:tcBorders>
              <w:top w:val="single" w:sz="4" w:space="0" w:color="auto"/>
              <w:left w:val="nil"/>
              <w:bottom w:val="double" w:sz="4" w:space="0" w:color="auto"/>
              <w:right w:val="nil"/>
            </w:tcBorders>
            <w:vAlign w:val="center"/>
            <w:hideMark/>
          </w:tcPr>
          <w:p w:rsidR="00D64FB0" w:rsidRPr="00B64FBC" w:rsidRDefault="00D64FB0" w:rsidP="00C75A15">
            <w:pPr>
              <w:jc w:val="center"/>
              <w:rPr>
                <w:rFonts w:ascii="Arial" w:hAnsi="Arial" w:cs="Arial"/>
                <w:w w:val="105"/>
              </w:rPr>
            </w:pPr>
            <w:r>
              <w:rPr>
                <w:rFonts w:ascii="Arial" w:hAnsi="Arial" w:cs="Arial"/>
                <w:w w:val="105"/>
              </w:rPr>
              <w:t>5.670</w:t>
            </w:r>
          </w:p>
        </w:tc>
      </w:tr>
    </w:tbl>
    <w:p w:rsidR="001819A5" w:rsidRDefault="001819A5" w:rsidP="001819A5">
      <w:pPr>
        <w:spacing w:line="276" w:lineRule="auto"/>
        <w:jc w:val="center"/>
        <w:rPr>
          <w:rFonts w:ascii="Arial" w:hAnsi="Arial" w:cs="Arial"/>
          <w:bCs/>
          <w:sz w:val="16"/>
          <w:szCs w:val="16"/>
          <w:lang w:val="en-US"/>
        </w:rPr>
      </w:pPr>
    </w:p>
    <w:p w:rsidR="00177522" w:rsidRDefault="008F5405" w:rsidP="00C3524E">
      <w:pPr>
        <w:spacing w:line="276" w:lineRule="auto"/>
        <w:jc w:val="center"/>
        <w:rPr>
          <w:rFonts w:ascii="Arial" w:hAnsi="Arial" w:cs="Arial"/>
          <w:bCs/>
          <w:sz w:val="16"/>
          <w:szCs w:val="16"/>
          <w:lang w:val="en-US"/>
        </w:rPr>
      </w:pPr>
      <w:r w:rsidRPr="001819A5">
        <w:rPr>
          <w:rFonts w:ascii="Arial" w:hAnsi="Arial" w:cs="Arial"/>
          <w:bCs/>
          <w:sz w:val="16"/>
          <w:szCs w:val="16"/>
          <w:lang w:val="en-US"/>
        </w:rPr>
        <w:t>Tab</w:t>
      </w:r>
      <w:r w:rsidR="001819A5" w:rsidRPr="001819A5">
        <w:rPr>
          <w:rFonts w:ascii="Arial" w:hAnsi="Arial" w:cs="Arial"/>
          <w:bCs/>
          <w:sz w:val="16"/>
          <w:szCs w:val="16"/>
          <w:lang w:val="en-US"/>
        </w:rPr>
        <w:t>e</w:t>
      </w:r>
      <w:r w:rsidRPr="001819A5">
        <w:rPr>
          <w:rFonts w:ascii="Arial" w:hAnsi="Arial" w:cs="Arial"/>
          <w:bCs/>
          <w:sz w:val="16"/>
          <w:szCs w:val="16"/>
          <w:lang w:val="en-US"/>
        </w:rPr>
        <w:t>l 16 –</w:t>
      </w:r>
      <w:r w:rsidR="001819A5" w:rsidRPr="001819A5">
        <w:rPr>
          <w:rFonts w:ascii="Arial" w:hAnsi="Arial" w:cs="Arial"/>
          <w:bCs/>
          <w:sz w:val="16"/>
          <w:szCs w:val="16"/>
          <w:lang w:val="en-US"/>
        </w:rPr>
        <w:t xml:space="preserve"> </w:t>
      </w:r>
      <w:r w:rsidR="00B108EF">
        <w:rPr>
          <w:rFonts w:ascii="Arial" w:hAnsi="Arial" w:cs="Arial"/>
          <w:bCs/>
          <w:sz w:val="16"/>
          <w:szCs w:val="16"/>
          <w:lang w:val="en-US"/>
        </w:rPr>
        <w:t>A</w:t>
      </w:r>
      <w:r w:rsidRPr="001819A5">
        <w:rPr>
          <w:rFonts w:ascii="Arial" w:hAnsi="Arial" w:cs="Arial"/>
          <w:bCs/>
          <w:sz w:val="16"/>
          <w:szCs w:val="16"/>
          <w:lang w:val="en-US"/>
        </w:rPr>
        <w:t>chiziții de la părți legate</w:t>
      </w:r>
    </w:p>
    <w:p w:rsidR="00C3524E" w:rsidRPr="00C3524E" w:rsidRDefault="00C3524E" w:rsidP="00C3524E">
      <w:pPr>
        <w:spacing w:line="276" w:lineRule="auto"/>
        <w:jc w:val="center"/>
        <w:rPr>
          <w:rFonts w:ascii="Arial" w:hAnsi="Arial" w:cs="Arial"/>
          <w:bCs/>
          <w:sz w:val="16"/>
          <w:szCs w:val="16"/>
          <w:lang w:val="en-US"/>
        </w:rPr>
      </w:pPr>
    </w:p>
    <w:p w:rsidR="00083180" w:rsidRPr="00E46854" w:rsidRDefault="001819A5" w:rsidP="0068375A">
      <w:pPr>
        <w:pStyle w:val="ListParagraph"/>
        <w:numPr>
          <w:ilvl w:val="1"/>
          <w:numId w:val="50"/>
        </w:numPr>
        <w:ind w:left="450" w:hanging="450"/>
        <w:jc w:val="both"/>
        <w:rPr>
          <w:rFonts w:ascii="Arial" w:hAnsi="Arial" w:cs="Arial"/>
          <w:b/>
          <w:color w:val="1F4E79" w:themeColor="accent1" w:themeShade="80"/>
          <w:sz w:val="24"/>
          <w:szCs w:val="24"/>
          <w:lang w:val="it-IT"/>
        </w:rPr>
      </w:pPr>
      <w:r w:rsidRPr="00E46854">
        <w:rPr>
          <w:rFonts w:ascii="Arial" w:hAnsi="Arial" w:cs="Arial"/>
          <w:b/>
          <w:color w:val="1F4E79" w:themeColor="accent1" w:themeShade="80"/>
          <w:sz w:val="24"/>
          <w:szCs w:val="24"/>
          <w:lang w:val="it-IT"/>
        </w:rPr>
        <w:t xml:space="preserve">Alte aspecte </w:t>
      </w:r>
    </w:p>
    <w:p w:rsidR="009966CC" w:rsidRPr="00E46854" w:rsidRDefault="009966CC" w:rsidP="0068375A">
      <w:pPr>
        <w:pStyle w:val="BodyText"/>
        <w:numPr>
          <w:ilvl w:val="2"/>
          <w:numId w:val="50"/>
        </w:numPr>
        <w:ind w:left="630" w:hanging="630"/>
        <w:rPr>
          <w:rFonts w:cs="Arial"/>
          <w:b/>
          <w:color w:val="1F4E79" w:themeColor="accent1" w:themeShade="80"/>
          <w:szCs w:val="24"/>
        </w:rPr>
      </w:pPr>
      <w:r w:rsidRPr="00E46854">
        <w:rPr>
          <w:rFonts w:cs="Arial"/>
          <w:b/>
          <w:color w:val="1F4E79" w:themeColor="accent1" w:themeShade="80"/>
          <w:szCs w:val="24"/>
        </w:rPr>
        <w:t>Situa</w:t>
      </w:r>
      <w:r w:rsidR="00666FD5" w:rsidRPr="00E46854">
        <w:rPr>
          <w:rFonts w:cs="Arial"/>
          <w:b/>
          <w:color w:val="1F4E79" w:themeColor="accent1" w:themeShade="80"/>
          <w:szCs w:val="24"/>
        </w:rPr>
        <w:t>ț</w:t>
      </w:r>
      <w:r w:rsidRPr="00E46854">
        <w:rPr>
          <w:rFonts w:cs="Arial"/>
          <w:b/>
          <w:color w:val="1F4E79" w:themeColor="accent1" w:themeShade="80"/>
          <w:szCs w:val="24"/>
        </w:rPr>
        <w:t xml:space="preserve">ia terenurilor necuprinse </w:t>
      </w:r>
      <w:r w:rsidR="00666FD5" w:rsidRPr="00E46854">
        <w:rPr>
          <w:rFonts w:cs="Arial"/>
          <w:b/>
          <w:color w:val="1F4E79" w:themeColor="accent1" w:themeShade="80"/>
          <w:szCs w:val="24"/>
        </w:rPr>
        <w:t>î</w:t>
      </w:r>
      <w:r w:rsidRPr="00E46854">
        <w:rPr>
          <w:rFonts w:cs="Arial"/>
          <w:b/>
          <w:color w:val="1F4E79" w:themeColor="accent1" w:themeShade="80"/>
          <w:szCs w:val="24"/>
        </w:rPr>
        <w:t>n capitalul social</w:t>
      </w:r>
    </w:p>
    <w:p w:rsidR="009966CC" w:rsidRDefault="009966CC" w:rsidP="009966CC">
      <w:pPr>
        <w:pStyle w:val="BodyText"/>
        <w:rPr>
          <w:rFonts w:cs="Arial"/>
          <w:sz w:val="22"/>
          <w:szCs w:val="22"/>
        </w:rPr>
      </w:pPr>
    </w:p>
    <w:p w:rsidR="007D26EA" w:rsidRPr="001F3D8A" w:rsidRDefault="007D26EA" w:rsidP="007D26EA">
      <w:pPr>
        <w:pStyle w:val="BodyText"/>
        <w:spacing w:line="276" w:lineRule="auto"/>
        <w:rPr>
          <w:rFonts w:cs="Arial"/>
          <w:sz w:val="22"/>
          <w:szCs w:val="22"/>
        </w:rPr>
      </w:pPr>
      <w:r w:rsidRPr="001F3D8A">
        <w:rPr>
          <w:sz w:val="22"/>
        </w:rPr>
        <w:t>La 30.06.2018 Conpet are înregistrate în patrimoniul societății terenuri în suprafață de 733.648,93 mp cu o valoare justă de 22.584.099 lei</w:t>
      </w:r>
      <w:r w:rsidRPr="001F3D8A">
        <w:rPr>
          <w:rFonts w:cs="Arial"/>
          <w:sz w:val="22"/>
          <w:szCs w:val="22"/>
        </w:rPr>
        <w:t>, detinute în baza Certificatelor</w:t>
      </w:r>
      <w:r w:rsidRPr="001F3D8A">
        <w:rPr>
          <w:sz w:val="22"/>
        </w:rPr>
        <w:t xml:space="preserve"> de atestare a dreptului de proprietate </w:t>
      </w:r>
      <w:r w:rsidRPr="001F3D8A">
        <w:rPr>
          <w:rFonts w:cs="Arial"/>
          <w:sz w:val="22"/>
          <w:szCs w:val="22"/>
        </w:rPr>
        <w:t>(709.949,07 m.p.) și contracte de vânzare-cumparare (23.699,86 m.p.).</w:t>
      </w:r>
    </w:p>
    <w:p w:rsidR="007D26EA" w:rsidRPr="001F3D8A" w:rsidRDefault="007D26EA" w:rsidP="007D26EA">
      <w:pPr>
        <w:pStyle w:val="BodyText"/>
        <w:spacing w:line="276" w:lineRule="auto"/>
        <w:rPr>
          <w:rFonts w:cs="Arial"/>
          <w:sz w:val="22"/>
          <w:szCs w:val="22"/>
        </w:rPr>
      </w:pPr>
      <w:r w:rsidRPr="001F3D8A">
        <w:rPr>
          <w:rFonts w:cs="Arial"/>
          <w:sz w:val="22"/>
          <w:szCs w:val="22"/>
        </w:rPr>
        <w:t>La data de 30 iunie 2018, capitalul social al Societății nu a fost majorat cu valoarea terenurilor deținute în baza a 47 de certificate de atestare a dreptului de proprietate, în suprafața de 554.537,62 mp. Certificatele de atestare a dreptului de proprietate pentru aceste terenuri n</w:t>
      </w:r>
      <w:r w:rsidR="005D08CB">
        <w:rPr>
          <w:rFonts w:cs="Arial"/>
          <w:sz w:val="22"/>
          <w:szCs w:val="22"/>
        </w:rPr>
        <w:t>e</w:t>
      </w:r>
      <w:r w:rsidR="00B0065A">
        <w:rPr>
          <w:rFonts w:cs="Arial"/>
          <w:sz w:val="22"/>
          <w:szCs w:val="22"/>
        </w:rPr>
        <w:t>incluse î</w:t>
      </w:r>
      <w:r w:rsidRPr="001F3D8A">
        <w:rPr>
          <w:rFonts w:cs="Arial"/>
          <w:sz w:val="22"/>
          <w:szCs w:val="22"/>
        </w:rPr>
        <w:t xml:space="preserve">n capitalul social, au fost obținute în perioada 2001-2005, iar valoarea evaluată la data obținerii certificatelor, stabilită în conformitate cu H.G. 834/1991, este de 26.255.918 lei. Aceste terenuri au fost înregistrate în patrimoniul societății pe seama altor rezerve din capitalurile proprii. </w:t>
      </w:r>
    </w:p>
    <w:p w:rsidR="007D26EA" w:rsidRPr="001F3D8A" w:rsidRDefault="007D26EA" w:rsidP="007D26EA">
      <w:pPr>
        <w:pStyle w:val="BodyText"/>
        <w:rPr>
          <w:rFonts w:cs="Arial"/>
          <w:sz w:val="22"/>
          <w:szCs w:val="22"/>
        </w:rPr>
      </w:pPr>
      <w:r w:rsidRPr="001F3D8A">
        <w:rPr>
          <w:rFonts w:cs="Arial"/>
          <w:sz w:val="22"/>
          <w:szCs w:val="22"/>
        </w:rPr>
        <w:t>La data de 30.06.2018 valoarea justă a acestor terenuri este în sumă de 12.348.115 lei.</w:t>
      </w:r>
    </w:p>
    <w:p w:rsidR="007D26EA" w:rsidRPr="001F3D8A" w:rsidRDefault="007D26EA" w:rsidP="007D26EA">
      <w:pPr>
        <w:pStyle w:val="BodyText"/>
        <w:rPr>
          <w:rFonts w:cs="Arial"/>
          <w:sz w:val="22"/>
          <w:szCs w:val="22"/>
        </w:rPr>
      </w:pPr>
    </w:p>
    <w:p w:rsidR="00170C8B" w:rsidRPr="00B0065A" w:rsidRDefault="00AE4E7B" w:rsidP="00B0065A">
      <w:pPr>
        <w:pStyle w:val="ListParagraph"/>
        <w:numPr>
          <w:ilvl w:val="2"/>
          <w:numId w:val="50"/>
        </w:numPr>
        <w:ind w:left="630" w:right="1" w:hanging="630"/>
        <w:jc w:val="both"/>
        <w:rPr>
          <w:rFonts w:ascii="Arial" w:hAnsi="Arial" w:cs="Arial"/>
          <w:b/>
          <w:color w:val="1F4E79" w:themeColor="accent1" w:themeShade="80"/>
          <w:sz w:val="24"/>
          <w:szCs w:val="24"/>
        </w:rPr>
      </w:pPr>
      <w:r w:rsidRPr="00B0065A">
        <w:rPr>
          <w:rFonts w:ascii="Arial" w:hAnsi="Arial" w:cs="Arial"/>
          <w:b/>
          <w:color w:val="1F4E79" w:themeColor="accent1" w:themeShade="80"/>
          <w:sz w:val="24"/>
          <w:szCs w:val="24"/>
        </w:rPr>
        <w:t>Litigii</w:t>
      </w:r>
      <w:r w:rsidR="00BD61AB" w:rsidRPr="00B0065A">
        <w:rPr>
          <w:rFonts w:ascii="Arial" w:hAnsi="Arial" w:cs="Arial"/>
          <w:b/>
          <w:color w:val="1F4E79" w:themeColor="accent1" w:themeShade="80"/>
          <w:sz w:val="24"/>
          <w:szCs w:val="24"/>
        </w:rPr>
        <w:t xml:space="preserve"> </w:t>
      </w:r>
    </w:p>
    <w:p w:rsidR="00D5561F" w:rsidRDefault="00D5561F" w:rsidP="00D5561F">
      <w:pPr>
        <w:widowControl/>
        <w:autoSpaceDE/>
        <w:autoSpaceDN/>
        <w:adjustRightInd/>
        <w:spacing w:line="276" w:lineRule="auto"/>
        <w:jc w:val="both"/>
        <w:rPr>
          <w:rFonts w:ascii="Arial" w:eastAsia="Calibri" w:hAnsi="Arial" w:cs="Arial"/>
          <w:b/>
          <w:sz w:val="22"/>
          <w:szCs w:val="22"/>
          <w:lang w:eastAsia="en-US"/>
        </w:rPr>
      </w:pPr>
      <w:r w:rsidRPr="00A74CF5">
        <w:rPr>
          <w:rFonts w:ascii="Arial" w:eastAsia="Calibri" w:hAnsi="Arial" w:cs="Arial"/>
          <w:sz w:val="22"/>
          <w:szCs w:val="22"/>
          <w:lang w:eastAsia="en-US"/>
        </w:rPr>
        <w:t>Cele mai importante litigii în care este implicată societatea sunt prezentate în continuare</w:t>
      </w:r>
      <w:r w:rsidRPr="00A74CF5">
        <w:rPr>
          <w:rFonts w:ascii="Arial" w:eastAsia="Calibri" w:hAnsi="Arial" w:cs="Arial"/>
          <w:b/>
          <w:sz w:val="22"/>
          <w:szCs w:val="22"/>
          <w:lang w:eastAsia="en-US"/>
        </w:rPr>
        <w:t>:</w:t>
      </w:r>
    </w:p>
    <w:p w:rsidR="00D5561F" w:rsidRDefault="00D5561F" w:rsidP="00D5561F">
      <w:pPr>
        <w:widowControl/>
        <w:autoSpaceDE/>
        <w:autoSpaceDN/>
        <w:adjustRightInd/>
        <w:spacing w:line="276" w:lineRule="auto"/>
        <w:jc w:val="both"/>
        <w:rPr>
          <w:rFonts w:ascii="Arial" w:eastAsia="Calibri" w:hAnsi="Arial" w:cs="Arial"/>
          <w:b/>
          <w:sz w:val="22"/>
          <w:szCs w:val="22"/>
          <w:lang w:eastAsia="en-US"/>
        </w:rPr>
      </w:pPr>
    </w:p>
    <w:p w:rsidR="00D5561F" w:rsidRPr="00D66B33" w:rsidRDefault="004A240F" w:rsidP="00D5561F">
      <w:pPr>
        <w:widowControl/>
        <w:autoSpaceDE/>
        <w:adjustRightInd/>
        <w:spacing w:line="276" w:lineRule="auto"/>
        <w:rPr>
          <w:rFonts w:ascii="Arial" w:hAnsi="Arial" w:cs="Arial"/>
          <w:b/>
          <w:bCs/>
          <w:sz w:val="22"/>
          <w:szCs w:val="22"/>
          <w:lang w:eastAsia="en-US"/>
        </w:rPr>
      </w:pPr>
      <w:r>
        <w:rPr>
          <w:rFonts w:ascii="Arial" w:hAnsi="Arial" w:cs="Arial"/>
          <w:b/>
          <w:bCs/>
          <w:i/>
          <w:sz w:val="22"/>
          <w:szCs w:val="22"/>
          <w:lang w:eastAsia="en-US"/>
        </w:rPr>
        <w:t>a)</w:t>
      </w:r>
      <w:r w:rsidR="00D5561F" w:rsidRPr="00D66B33">
        <w:rPr>
          <w:rFonts w:ascii="Arial" w:hAnsi="Arial" w:cs="Arial"/>
          <w:b/>
          <w:bCs/>
          <w:i/>
          <w:sz w:val="22"/>
          <w:szCs w:val="22"/>
          <w:lang w:eastAsia="en-US"/>
        </w:rPr>
        <w:t xml:space="preserve"> Litigii privind dreptul de proprietate asupra activelor corporale ale societății</w:t>
      </w:r>
    </w:p>
    <w:p w:rsidR="00D5561F" w:rsidRPr="00D66B33" w:rsidRDefault="00D5561F" w:rsidP="00D5561F">
      <w:pPr>
        <w:widowControl/>
        <w:autoSpaceDE/>
        <w:autoSpaceDN/>
        <w:adjustRightInd/>
        <w:spacing w:line="276" w:lineRule="auto"/>
        <w:jc w:val="both"/>
        <w:rPr>
          <w:rFonts w:ascii="Arial" w:eastAsia="Calibri" w:hAnsi="Arial" w:cs="Arial"/>
          <w:sz w:val="22"/>
          <w:szCs w:val="22"/>
          <w:lang w:eastAsia="en-US"/>
        </w:rPr>
      </w:pPr>
    </w:p>
    <w:p w:rsidR="00D5561F" w:rsidRPr="00D66B33" w:rsidRDefault="00D5561F" w:rsidP="00D5561F">
      <w:pPr>
        <w:spacing w:after="160" w:line="276" w:lineRule="auto"/>
        <w:jc w:val="both"/>
        <w:rPr>
          <w:rFonts w:ascii="Arial" w:eastAsia="Calibri" w:hAnsi="Arial" w:cs="Arial"/>
          <w:sz w:val="22"/>
          <w:szCs w:val="22"/>
          <w:lang w:eastAsia="en-US"/>
        </w:rPr>
      </w:pPr>
      <w:r w:rsidRPr="00D66B33">
        <w:rPr>
          <w:rFonts w:ascii="Arial" w:eastAsia="Calibri" w:hAnsi="Arial" w:cs="Arial"/>
          <w:sz w:val="22"/>
          <w:szCs w:val="22"/>
          <w:lang w:eastAsia="en-US"/>
        </w:rPr>
        <w:t>CONPET S.A. este implicată într-un singur proces privind revendicarea dreptului de proprietate asupra unor imobile respectiv:</w:t>
      </w:r>
    </w:p>
    <w:p w:rsidR="00D5561F" w:rsidRPr="00D66B33" w:rsidRDefault="00D5561F" w:rsidP="00D5561F">
      <w:pPr>
        <w:spacing w:line="276" w:lineRule="auto"/>
        <w:jc w:val="both"/>
        <w:rPr>
          <w:rFonts w:ascii="Arial" w:eastAsia="Calibri" w:hAnsi="Arial" w:cs="Arial"/>
          <w:bCs/>
          <w:sz w:val="22"/>
          <w:szCs w:val="22"/>
          <w:lang w:val="it-IT" w:eastAsia="en-US"/>
        </w:rPr>
      </w:pPr>
      <w:r w:rsidRPr="001B348F">
        <w:rPr>
          <w:rFonts w:ascii="Arial" w:eastAsia="Calibri" w:hAnsi="Arial" w:cs="Arial"/>
          <w:b/>
          <w:i/>
          <w:sz w:val="22"/>
          <w:szCs w:val="22"/>
          <w:lang w:eastAsia="en-US"/>
        </w:rPr>
        <w:t>Do</w:t>
      </w:r>
      <w:r w:rsidRPr="001B348F">
        <w:rPr>
          <w:rFonts w:ascii="Arial" w:eastAsia="Calibri" w:hAnsi="Arial" w:cs="Arial"/>
          <w:b/>
          <w:bCs/>
          <w:i/>
          <w:sz w:val="22"/>
          <w:szCs w:val="22"/>
          <w:lang w:val="it-IT" w:eastAsia="en-US"/>
        </w:rPr>
        <w:t xml:space="preserve">sarul nr. </w:t>
      </w:r>
      <w:r w:rsidRPr="001B348F">
        <w:rPr>
          <w:rFonts w:ascii="Arial" w:eastAsia="Calibri" w:hAnsi="Arial" w:cs="Arial"/>
          <w:b/>
          <w:i/>
          <w:iCs/>
          <w:sz w:val="22"/>
          <w:szCs w:val="22"/>
          <w:lang w:val="en-US" w:eastAsia="en-US"/>
        </w:rPr>
        <w:t>2378/105/2009</w:t>
      </w:r>
      <w:r w:rsidRPr="001B348F">
        <w:rPr>
          <w:rFonts w:ascii="Arial" w:eastAsia="Calibri" w:hAnsi="Arial" w:cs="Arial"/>
          <w:b/>
          <w:iCs/>
          <w:sz w:val="22"/>
          <w:szCs w:val="22"/>
          <w:lang w:val="en-US" w:eastAsia="en-US"/>
        </w:rPr>
        <w:t xml:space="preserve"> – Tribunalul Prahova</w:t>
      </w:r>
      <w:r w:rsidRPr="00D66B33">
        <w:rPr>
          <w:rFonts w:ascii="Arial" w:eastAsia="Calibri" w:hAnsi="Arial" w:cs="Arial"/>
          <w:iCs/>
          <w:sz w:val="22"/>
          <w:szCs w:val="22"/>
          <w:lang w:val="en-US" w:eastAsia="en-US"/>
        </w:rPr>
        <w:t xml:space="preserve"> </w:t>
      </w:r>
      <w:r w:rsidRPr="00D66B33">
        <w:rPr>
          <w:rFonts w:ascii="Arial" w:eastAsia="Calibri" w:hAnsi="Arial" w:cs="Arial"/>
          <w:bCs/>
          <w:sz w:val="22"/>
          <w:szCs w:val="22"/>
          <w:lang w:val="it-IT" w:eastAsia="en-US"/>
        </w:rPr>
        <w:t>– în curs de soluționare.</w:t>
      </w:r>
    </w:p>
    <w:p w:rsidR="00D5561F" w:rsidRPr="00D66B33" w:rsidRDefault="00D5561F" w:rsidP="00D5561F">
      <w:pPr>
        <w:spacing w:line="276" w:lineRule="auto"/>
        <w:jc w:val="both"/>
        <w:rPr>
          <w:rFonts w:ascii="Arial" w:eastAsia="Calibri" w:hAnsi="Arial" w:cs="Arial"/>
          <w:bCs/>
          <w:sz w:val="22"/>
          <w:szCs w:val="22"/>
          <w:lang w:val="it-IT" w:eastAsia="en-US"/>
        </w:rPr>
      </w:pPr>
      <w:r w:rsidRPr="004A240F">
        <w:rPr>
          <w:rFonts w:ascii="Arial" w:eastAsia="Calibri" w:hAnsi="Arial" w:cs="Arial"/>
          <w:b/>
          <w:bCs/>
          <w:sz w:val="22"/>
          <w:szCs w:val="22"/>
          <w:lang w:val="it-IT" w:eastAsia="en-US"/>
        </w:rPr>
        <w:t>Stadiu</w:t>
      </w:r>
      <w:r w:rsidRPr="00D66B33">
        <w:rPr>
          <w:rFonts w:ascii="Arial" w:eastAsia="Calibri" w:hAnsi="Arial" w:cs="Arial"/>
          <w:bCs/>
          <w:sz w:val="22"/>
          <w:szCs w:val="22"/>
          <w:lang w:val="it-IT" w:eastAsia="en-US"/>
        </w:rPr>
        <w:t xml:space="preserve">: Recurs </w:t>
      </w:r>
    </w:p>
    <w:p w:rsidR="00D5561F" w:rsidRPr="00D66B33" w:rsidRDefault="00D5561F" w:rsidP="00D5561F">
      <w:pPr>
        <w:widowControl/>
        <w:autoSpaceDE/>
        <w:autoSpaceDN/>
        <w:adjustRightInd/>
        <w:spacing w:line="276" w:lineRule="auto"/>
        <w:jc w:val="both"/>
        <w:rPr>
          <w:rFonts w:ascii="Arial" w:eastAsia="Calibri" w:hAnsi="Arial" w:cs="Arial"/>
          <w:sz w:val="22"/>
          <w:szCs w:val="22"/>
          <w:lang w:val="en-US" w:eastAsia="en-US"/>
        </w:rPr>
      </w:pPr>
      <w:r w:rsidRPr="00D66B33">
        <w:rPr>
          <w:rFonts w:ascii="Arial" w:eastAsia="Calibri" w:hAnsi="Arial" w:cs="Arial"/>
          <w:sz w:val="22"/>
          <w:szCs w:val="22"/>
          <w:lang w:val="en-US" w:eastAsia="en-US"/>
        </w:rPr>
        <w:t>Prin Sentința nr.</w:t>
      </w:r>
      <w:r>
        <w:rPr>
          <w:rFonts w:ascii="Arial" w:eastAsia="Calibri" w:hAnsi="Arial" w:cs="Arial"/>
          <w:sz w:val="22"/>
          <w:szCs w:val="22"/>
          <w:lang w:val="en-US" w:eastAsia="en-US"/>
        </w:rPr>
        <w:t xml:space="preserve"> </w:t>
      </w:r>
      <w:r w:rsidRPr="00D66B33">
        <w:rPr>
          <w:rFonts w:ascii="Arial" w:eastAsia="Calibri" w:hAnsi="Arial" w:cs="Arial"/>
          <w:sz w:val="22"/>
          <w:szCs w:val="22"/>
          <w:lang w:val="en-US" w:eastAsia="en-US"/>
        </w:rPr>
        <w:t xml:space="preserve">5872/18.12.2017, Tribunalul Prahova a respins  acţiunea reclamantului Cojocaru Irinel </w:t>
      </w:r>
      <w:r w:rsidRPr="00D66B33">
        <w:rPr>
          <w:rFonts w:ascii="Arial" w:eastAsia="Calibri" w:hAnsi="Arial" w:cs="Arial"/>
          <w:iCs/>
          <w:sz w:val="22"/>
          <w:szCs w:val="22"/>
          <w:lang w:val="en-US" w:eastAsia="en-US"/>
        </w:rPr>
        <w:t>privind revendicarea suprafeței de</w:t>
      </w:r>
      <w:r w:rsidRPr="00D66B33">
        <w:rPr>
          <w:rFonts w:ascii="Arial" w:eastAsia="Calibri" w:hAnsi="Arial" w:cs="Arial"/>
          <w:b/>
          <w:iCs/>
          <w:sz w:val="22"/>
          <w:szCs w:val="22"/>
          <w:lang w:val="en-US" w:eastAsia="en-US"/>
        </w:rPr>
        <w:t xml:space="preserve">  </w:t>
      </w:r>
      <w:r w:rsidRPr="00D66B33">
        <w:rPr>
          <w:rFonts w:ascii="Arial" w:eastAsia="Calibri" w:hAnsi="Arial" w:cs="Arial"/>
          <w:sz w:val="22"/>
          <w:szCs w:val="22"/>
          <w:lang w:val="en-US" w:eastAsia="en-US"/>
        </w:rPr>
        <w:t xml:space="preserve">2.500 mp din terenul proprietatea CONPET S.A., ca neîntemeiată. Hotărârea </w:t>
      </w:r>
      <w:r>
        <w:rPr>
          <w:rFonts w:ascii="Arial" w:eastAsia="Calibri" w:hAnsi="Arial" w:cs="Arial"/>
          <w:sz w:val="22"/>
          <w:szCs w:val="22"/>
          <w:lang w:val="en-US" w:eastAsia="en-US"/>
        </w:rPr>
        <w:t>a fost</w:t>
      </w:r>
      <w:r w:rsidRPr="00D66B33">
        <w:rPr>
          <w:rFonts w:ascii="Arial" w:eastAsia="Calibri" w:hAnsi="Arial" w:cs="Arial"/>
          <w:sz w:val="22"/>
          <w:szCs w:val="22"/>
          <w:lang w:val="en-US" w:eastAsia="en-US"/>
        </w:rPr>
        <w:t xml:space="preserve"> atacată cu recurs d</w:t>
      </w:r>
      <w:r>
        <w:rPr>
          <w:rFonts w:ascii="Arial" w:eastAsia="Calibri" w:hAnsi="Arial" w:cs="Arial"/>
          <w:sz w:val="22"/>
          <w:szCs w:val="22"/>
          <w:lang w:val="en-US" w:eastAsia="en-US"/>
        </w:rPr>
        <w:t>e Cojocaru Irinel</w:t>
      </w:r>
      <w:r w:rsidRPr="00D66B33">
        <w:rPr>
          <w:rFonts w:ascii="Arial" w:eastAsia="Calibri" w:hAnsi="Arial" w:cs="Arial"/>
          <w:sz w:val="22"/>
          <w:szCs w:val="22"/>
          <w:lang w:val="en-US" w:eastAsia="en-US"/>
        </w:rPr>
        <w:t xml:space="preserve">. </w:t>
      </w:r>
    </w:p>
    <w:p w:rsidR="00D5561F" w:rsidRPr="00D66B33" w:rsidRDefault="00D5561F" w:rsidP="00D5561F">
      <w:pPr>
        <w:spacing w:after="160" w:line="276" w:lineRule="auto"/>
        <w:ind w:left="720"/>
        <w:contextualSpacing/>
        <w:jc w:val="both"/>
        <w:rPr>
          <w:rFonts w:ascii="Arial" w:eastAsia="Calibri" w:hAnsi="Arial" w:cs="Arial"/>
          <w:b/>
          <w:bCs/>
          <w:sz w:val="22"/>
          <w:szCs w:val="22"/>
          <w:lang w:val="it-IT" w:eastAsia="en-US"/>
        </w:rPr>
      </w:pPr>
    </w:p>
    <w:p w:rsidR="00D5561F" w:rsidRPr="00D66B33" w:rsidRDefault="004A240F" w:rsidP="00D5561F">
      <w:pPr>
        <w:widowControl/>
        <w:autoSpaceDE/>
        <w:autoSpaceDN/>
        <w:adjustRightInd/>
        <w:spacing w:line="276" w:lineRule="auto"/>
        <w:jc w:val="both"/>
        <w:rPr>
          <w:rFonts w:ascii="Arial" w:eastAsia="Calibri" w:hAnsi="Arial" w:cs="Arial"/>
          <w:b/>
          <w:i/>
          <w:sz w:val="22"/>
          <w:szCs w:val="22"/>
          <w:lang w:val="it-IT" w:eastAsia="en-US"/>
        </w:rPr>
      </w:pPr>
      <w:r>
        <w:rPr>
          <w:rFonts w:ascii="Arial" w:eastAsia="Calibri" w:hAnsi="Arial" w:cs="Arial"/>
          <w:b/>
          <w:i/>
          <w:sz w:val="22"/>
          <w:szCs w:val="22"/>
          <w:lang w:val="it-IT" w:eastAsia="en-US"/>
        </w:rPr>
        <w:t>b)</w:t>
      </w:r>
      <w:r w:rsidR="00D5561F" w:rsidRPr="00D66B33">
        <w:rPr>
          <w:rFonts w:ascii="Arial" w:eastAsia="Calibri" w:hAnsi="Arial" w:cs="Arial"/>
          <w:b/>
          <w:i/>
          <w:sz w:val="22"/>
          <w:szCs w:val="22"/>
          <w:lang w:val="it-IT" w:eastAsia="en-US"/>
        </w:rPr>
        <w:t xml:space="preserve">  Litigii în legătură cu pretențiile proprietarilor de terenuri tranzitate de Sistemul Nați</w:t>
      </w:r>
      <w:r w:rsidR="007D26EA">
        <w:rPr>
          <w:rFonts w:ascii="Arial" w:eastAsia="Calibri" w:hAnsi="Arial" w:cs="Arial"/>
          <w:b/>
          <w:i/>
          <w:sz w:val="22"/>
          <w:szCs w:val="22"/>
          <w:lang w:val="it-IT" w:eastAsia="en-US"/>
        </w:rPr>
        <w:t>onal de Transport al Petrolului</w:t>
      </w:r>
      <w:r w:rsidR="00D5561F" w:rsidRPr="00D66B33">
        <w:rPr>
          <w:rFonts w:ascii="Arial" w:eastAsia="Calibri" w:hAnsi="Arial" w:cs="Arial"/>
          <w:b/>
          <w:i/>
          <w:sz w:val="22"/>
          <w:szCs w:val="22"/>
          <w:lang w:val="it-IT" w:eastAsia="en-US"/>
        </w:rPr>
        <w:t xml:space="preserve"> </w:t>
      </w:r>
    </w:p>
    <w:p w:rsidR="00D5561F" w:rsidRPr="00666FD5" w:rsidRDefault="00D5561F" w:rsidP="00D5561F">
      <w:pPr>
        <w:spacing w:line="276" w:lineRule="auto"/>
        <w:jc w:val="both"/>
        <w:rPr>
          <w:rFonts w:ascii="Arial" w:eastAsia="Calibri" w:hAnsi="Arial" w:cs="Arial"/>
          <w:b/>
          <w:sz w:val="22"/>
          <w:szCs w:val="22"/>
          <w:lang w:val="it-IT" w:eastAsia="en-US"/>
        </w:rPr>
      </w:pPr>
      <w:r w:rsidRPr="00666FD5">
        <w:rPr>
          <w:rFonts w:ascii="Arial" w:eastAsia="Calibri" w:hAnsi="Arial" w:cs="Arial"/>
          <w:sz w:val="22"/>
          <w:szCs w:val="22"/>
          <w:lang w:val="it-IT" w:eastAsia="en-US"/>
        </w:rPr>
        <w:t xml:space="preserve">La data de </w:t>
      </w:r>
      <w:r>
        <w:rPr>
          <w:rFonts w:ascii="Arial" w:eastAsia="Calibri" w:hAnsi="Arial" w:cs="Arial"/>
          <w:sz w:val="22"/>
          <w:szCs w:val="22"/>
          <w:lang w:val="it-IT" w:eastAsia="en-US"/>
        </w:rPr>
        <w:t>30.06</w:t>
      </w:r>
      <w:r w:rsidRPr="00666FD5">
        <w:rPr>
          <w:rFonts w:ascii="Arial" w:eastAsia="Calibri" w:hAnsi="Arial" w:cs="Arial"/>
          <w:sz w:val="22"/>
          <w:szCs w:val="22"/>
          <w:lang w:val="it-IT" w:eastAsia="en-US"/>
        </w:rPr>
        <w:t xml:space="preserve">.2018 CONPET S.A. avea pe rolul instanțelor de judecată un număr de 16 dosare în diferite stadii procesuale, având ca obiect pretențiile proprietarilor de terenuri legate de lipsa de folosință a terenurilor proprietate tranzitate de conductele magistrale componente ale Sistemului Național de Transport al Petrolului. Dintre acestea enumerăm un număr de 8 cauze pe care le apreciem ca fiind importante sub aspectul cuantumului pretențiilor reclamanților și </w:t>
      </w:r>
      <w:r w:rsidRPr="00666FD5">
        <w:rPr>
          <w:rFonts w:ascii="Arial" w:eastAsia="Calibri" w:hAnsi="Arial" w:cs="Arial"/>
          <w:sz w:val="22"/>
          <w:szCs w:val="22"/>
          <w:lang w:val="it-IT" w:eastAsia="en-US"/>
        </w:rPr>
        <w:lastRenderedPageBreak/>
        <w:t>reprezentative prin conținutul juridic al cererilor de chemare în judecată (restul cauzelor repetând</w:t>
      </w:r>
      <w:r w:rsidRPr="00666FD5">
        <w:rPr>
          <w:rFonts w:eastAsia="Calibri"/>
          <w:sz w:val="24"/>
          <w:szCs w:val="24"/>
          <w:lang w:val="it-IT" w:eastAsia="en-US"/>
        </w:rPr>
        <w:t xml:space="preserve"> </w:t>
      </w:r>
      <w:r w:rsidRPr="00666FD5">
        <w:rPr>
          <w:rFonts w:ascii="Arial" w:eastAsia="Calibri" w:hAnsi="Arial" w:cs="Arial"/>
          <w:sz w:val="22"/>
          <w:szCs w:val="22"/>
          <w:lang w:val="it-IT" w:eastAsia="en-US"/>
        </w:rPr>
        <w:t>în linii mari unele din tipurile de acțiuni în justiție prezentate mai jos):</w:t>
      </w:r>
    </w:p>
    <w:p w:rsidR="00E46854" w:rsidRPr="00D66B33" w:rsidRDefault="00E46854" w:rsidP="00D5561F">
      <w:pPr>
        <w:widowControl/>
        <w:autoSpaceDE/>
        <w:autoSpaceDN/>
        <w:adjustRightInd/>
        <w:spacing w:line="276" w:lineRule="auto"/>
        <w:jc w:val="both"/>
        <w:rPr>
          <w:rFonts w:ascii="Arial" w:eastAsia="Calibri" w:hAnsi="Arial" w:cs="Arial"/>
          <w:b/>
          <w:i/>
          <w:sz w:val="22"/>
          <w:szCs w:val="22"/>
          <w:lang w:val="it-IT" w:eastAsia="en-US"/>
        </w:rPr>
      </w:pPr>
    </w:p>
    <w:p w:rsidR="00D5561F" w:rsidRPr="007D26EA" w:rsidRDefault="00D5561F" w:rsidP="00170D7E">
      <w:pPr>
        <w:pStyle w:val="ListParagraph"/>
        <w:numPr>
          <w:ilvl w:val="0"/>
          <w:numId w:val="34"/>
        </w:numPr>
        <w:spacing w:after="160"/>
        <w:jc w:val="both"/>
        <w:rPr>
          <w:rFonts w:ascii="Arial" w:hAnsi="Arial" w:cs="Arial"/>
          <w:lang w:val="en-US"/>
        </w:rPr>
      </w:pPr>
      <w:r w:rsidRPr="007D26EA">
        <w:rPr>
          <w:rFonts w:ascii="Arial" w:hAnsi="Arial" w:cs="Arial"/>
          <w:b/>
          <w:i/>
          <w:lang w:val="en-US"/>
        </w:rPr>
        <w:t>Dosarul nr. 3451/108/2016*</w:t>
      </w:r>
      <w:r w:rsidRPr="007D26EA">
        <w:rPr>
          <w:rFonts w:ascii="Arial" w:hAnsi="Arial" w:cs="Arial"/>
          <w:b/>
          <w:lang w:val="en-US"/>
        </w:rPr>
        <w:t xml:space="preserve"> </w:t>
      </w:r>
      <w:r w:rsidRPr="007D26EA">
        <w:rPr>
          <w:rFonts w:ascii="Arial" w:hAnsi="Arial" w:cs="Arial"/>
          <w:b/>
        </w:rPr>
        <w:t xml:space="preserve">Înalta Curte de Casație și Justiție </w:t>
      </w:r>
      <w:r w:rsidRPr="007D26EA">
        <w:rPr>
          <w:rFonts w:ascii="Arial" w:hAnsi="Arial" w:cs="Arial"/>
          <w:lang w:val="en-US"/>
        </w:rPr>
        <w:t>– în curs de soluționare</w:t>
      </w:r>
    </w:p>
    <w:p w:rsidR="00D5561F" w:rsidRPr="00D66B33" w:rsidRDefault="00D5561F" w:rsidP="00D5561F">
      <w:pPr>
        <w:widowControl/>
        <w:autoSpaceDE/>
        <w:autoSpaceDN/>
        <w:adjustRightInd/>
        <w:spacing w:line="276" w:lineRule="auto"/>
        <w:jc w:val="both"/>
        <w:rPr>
          <w:rFonts w:ascii="Arial" w:eastAsia="Calibri" w:hAnsi="Arial" w:cs="Arial"/>
          <w:sz w:val="22"/>
          <w:szCs w:val="22"/>
          <w:lang w:val="en-US" w:eastAsia="en-US"/>
        </w:rPr>
      </w:pPr>
      <w:r w:rsidRPr="004A240F">
        <w:rPr>
          <w:rFonts w:ascii="Arial" w:eastAsia="Calibri" w:hAnsi="Arial" w:cs="Arial"/>
          <w:b/>
          <w:sz w:val="22"/>
          <w:szCs w:val="22"/>
          <w:lang w:val="it-IT" w:eastAsia="en-US"/>
        </w:rPr>
        <w:t>Stadiu</w:t>
      </w:r>
      <w:r w:rsidRPr="00D66B33">
        <w:rPr>
          <w:rFonts w:ascii="Arial" w:eastAsia="Calibri" w:hAnsi="Arial" w:cs="Arial"/>
          <w:sz w:val="22"/>
          <w:szCs w:val="22"/>
          <w:lang w:val="it-IT" w:eastAsia="en-US"/>
        </w:rPr>
        <w:t>: Recursul CONPET S.A. la Înalta Curte de Casație și Justiție</w:t>
      </w:r>
    </w:p>
    <w:p w:rsidR="00D5561F" w:rsidRPr="00D66B33" w:rsidRDefault="00D5561F" w:rsidP="00D5561F">
      <w:pPr>
        <w:widowControl/>
        <w:autoSpaceDE/>
        <w:autoSpaceDN/>
        <w:adjustRightInd/>
        <w:spacing w:after="160" w:line="276" w:lineRule="auto"/>
        <w:jc w:val="both"/>
        <w:rPr>
          <w:rFonts w:ascii="Arial" w:eastAsia="Calibri" w:hAnsi="Arial" w:cs="Arial"/>
          <w:sz w:val="22"/>
          <w:szCs w:val="22"/>
          <w:lang w:val="en-US" w:eastAsia="en-US"/>
        </w:rPr>
      </w:pPr>
      <w:r w:rsidRPr="00D66B33">
        <w:rPr>
          <w:rFonts w:ascii="Arial" w:eastAsia="Calibri" w:hAnsi="Arial" w:cs="Arial"/>
          <w:sz w:val="22"/>
          <w:szCs w:val="22"/>
          <w:lang w:val="en-US" w:eastAsia="en-US"/>
        </w:rPr>
        <w:t xml:space="preserve">Prin Decizia nr. 761/23.11.2017 Curtea de Apel Timișoara admite apelul reclamantei U.A.T. Pecica, jud. Arad, anulează sentinţa apelată şi </w:t>
      </w:r>
      <w:r w:rsidR="007D26EA">
        <w:rPr>
          <w:rFonts w:ascii="Arial" w:eastAsia="Calibri" w:hAnsi="Arial" w:cs="Arial"/>
          <w:sz w:val="22"/>
          <w:szCs w:val="22"/>
          <w:lang w:val="en-US" w:eastAsia="en-US"/>
        </w:rPr>
        <w:t>r</w:t>
      </w:r>
      <w:r>
        <w:rPr>
          <w:rFonts w:ascii="Arial" w:eastAsia="Calibri" w:hAnsi="Arial" w:cs="Arial"/>
          <w:sz w:val="22"/>
          <w:szCs w:val="22"/>
          <w:lang w:val="en-US" w:eastAsia="en-US"/>
        </w:rPr>
        <w:t>em</w:t>
      </w:r>
      <w:r w:rsidRPr="00D66B33">
        <w:rPr>
          <w:rFonts w:ascii="Arial" w:eastAsia="Calibri" w:hAnsi="Arial" w:cs="Arial"/>
          <w:sz w:val="22"/>
          <w:szCs w:val="22"/>
          <w:lang w:val="en-US" w:eastAsia="en-US"/>
        </w:rPr>
        <w:t>ite cauza spre rejudecare la Tribunalul Arad. Decizia nr. 761/23.11.2017 a fost atacată cu recurs de CONPET S.A. la Înalta Curte de Casație și Justiție.</w:t>
      </w:r>
    </w:p>
    <w:p w:rsidR="00D5561F" w:rsidRDefault="00D5561F" w:rsidP="00D5561F">
      <w:pPr>
        <w:widowControl/>
        <w:autoSpaceDE/>
        <w:autoSpaceDN/>
        <w:adjustRightInd/>
        <w:spacing w:line="276" w:lineRule="auto"/>
        <w:jc w:val="both"/>
        <w:rPr>
          <w:rFonts w:ascii="Arial" w:eastAsia="Calibri" w:hAnsi="Arial" w:cs="Arial"/>
          <w:sz w:val="22"/>
          <w:szCs w:val="22"/>
          <w:lang w:val="en-US" w:eastAsia="en-US"/>
        </w:rPr>
      </w:pPr>
      <w:r w:rsidRPr="004A240F">
        <w:rPr>
          <w:rFonts w:ascii="Arial" w:eastAsia="Calibri" w:hAnsi="Arial" w:cs="Arial"/>
          <w:b/>
          <w:sz w:val="22"/>
          <w:szCs w:val="22"/>
          <w:lang w:val="en-US" w:eastAsia="en-US"/>
        </w:rPr>
        <w:t>Precizări</w:t>
      </w:r>
      <w:r w:rsidRPr="00D66B33">
        <w:rPr>
          <w:rFonts w:ascii="Arial" w:eastAsia="Calibri" w:hAnsi="Arial" w:cs="Arial"/>
          <w:sz w:val="22"/>
          <w:szCs w:val="22"/>
          <w:lang w:val="en-US" w:eastAsia="en-US"/>
        </w:rPr>
        <w:t>: U.A.T. a orașului Pecica a formulat cerere de chemare în judecată prin care a solicitat obligarea pârâtei CONPET S.A. să devieze conducta de țiței care traversează un număr de 22 parcele de teren intravilan, destinat construirii de locuințe să achite suma de 65.000 de euro reprezentând contravaloarea casei situată în parcela nr.A141.7760/5/174, înscrisă în C.F. nr.306869, deoarece aceasta nu mai poate fi valorificată, plata unei rente anuale, pe durata existentei conductei, ca urmare grev</w:t>
      </w:r>
      <w:r w:rsidR="007D26EA">
        <w:rPr>
          <w:rFonts w:ascii="Arial" w:eastAsia="Calibri" w:hAnsi="Arial" w:cs="Arial"/>
          <w:sz w:val="22"/>
          <w:szCs w:val="22"/>
          <w:lang w:val="en-US" w:eastAsia="en-US"/>
        </w:rPr>
        <w:t>ă</w:t>
      </w:r>
      <w:r w:rsidRPr="00D66B33">
        <w:rPr>
          <w:rFonts w:ascii="Arial" w:eastAsia="Calibri" w:hAnsi="Arial" w:cs="Arial"/>
          <w:sz w:val="22"/>
          <w:szCs w:val="22"/>
          <w:lang w:val="en-US" w:eastAsia="en-US"/>
        </w:rPr>
        <w:t xml:space="preserve">rii suprafețelor arătate supra de dreptul de servitute legală exercitat de CONPET S și obligarea pârâtei CONPET S.A. la acordarea unor despagubiri pentru perioada 31.10.2014-31.05.2016 ca urmare a limitării atributelor dreptului de proprietate a celor 22 de parcele de teren intravilan și a scăderii valorii de circulație a terenului pe piața imobiliară din cauza restricțiilor impuse de Ordinul 196/2006 al A.N.R.M. cu privire la construcții. Totodată a solicitat obligarea pârâtei CONPET S.A. ca din 3 în 3 ani sa adapteze cuantumul despăgubirilor la valoarea de circulatie din acel moment a unor terenuri similare </w:t>
      </w:r>
      <w:r w:rsidR="007D26EA">
        <w:rPr>
          <w:rFonts w:ascii="Arial" w:eastAsia="Calibri" w:hAnsi="Arial" w:cs="Arial"/>
          <w:sz w:val="22"/>
          <w:szCs w:val="22"/>
          <w:lang w:val="en-US" w:eastAsia="en-US"/>
        </w:rPr>
        <w:t>ș</w:t>
      </w:r>
      <w:r w:rsidRPr="00D66B33">
        <w:rPr>
          <w:rFonts w:ascii="Arial" w:eastAsia="Calibri" w:hAnsi="Arial" w:cs="Arial"/>
          <w:sz w:val="22"/>
          <w:szCs w:val="22"/>
          <w:lang w:val="en-US" w:eastAsia="en-US"/>
        </w:rPr>
        <w:t>i a prevederilor viitoarelor ordine ale A.N.R.M.</w:t>
      </w:r>
    </w:p>
    <w:p w:rsidR="00D5561F" w:rsidRPr="00B52D72" w:rsidRDefault="00D5561F" w:rsidP="00D5561F">
      <w:pPr>
        <w:widowControl/>
        <w:autoSpaceDE/>
        <w:autoSpaceDN/>
        <w:adjustRightInd/>
        <w:jc w:val="both"/>
        <w:rPr>
          <w:rFonts w:ascii="Arial" w:eastAsia="Calibri" w:hAnsi="Arial" w:cs="Arial"/>
          <w:sz w:val="22"/>
          <w:szCs w:val="22"/>
          <w:lang w:val="en-US" w:eastAsia="en-US"/>
        </w:rPr>
      </w:pPr>
      <w:r w:rsidRPr="00B52D72">
        <w:rPr>
          <w:rFonts w:ascii="Arial" w:eastAsia="Calibri" w:hAnsi="Arial" w:cs="Arial"/>
          <w:sz w:val="22"/>
          <w:szCs w:val="22"/>
          <w:lang w:val="en-US" w:eastAsia="en-US"/>
        </w:rPr>
        <w:t>Prin R</w:t>
      </w:r>
      <w:r w:rsidR="007D26EA">
        <w:rPr>
          <w:rFonts w:ascii="Arial" w:eastAsia="Calibri" w:hAnsi="Arial" w:cs="Arial"/>
          <w:sz w:val="22"/>
          <w:szCs w:val="22"/>
          <w:lang w:val="en-US" w:eastAsia="en-US"/>
        </w:rPr>
        <w:t>aportul din data de 07.06.2018 Î</w:t>
      </w:r>
      <w:r w:rsidRPr="00B52D72">
        <w:rPr>
          <w:rFonts w:ascii="Arial" w:eastAsia="Calibri" w:hAnsi="Arial" w:cs="Arial"/>
          <w:sz w:val="22"/>
          <w:szCs w:val="22"/>
          <w:lang w:val="en-US" w:eastAsia="en-US"/>
        </w:rPr>
        <w:t>nalta Curte de C</w:t>
      </w:r>
      <w:r w:rsidRPr="00B52D72">
        <w:rPr>
          <w:rFonts w:ascii="Arial" w:eastAsia="Calibri" w:hAnsi="Arial" w:cs="Arial"/>
          <w:sz w:val="22"/>
          <w:szCs w:val="22"/>
          <w:lang w:eastAsia="en-US"/>
        </w:rPr>
        <w:t>asație și Justiție a constatat inadmisibilitatea recursului Conpet, acesta fiind promovat împotriva unei hotărâri definitive, care nu se înscrie în ipoteza reglementată de art. 483 alin. 1 Cod procedură civilă. Părțile pot depune, în scris, un punct de vedere asupra raportului după comunicarea acestuia.</w:t>
      </w:r>
    </w:p>
    <w:p w:rsidR="00D5561F" w:rsidRPr="00B52D72" w:rsidRDefault="00D5561F" w:rsidP="00D5561F">
      <w:pPr>
        <w:widowControl/>
        <w:autoSpaceDE/>
        <w:autoSpaceDN/>
        <w:adjustRightInd/>
        <w:jc w:val="both"/>
        <w:rPr>
          <w:rFonts w:ascii="Arial" w:eastAsia="Calibri" w:hAnsi="Arial" w:cs="Arial"/>
          <w:sz w:val="22"/>
          <w:szCs w:val="22"/>
          <w:lang w:val="en-US" w:eastAsia="en-US"/>
        </w:rPr>
      </w:pPr>
      <w:r w:rsidRPr="00B52D72">
        <w:rPr>
          <w:rFonts w:ascii="Arial" w:hAnsi="Arial" w:cs="Arial"/>
          <w:b/>
          <w:sz w:val="22"/>
          <w:szCs w:val="22"/>
          <w:lang w:val="en-US" w:eastAsia="en-US"/>
        </w:rPr>
        <w:t>Termen:</w:t>
      </w:r>
      <w:r w:rsidRPr="00B52D72">
        <w:rPr>
          <w:rFonts w:ascii="Arial" w:hAnsi="Arial" w:cs="Arial"/>
          <w:sz w:val="22"/>
          <w:szCs w:val="22"/>
          <w:lang w:val="en-US" w:eastAsia="en-US"/>
        </w:rPr>
        <w:t xml:space="preserve"> Complet de filtru </w:t>
      </w:r>
    </w:p>
    <w:p w:rsidR="00D5561F" w:rsidRPr="00D66B33" w:rsidRDefault="00D5561F" w:rsidP="00D5561F">
      <w:pPr>
        <w:widowControl/>
        <w:autoSpaceDE/>
        <w:autoSpaceDN/>
        <w:adjustRightInd/>
        <w:spacing w:line="276" w:lineRule="auto"/>
        <w:jc w:val="both"/>
        <w:rPr>
          <w:rFonts w:ascii="Arial" w:eastAsia="Calibri" w:hAnsi="Arial" w:cs="Arial"/>
          <w:sz w:val="22"/>
          <w:szCs w:val="22"/>
          <w:lang w:val="en-US" w:eastAsia="en-US"/>
        </w:rPr>
      </w:pPr>
    </w:p>
    <w:p w:rsidR="00D5561F" w:rsidRPr="007D26EA" w:rsidRDefault="00D5561F" w:rsidP="00170D7E">
      <w:pPr>
        <w:pStyle w:val="ListParagraph"/>
        <w:numPr>
          <w:ilvl w:val="0"/>
          <w:numId w:val="34"/>
        </w:numPr>
        <w:spacing w:after="160"/>
        <w:jc w:val="both"/>
        <w:rPr>
          <w:rFonts w:ascii="Arial" w:hAnsi="Arial" w:cs="Arial"/>
          <w:lang w:val="en-US"/>
        </w:rPr>
      </w:pPr>
      <w:r w:rsidRPr="007D26EA">
        <w:rPr>
          <w:rFonts w:ascii="Arial" w:hAnsi="Arial" w:cs="Arial"/>
          <w:b/>
          <w:i/>
          <w:lang w:val="en-US"/>
        </w:rPr>
        <w:t>Dosar nr. 1372/212/2017</w:t>
      </w:r>
      <w:r w:rsidRPr="007D26EA">
        <w:rPr>
          <w:rFonts w:ascii="Arial" w:hAnsi="Arial" w:cs="Arial"/>
          <w:b/>
          <w:lang w:val="en-US"/>
        </w:rPr>
        <w:t xml:space="preserve"> – Judecătoria Constanța</w:t>
      </w:r>
      <w:r w:rsidRPr="007D26EA">
        <w:rPr>
          <w:rFonts w:ascii="Arial" w:hAnsi="Arial" w:cs="Arial"/>
          <w:lang w:val="en-US"/>
        </w:rPr>
        <w:t xml:space="preserve"> – în curs de soluționare</w:t>
      </w:r>
    </w:p>
    <w:p w:rsidR="00D5561F" w:rsidRPr="00D66B33" w:rsidRDefault="00D5561F" w:rsidP="00D5561F">
      <w:pPr>
        <w:widowControl/>
        <w:autoSpaceDE/>
        <w:autoSpaceDN/>
        <w:adjustRightInd/>
        <w:spacing w:line="276" w:lineRule="auto"/>
        <w:jc w:val="both"/>
        <w:rPr>
          <w:rFonts w:ascii="Arial" w:eastAsia="Calibri" w:hAnsi="Arial" w:cs="Arial"/>
          <w:sz w:val="22"/>
          <w:szCs w:val="22"/>
          <w:lang w:val="it-IT" w:eastAsia="en-US"/>
        </w:rPr>
      </w:pPr>
      <w:r w:rsidRPr="004A240F">
        <w:rPr>
          <w:rFonts w:ascii="Arial" w:eastAsia="Calibri" w:hAnsi="Arial" w:cs="Arial"/>
          <w:b/>
          <w:sz w:val="22"/>
          <w:szCs w:val="22"/>
          <w:lang w:val="it-IT" w:eastAsia="en-US"/>
        </w:rPr>
        <w:t>Stadiu:</w:t>
      </w:r>
      <w:r w:rsidRPr="00D66B33">
        <w:rPr>
          <w:rFonts w:ascii="Arial" w:eastAsia="Calibri" w:hAnsi="Arial" w:cs="Arial"/>
          <w:sz w:val="22"/>
          <w:szCs w:val="22"/>
          <w:lang w:val="it-IT" w:eastAsia="en-US"/>
        </w:rPr>
        <w:t xml:space="preserve"> Fond</w:t>
      </w:r>
    </w:p>
    <w:p w:rsidR="00D5561F" w:rsidRPr="00D66B33" w:rsidRDefault="00D5561F" w:rsidP="00D5561F">
      <w:pPr>
        <w:widowControl/>
        <w:autoSpaceDE/>
        <w:autoSpaceDN/>
        <w:adjustRightInd/>
        <w:spacing w:after="160" w:line="276" w:lineRule="auto"/>
        <w:jc w:val="both"/>
        <w:rPr>
          <w:rFonts w:ascii="Arial" w:eastAsia="Calibri" w:hAnsi="Arial" w:cs="Arial"/>
          <w:sz w:val="22"/>
          <w:szCs w:val="22"/>
          <w:lang w:val="en-US" w:eastAsia="en-US"/>
        </w:rPr>
      </w:pPr>
      <w:r w:rsidRPr="00D66B33">
        <w:rPr>
          <w:rFonts w:ascii="Arial" w:eastAsia="Calibri" w:hAnsi="Arial" w:cs="Arial"/>
          <w:sz w:val="22"/>
          <w:szCs w:val="22"/>
          <w:lang w:val="en-US" w:eastAsia="en-US"/>
        </w:rPr>
        <w:t>Cruceanu Alin Florinel a chemat în judecată CONPET S.A. solicitând instanței să dispună  obligarea Conpet S</w:t>
      </w:r>
      <w:r w:rsidR="00C8051D">
        <w:rPr>
          <w:rFonts w:ascii="Arial" w:eastAsia="Calibri" w:hAnsi="Arial" w:cs="Arial"/>
          <w:sz w:val="22"/>
          <w:szCs w:val="22"/>
          <w:lang w:val="en-US" w:eastAsia="en-US"/>
        </w:rPr>
        <w:t>.</w:t>
      </w:r>
      <w:r w:rsidRPr="00D66B33">
        <w:rPr>
          <w:rFonts w:ascii="Arial" w:eastAsia="Calibri" w:hAnsi="Arial" w:cs="Arial"/>
          <w:sz w:val="22"/>
          <w:szCs w:val="22"/>
          <w:lang w:val="en-US" w:eastAsia="en-US"/>
        </w:rPr>
        <w:t>A</w:t>
      </w:r>
      <w:r w:rsidR="00C8051D">
        <w:rPr>
          <w:rFonts w:ascii="Arial" w:eastAsia="Calibri" w:hAnsi="Arial" w:cs="Arial"/>
          <w:sz w:val="22"/>
          <w:szCs w:val="22"/>
          <w:lang w:val="en-US" w:eastAsia="en-US"/>
        </w:rPr>
        <w:t>.</w:t>
      </w:r>
      <w:r w:rsidRPr="00D66B33">
        <w:rPr>
          <w:rFonts w:ascii="Arial" w:eastAsia="Calibri" w:hAnsi="Arial" w:cs="Arial"/>
          <w:sz w:val="22"/>
          <w:szCs w:val="22"/>
          <w:lang w:val="en-US" w:eastAsia="en-US"/>
        </w:rPr>
        <w:t xml:space="preserve"> la plata de despăgubiri egale cu contravaloarea de piață a imobilului teren în suprafață de 460 mp situat în comuna Lazu, str. Luceafărului nr. 29, județul Constanța și a imobilului teren în suprafață de 460 mp situate în comuna Lazu, str. Luceafărului nr. 31, județul Constanța, contravaloarea apreciată la suma de 30.000 euro, echivalentul în lei 134.700;  obligarea Conpet S</w:t>
      </w:r>
      <w:r w:rsidR="00C8051D">
        <w:rPr>
          <w:rFonts w:ascii="Arial" w:eastAsia="Calibri" w:hAnsi="Arial" w:cs="Arial"/>
          <w:sz w:val="22"/>
          <w:szCs w:val="22"/>
          <w:lang w:val="en-US" w:eastAsia="en-US"/>
        </w:rPr>
        <w:t>.</w:t>
      </w:r>
      <w:r w:rsidRPr="00D66B33">
        <w:rPr>
          <w:rFonts w:ascii="Arial" w:eastAsia="Calibri" w:hAnsi="Arial" w:cs="Arial"/>
          <w:sz w:val="22"/>
          <w:szCs w:val="22"/>
          <w:lang w:val="en-US" w:eastAsia="en-US"/>
        </w:rPr>
        <w:t>A</w:t>
      </w:r>
      <w:r w:rsidR="00C8051D">
        <w:rPr>
          <w:rFonts w:ascii="Arial" w:eastAsia="Calibri" w:hAnsi="Arial" w:cs="Arial"/>
          <w:sz w:val="22"/>
          <w:szCs w:val="22"/>
          <w:lang w:val="en-US" w:eastAsia="en-US"/>
        </w:rPr>
        <w:t>.</w:t>
      </w:r>
      <w:r w:rsidRPr="00D66B33">
        <w:rPr>
          <w:rFonts w:ascii="Arial" w:eastAsia="Calibri" w:hAnsi="Arial" w:cs="Arial"/>
          <w:sz w:val="22"/>
          <w:szCs w:val="22"/>
          <w:lang w:val="en-US" w:eastAsia="en-US"/>
        </w:rPr>
        <w:t xml:space="preserve"> la plata contravalorii lipsei de folosință a terenurilor sub forma unei rente anuale pe ultimii </w:t>
      </w:r>
      <w:r>
        <w:rPr>
          <w:rFonts w:ascii="Arial" w:eastAsia="Calibri" w:hAnsi="Arial" w:cs="Arial"/>
          <w:sz w:val="22"/>
          <w:szCs w:val="22"/>
          <w:lang w:val="en-US" w:eastAsia="en-US"/>
        </w:rPr>
        <w:t xml:space="preserve">șase </w:t>
      </w:r>
      <w:r w:rsidRPr="00D66B33">
        <w:rPr>
          <w:rFonts w:ascii="Arial" w:eastAsia="Calibri" w:hAnsi="Arial" w:cs="Arial"/>
          <w:sz w:val="22"/>
          <w:szCs w:val="22"/>
          <w:lang w:val="en-US" w:eastAsia="en-US"/>
        </w:rPr>
        <w:t>ani; obligarea Conpet S</w:t>
      </w:r>
      <w:r w:rsidR="00C8051D">
        <w:rPr>
          <w:rFonts w:ascii="Arial" w:eastAsia="Calibri" w:hAnsi="Arial" w:cs="Arial"/>
          <w:sz w:val="22"/>
          <w:szCs w:val="22"/>
          <w:lang w:val="en-US" w:eastAsia="en-US"/>
        </w:rPr>
        <w:t>.</w:t>
      </w:r>
      <w:r w:rsidRPr="00D66B33">
        <w:rPr>
          <w:rFonts w:ascii="Arial" w:eastAsia="Calibri" w:hAnsi="Arial" w:cs="Arial"/>
          <w:sz w:val="22"/>
          <w:szCs w:val="22"/>
          <w:lang w:val="en-US" w:eastAsia="en-US"/>
        </w:rPr>
        <w:t>A</w:t>
      </w:r>
      <w:r w:rsidR="00C8051D">
        <w:rPr>
          <w:rFonts w:ascii="Arial" w:eastAsia="Calibri" w:hAnsi="Arial" w:cs="Arial"/>
          <w:sz w:val="22"/>
          <w:szCs w:val="22"/>
          <w:lang w:val="en-US" w:eastAsia="en-US"/>
        </w:rPr>
        <w:t>.</w:t>
      </w:r>
      <w:r w:rsidRPr="00D66B33">
        <w:rPr>
          <w:rFonts w:ascii="Arial" w:eastAsia="Calibri" w:hAnsi="Arial" w:cs="Arial"/>
          <w:sz w:val="22"/>
          <w:szCs w:val="22"/>
          <w:lang w:val="en-US" w:eastAsia="en-US"/>
        </w:rPr>
        <w:t xml:space="preserve"> la plata cheltuielilor de judecată ocazionate de soluționarea prezentei cereri. Ulterior, reclamantul și-a precizat acțiunea cu privire la cel de-al doilea capăt de cerere solicit</w:t>
      </w:r>
      <w:r w:rsidR="00C8051D">
        <w:rPr>
          <w:rFonts w:ascii="Arial" w:eastAsia="Calibri" w:hAnsi="Arial" w:cs="Arial"/>
          <w:sz w:val="22"/>
          <w:szCs w:val="22"/>
          <w:lang w:val="en-US" w:eastAsia="en-US"/>
        </w:rPr>
        <w:t>â</w:t>
      </w:r>
      <w:r w:rsidRPr="00D66B33">
        <w:rPr>
          <w:rFonts w:ascii="Arial" w:eastAsia="Calibri" w:hAnsi="Arial" w:cs="Arial"/>
          <w:sz w:val="22"/>
          <w:szCs w:val="22"/>
          <w:lang w:val="en-US" w:eastAsia="en-US"/>
        </w:rPr>
        <w:t>nd instanței obligarea Conpet S</w:t>
      </w:r>
      <w:r w:rsidR="00C8051D">
        <w:rPr>
          <w:rFonts w:ascii="Arial" w:eastAsia="Calibri" w:hAnsi="Arial" w:cs="Arial"/>
          <w:sz w:val="22"/>
          <w:szCs w:val="22"/>
          <w:lang w:val="en-US" w:eastAsia="en-US"/>
        </w:rPr>
        <w:t>.</w:t>
      </w:r>
      <w:r w:rsidRPr="00D66B33">
        <w:rPr>
          <w:rFonts w:ascii="Arial" w:eastAsia="Calibri" w:hAnsi="Arial" w:cs="Arial"/>
          <w:sz w:val="22"/>
          <w:szCs w:val="22"/>
          <w:lang w:val="en-US" w:eastAsia="en-US"/>
        </w:rPr>
        <w:t>A</w:t>
      </w:r>
      <w:r w:rsidR="00C8051D">
        <w:rPr>
          <w:rFonts w:ascii="Arial" w:eastAsia="Calibri" w:hAnsi="Arial" w:cs="Arial"/>
          <w:sz w:val="22"/>
          <w:szCs w:val="22"/>
          <w:lang w:val="en-US" w:eastAsia="en-US"/>
        </w:rPr>
        <w:t>.</w:t>
      </w:r>
      <w:r w:rsidRPr="00D66B33">
        <w:rPr>
          <w:rFonts w:ascii="Arial" w:eastAsia="Calibri" w:hAnsi="Arial" w:cs="Arial"/>
          <w:sz w:val="22"/>
          <w:szCs w:val="22"/>
          <w:lang w:val="en-US" w:eastAsia="en-US"/>
        </w:rPr>
        <w:t xml:space="preserve"> la plata sumei reprezentând lipsa de folosință a celor două imobile teren pentru perioada cuprinsă între 10.12.2015 și data rămânerii definitive a hotărârii prin care a fost admis primul capăt de cerere.</w:t>
      </w:r>
    </w:p>
    <w:p w:rsidR="00B108EF" w:rsidRDefault="00D5561F" w:rsidP="00D5561F">
      <w:pPr>
        <w:widowControl/>
        <w:autoSpaceDE/>
        <w:autoSpaceDN/>
        <w:adjustRightInd/>
        <w:spacing w:line="276" w:lineRule="auto"/>
        <w:jc w:val="both"/>
        <w:rPr>
          <w:rFonts w:ascii="Arial" w:eastAsia="Calibri" w:hAnsi="Arial" w:cs="Arial"/>
          <w:sz w:val="22"/>
          <w:szCs w:val="22"/>
          <w:lang w:val="it-IT" w:eastAsia="en-US"/>
        </w:rPr>
      </w:pPr>
      <w:r w:rsidRPr="00D66B33">
        <w:rPr>
          <w:rFonts w:ascii="Arial" w:eastAsia="Calibri" w:hAnsi="Arial" w:cs="Arial"/>
          <w:sz w:val="22"/>
          <w:szCs w:val="22"/>
          <w:lang w:val="en-US" w:eastAsia="en-US"/>
        </w:rPr>
        <w:t>Conpet a formulat cerere reconvențională prin care a solicitat o</w:t>
      </w:r>
      <w:r w:rsidRPr="00D66B33">
        <w:rPr>
          <w:rFonts w:ascii="Arial" w:eastAsia="Calibri" w:hAnsi="Arial" w:cs="Arial"/>
          <w:sz w:val="22"/>
          <w:szCs w:val="22"/>
          <w:lang w:val="it-IT" w:eastAsia="en-US"/>
        </w:rPr>
        <w:t xml:space="preserve">bligarea reclamanatului să permită societății CONPET S.A. exercițiul dreptului de servitute legală instituit de dispozițiile art. 7 și urm. din Legea nr. 238/2004 pe cele două terenuri aflate în proprietatea reclamantului </w:t>
      </w:r>
      <w:r w:rsidRPr="00D66B33">
        <w:rPr>
          <w:rFonts w:ascii="Arial" w:eastAsia="Calibri" w:hAnsi="Arial" w:cs="Arial"/>
          <w:sz w:val="22"/>
          <w:szCs w:val="22"/>
          <w:lang w:val="pt-BR" w:eastAsia="en-US"/>
        </w:rPr>
        <w:t>Cruceanu Alin Florinel,</w:t>
      </w:r>
      <w:r w:rsidRPr="00D66B33">
        <w:rPr>
          <w:rFonts w:ascii="Arial" w:eastAsia="Calibri" w:hAnsi="Arial" w:cs="Arial"/>
          <w:sz w:val="22"/>
          <w:szCs w:val="22"/>
          <w:lang w:val="it-IT" w:eastAsia="en-US"/>
        </w:rPr>
        <w:t xml:space="preserve"> situate în comuna Agigea, satul Lazu, str. Luceafărului nr. 29 respectiv 31, jud. Constanța. Exercițiul dreptului de servitute legală urmează să se facă pe un culoar de 2,4 metri lățime amplasat de-a lungul conductei magistrale de transport a țițeiului </w:t>
      </w:r>
      <w:r w:rsidRPr="00D66B33">
        <w:rPr>
          <w:rFonts w:ascii="Arial" w:eastAsia="Calibri" w:hAnsi="Arial" w:cs="Arial"/>
          <w:sz w:val="22"/>
          <w:szCs w:val="22"/>
          <w:lang w:val="en-US" w:eastAsia="en-US"/>
        </w:rPr>
        <w:t>Ø 20 ˝ Constanța-</w:t>
      </w:r>
      <w:r w:rsidRPr="00D66B33">
        <w:rPr>
          <w:rFonts w:ascii="Arial" w:eastAsia="Calibri" w:hAnsi="Arial" w:cs="Arial"/>
          <w:sz w:val="22"/>
          <w:szCs w:val="22"/>
          <w:lang w:val="en-US" w:eastAsia="en-US"/>
        </w:rPr>
        <w:lastRenderedPageBreak/>
        <w:t>Bărăganu î</w:t>
      </w:r>
      <w:r w:rsidRPr="00D66B33">
        <w:rPr>
          <w:rFonts w:ascii="Arial" w:eastAsia="Calibri" w:hAnsi="Arial" w:cs="Arial"/>
          <w:sz w:val="22"/>
          <w:szCs w:val="22"/>
          <w:lang w:val="it-IT" w:eastAsia="en-US"/>
        </w:rPr>
        <w:t xml:space="preserve">n scopul accesului permanent la conductă în vederea verificării zilnice a stării conductei și executării eventualelor lucrări de reparații și la stabilirea cuantumului rentei anuale </w:t>
      </w:r>
    </w:p>
    <w:p w:rsidR="00D5561F" w:rsidRDefault="00D5561F" w:rsidP="00D5561F">
      <w:pPr>
        <w:widowControl/>
        <w:autoSpaceDE/>
        <w:autoSpaceDN/>
        <w:adjustRightInd/>
        <w:spacing w:line="276" w:lineRule="auto"/>
        <w:jc w:val="both"/>
        <w:rPr>
          <w:rFonts w:ascii="Arial" w:eastAsia="Calibri" w:hAnsi="Arial" w:cs="Arial"/>
          <w:sz w:val="22"/>
          <w:szCs w:val="22"/>
          <w:lang w:val="it-IT" w:eastAsia="en-US"/>
        </w:rPr>
      </w:pPr>
      <w:r w:rsidRPr="00D66B33">
        <w:rPr>
          <w:rFonts w:ascii="Arial" w:eastAsia="Calibri" w:hAnsi="Arial" w:cs="Arial"/>
          <w:sz w:val="22"/>
          <w:szCs w:val="22"/>
          <w:lang w:val="it-IT" w:eastAsia="en-US"/>
        </w:rPr>
        <w:t>prevazută de lege datorată de noi subscrisa reclamantului în schimbul exercitării dreptului de servitute legală.</w:t>
      </w:r>
    </w:p>
    <w:p w:rsidR="00D5561F" w:rsidRPr="00D66B33" w:rsidRDefault="00D5561F" w:rsidP="00D5561F">
      <w:pPr>
        <w:widowControl/>
        <w:autoSpaceDE/>
        <w:autoSpaceDN/>
        <w:adjustRightInd/>
        <w:spacing w:line="276" w:lineRule="auto"/>
        <w:jc w:val="both"/>
        <w:rPr>
          <w:rFonts w:ascii="Arial" w:eastAsia="Calibri" w:hAnsi="Arial" w:cs="Arial"/>
          <w:sz w:val="22"/>
          <w:szCs w:val="22"/>
          <w:lang w:val="it-IT" w:eastAsia="en-US"/>
        </w:rPr>
      </w:pPr>
      <w:r w:rsidRPr="004A240F">
        <w:rPr>
          <w:rFonts w:ascii="Arial" w:eastAsia="Calibri" w:hAnsi="Arial" w:cs="Arial"/>
          <w:b/>
          <w:sz w:val="22"/>
          <w:szCs w:val="22"/>
          <w:lang w:val="it-IT" w:eastAsia="en-US"/>
        </w:rPr>
        <w:t>Termen:</w:t>
      </w:r>
      <w:r>
        <w:rPr>
          <w:rFonts w:ascii="Arial" w:eastAsia="Calibri" w:hAnsi="Arial" w:cs="Arial"/>
          <w:sz w:val="22"/>
          <w:szCs w:val="22"/>
          <w:lang w:val="it-IT" w:eastAsia="en-US"/>
        </w:rPr>
        <w:t xml:space="preserve"> 11</w:t>
      </w:r>
      <w:r w:rsidRPr="00D66B33">
        <w:rPr>
          <w:rFonts w:ascii="Arial" w:eastAsia="Calibri" w:hAnsi="Arial" w:cs="Arial"/>
          <w:sz w:val="22"/>
          <w:szCs w:val="22"/>
          <w:lang w:val="it-IT" w:eastAsia="en-US"/>
        </w:rPr>
        <w:t>.</w:t>
      </w:r>
      <w:r>
        <w:rPr>
          <w:rFonts w:ascii="Arial" w:eastAsia="Calibri" w:hAnsi="Arial" w:cs="Arial"/>
          <w:sz w:val="22"/>
          <w:szCs w:val="22"/>
          <w:lang w:val="it-IT" w:eastAsia="en-US"/>
        </w:rPr>
        <w:t>10</w:t>
      </w:r>
      <w:r w:rsidRPr="00D66B33">
        <w:rPr>
          <w:rFonts w:ascii="Arial" w:eastAsia="Calibri" w:hAnsi="Arial" w:cs="Arial"/>
          <w:sz w:val="22"/>
          <w:szCs w:val="22"/>
          <w:lang w:val="it-IT" w:eastAsia="en-US"/>
        </w:rPr>
        <w:t>.2018</w:t>
      </w:r>
    </w:p>
    <w:p w:rsidR="00D5561F" w:rsidRPr="00D66B33" w:rsidRDefault="00D5561F" w:rsidP="00D5561F">
      <w:pPr>
        <w:widowControl/>
        <w:autoSpaceDE/>
        <w:autoSpaceDN/>
        <w:adjustRightInd/>
        <w:spacing w:line="276" w:lineRule="auto"/>
        <w:jc w:val="both"/>
        <w:rPr>
          <w:rFonts w:ascii="Arial" w:eastAsia="Calibri" w:hAnsi="Arial" w:cs="Arial"/>
          <w:sz w:val="22"/>
          <w:szCs w:val="22"/>
          <w:lang w:val="it-IT" w:eastAsia="en-US"/>
        </w:rPr>
      </w:pPr>
    </w:p>
    <w:p w:rsidR="00D5561F" w:rsidRPr="00C8051D" w:rsidRDefault="00D5561F" w:rsidP="00170D7E">
      <w:pPr>
        <w:pStyle w:val="ListParagraph"/>
        <w:numPr>
          <w:ilvl w:val="0"/>
          <w:numId w:val="34"/>
        </w:numPr>
        <w:spacing w:after="160"/>
        <w:jc w:val="both"/>
        <w:rPr>
          <w:rFonts w:ascii="Arial" w:hAnsi="Arial" w:cs="Arial"/>
          <w:i/>
          <w:lang w:val="en-US"/>
        </w:rPr>
      </w:pPr>
      <w:r w:rsidRPr="00C8051D">
        <w:rPr>
          <w:rFonts w:ascii="Arial" w:hAnsi="Arial" w:cs="Arial"/>
          <w:b/>
          <w:i/>
          <w:lang w:val="en-US"/>
        </w:rPr>
        <w:t>Dosar nr. 18344/212/2017 – Judecătoria Constanța</w:t>
      </w:r>
      <w:r w:rsidRPr="00C8051D">
        <w:rPr>
          <w:rFonts w:ascii="Arial" w:hAnsi="Arial" w:cs="Arial"/>
          <w:i/>
          <w:lang w:val="en-US"/>
        </w:rPr>
        <w:t xml:space="preserve"> – în curs de soluționare</w:t>
      </w:r>
    </w:p>
    <w:p w:rsidR="00D5561F" w:rsidRPr="00D66B33" w:rsidRDefault="00D5561F" w:rsidP="00D5561F">
      <w:pPr>
        <w:widowControl/>
        <w:autoSpaceDE/>
        <w:autoSpaceDN/>
        <w:adjustRightInd/>
        <w:spacing w:line="276" w:lineRule="auto"/>
        <w:jc w:val="both"/>
        <w:rPr>
          <w:rFonts w:ascii="Arial" w:eastAsia="Calibri" w:hAnsi="Arial" w:cs="Arial"/>
          <w:i/>
          <w:sz w:val="22"/>
          <w:szCs w:val="22"/>
          <w:lang w:val="it-IT" w:eastAsia="en-US"/>
        </w:rPr>
      </w:pPr>
      <w:r w:rsidRPr="004A240F">
        <w:rPr>
          <w:rFonts w:ascii="Arial" w:eastAsia="Calibri" w:hAnsi="Arial" w:cs="Arial"/>
          <w:b/>
          <w:sz w:val="22"/>
          <w:szCs w:val="22"/>
          <w:lang w:val="it-IT" w:eastAsia="en-US"/>
        </w:rPr>
        <w:t>Stadiu</w:t>
      </w:r>
      <w:r w:rsidRPr="00D66B33">
        <w:rPr>
          <w:rFonts w:ascii="Arial" w:eastAsia="Calibri" w:hAnsi="Arial" w:cs="Arial"/>
          <w:i/>
          <w:sz w:val="22"/>
          <w:szCs w:val="22"/>
          <w:lang w:val="it-IT" w:eastAsia="en-US"/>
        </w:rPr>
        <w:t>: Fond</w:t>
      </w:r>
    </w:p>
    <w:p w:rsidR="00D5561F" w:rsidRPr="00D66B33" w:rsidRDefault="00D5561F" w:rsidP="00D5561F">
      <w:pPr>
        <w:widowControl/>
        <w:autoSpaceDE/>
        <w:autoSpaceDN/>
        <w:adjustRightInd/>
        <w:spacing w:line="276" w:lineRule="auto"/>
        <w:jc w:val="both"/>
        <w:rPr>
          <w:rFonts w:ascii="Arial" w:eastAsia="Calibri" w:hAnsi="Arial" w:cs="Arial"/>
          <w:sz w:val="22"/>
          <w:szCs w:val="22"/>
          <w:lang w:val="en-US" w:eastAsia="en-US"/>
        </w:rPr>
      </w:pPr>
      <w:r w:rsidRPr="00D66B33">
        <w:rPr>
          <w:rFonts w:ascii="Arial" w:eastAsia="Calibri" w:hAnsi="Arial" w:cs="Arial"/>
          <w:sz w:val="22"/>
          <w:szCs w:val="22"/>
          <w:lang w:val="en-US" w:eastAsia="en-US"/>
        </w:rPr>
        <w:t xml:space="preserve">Mitu Dumitru și Mitu Rodica au chemat în judecată CONPET S.A. solicitând obligarea la plata de despăgubiri pentru cele două loturi de teren situate în sat Lazu, comuma Agigea, județul Constanța afectate de traseul </w:t>
      </w:r>
      <w:r w:rsidR="00C8051D">
        <w:rPr>
          <w:rFonts w:ascii="Arial" w:eastAsia="Calibri" w:hAnsi="Arial" w:cs="Arial"/>
          <w:sz w:val="22"/>
          <w:szCs w:val="22"/>
          <w:lang w:val="en-US" w:eastAsia="en-US"/>
        </w:rPr>
        <w:t>u</w:t>
      </w:r>
      <w:r w:rsidRPr="00D66B33">
        <w:rPr>
          <w:rFonts w:ascii="Arial" w:eastAsia="Calibri" w:hAnsi="Arial" w:cs="Arial"/>
          <w:sz w:val="22"/>
          <w:szCs w:val="22"/>
          <w:lang w:val="en-US" w:eastAsia="en-US"/>
        </w:rPr>
        <w:t>nor conducte care transport</w:t>
      </w:r>
      <w:r w:rsidR="00C8051D">
        <w:rPr>
          <w:rFonts w:ascii="Arial" w:eastAsia="Calibri" w:hAnsi="Arial" w:cs="Arial"/>
          <w:sz w:val="22"/>
          <w:szCs w:val="22"/>
          <w:lang w:val="en-US" w:eastAsia="en-US"/>
        </w:rPr>
        <w:t>ă</w:t>
      </w:r>
      <w:r w:rsidRPr="00D66B33">
        <w:rPr>
          <w:rFonts w:ascii="Arial" w:eastAsia="Calibri" w:hAnsi="Arial" w:cs="Arial"/>
          <w:sz w:val="22"/>
          <w:szCs w:val="22"/>
          <w:lang w:val="en-US" w:eastAsia="en-US"/>
        </w:rPr>
        <w:t xml:space="preserve"> produse petroliere, precum și obligarea pârâtei la plata unei rente anuale pentru lipsa de folosință asupra terenului afectat de exercițiul dreptului de servitude legală, începând cu data de 20.06.2014 și a unor despăgubiri sub forma unei plăți anuale pentru afectarea folosintei părții din teren pe care nu este amplasată conducta, cu obligarea la plata cheltuielilor de judecată.</w:t>
      </w:r>
    </w:p>
    <w:p w:rsidR="00D5561F" w:rsidRPr="00D66B33" w:rsidRDefault="00D5561F" w:rsidP="00D5561F">
      <w:pPr>
        <w:widowControl/>
        <w:autoSpaceDE/>
        <w:autoSpaceDN/>
        <w:adjustRightInd/>
        <w:spacing w:line="276" w:lineRule="auto"/>
        <w:jc w:val="both"/>
        <w:rPr>
          <w:rFonts w:ascii="Arial" w:eastAsia="Calibri" w:hAnsi="Arial" w:cs="Arial"/>
          <w:sz w:val="22"/>
          <w:szCs w:val="22"/>
          <w:lang w:val="en-US" w:eastAsia="en-US"/>
        </w:rPr>
      </w:pPr>
      <w:r w:rsidRPr="00D66B33">
        <w:rPr>
          <w:rFonts w:ascii="Arial" w:eastAsia="Calibri" w:hAnsi="Arial" w:cs="Arial"/>
          <w:sz w:val="22"/>
          <w:szCs w:val="22"/>
          <w:lang w:val="en-US" w:eastAsia="en-US"/>
        </w:rPr>
        <w:t>Conpet a formulat cerere reconvențională prin care a solicitat instanței s</w:t>
      </w:r>
      <w:r w:rsidRPr="00D66B33">
        <w:rPr>
          <w:rFonts w:ascii="Arial" w:eastAsia="Calibri" w:hAnsi="Arial" w:cs="Arial"/>
          <w:sz w:val="22"/>
          <w:szCs w:val="22"/>
          <w:lang w:val="it-IT" w:eastAsia="en-US"/>
        </w:rPr>
        <w:t xml:space="preserve">ă oblige reclamanții să permită societății CONPET S.A. exercițiul dreptului de servitute legală instituit de dispozițiile art. 7 și urm. din Legea nr. 238/2004 pe cele două loturi de terenuri aflate în proprietatea reclamanților. Exercițiul dreptului de servitute legală urmează să se facă pe un culoar de 2,4 metri lățime amplasat  de-a lungul conductei magistrale de transport a țițeiului F2 </w:t>
      </w:r>
      <w:r w:rsidRPr="00D66B33">
        <w:rPr>
          <w:rFonts w:ascii="Arial" w:eastAsia="Calibri" w:hAnsi="Arial" w:cs="Arial"/>
          <w:sz w:val="22"/>
          <w:szCs w:val="22"/>
          <w:lang w:val="en-US" w:eastAsia="en-US"/>
        </w:rPr>
        <w:t>Ø 20 ˝ Constanța-Bărăganu î</w:t>
      </w:r>
      <w:r w:rsidRPr="00D66B33">
        <w:rPr>
          <w:rFonts w:ascii="Arial" w:eastAsia="Calibri" w:hAnsi="Arial" w:cs="Arial"/>
          <w:sz w:val="22"/>
          <w:szCs w:val="22"/>
          <w:lang w:val="it-IT" w:eastAsia="en-US"/>
        </w:rPr>
        <w:t xml:space="preserve">n scopul accesului permanent la conductă în vederea verificării zilnice a stării conductei și executării eventualelor lucrări de reparații și să stabilească cuantumul rentei anuale prevazută de lege datorată de Conpet reclamanților în schimbul exercitării dreptului de servitute legală. De asemenea, Conpet a formulat cerere de chemare în garanție a </w:t>
      </w:r>
      <w:r w:rsidR="00C8051D">
        <w:rPr>
          <w:rFonts w:ascii="Arial" w:eastAsia="Calibri" w:hAnsi="Arial" w:cs="Arial"/>
          <w:sz w:val="22"/>
          <w:szCs w:val="22"/>
          <w:lang w:val="it-IT" w:eastAsia="en-US"/>
        </w:rPr>
        <w:t>M</w:t>
      </w:r>
      <w:r w:rsidR="00C8051D" w:rsidRPr="00D66B33">
        <w:rPr>
          <w:rFonts w:ascii="Arial" w:eastAsia="Calibri" w:hAnsi="Arial" w:cs="Arial"/>
          <w:sz w:val="22"/>
          <w:szCs w:val="22"/>
          <w:lang w:val="pt-BR" w:eastAsia="en-US"/>
        </w:rPr>
        <w:t xml:space="preserve">inisterului </w:t>
      </w:r>
      <w:r w:rsidR="00C8051D">
        <w:rPr>
          <w:rFonts w:ascii="Arial" w:eastAsia="Calibri" w:hAnsi="Arial" w:cs="Arial"/>
          <w:sz w:val="22"/>
          <w:szCs w:val="22"/>
          <w:lang w:val="pt-BR" w:eastAsia="en-US"/>
        </w:rPr>
        <w:t>F</w:t>
      </w:r>
      <w:r w:rsidR="00C8051D" w:rsidRPr="00D66B33">
        <w:rPr>
          <w:rFonts w:ascii="Arial" w:eastAsia="Calibri" w:hAnsi="Arial" w:cs="Arial"/>
          <w:sz w:val="22"/>
          <w:szCs w:val="22"/>
          <w:lang w:val="pt-BR" w:eastAsia="en-US"/>
        </w:rPr>
        <w:t xml:space="preserve">inanțelor </w:t>
      </w:r>
      <w:r w:rsidR="00C8051D">
        <w:rPr>
          <w:rFonts w:ascii="Arial" w:eastAsia="Calibri" w:hAnsi="Arial" w:cs="Arial"/>
          <w:sz w:val="22"/>
          <w:szCs w:val="22"/>
          <w:lang w:val="pt-BR" w:eastAsia="en-US"/>
        </w:rPr>
        <w:t>P</w:t>
      </w:r>
      <w:r w:rsidR="00C8051D" w:rsidRPr="00D66B33">
        <w:rPr>
          <w:rFonts w:ascii="Arial" w:eastAsia="Calibri" w:hAnsi="Arial" w:cs="Arial"/>
          <w:sz w:val="22"/>
          <w:szCs w:val="22"/>
          <w:lang w:val="pt-BR" w:eastAsia="en-US"/>
        </w:rPr>
        <w:t xml:space="preserve">ublice și a </w:t>
      </w:r>
      <w:r w:rsidR="00C8051D">
        <w:rPr>
          <w:rFonts w:ascii="Arial" w:eastAsia="Calibri" w:hAnsi="Arial" w:cs="Arial"/>
          <w:sz w:val="22"/>
          <w:szCs w:val="22"/>
          <w:lang w:val="pt-BR" w:eastAsia="en-US"/>
        </w:rPr>
        <w:t>A</w:t>
      </w:r>
      <w:r w:rsidR="00C8051D" w:rsidRPr="00D66B33">
        <w:rPr>
          <w:rFonts w:ascii="Arial" w:eastAsia="Calibri" w:hAnsi="Arial" w:cs="Arial"/>
          <w:sz w:val="22"/>
          <w:szCs w:val="22"/>
          <w:lang w:val="pt-BR" w:eastAsia="en-US"/>
        </w:rPr>
        <w:t xml:space="preserve">genției </w:t>
      </w:r>
      <w:r w:rsidR="00C8051D">
        <w:rPr>
          <w:rFonts w:ascii="Arial" w:eastAsia="Calibri" w:hAnsi="Arial" w:cs="Arial"/>
          <w:sz w:val="22"/>
          <w:szCs w:val="22"/>
          <w:lang w:val="pt-BR" w:eastAsia="en-US"/>
        </w:rPr>
        <w:t>N</w:t>
      </w:r>
      <w:r w:rsidR="00C8051D" w:rsidRPr="00D66B33">
        <w:rPr>
          <w:rFonts w:ascii="Arial" w:eastAsia="Calibri" w:hAnsi="Arial" w:cs="Arial"/>
          <w:sz w:val="22"/>
          <w:szCs w:val="22"/>
          <w:lang w:val="pt-BR" w:eastAsia="en-US"/>
        </w:rPr>
        <w:t xml:space="preserve">aționale pentru </w:t>
      </w:r>
      <w:r w:rsidR="00C8051D">
        <w:rPr>
          <w:rFonts w:ascii="Arial" w:eastAsia="Calibri" w:hAnsi="Arial" w:cs="Arial"/>
          <w:sz w:val="22"/>
          <w:szCs w:val="22"/>
          <w:lang w:val="pt-BR" w:eastAsia="en-US"/>
        </w:rPr>
        <w:t>R</w:t>
      </w:r>
      <w:r w:rsidR="00C8051D" w:rsidRPr="00D66B33">
        <w:rPr>
          <w:rFonts w:ascii="Arial" w:eastAsia="Calibri" w:hAnsi="Arial" w:cs="Arial"/>
          <w:sz w:val="22"/>
          <w:szCs w:val="22"/>
          <w:lang w:val="pt-BR" w:eastAsia="en-US"/>
        </w:rPr>
        <w:t xml:space="preserve">esurse </w:t>
      </w:r>
      <w:r w:rsidR="00C8051D">
        <w:rPr>
          <w:rFonts w:ascii="Arial" w:eastAsia="Calibri" w:hAnsi="Arial" w:cs="Arial"/>
          <w:sz w:val="22"/>
          <w:szCs w:val="22"/>
          <w:lang w:val="pt-BR" w:eastAsia="en-US"/>
        </w:rPr>
        <w:t>M</w:t>
      </w:r>
      <w:r w:rsidR="00C8051D" w:rsidRPr="00D66B33">
        <w:rPr>
          <w:rFonts w:ascii="Arial" w:eastAsia="Calibri" w:hAnsi="Arial" w:cs="Arial"/>
          <w:sz w:val="22"/>
          <w:szCs w:val="22"/>
          <w:lang w:val="pt-BR" w:eastAsia="en-US"/>
        </w:rPr>
        <w:t xml:space="preserve">inerale </w:t>
      </w:r>
      <w:r w:rsidRPr="00D66B33">
        <w:rPr>
          <w:rFonts w:ascii="Arial" w:eastAsia="Calibri" w:hAnsi="Arial" w:cs="Arial"/>
          <w:sz w:val="22"/>
          <w:szCs w:val="22"/>
          <w:lang w:val="pt-BR" w:eastAsia="en-US"/>
        </w:rPr>
        <w:t xml:space="preserve">(A.N.R.M.) </w:t>
      </w:r>
      <w:r w:rsidRPr="00D66B33">
        <w:rPr>
          <w:rFonts w:ascii="Arial" w:eastAsia="Calibri" w:hAnsi="Arial" w:cs="Arial"/>
          <w:sz w:val="22"/>
          <w:szCs w:val="22"/>
          <w:lang w:val="it-IT" w:eastAsia="en-US"/>
        </w:rPr>
        <w:t>pentru ca în cazul în care CONPET S.A. Ploiești va cădea în pretenții cu privire la pretențiile reclamanților formulate în cererea de chemare în judecată să ne despăgubească cu sumele pe care vom fi obligați să le plătim reclamanților.</w:t>
      </w:r>
    </w:p>
    <w:p w:rsidR="00D5561F" w:rsidRPr="00D66B33" w:rsidRDefault="00D5561F" w:rsidP="00D5561F">
      <w:pPr>
        <w:widowControl/>
        <w:autoSpaceDE/>
        <w:autoSpaceDN/>
        <w:adjustRightInd/>
        <w:spacing w:line="276" w:lineRule="auto"/>
        <w:jc w:val="both"/>
        <w:rPr>
          <w:rFonts w:ascii="Arial" w:eastAsia="Calibri" w:hAnsi="Arial" w:cs="Arial"/>
          <w:sz w:val="22"/>
          <w:szCs w:val="22"/>
          <w:lang w:val="en-US" w:eastAsia="en-US"/>
        </w:rPr>
      </w:pPr>
      <w:r w:rsidRPr="004A240F">
        <w:rPr>
          <w:rFonts w:ascii="Arial" w:eastAsia="Calibri" w:hAnsi="Arial" w:cs="Arial"/>
          <w:b/>
          <w:sz w:val="22"/>
          <w:szCs w:val="22"/>
          <w:lang w:val="en-US" w:eastAsia="en-US"/>
        </w:rPr>
        <w:t>Termen</w:t>
      </w:r>
      <w:r>
        <w:rPr>
          <w:rFonts w:ascii="Arial" w:eastAsia="Calibri" w:hAnsi="Arial" w:cs="Arial"/>
          <w:sz w:val="22"/>
          <w:szCs w:val="22"/>
          <w:lang w:val="en-US" w:eastAsia="en-US"/>
        </w:rPr>
        <w:t>: 05</w:t>
      </w:r>
      <w:r w:rsidRPr="00D66B33">
        <w:rPr>
          <w:rFonts w:ascii="Arial" w:eastAsia="Calibri" w:hAnsi="Arial" w:cs="Arial"/>
          <w:sz w:val="22"/>
          <w:szCs w:val="22"/>
          <w:lang w:val="en-US" w:eastAsia="en-US"/>
        </w:rPr>
        <w:t>.0</w:t>
      </w:r>
      <w:r>
        <w:rPr>
          <w:rFonts w:ascii="Arial" w:eastAsia="Calibri" w:hAnsi="Arial" w:cs="Arial"/>
          <w:sz w:val="22"/>
          <w:szCs w:val="22"/>
          <w:lang w:val="en-US" w:eastAsia="en-US"/>
        </w:rPr>
        <w:t>9</w:t>
      </w:r>
      <w:r w:rsidRPr="00D66B33">
        <w:rPr>
          <w:rFonts w:ascii="Arial" w:eastAsia="Calibri" w:hAnsi="Arial" w:cs="Arial"/>
          <w:sz w:val="22"/>
          <w:szCs w:val="22"/>
          <w:lang w:val="en-US" w:eastAsia="en-US"/>
        </w:rPr>
        <w:t xml:space="preserve">.2018   </w:t>
      </w:r>
    </w:p>
    <w:p w:rsidR="00D5561F" w:rsidRPr="00D66B33" w:rsidRDefault="00D5561F" w:rsidP="00D5561F">
      <w:pPr>
        <w:widowControl/>
        <w:autoSpaceDE/>
        <w:autoSpaceDN/>
        <w:adjustRightInd/>
        <w:spacing w:line="276" w:lineRule="auto"/>
        <w:jc w:val="both"/>
        <w:rPr>
          <w:rFonts w:ascii="Arial" w:eastAsia="Calibri" w:hAnsi="Arial" w:cs="Arial"/>
          <w:sz w:val="22"/>
          <w:szCs w:val="22"/>
          <w:lang w:val="en-US" w:eastAsia="en-US"/>
        </w:rPr>
      </w:pPr>
    </w:p>
    <w:p w:rsidR="00D5561F" w:rsidRPr="00C8051D" w:rsidRDefault="00D5561F" w:rsidP="00170D7E">
      <w:pPr>
        <w:pStyle w:val="ListParagraph"/>
        <w:numPr>
          <w:ilvl w:val="0"/>
          <w:numId w:val="34"/>
        </w:numPr>
        <w:jc w:val="both"/>
        <w:rPr>
          <w:rFonts w:ascii="Arial" w:hAnsi="Arial" w:cs="Arial"/>
          <w:lang w:val="en-US"/>
        </w:rPr>
      </w:pPr>
      <w:r w:rsidRPr="00C8051D">
        <w:rPr>
          <w:rFonts w:ascii="Arial" w:hAnsi="Arial" w:cs="Arial"/>
          <w:b/>
          <w:i/>
          <w:lang w:val="en-US"/>
        </w:rPr>
        <w:t xml:space="preserve">Dosar nr. </w:t>
      </w:r>
      <w:r w:rsidRPr="00C8051D">
        <w:rPr>
          <w:rFonts w:ascii="Arial" w:hAnsi="Arial" w:cs="Arial"/>
          <w:b/>
          <w:i/>
        </w:rPr>
        <w:t>14960/280/2015</w:t>
      </w:r>
      <w:r w:rsidRPr="00C8051D">
        <w:rPr>
          <w:rFonts w:ascii="Arial" w:hAnsi="Arial" w:cs="Arial"/>
          <w:b/>
        </w:rPr>
        <w:t xml:space="preserve"> - Judecătoria Pitești</w:t>
      </w:r>
      <w:r w:rsidRPr="00C8051D">
        <w:rPr>
          <w:rFonts w:ascii="Arial" w:hAnsi="Arial" w:cs="Arial"/>
          <w:lang w:val="en-US"/>
        </w:rPr>
        <w:t xml:space="preserve"> – în curs de soluționare</w:t>
      </w:r>
    </w:p>
    <w:p w:rsidR="00D5561F" w:rsidRPr="00D66B33" w:rsidRDefault="00D5561F" w:rsidP="00D5561F">
      <w:pPr>
        <w:widowControl/>
        <w:autoSpaceDE/>
        <w:autoSpaceDN/>
        <w:adjustRightInd/>
        <w:spacing w:line="276" w:lineRule="auto"/>
        <w:jc w:val="both"/>
        <w:rPr>
          <w:rFonts w:ascii="Arial" w:eastAsia="Calibri" w:hAnsi="Arial" w:cs="Arial"/>
          <w:sz w:val="22"/>
          <w:szCs w:val="22"/>
          <w:lang w:val="it-IT" w:eastAsia="en-US"/>
        </w:rPr>
      </w:pPr>
      <w:r w:rsidRPr="004A240F">
        <w:rPr>
          <w:rFonts w:ascii="Arial" w:eastAsia="Calibri" w:hAnsi="Arial" w:cs="Arial"/>
          <w:b/>
          <w:sz w:val="22"/>
          <w:szCs w:val="22"/>
          <w:lang w:val="it-IT" w:eastAsia="en-US"/>
        </w:rPr>
        <w:t>Stadiu</w:t>
      </w:r>
      <w:r w:rsidRPr="00D66B33">
        <w:rPr>
          <w:rFonts w:ascii="Arial" w:eastAsia="Calibri" w:hAnsi="Arial" w:cs="Arial"/>
          <w:sz w:val="22"/>
          <w:szCs w:val="22"/>
          <w:lang w:val="it-IT" w:eastAsia="en-US"/>
        </w:rPr>
        <w:t>: Fond</w:t>
      </w:r>
    </w:p>
    <w:p w:rsidR="00584ADC" w:rsidRDefault="00D5561F" w:rsidP="00D5561F">
      <w:pPr>
        <w:widowControl/>
        <w:autoSpaceDE/>
        <w:autoSpaceDN/>
        <w:adjustRightInd/>
        <w:spacing w:line="276" w:lineRule="auto"/>
        <w:jc w:val="both"/>
        <w:rPr>
          <w:rFonts w:ascii="Arial" w:eastAsia="Calibri" w:hAnsi="Arial" w:cs="Arial"/>
          <w:sz w:val="22"/>
          <w:szCs w:val="22"/>
          <w:lang w:eastAsia="en-US"/>
        </w:rPr>
      </w:pPr>
      <w:r w:rsidRPr="00D66B33">
        <w:rPr>
          <w:rFonts w:ascii="Arial" w:eastAsia="Calibri" w:hAnsi="Arial" w:cs="Arial"/>
          <w:sz w:val="22"/>
          <w:szCs w:val="22"/>
          <w:lang w:eastAsia="en-US"/>
        </w:rPr>
        <w:t xml:space="preserve">Cîrstea Stelian și Cîrstea Gherghina au formulat cerere de chemare în judecată solicitând instanței obligarea pârâtei Conpet la plata lipsei de folosință de la data dobândirii în proprietate a terenului - mai precis de la data de 6 octombrie 2014, </w:t>
      </w:r>
      <w:r w:rsidRPr="00C8051D">
        <w:rPr>
          <w:rFonts w:ascii="Arial" w:eastAsia="Calibri" w:hAnsi="Arial" w:cs="Arial"/>
          <w:sz w:val="22"/>
          <w:szCs w:val="22"/>
          <w:lang w:eastAsia="en-US"/>
        </w:rPr>
        <w:t>lipsa de folosință pe care</w:t>
      </w:r>
      <w:r w:rsidRPr="00D66B33">
        <w:rPr>
          <w:rFonts w:ascii="Arial" w:eastAsia="Calibri" w:hAnsi="Arial" w:cs="Arial"/>
          <w:sz w:val="22"/>
          <w:szCs w:val="22"/>
          <w:lang w:eastAsia="en-US"/>
        </w:rPr>
        <w:t xml:space="preserve"> o evaluează provizoriu la suma de 1.000 lei - urmând a se majora câtimea cererii de chemare în judecată după administrarea probatoriului și obligarea CONPET S.A. să își ridice conductele și instalatiile aferente pe terenul proprietatea reclamantei iar în măsura în care acest lucru nu este posibil să </w:t>
      </w:r>
    </w:p>
    <w:p w:rsidR="00D5561F" w:rsidRPr="00D66B33" w:rsidRDefault="00D5561F" w:rsidP="00D5561F">
      <w:pPr>
        <w:widowControl/>
        <w:autoSpaceDE/>
        <w:autoSpaceDN/>
        <w:adjustRightInd/>
        <w:spacing w:line="276" w:lineRule="auto"/>
        <w:jc w:val="both"/>
        <w:rPr>
          <w:rFonts w:ascii="Arial" w:eastAsia="Calibri" w:hAnsi="Arial" w:cs="Arial"/>
          <w:sz w:val="22"/>
          <w:szCs w:val="22"/>
          <w:lang w:eastAsia="en-US"/>
        </w:rPr>
      </w:pPr>
      <w:r w:rsidRPr="00D66B33">
        <w:rPr>
          <w:rFonts w:ascii="Arial" w:eastAsia="Calibri" w:hAnsi="Arial" w:cs="Arial"/>
          <w:sz w:val="22"/>
          <w:szCs w:val="22"/>
          <w:lang w:eastAsia="en-US"/>
        </w:rPr>
        <w:t>fie obligată pârâta la plata unei sume lunare echivalentă cu contravaloarea unei chirii pentru terenul ocupat și afectat de conductele și instalațiile aflate pe el - la nivelul chiriilor practicate pe piața liberă.</w:t>
      </w:r>
    </w:p>
    <w:p w:rsidR="00D5561F" w:rsidRDefault="00D5561F" w:rsidP="00D5561F">
      <w:pPr>
        <w:widowControl/>
        <w:autoSpaceDE/>
        <w:autoSpaceDN/>
        <w:adjustRightInd/>
        <w:spacing w:line="276" w:lineRule="auto"/>
        <w:jc w:val="both"/>
        <w:rPr>
          <w:rFonts w:ascii="Arial" w:eastAsia="Calibri" w:hAnsi="Arial" w:cs="Arial"/>
          <w:bCs/>
          <w:sz w:val="22"/>
          <w:szCs w:val="22"/>
          <w:bdr w:val="none" w:sz="0" w:space="0" w:color="auto" w:frame="1"/>
          <w:lang w:val="en-US" w:eastAsia="en-US"/>
        </w:rPr>
      </w:pPr>
      <w:r w:rsidRPr="004A240F">
        <w:rPr>
          <w:rFonts w:ascii="Arial" w:eastAsia="Calibri" w:hAnsi="Arial" w:cs="Arial"/>
          <w:b/>
          <w:sz w:val="22"/>
          <w:szCs w:val="22"/>
          <w:lang w:eastAsia="en-US"/>
        </w:rPr>
        <w:t>Termen</w:t>
      </w:r>
      <w:r w:rsidRPr="00D66B33">
        <w:rPr>
          <w:rFonts w:ascii="Arial" w:eastAsia="Calibri" w:hAnsi="Arial" w:cs="Arial"/>
          <w:sz w:val="22"/>
          <w:szCs w:val="22"/>
          <w:lang w:eastAsia="en-US"/>
        </w:rPr>
        <w:t>: 11</w:t>
      </w:r>
      <w:r w:rsidRPr="00D66B33">
        <w:rPr>
          <w:rFonts w:ascii="Arial" w:eastAsia="Calibri" w:hAnsi="Arial" w:cs="Arial"/>
          <w:bCs/>
          <w:sz w:val="22"/>
          <w:szCs w:val="22"/>
          <w:bdr w:val="none" w:sz="0" w:space="0" w:color="auto" w:frame="1"/>
          <w:lang w:val="en-US" w:eastAsia="en-US"/>
        </w:rPr>
        <w:t>.09.2018</w:t>
      </w:r>
    </w:p>
    <w:p w:rsidR="004A240F" w:rsidRPr="00D66B33" w:rsidRDefault="004A240F" w:rsidP="00D5561F">
      <w:pPr>
        <w:widowControl/>
        <w:autoSpaceDE/>
        <w:autoSpaceDN/>
        <w:adjustRightInd/>
        <w:spacing w:line="276" w:lineRule="auto"/>
        <w:jc w:val="both"/>
        <w:rPr>
          <w:rFonts w:ascii="Arial" w:eastAsia="Calibri" w:hAnsi="Arial" w:cs="Arial"/>
          <w:bCs/>
          <w:sz w:val="22"/>
          <w:szCs w:val="22"/>
          <w:bdr w:val="none" w:sz="0" w:space="0" w:color="auto" w:frame="1"/>
          <w:lang w:val="en-US" w:eastAsia="en-US"/>
        </w:rPr>
      </w:pPr>
    </w:p>
    <w:p w:rsidR="00D5561F" w:rsidRPr="00C8051D" w:rsidRDefault="00D5561F" w:rsidP="00170D7E">
      <w:pPr>
        <w:pStyle w:val="ListParagraph"/>
        <w:numPr>
          <w:ilvl w:val="0"/>
          <w:numId w:val="34"/>
        </w:numPr>
        <w:jc w:val="both"/>
        <w:rPr>
          <w:rFonts w:ascii="Arial" w:hAnsi="Arial" w:cs="Arial"/>
          <w:lang w:val="en-US"/>
        </w:rPr>
      </w:pPr>
      <w:r w:rsidRPr="00C8051D">
        <w:rPr>
          <w:rFonts w:ascii="Arial" w:hAnsi="Arial" w:cs="Arial"/>
          <w:b/>
          <w:i/>
          <w:lang w:val="en-US"/>
        </w:rPr>
        <w:t xml:space="preserve">Dosar nr. </w:t>
      </w:r>
      <w:r w:rsidRPr="00C8051D">
        <w:rPr>
          <w:rFonts w:ascii="Arial" w:hAnsi="Arial" w:cs="Arial"/>
          <w:b/>
          <w:bCs/>
          <w:i/>
          <w:bdr w:val="none" w:sz="0" w:space="0" w:color="auto" w:frame="1"/>
          <w:lang w:val="en-US"/>
        </w:rPr>
        <w:t>220/262/2017</w:t>
      </w:r>
      <w:r w:rsidRPr="00C8051D">
        <w:rPr>
          <w:rFonts w:ascii="Arial" w:hAnsi="Arial" w:cs="Arial"/>
          <w:bCs/>
          <w:bdr w:val="none" w:sz="0" w:space="0" w:color="auto" w:frame="1"/>
          <w:lang w:val="en-US"/>
        </w:rPr>
        <w:t xml:space="preserve"> – Judecătoria Moreni </w:t>
      </w:r>
      <w:r w:rsidRPr="00C8051D">
        <w:rPr>
          <w:rFonts w:ascii="Arial" w:hAnsi="Arial" w:cs="Arial"/>
          <w:lang w:val="en-US"/>
        </w:rPr>
        <w:t>– în curs de soluționare</w:t>
      </w:r>
    </w:p>
    <w:p w:rsidR="00D5561F" w:rsidRPr="00D66B33" w:rsidRDefault="00D5561F" w:rsidP="00D5561F">
      <w:pPr>
        <w:widowControl/>
        <w:autoSpaceDE/>
        <w:autoSpaceDN/>
        <w:adjustRightInd/>
        <w:spacing w:line="276" w:lineRule="auto"/>
        <w:jc w:val="both"/>
        <w:rPr>
          <w:rFonts w:ascii="Arial" w:eastAsia="Calibri" w:hAnsi="Arial" w:cs="Arial"/>
          <w:bCs/>
          <w:sz w:val="22"/>
          <w:szCs w:val="22"/>
          <w:bdr w:val="none" w:sz="0" w:space="0" w:color="auto" w:frame="1"/>
          <w:lang w:val="en-US" w:eastAsia="en-US"/>
        </w:rPr>
      </w:pPr>
      <w:r w:rsidRPr="004A240F">
        <w:rPr>
          <w:rFonts w:ascii="Arial" w:eastAsia="Calibri" w:hAnsi="Arial" w:cs="Arial"/>
          <w:b/>
          <w:sz w:val="22"/>
          <w:szCs w:val="22"/>
          <w:lang w:val="it-IT" w:eastAsia="en-US"/>
        </w:rPr>
        <w:t>Stadiu</w:t>
      </w:r>
      <w:r w:rsidRPr="00D66B33">
        <w:rPr>
          <w:rFonts w:ascii="Arial" w:eastAsia="Calibri" w:hAnsi="Arial" w:cs="Arial"/>
          <w:sz w:val="22"/>
          <w:szCs w:val="22"/>
          <w:lang w:val="it-IT" w:eastAsia="en-US"/>
        </w:rPr>
        <w:t>: Fond</w:t>
      </w:r>
    </w:p>
    <w:p w:rsidR="00B108EF" w:rsidRDefault="00D5561F" w:rsidP="00D5561F">
      <w:pPr>
        <w:widowControl/>
        <w:autoSpaceDE/>
        <w:autoSpaceDN/>
        <w:adjustRightInd/>
        <w:spacing w:line="276" w:lineRule="auto"/>
        <w:jc w:val="both"/>
        <w:rPr>
          <w:rFonts w:ascii="Arial" w:eastAsia="Calibri" w:hAnsi="Arial" w:cs="Arial"/>
          <w:bCs/>
          <w:sz w:val="22"/>
          <w:szCs w:val="22"/>
          <w:bdr w:val="none" w:sz="0" w:space="0" w:color="auto" w:frame="1"/>
          <w:lang w:val="en-US" w:eastAsia="en-US"/>
        </w:rPr>
      </w:pPr>
      <w:r w:rsidRPr="00D66B33">
        <w:rPr>
          <w:rFonts w:ascii="Arial" w:eastAsia="Calibri" w:hAnsi="Arial" w:cs="Arial"/>
          <w:bCs/>
          <w:sz w:val="22"/>
          <w:szCs w:val="22"/>
          <w:bdr w:val="none" w:sz="0" w:space="0" w:color="auto" w:frame="1"/>
          <w:lang w:val="en-US" w:eastAsia="en-US"/>
        </w:rPr>
        <w:t xml:space="preserve">Chivu Ion a formulat cerere de chemare în judecată solicitând instanței să dispună obligarea CONPET SA să devieze conducta petrolieră ce traversează terenul proprietatea sa, în suprafață </w:t>
      </w:r>
    </w:p>
    <w:p w:rsidR="00D5561F" w:rsidRPr="00D66B33" w:rsidRDefault="00D5561F" w:rsidP="00D5561F">
      <w:pPr>
        <w:widowControl/>
        <w:autoSpaceDE/>
        <w:autoSpaceDN/>
        <w:adjustRightInd/>
        <w:spacing w:line="276" w:lineRule="auto"/>
        <w:jc w:val="both"/>
        <w:rPr>
          <w:rFonts w:ascii="Arial" w:eastAsia="Calibri" w:hAnsi="Arial" w:cs="Arial"/>
          <w:bCs/>
          <w:sz w:val="22"/>
          <w:szCs w:val="22"/>
          <w:bdr w:val="none" w:sz="0" w:space="0" w:color="auto" w:frame="1"/>
          <w:lang w:val="en-US" w:eastAsia="en-US"/>
        </w:rPr>
      </w:pPr>
      <w:r w:rsidRPr="00D66B33">
        <w:rPr>
          <w:rFonts w:ascii="Arial" w:eastAsia="Calibri" w:hAnsi="Arial" w:cs="Arial"/>
          <w:bCs/>
          <w:sz w:val="22"/>
          <w:szCs w:val="22"/>
          <w:bdr w:val="none" w:sz="0" w:space="0" w:color="auto" w:frame="1"/>
          <w:lang w:val="en-US" w:eastAsia="en-US"/>
        </w:rPr>
        <w:lastRenderedPageBreak/>
        <w:t>de 1.753 mp situată în comuna Ocnița T14, P114, stabilirea amplasamentului de acces cu obligarea Conpet S</w:t>
      </w:r>
      <w:r w:rsidR="00C8051D">
        <w:rPr>
          <w:rFonts w:ascii="Arial" w:eastAsia="Calibri" w:hAnsi="Arial" w:cs="Arial"/>
          <w:bCs/>
          <w:sz w:val="22"/>
          <w:szCs w:val="22"/>
          <w:bdr w:val="none" w:sz="0" w:space="0" w:color="auto" w:frame="1"/>
          <w:lang w:val="en-US" w:eastAsia="en-US"/>
        </w:rPr>
        <w:t>.</w:t>
      </w:r>
      <w:r w:rsidRPr="00D66B33">
        <w:rPr>
          <w:rFonts w:ascii="Arial" w:eastAsia="Calibri" w:hAnsi="Arial" w:cs="Arial"/>
          <w:bCs/>
          <w:sz w:val="22"/>
          <w:szCs w:val="22"/>
          <w:bdr w:val="none" w:sz="0" w:space="0" w:color="auto" w:frame="1"/>
          <w:lang w:val="en-US" w:eastAsia="en-US"/>
        </w:rPr>
        <w:t>A</w:t>
      </w:r>
      <w:r w:rsidR="00C8051D">
        <w:rPr>
          <w:rFonts w:ascii="Arial" w:eastAsia="Calibri" w:hAnsi="Arial" w:cs="Arial"/>
          <w:bCs/>
          <w:sz w:val="22"/>
          <w:szCs w:val="22"/>
          <w:bdr w:val="none" w:sz="0" w:space="0" w:color="auto" w:frame="1"/>
          <w:lang w:val="en-US" w:eastAsia="en-US"/>
        </w:rPr>
        <w:t>.</w:t>
      </w:r>
      <w:r w:rsidRPr="00D66B33">
        <w:rPr>
          <w:rFonts w:ascii="Arial" w:eastAsia="Calibri" w:hAnsi="Arial" w:cs="Arial"/>
          <w:bCs/>
          <w:sz w:val="22"/>
          <w:szCs w:val="22"/>
          <w:bdr w:val="none" w:sz="0" w:space="0" w:color="auto" w:frame="1"/>
          <w:lang w:val="en-US" w:eastAsia="en-US"/>
        </w:rPr>
        <w:t xml:space="preserve"> la plata unei rente anuale aferente atât pentru calea de acces cât și pentru conducta ce produce prejudicii terenului și despăgubiri pentru terenul afectat de conductă. </w:t>
      </w:r>
    </w:p>
    <w:p w:rsidR="00D5561F" w:rsidRDefault="00D5561F" w:rsidP="00934797">
      <w:pPr>
        <w:widowControl/>
        <w:autoSpaceDE/>
        <w:autoSpaceDN/>
        <w:adjustRightInd/>
        <w:spacing w:after="160" w:line="276" w:lineRule="auto"/>
        <w:jc w:val="both"/>
        <w:rPr>
          <w:rFonts w:ascii="Arial" w:eastAsia="Calibri" w:hAnsi="Arial" w:cs="Arial"/>
          <w:bCs/>
          <w:sz w:val="22"/>
          <w:szCs w:val="22"/>
          <w:bdr w:val="none" w:sz="0" w:space="0" w:color="auto" w:frame="1"/>
          <w:lang w:val="en-US" w:eastAsia="en-US"/>
        </w:rPr>
      </w:pPr>
      <w:r w:rsidRPr="004A240F">
        <w:rPr>
          <w:rFonts w:ascii="Arial" w:eastAsia="Calibri" w:hAnsi="Arial" w:cs="Arial"/>
          <w:b/>
          <w:bCs/>
          <w:sz w:val="22"/>
          <w:szCs w:val="22"/>
          <w:bdr w:val="none" w:sz="0" w:space="0" w:color="auto" w:frame="1"/>
          <w:lang w:val="en-US" w:eastAsia="en-US"/>
        </w:rPr>
        <w:t>Termen</w:t>
      </w:r>
      <w:r>
        <w:rPr>
          <w:rFonts w:ascii="Arial" w:eastAsia="Calibri" w:hAnsi="Arial" w:cs="Arial"/>
          <w:bCs/>
          <w:sz w:val="22"/>
          <w:szCs w:val="22"/>
          <w:bdr w:val="none" w:sz="0" w:space="0" w:color="auto" w:frame="1"/>
          <w:lang w:val="en-US" w:eastAsia="en-US"/>
        </w:rPr>
        <w:t>: 21</w:t>
      </w:r>
      <w:r w:rsidRPr="00D66B33">
        <w:rPr>
          <w:rFonts w:ascii="Arial" w:eastAsia="Calibri" w:hAnsi="Arial" w:cs="Arial"/>
          <w:bCs/>
          <w:sz w:val="22"/>
          <w:szCs w:val="22"/>
          <w:bdr w:val="none" w:sz="0" w:space="0" w:color="auto" w:frame="1"/>
          <w:lang w:val="en-US" w:eastAsia="en-US"/>
        </w:rPr>
        <w:t>.0</w:t>
      </w:r>
      <w:r>
        <w:rPr>
          <w:rFonts w:ascii="Arial" w:eastAsia="Calibri" w:hAnsi="Arial" w:cs="Arial"/>
          <w:bCs/>
          <w:sz w:val="22"/>
          <w:szCs w:val="22"/>
          <w:bdr w:val="none" w:sz="0" w:space="0" w:color="auto" w:frame="1"/>
          <w:lang w:val="en-US" w:eastAsia="en-US"/>
        </w:rPr>
        <w:t>8</w:t>
      </w:r>
      <w:r w:rsidRPr="00D66B33">
        <w:rPr>
          <w:rFonts w:ascii="Arial" w:eastAsia="Calibri" w:hAnsi="Arial" w:cs="Arial"/>
          <w:bCs/>
          <w:sz w:val="22"/>
          <w:szCs w:val="22"/>
          <w:bdr w:val="none" w:sz="0" w:space="0" w:color="auto" w:frame="1"/>
          <w:lang w:val="en-US" w:eastAsia="en-US"/>
        </w:rPr>
        <w:t>.2018</w:t>
      </w:r>
    </w:p>
    <w:p w:rsidR="00D5561F" w:rsidRPr="00C8051D" w:rsidRDefault="00D5561F" w:rsidP="00170D7E">
      <w:pPr>
        <w:pStyle w:val="ListParagraph"/>
        <w:numPr>
          <w:ilvl w:val="0"/>
          <w:numId w:val="34"/>
        </w:numPr>
        <w:jc w:val="both"/>
        <w:rPr>
          <w:rFonts w:ascii="Arial" w:hAnsi="Arial" w:cs="Arial"/>
          <w:lang w:val="en-US"/>
        </w:rPr>
      </w:pPr>
      <w:r w:rsidRPr="00C8051D">
        <w:rPr>
          <w:rFonts w:ascii="Arial" w:hAnsi="Arial" w:cs="Arial"/>
          <w:b/>
          <w:i/>
          <w:lang w:val="en-US"/>
        </w:rPr>
        <w:t xml:space="preserve">Dosar nr. </w:t>
      </w:r>
      <w:r w:rsidRPr="00C8051D">
        <w:rPr>
          <w:rFonts w:ascii="Arial" w:hAnsi="Arial" w:cs="Arial"/>
          <w:b/>
          <w:i/>
        </w:rPr>
        <w:t>21382/281/2015</w:t>
      </w:r>
      <w:r w:rsidRPr="00C8051D">
        <w:rPr>
          <w:rFonts w:ascii="Arial" w:hAnsi="Arial" w:cs="Arial"/>
          <w:b/>
        </w:rPr>
        <w:t xml:space="preserve"> - Judecătoria Ploiești</w:t>
      </w:r>
      <w:r w:rsidRPr="00C8051D">
        <w:rPr>
          <w:rFonts w:ascii="Arial" w:hAnsi="Arial" w:cs="Arial"/>
        </w:rPr>
        <w:t xml:space="preserve"> </w:t>
      </w:r>
      <w:r w:rsidRPr="00C8051D">
        <w:rPr>
          <w:rFonts w:ascii="Arial" w:hAnsi="Arial" w:cs="Arial"/>
          <w:lang w:val="en-US"/>
        </w:rPr>
        <w:t>– în curs de soluționare</w:t>
      </w:r>
    </w:p>
    <w:p w:rsidR="00D5561F" w:rsidRPr="00D66B33" w:rsidRDefault="00D5561F" w:rsidP="00D5561F">
      <w:pPr>
        <w:widowControl/>
        <w:autoSpaceDE/>
        <w:autoSpaceDN/>
        <w:adjustRightInd/>
        <w:spacing w:line="276" w:lineRule="auto"/>
        <w:jc w:val="both"/>
        <w:rPr>
          <w:rFonts w:ascii="Arial" w:eastAsia="Calibri" w:hAnsi="Arial" w:cs="Arial"/>
          <w:bCs/>
          <w:sz w:val="22"/>
          <w:szCs w:val="22"/>
          <w:bdr w:val="none" w:sz="0" w:space="0" w:color="auto" w:frame="1"/>
          <w:lang w:val="en-US" w:eastAsia="en-US"/>
        </w:rPr>
      </w:pPr>
      <w:r w:rsidRPr="004A240F">
        <w:rPr>
          <w:rFonts w:ascii="Arial" w:eastAsia="Calibri" w:hAnsi="Arial" w:cs="Arial"/>
          <w:b/>
          <w:sz w:val="22"/>
          <w:szCs w:val="22"/>
          <w:lang w:val="it-IT" w:eastAsia="en-US"/>
        </w:rPr>
        <w:t>Stadiu</w:t>
      </w:r>
      <w:r w:rsidRPr="00D66B33">
        <w:rPr>
          <w:rFonts w:ascii="Arial" w:eastAsia="Calibri" w:hAnsi="Arial" w:cs="Arial"/>
          <w:sz w:val="22"/>
          <w:szCs w:val="22"/>
          <w:lang w:val="it-IT" w:eastAsia="en-US"/>
        </w:rPr>
        <w:t>: Fond</w:t>
      </w:r>
    </w:p>
    <w:p w:rsidR="00D5561F" w:rsidRPr="00D66B33" w:rsidRDefault="00D5561F" w:rsidP="00D5561F">
      <w:pPr>
        <w:widowControl/>
        <w:autoSpaceDE/>
        <w:autoSpaceDN/>
        <w:adjustRightInd/>
        <w:spacing w:line="276" w:lineRule="auto"/>
        <w:jc w:val="both"/>
        <w:rPr>
          <w:rFonts w:ascii="Arial" w:eastAsia="Calibri" w:hAnsi="Arial" w:cs="Arial"/>
          <w:b/>
          <w:sz w:val="22"/>
          <w:szCs w:val="22"/>
          <w:lang w:eastAsia="en-US"/>
        </w:rPr>
      </w:pPr>
      <w:r w:rsidRPr="00D66B33">
        <w:rPr>
          <w:rFonts w:ascii="Arial" w:eastAsia="Calibri" w:hAnsi="Arial" w:cs="Arial"/>
          <w:sz w:val="22"/>
          <w:szCs w:val="22"/>
          <w:lang w:eastAsia="en-US"/>
        </w:rPr>
        <w:t xml:space="preserve">Prin Încheierea din 02.05.2017 Judecătoria Ploiești, a suspendat judecata cauzei în temeiul art.242 alin. 1 Cod.proc.civ. (neîndeplinirea de către reclamant a obligațiilor impuse de instanță). În decembrie 2017 dosarul a fost repus pe rol. Iordache Margareta a formulat cerere de chemare în judecată solicitând obligarea pârâtei Conpet la plata </w:t>
      </w:r>
      <w:r w:rsidRPr="00C8051D">
        <w:rPr>
          <w:rFonts w:ascii="Arial" w:eastAsia="Calibri" w:hAnsi="Arial" w:cs="Arial"/>
          <w:sz w:val="22"/>
          <w:szCs w:val="22"/>
          <w:lang w:eastAsia="en-US"/>
        </w:rPr>
        <w:t>contravalorii lipsei de folosință</w:t>
      </w:r>
      <w:r w:rsidRPr="00D66B33">
        <w:rPr>
          <w:rFonts w:ascii="Arial" w:eastAsia="Calibri" w:hAnsi="Arial" w:cs="Arial"/>
          <w:sz w:val="22"/>
          <w:szCs w:val="22"/>
          <w:lang w:eastAsia="en-US"/>
        </w:rPr>
        <w:t xml:space="preserve"> a imobilului proprietatea reclamantei, teren situat în comuna Blejoi, sat Ploieștori, județul Prahova, pentru ultimii </w:t>
      </w:r>
      <w:r>
        <w:rPr>
          <w:rFonts w:ascii="Arial" w:eastAsia="Calibri" w:hAnsi="Arial" w:cs="Arial"/>
          <w:sz w:val="22"/>
          <w:szCs w:val="22"/>
          <w:lang w:eastAsia="en-US"/>
        </w:rPr>
        <w:t xml:space="preserve">șase </w:t>
      </w:r>
      <w:r w:rsidRPr="00D66B33">
        <w:rPr>
          <w:rFonts w:ascii="Arial" w:eastAsia="Calibri" w:hAnsi="Arial" w:cs="Arial"/>
          <w:sz w:val="22"/>
          <w:szCs w:val="22"/>
          <w:lang w:eastAsia="en-US"/>
        </w:rPr>
        <w:t>ani anteriori introducerii acțiunii.</w:t>
      </w:r>
    </w:p>
    <w:p w:rsidR="00C8051D" w:rsidRDefault="00D5561F" w:rsidP="00C8051D">
      <w:pPr>
        <w:widowControl/>
        <w:autoSpaceDE/>
        <w:autoSpaceDN/>
        <w:adjustRightInd/>
        <w:spacing w:after="160" w:line="276" w:lineRule="auto"/>
        <w:jc w:val="both"/>
        <w:rPr>
          <w:rFonts w:ascii="Arial" w:eastAsia="Calibri" w:hAnsi="Arial" w:cs="Arial"/>
          <w:sz w:val="22"/>
          <w:szCs w:val="22"/>
          <w:lang w:eastAsia="en-US"/>
        </w:rPr>
      </w:pPr>
      <w:r w:rsidRPr="004A240F">
        <w:rPr>
          <w:rFonts w:ascii="Arial" w:eastAsia="Calibri" w:hAnsi="Arial" w:cs="Arial"/>
          <w:b/>
          <w:sz w:val="22"/>
          <w:szCs w:val="22"/>
          <w:lang w:eastAsia="en-US"/>
        </w:rPr>
        <w:t>Termen</w:t>
      </w:r>
      <w:r>
        <w:rPr>
          <w:rFonts w:ascii="Arial" w:eastAsia="Calibri" w:hAnsi="Arial" w:cs="Arial"/>
          <w:sz w:val="22"/>
          <w:szCs w:val="22"/>
          <w:lang w:eastAsia="en-US"/>
        </w:rPr>
        <w:t>: 02.10</w:t>
      </w:r>
      <w:r w:rsidRPr="00D66B33">
        <w:rPr>
          <w:rFonts w:ascii="Arial" w:eastAsia="Calibri" w:hAnsi="Arial" w:cs="Arial"/>
          <w:sz w:val="22"/>
          <w:szCs w:val="22"/>
          <w:lang w:eastAsia="en-US"/>
        </w:rPr>
        <w:t>.2018</w:t>
      </w:r>
    </w:p>
    <w:p w:rsidR="00D5561F" w:rsidRPr="00C8051D" w:rsidRDefault="00D5561F" w:rsidP="00170D7E">
      <w:pPr>
        <w:pStyle w:val="ListParagraph"/>
        <w:numPr>
          <w:ilvl w:val="0"/>
          <w:numId w:val="34"/>
        </w:numPr>
        <w:spacing w:after="160"/>
        <w:jc w:val="both"/>
        <w:rPr>
          <w:rFonts w:ascii="Arial" w:hAnsi="Arial" w:cs="Arial"/>
        </w:rPr>
      </w:pPr>
      <w:r w:rsidRPr="00C8051D">
        <w:rPr>
          <w:rFonts w:ascii="Arial" w:hAnsi="Arial" w:cs="Arial"/>
          <w:b/>
          <w:i/>
        </w:rPr>
        <w:t>Dosar nr. 8425/281/2015</w:t>
      </w:r>
      <w:r w:rsidRPr="00C8051D">
        <w:rPr>
          <w:rFonts w:ascii="Arial" w:hAnsi="Arial" w:cs="Arial"/>
          <w:b/>
        </w:rPr>
        <w:t xml:space="preserve"> – Judecătoria Ploiești</w:t>
      </w:r>
      <w:r w:rsidRPr="00C8051D">
        <w:rPr>
          <w:rFonts w:ascii="Arial" w:hAnsi="Arial" w:cs="Arial"/>
        </w:rPr>
        <w:t xml:space="preserve"> – în curs de soluționare </w:t>
      </w:r>
    </w:p>
    <w:p w:rsidR="00D5561F" w:rsidRPr="00D66B33" w:rsidRDefault="00D5561F" w:rsidP="00D5561F">
      <w:pPr>
        <w:widowControl/>
        <w:autoSpaceDE/>
        <w:autoSpaceDN/>
        <w:adjustRightInd/>
        <w:spacing w:line="276" w:lineRule="auto"/>
        <w:jc w:val="both"/>
        <w:rPr>
          <w:rFonts w:ascii="Arial" w:eastAsia="Calibri" w:hAnsi="Arial" w:cs="Arial"/>
          <w:sz w:val="22"/>
          <w:szCs w:val="22"/>
          <w:lang w:eastAsia="en-US"/>
        </w:rPr>
      </w:pPr>
      <w:r w:rsidRPr="004A240F">
        <w:rPr>
          <w:rFonts w:ascii="Arial" w:eastAsia="Calibri" w:hAnsi="Arial" w:cs="Arial"/>
          <w:b/>
          <w:sz w:val="22"/>
          <w:szCs w:val="22"/>
          <w:lang w:eastAsia="en-US"/>
        </w:rPr>
        <w:t>Stadiu</w:t>
      </w:r>
      <w:r w:rsidRPr="00D66B33">
        <w:rPr>
          <w:rFonts w:ascii="Arial" w:eastAsia="Calibri" w:hAnsi="Arial" w:cs="Arial"/>
          <w:sz w:val="22"/>
          <w:szCs w:val="22"/>
          <w:lang w:eastAsia="en-US"/>
        </w:rPr>
        <w:t>: Fond</w:t>
      </w:r>
    </w:p>
    <w:p w:rsidR="00D5561F" w:rsidRPr="00D66B33" w:rsidRDefault="00D5561F" w:rsidP="00D5561F">
      <w:pPr>
        <w:widowControl/>
        <w:autoSpaceDE/>
        <w:autoSpaceDN/>
        <w:adjustRightInd/>
        <w:spacing w:line="276" w:lineRule="auto"/>
        <w:jc w:val="both"/>
        <w:rPr>
          <w:rFonts w:ascii="Arial" w:eastAsia="Calibri" w:hAnsi="Arial" w:cs="Arial"/>
          <w:sz w:val="22"/>
          <w:szCs w:val="22"/>
          <w:lang w:eastAsia="en-US"/>
        </w:rPr>
      </w:pPr>
      <w:r w:rsidRPr="00D66B33">
        <w:rPr>
          <w:rFonts w:ascii="Arial" w:eastAsia="Calibri" w:hAnsi="Arial" w:cs="Arial"/>
          <w:sz w:val="22"/>
          <w:szCs w:val="22"/>
          <w:lang w:eastAsia="en-US"/>
        </w:rPr>
        <w:t xml:space="preserve">Panaitescu Mircea a formulat cerere de chemare în judecată solicitând obligarea Conpet la plata sumei de 5.000 lei </w:t>
      </w:r>
      <w:r w:rsidRPr="00C15326">
        <w:rPr>
          <w:rFonts w:ascii="Arial" w:eastAsia="Calibri" w:hAnsi="Arial" w:cs="Arial"/>
          <w:sz w:val="22"/>
          <w:szCs w:val="22"/>
          <w:lang w:eastAsia="en-US"/>
        </w:rPr>
        <w:t>lipsa de folosință și rentă</w:t>
      </w:r>
      <w:r w:rsidR="00C8051D">
        <w:rPr>
          <w:rFonts w:ascii="Arial" w:eastAsia="Calibri" w:hAnsi="Arial" w:cs="Arial"/>
          <w:sz w:val="22"/>
          <w:szCs w:val="22"/>
          <w:lang w:eastAsia="en-US"/>
        </w:rPr>
        <w:t xml:space="preserve"> anuală de </w:t>
      </w:r>
      <w:r w:rsidRPr="00D66B33">
        <w:rPr>
          <w:rFonts w:ascii="Arial" w:eastAsia="Calibri" w:hAnsi="Arial" w:cs="Arial"/>
          <w:sz w:val="22"/>
          <w:szCs w:val="22"/>
          <w:lang w:eastAsia="en-US"/>
        </w:rPr>
        <w:t>12.000 lei. Conpet a formulat cerere reconvențională prin care a s</w:t>
      </w:r>
      <w:r w:rsidR="00C8051D">
        <w:rPr>
          <w:rFonts w:ascii="Arial" w:eastAsia="Calibri" w:hAnsi="Arial" w:cs="Arial"/>
          <w:sz w:val="22"/>
          <w:szCs w:val="22"/>
          <w:lang w:eastAsia="en-US"/>
        </w:rPr>
        <w:t xml:space="preserve">olicitat instituirea dreptului </w:t>
      </w:r>
      <w:r w:rsidRPr="00D66B33">
        <w:rPr>
          <w:rFonts w:ascii="Arial" w:eastAsia="Calibri" w:hAnsi="Arial" w:cs="Arial"/>
          <w:sz w:val="22"/>
          <w:szCs w:val="22"/>
          <w:lang w:eastAsia="en-US"/>
        </w:rPr>
        <w:t>de servitute legală și stabilirea rentei anuale.</w:t>
      </w:r>
    </w:p>
    <w:p w:rsidR="00D5561F" w:rsidRPr="004B5499" w:rsidRDefault="00D5561F" w:rsidP="00D5561F">
      <w:pPr>
        <w:widowControl/>
        <w:autoSpaceDE/>
        <w:autoSpaceDN/>
        <w:adjustRightInd/>
        <w:spacing w:line="276" w:lineRule="auto"/>
        <w:jc w:val="both"/>
        <w:rPr>
          <w:rFonts w:ascii="Arial" w:eastAsia="Calibri" w:hAnsi="Arial" w:cs="Arial"/>
          <w:sz w:val="22"/>
          <w:szCs w:val="22"/>
          <w:lang w:eastAsia="en-US"/>
        </w:rPr>
      </w:pPr>
      <w:r w:rsidRPr="004B5499">
        <w:rPr>
          <w:rFonts w:ascii="Arial" w:eastAsia="Calibri" w:hAnsi="Arial" w:cs="Arial"/>
          <w:sz w:val="22"/>
          <w:szCs w:val="22"/>
          <w:lang w:val="en-US" w:eastAsia="en-US"/>
        </w:rPr>
        <w:t>Prin sentința nr. 5772/29.06.2018 Judecătoria Ploiești admite în parte cererea de chemare în judecată. Admiterea în parte a cererea reconvenţională. Obligă pârâta la plata unei rente anuale în cu</w:t>
      </w:r>
      <w:r w:rsidR="00C8051D">
        <w:rPr>
          <w:rFonts w:ascii="Arial" w:eastAsia="Calibri" w:hAnsi="Arial" w:cs="Arial"/>
          <w:sz w:val="22"/>
          <w:szCs w:val="22"/>
          <w:lang w:val="en-US" w:eastAsia="en-US"/>
        </w:rPr>
        <w:t>antum de 58,89 lei (79,66 kg grâ</w:t>
      </w:r>
      <w:r w:rsidRPr="004B5499">
        <w:rPr>
          <w:rFonts w:ascii="Arial" w:eastAsia="Calibri" w:hAnsi="Arial" w:cs="Arial"/>
          <w:sz w:val="22"/>
          <w:szCs w:val="22"/>
          <w:lang w:val="en-US" w:eastAsia="en-US"/>
        </w:rPr>
        <w:t>u STAS) pentru exercitarea de către pârâta a dreptului de servitute legală, pentru o suprafaţă de teren de 461 mp corespunzătoare culoarului de 2,5 m, de la data introducerii acţiunii. Obligă pârâta la plata cheltuielilor de judecată în cuantum de 20 lei reprezentând taxă judiciară de timbru aferent capătului de cerere admis, 600 lei reprezentând onorariu expertiză specialitatea agricultură şi 600 lei onorariu avocat redus. Cu cheltuieli de judecată pe cale separată pentru pârâtă. Hotărârea poate fi atacată cu apel după comunicare.</w:t>
      </w:r>
    </w:p>
    <w:p w:rsidR="00D5561F" w:rsidRDefault="00D5561F" w:rsidP="00D5561F">
      <w:pPr>
        <w:widowControl/>
        <w:autoSpaceDE/>
        <w:autoSpaceDN/>
        <w:adjustRightInd/>
        <w:spacing w:line="276" w:lineRule="auto"/>
        <w:jc w:val="both"/>
        <w:rPr>
          <w:rFonts w:ascii="Arial" w:eastAsia="Calibri" w:hAnsi="Arial" w:cs="Arial"/>
          <w:sz w:val="22"/>
          <w:szCs w:val="22"/>
          <w:lang w:eastAsia="en-US"/>
        </w:rPr>
      </w:pPr>
      <w:r w:rsidRPr="004B5499">
        <w:rPr>
          <w:rFonts w:ascii="Arial" w:eastAsia="Calibri" w:hAnsi="Arial" w:cs="Arial"/>
          <w:b/>
          <w:sz w:val="22"/>
          <w:szCs w:val="22"/>
          <w:lang w:eastAsia="en-US"/>
        </w:rPr>
        <w:t xml:space="preserve">Termen: </w:t>
      </w:r>
      <w:r w:rsidRPr="004B5499">
        <w:rPr>
          <w:rFonts w:ascii="Arial" w:eastAsia="Calibri" w:hAnsi="Arial" w:cs="Arial"/>
          <w:sz w:val="22"/>
          <w:szCs w:val="22"/>
          <w:lang w:eastAsia="en-US"/>
        </w:rPr>
        <w:t>--</w:t>
      </w:r>
    </w:p>
    <w:p w:rsidR="004A240F" w:rsidRPr="004B5499" w:rsidRDefault="004A240F" w:rsidP="00D5561F">
      <w:pPr>
        <w:widowControl/>
        <w:autoSpaceDE/>
        <w:autoSpaceDN/>
        <w:adjustRightInd/>
        <w:spacing w:line="276" w:lineRule="auto"/>
        <w:jc w:val="both"/>
        <w:rPr>
          <w:rFonts w:ascii="Arial" w:eastAsia="Calibri" w:hAnsi="Arial" w:cs="Arial"/>
          <w:sz w:val="22"/>
          <w:szCs w:val="22"/>
          <w:lang w:eastAsia="en-US"/>
        </w:rPr>
      </w:pPr>
    </w:p>
    <w:p w:rsidR="00D5561F" w:rsidRPr="00C8051D" w:rsidRDefault="00D5561F" w:rsidP="00170D7E">
      <w:pPr>
        <w:pStyle w:val="ListParagraph"/>
        <w:numPr>
          <w:ilvl w:val="0"/>
          <w:numId w:val="34"/>
        </w:numPr>
        <w:jc w:val="both"/>
        <w:rPr>
          <w:rFonts w:ascii="Arial" w:hAnsi="Arial" w:cs="Arial"/>
          <w:lang w:val="en-US"/>
        </w:rPr>
      </w:pPr>
      <w:r w:rsidRPr="00C8051D">
        <w:rPr>
          <w:rFonts w:ascii="Arial" w:hAnsi="Arial" w:cs="Arial"/>
          <w:b/>
          <w:i/>
          <w:lang w:val="en-US"/>
        </w:rPr>
        <w:t>Dosar nr. 5413/204/2017</w:t>
      </w:r>
      <w:r w:rsidRPr="00C8051D">
        <w:rPr>
          <w:rFonts w:ascii="Arial" w:hAnsi="Arial" w:cs="Arial"/>
          <w:b/>
          <w:lang w:val="en-US"/>
        </w:rPr>
        <w:t xml:space="preserve"> – Tribunalul Prahova</w:t>
      </w:r>
      <w:r w:rsidRPr="00C8051D">
        <w:rPr>
          <w:rFonts w:ascii="Arial" w:hAnsi="Arial" w:cs="Arial"/>
          <w:lang w:val="en-US"/>
        </w:rPr>
        <w:t xml:space="preserve"> – în curs de soluționare</w:t>
      </w:r>
    </w:p>
    <w:p w:rsidR="00D5561F" w:rsidRPr="00D66B33" w:rsidRDefault="00D5561F" w:rsidP="00D5561F">
      <w:pPr>
        <w:widowControl/>
        <w:autoSpaceDE/>
        <w:autoSpaceDN/>
        <w:adjustRightInd/>
        <w:spacing w:line="276" w:lineRule="auto"/>
        <w:jc w:val="both"/>
        <w:rPr>
          <w:rFonts w:ascii="Arial" w:eastAsia="Calibri" w:hAnsi="Arial" w:cs="Arial"/>
          <w:sz w:val="22"/>
          <w:szCs w:val="22"/>
          <w:lang w:val="en-US" w:eastAsia="en-US"/>
        </w:rPr>
      </w:pPr>
      <w:r w:rsidRPr="004A240F">
        <w:rPr>
          <w:rFonts w:ascii="Arial" w:eastAsia="Calibri" w:hAnsi="Arial" w:cs="Arial"/>
          <w:b/>
          <w:sz w:val="22"/>
          <w:szCs w:val="22"/>
          <w:lang w:val="en-US" w:eastAsia="en-US"/>
        </w:rPr>
        <w:t>Stadiu</w:t>
      </w:r>
      <w:r w:rsidRPr="00D66B33">
        <w:rPr>
          <w:rFonts w:ascii="Arial" w:eastAsia="Calibri" w:hAnsi="Arial" w:cs="Arial"/>
          <w:sz w:val="22"/>
          <w:szCs w:val="22"/>
          <w:lang w:val="en-US" w:eastAsia="en-US"/>
        </w:rPr>
        <w:t>: fond</w:t>
      </w:r>
    </w:p>
    <w:p w:rsidR="00584ADC" w:rsidRDefault="00D5561F" w:rsidP="00D5561F">
      <w:pPr>
        <w:widowControl/>
        <w:autoSpaceDE/>
        <w:autoSpaceDN/>
        <w:adjustRightInd/>
        <w:spacing w:line="276" w:lineRule="auto"/>
        <w:jc w:val="both"/>
        <w:rPr>
          <w:rFonts w:ascii="Arial" w:eastAsia="Calibri" w:hAnsi="Arial" w:cs="Arial"/>
          <w:sz w:val="22"/>
          <w:szCs w:val="22"/>
          <w:lang w:val="en-US" w:eastAsia="en-US"/>
        </w:rPr>
      </w:pPr>
      <w:r w:rsidRPr="00D66B33">
        <w:rPr>
          <w:rFonts w:ascii="Arial" w:eastAsia="Calibri" w:hAnsi="Arial" w:cs="Arial"/>
          <w:sz w:val="22"/>
          <w:szCs w:val="22"/>
          <w:lang w:val="en-US" w:eastAsia="en-US"/>
        </w:rPr>
        <w:t xml:space="preserve">Dobrogeanu Dumitru și Dobrogeanu Păun Ioan au formulat cerere de chemare în judecată solicitând instanței ca prin hotărârea pe care o va pronunța să dispună obligarea CONPET S.A. la plata unei rente anuale pentru suprafețele de teren ocupate de cele două conducte de transport produse petroliere (țiței) începând cu data de 01.07.2014 și în viitor, pe toată durata existenței conductelor, obligarea la plata pierderilor suferite prin nerealizarea unor obiective economice pe </w:t>
      </w:r>
    </w:p>
    <w:p w:rsidR="00D5561F" w:rsidRPr="00D66B33" w:rsidRDefault="00D5561F" w:rsidP="00D5561F">
      <w:pPr>
        <w:widowControl/>
        <w:autoSpaceDE/>
        <w:autoSpaceDN/>
        <w:adjustRightInd/>
        <w:spacing w:line="276" w:lineRule="auto"/>
        <w:jc w:val="both"/>
        <w:rPr>
          <w:rFonts w:ascii="Arial" w:eastAsia="Calibri" w:hAnsi="Arial" w:cs="Arial"/>
          <w:sz w:val="22"/>
          <w:szCs w:val="22"/>
          <w:lang w:val="en-US" w:eastAsia="en-US"/>
        </w:rPr>
      </w:pPr>
      <w:r w:rsidRPr="00D66B33">
        <w:rPr>
          <w:rFonts w:ascii="Arial" w:eastAsia="Calibri" w:hAnsi="Arial" w:cs="Arial"/>
          <w:sz w:val="22"/>
          <w:szCs w:val="22"/>
          <w:lang w:val="en-US" w:eastAsia="en-US"/>
        </w:rPr>
        <w:t>zona rămasă între cele două conducte după restricția lor și zona de-a lungul DN1 (E60) și plata cheltuielilor de judecată. Primul capăt de cerere a fost estimat d</w:t>
      </w:r>
      <w:r w:rsidR="00C8051D">
        <w:rPr>
          <w:rFonts w:ascii="Arial" w:eastAsia="Calibri" w:hAnsi="Arial" w:cs="Arial"/>
          <w:sz w:val="22"/>
          <w:szCs w:val="22"/>
          <w:lang w:val="en-US" w:eastAsia="en-US"/>
        </w:rPr>
        <w:t>e reclamanți la suma de 48.000 e</w:t>
      </w:r>
      <w:r w:rsidRPr="00D66B33">
        <w:rPr>
          <w:rFonts w:ascii="Arial" w:eastAsia="Calibri" w:hAnsi="Arial" w:cs="Arial"/>
          <w:sz w:val="22"/>
          <w:szCs w:val="22"/>
          <w:lang w:val="en-US" w:eastAsia="en-US"/>
        </w:rPr>
        <w:t>uro/an (220.000 lei), iar capătul al doilea la suma de 25.000 lei/an.</w:t>
      </w:r>
    </w:p>
    <w:p w:rsidR="00D5561F" w:rsidRDefault="00D5561F" w:rsidP="00D5561F">
      <w:pPr>
        <w:widowControl/>
        <w:autoSpaceDE/>
        <w:autoSpaceDN/>
        <w:adjustRightInd/>
        <w:spacing w:after="160" w:line="276" w:lineRule="auto"/>
        <w:jc w:val="both"/>
        <w:rPr>
          <w:rFonts w:ascii="Arial" w:eastAsia="Calibri" w:hAnsi="Arial" w:cs="Arial"/>
          <w:sz w:val="22"/>
          <w:szCs w:val="22"/>
          <w:lang w:val="en-US" w:eastAsia="en-US"/>
        </w:rPr>
      </w:pPr>
      <w:r w:rsidRPr="004A240F">
        <w:rPr>
          <w:rFonts w:ascii="Arial" w:eastAsia="Calibri" w:hAnsi="Arial" w:cs="Arial"/>
          <w:b/>
          <w:sz w:val="22"/>
          <w:szCs w:val="22"/>
          <w:lang w:val="en-US" w:eastAsia="en-US"/>
        </w:rPr>
        <w:t>Termen</w:t>
      </w:r>
      <w:r>
        <w:rPr>
          <w:rFonts w:ascii="Arial" w:eastAsia="Calibri" w:hAnsi="Arial" w:cs="Arial"/>
          <w:sz w:val="22"/>
          <w:szCs w:val="22"/>
          <w:lang w:val="en-US" w:eastAsia="en-US"/>
        </w:rPr>
        <w:t>: 28</w:t>
      </w:r>
      <w:r w:rsidRPr="00D66B33">
        <w:rPr>
          <w:rFonts w:ascii="Arial" w:eastAsia="Calibri" w:hAnsi="Arial" w:cs="Arial"/>
          <w:sz w:val="22"/>
          <w:szCs w:val="22"/>
          <w:lang w:val="en-US" w:eastAsia="en-US"/>
        </w:rPr>
        <w:t>.0</w:t>
      </w:r>
      <w:r>
        <w:rPr>
          <w:rFonts w:ascii="Arial" w:eastAsia="Calibri" w:hAnsi="Arial" w:cs="Arial"/>
          <w:sz w:val="22"/>
          <w:szCs w:val="22"/>
          <w:lang w:val="en-US" w:eastAsia="en-US"/>
        </w:rPr>
        <w:t>8</w:t>
      </w:r>
      <w:r w:rsidRPr="00D66B33">
        <w:rPr>
          <w:rFonts w:ascii="Arial" w:eastAsia="Calibri" w:hAnsi="Arial" w:cs="Arial"/>
          <w:sz w:val="22"/>
          <w:szCs w:val="22"/>
          <w:lang w:val="en-US" w:eastAsia="en-US"/>
        </w:rPr>
        <w:t>.2018</w:t>
      </w:r>
    </w:p>
    <w:p w:rsidR="00D5561F" w:rsidRPr="00D66B33" w:rsidRDefault="00D5561F" w:rsidP="00D5561F">
      <w:pPr>
        <w:widowControl/>
        <w:autoSpaceDE/>
        <w:autoSpaceDN/>
        <w:adjustRightInd/>
        <w:spacing w:line="276" w:lineRule="auto"/>
        <w:jc w:val="both"/>
        <w:rPr>
          <w:rFonts w:ascii="Arial" w:eastAsia="Calibri" w:hAnsi="Arial" w:cs="Arial"/>
          <w:b/>
          <w:i/>
          <w:sz w:val="22"/>
          <w:szCs w:val="22"/>
          <w:lang w:val="it-IT" w:eastAsia="en-US"/>
        </w:rPr>
      </w:pPr>
      <w:r>
        <w:rPr>
          <w:rFonts w:ascii="Arial" w:eastAsia="Calibri" w:hAnsi="Arial" w:cs="Arial"/>
          <w:b/>
          <w:i/>
          <w:sz w:val="22"/>
          <w:szCs w:val="22"/>
          <w:lang w:val="it-IT" w:eastAsia="en-US"/>
        </w:rPr>
        <w:t>c</w:t>
      </w:r>
      <w:r w:rsidR="004A240F">
        <w:rPr>
          <w:rFonts w:ascii="Arial" w:eastAsia="Calibri" w:hAnsi="Arial" w:cs="Arial"/>
          <w:b/>
          <w:i/>
          <w:sz w:val="22"/>
          <w:szCs w:val="22"/>
          <w:lang w:val="it-IT" w:eastAsia="en-US"/>
        </w:rPr>
        <w:t>)</w:t>
      </w:r>
      <w:r w:rsidRPr="00D66B33">
        <w:rPr>
          <w:rFonts w:ascii="Arial" w:eastAsia="Calibri" w:hAnsi="Arial" w:cs="Arial"/>
          <w:b/>
          <w:i/>
          <w:sz w:val="22"/>
          <w:szCs w:val="22"/>
          <w:lang w:val="it-IT" w:eastAsia="en-US"/>
        </w:rPr>
        <w:t xml:space="preserve"> Litigii în contencios administrativ</w:t>
      </w:r>
    </w:p>
    <w:p w:rsidR="00D5561F" w:rsidRPr="00D66B33" w:rsidRDefault="00D5561F" w:rsidP="00D5561F">
      <w:pPr>
        <w:widowControl/>
        <w:autoSpaceDE/>
        <w:autoSpaceDN/>
        <w:adjustRightInd/>
        <w:spacing w:line="276" w:lineRule="auto"/>
        <w:jc w:val="both"/>
        <w:rPr>
          <w:rFonts w:ascii="Arial" w:eastAsia="Calibri" w:hAnsi="Arial" w:cs="Arial"/>
          <w:b/>
          <w:bCs/>
          <w:i/>
          <w:sz w:val="22"/>
          <w:szCs w:val="22"/>
          <w:lang w:val="pt-BR" w:eastAsia="en-US"/>
        </w:rPr>
      </w:pPr>
    </w:p>
    <w:p w:rsidR="00D5561F" w:rsidRDefault="00D5561F" w:rsidP="00D5561F">
      <w:pPr>
        <w:widowControl/>
        <w:autoSpaceDE/>
        <w:autoSpaceDN/>
        <w:adjustRightInd/>
        <w:spacing w:line="276" w:lineRule="auto"/>
        <w:jc w:val="both"/>
        <w:rPr>
          <w:rFonts w:ascii="Arial" w:eastAsia="Calibri" w:hAnsi="Arial" w:cs="Arial"/>
          <w:bCs/>
          <w:sz w:val="22"/>
          <w:szCs w:val="22"/>
          <w:lang w:val="pt-BR" w:eastAsia="en-US"/>
        </w:rPr>
      </w:pPr>
      <w:r w:rsidRPr="00D66B33">
        <w:rPr>
          <w:rFonts w:ascii="Arial" w:eastAsia="Calibri" w:hAnsi="Arial" w:cs="Arial"/>
          <w:bCs/>
          <w:sz w:val="22"/>
          <w:szCs w:val="22"/>
          <w:lang w:val="pt-BR" w:eastAsia="en-US"/>
        </w:rPr>
        <w:t>CONPET S.A. are pe rolul instanțelor de judecată 2 litigii respectiv:</w:t>
      </w:r>
    </w:p>
    <w:p w:rsidR="00B108EF" w:rsidRDefault="00B108EF" w:rsidP="00D5561F">
      <w:pPr>
        <w:widowControl/>
        <w:autoSpaceDE/>
        <w:autoSpaceDN/>
        <w:adjustRightInd/>
        <w:spacing w:line="276" w:lineRule="auto"/>
        <w:jc w:val="both"/>
        <w:rPr>
          <w:rFonts w:ascii="Arial" w:eastAsia="Calibri" w:hAnsi="Arial" w:cs="Arial"/>
          <w:sz w:val="22"/>
          <w:szCs w:val="22"/>
          <w:lang w:val="it-IT" w:eastAsia="en-US"/>
        </w:rPr>
      </w:pPr>
    </w:p>
    <w:p w:rsidR="00995F2A" w:rsidRPr="00D66B33" w:rsidRDefault="00995F2A" w:rsidP="00D5561F">
      <w:pPr>
        <w:widowControl/>
        <w:autoSpaceDE/>
        <w:autoSpaceDN/>
        <w:adjustRightInd/>
        <w:spacing w:line="276" w:lineRule="auto"/>
        <w:jc w:val="both"/>
        <w:rPr>
          <w:rFonts w:ascii="Arial" w:eastAsia="Calibri" w:hAnsi="Arial" w:cs="Arial"/>
          <w:sz w:val="22"/>
          <w:szCs w:val="22"/>
          <w:lang w:val="it-IT" w:eastAsia="en-US"/>
        </w:rPr>
      </w:pPr>
    </w:p>
    <w:p w:rsidR="00D5561F" w:rsidRPr="00C8051D" w:rsidRDefault="00D5561F" w:rsidP="00170D7E">
      <w:pPr>
        <w:pStyle w:val="ListParagraph"/>
        <w:numPr>
          <w:ilvl w:val="0"/>
          <w:numId w:val="34"/>
        </w:numPr>
        <w:spacing w:after="160"/>
        <w:jc w:val="both"/>
        <w:rPr>
          <w:rFonts w:ascii="Arial" w:hAnsi="Arial" w:cs="Arial"/>
          <w:bCs/>
          <w:lang w:val="pt-BR"/>
        </w:rPr>
      </w:pPr>
      <w:r w:rsidRPr="00C8051D">
        <w:rPr>
          <w:rFonts w:ascii="Arial" w:hAnsi="Arial" w:cs="Arial"/>
          <w:b/>
          <w:bCs/>
          <w:i/>
          <w:lang w:val="pt-BR"/>
        </w:rPr>
        <w:lastRenderedPageBreak/>
        <w:t>Dosar nr. 6575/105/2017 –</w:t>
      </w:r>
      <w:r w:rsidRPr="00C8051D">
        <w:rPr>
          <w:rFonts w:ascii="Arial" w:hAnsi="Arial" w:cs="Arial"/>
          <w:b/>
          <w:bCs/>
          <w:lang w:val="pt-BR"/>
        </w:rPr>
        <w:t xml:space="preserve"> Tribunalul Prahova</w:t>
      </w:r>
      <w:r w:rsidRPr="00C8051D">
        <w:rPr>
          <w:rFonts w:ascii="Arial" w:hAnsi="Arial" w:cs="Arial"/>
          <w:bCs/>
          <w:lang w:val="pt-BR"/>
        </w:rPr>
        <w:t xml:space="preserve"> – în curs de soluționare</w:t>
      </w:r>
    </w:p>
    <w:p w:rsidR="00D5561F" w:rsidRPr="00C15326" w:rsidRDefault="00D5561F" w:rsidP="00D5561F">
      <w:pPr>
        <w:widowControl/>
        <w:autoSpaceDE/>
        <w:autoSpaceDN/>
        <w:adjustRightInd/>
        <w:spacing w:after="160" w:line="276" w:lineRule="auto"/>
        <w:jc w:val="both"/>
        <w:rPr>
          <w:rFonts w:ascii="Arial" w:eastAsia="Calibri" w:hAnsi="Arial" w:cs="Arial"/>
          <w:bCs/>
          <w:sz w:val="22"/>
          <w:szCs w:val="22"/>
          <w:lang w:val="pt-BR" w:eastAsia="en-US"/>
        </w:rPr>
      </w:pPr>
      <w:r w:rsidRPr="00995F2A">
        <w:rPr>
          <w:rFonts w:ascii="Arial" w:eastAsia="Calibri" w:hAnsi="Arial" w:cs="Arial"/>
          <w:b/>
          <w:bCs/>
          <w:sz w:val="22"/>
          <w:szCs w:val="22"/>
          <w:lang w:val="pt-BR" w:eastAsia="en-US"/>
        </w:rPr>
        <w:t>Stadiu</w:t>
      </w:r>
      <w:r w:rsidRPr="00C15326">
        <w:rPr>
          <w:rFonts w:ascii="Arial" w:eastAsia="Calibri" w:hAnsi="Arial" w:cs="Arial"/>
          <w:bCs/>
          <w:sz w:val="22"/>
          <w:szCs w:val="22"/>
          <w:lang w:val="pt-BR" w:eastAsia="en-US"/>
        </w:rPr>
        <w:t xml:space="preserve">: Recursul CONPET S.A. la Curtea de Apel Ploiești împotriva Hotărârii intermediare nr. 442/23.02.2018 pronunțată de Tribunalul Prahova  </w:t>
      </w:r>
    </w:p>
    <w:p w:rsidR="00D5561F" w:rsidRPr="00D66B33" w:rsidRDefault="00D5561F" w:rsidP="00D5561F">
      <w:pPr>
        <w:widowControl/>
        <w:spacing w:line="276" w:lineRule="auto"/>
        <w:ind w:right="-9"/>
        <w:contextualSpacing/>
        <w:jc w:val="both"/>
        <w:rPr>
          <w:rFonts w:ascii="Arial" w:eastAsia="Calibri" w:hAnsi="Arial" w:cs="Arial"/>
          <w:bCs/>
          <w:sz w:val="22"/>
          <w:szCs w:val="22"/>
          <w:lang w:val="pt-BR" w:eastAsia="en-US"/>
        </w:rPr>
      </w:pPr>
      <w:r w:rsidRPr="00D66B33">
        <w:rPr>
          <w:rFonts w:ascii="Arial" w:eastAsia="Calibri" w:hAnsi="Arial" w:cs="Arial"/>
          <w:bCs/>
          <w:sz w:val="22"/>
          <w:szCs w:val="22"/>
          <w:lang w:val="pt-BR" w:eastAsia="en-US"/>
        </w:rPr>
        <w:t>Prin Hotărârea intermediară nr. 442/23.02.2018 Tribunalul Prahova a respins cererea CONPET S.A. de suspendare a măsurilor Curții de Conturi stabilite prin Decizia nr. 14/21.06.2017 de v</w:t>
      </w:r>
      <w:r w:rsidRPr="00D66B33">
        <w:rPr>
          <w:rFonts w:ascii="Arial" w:eastAsia="Calibri" w:hAnsi="Arial" w:cs="Arial"/>
          <w:sz w:val="22"/>
          <w:szCs w:val="22"/>
          <w:lang w:val="pt-BR" w:eastAsia="en-US"/>
        </w:rPr>
        <w:t>irare a sumei de 927.154,06 lei reprezent</w:t>
      </w:r>
      <w:r w:rsidR="00C8051D">
        <w:rPr>
          <w:rFonts w:ascii="Arial" w:eastAsia="Calibri" w:hAnsi="Arial" w:cs="Arial"/>
          <w:sz w:val="22"/>
          <w:szCs w:val="22"/>
          <w:lang w:val="pt-BR" w:eastAsia="en-US"/>
        </w:rPr>
        <w:t>â</w:t>
      </w:r>
      <w:r w:rsidRPr="00D66B33">
        <w:rPr>
          <w:rFonts w:ascii="Arial" w:eastAsia="Calibri" w:hAnsi="Arial" w:cs="Arial"/>
          <w:sz w:val="22"/>
          <w:szCs w:val="22"/>
          <w:lang w:val="pt-BR" w:eastAsia="en-US"/>
        </w:rPr>
        <w:t>nd venit la bugetul de stat din valorificarea materialului tubular r</w:t>
      </w:r>
      <w:r w:rsidR="00C8051D">
        <w:rPr>
          <w:rFonts w:ascii="Arial" w:eastAsia="Calibri" w:hAnsi="Arial" w:cs="Arial"/>
          <w:sz w:val="22"/>
          <w:szCs w:val="22"/>
          <w:lang w:val="pt-BR" w:eastAsia="en-US"/>
        </w:rPr>
        <w:t>ezultat din dezafectarea unor părț</w:t>
      </w:r>
      <w:r w:rsidRPr="00D66B33">
        <w:rPr>
          <w:rFonts w:ascii="Arial" w:eastAsia="Calibri" w:hAnsi="Arial" w:cs="Arial"/>
          <w:sz w:val="22"/>
          <w:szCs w:val="22"/>
          <w:lang w:val="pt-BR" w:eastAsia="en-US"/>
        </w:rPr>
        <w:t>i din activele corporale apar</w:t>
      </w:r>
      <w:r w:rsidR="00C8051D">
        <w:rPr>
          <w:rFonts w:ascii="Arial" w:eastAsia="Calibri" w:hAnsi="Arial" w:cs="Arial"/>
          <w:sz w:val="22"/>
          <w:szCs w:val="22"/>
          <w:lang w:val="pt-BR" w:eastAsia="en-US"/>
        </w:rPr>
        <w:t>ț</w:t>
      </w:r>
      <w:r w:rsidRPr="00D66B33">
        <w:rPr>
          <w:rFonts w:ascii="Arial" w:eastAsia="Calibri" w:hAnsi="Arial" w:cs="Arial"/>
          <w:sz w:val="22"/>
          <w:szCs w:val="22"/>
          <w:lang w:val="pt-BR" w:eastAsia="en-US"/>
        </w:rPr>
        <w:t>in</w:t>
      </w:r>
      <w:r w:rsidR="00C8051D">
        <w:rPr>
          <w:rFonts w:ascii="Arial" w:eastAsia="Calibri" w:hAnsi="Arial" w:cs="Arial"/>
          <w:sz w:val="22"/>
          <w:szCs w:val="22"/>
          <w:lang w:val="pt-BR" w:eastAsia="en-US"/>
        </w:rPr>
        <w:t>â</w:t>
      </w:r>
      <w:r w:rsidRPr="00D66B33">
        <w:rPr>
          <w:rFonts w:ascii="Arial" w:eastAsia="Calibri" w:hAnsi="Arial" w:cs="Arial"/>
          <w:sz w:val="22"/>
          <w:szCs w:val="22"/>
          <w:lang w:val="pt-BR" w:eastAsia="en-US"/>
        </w:rPr>
        <w:t xml:space="preserve">d </w:t>
      </w:r>
      <w:r w:rsidR="00C8051D">
        <w:rPr>
          <w:rFonts w:ascii="Arial" w:eastAsia="Calibri" w:hAnsi="Arial" w:cs="Arial"/>
          <w:sz w:val="22"/>
          <w:szCs w:val="22"/>
          <w:lang w:val="pt-BR" w:eastAsia="en-US"/>
        </w:rPr>
        <w:t>domeniului public al statului, î</w:t>
      </w:r>
      <w:r w:rsidRPr="00D66B33">
        <w:rPr>
          <w:rFonts w:ascii="Arial" w:eastAsia="Calibri" w:hAnsi="Arial" w:cs="Arial"/>
          <w:sz w:val="22"/>
          <w:szCs w:val="22"/>
          <w:lang w:val="pt-BR" w:eastAsia="en-US"/>
        </w:rPr>
        <w:t>mpreun</w:t>
      </w:r>
      <w:r w:rsidR="00C8051D">
        <w:rPr>
          <w:rFonts w:ascii="Arial" w:eastAsia="Calibri" w:hAnsi="Arial" w:cs="Arial"/>
          <w:sz w:val="22"/>
          <w:szCs w:val="22"/>
          <w:lang w:val="pt-BR" w:eastAsia="en-US"/>
        </w:rPr>
        <w:t>ă</w:t>
      </w:r>
      <w:r w:rsidRPr="00D66B33">
        <w:rPr>
          <w:rFonts w:ascii="Arial" w:eastAsia="Calibri" w:hAnsi="Arial" w:cs="Arial"/>
          <w:sz w:val="22"/>
          <w:szCs w:val="22"/>
          <w:lang w:val="pt-BR" w:eastAsia="en-US"/>
        </w:rPr>
        <w:t xml:space="preserve"> cu dob</w:t>
      </w:r>
      <w:r w:rsidR="00C8051D">
        <w:rPr>
          <w:rFonts w:ascii="Arial" w:eastAsia="Calibri" w:hAnsi="Arial" w:cs="Arial"/>
          <w:sz w:val="22"/>
          <w:szCs w:val="22"/>
          <w:lang w:val="pt-BR" w:eastAsia="en-US"/>
        </w:rPr>
        <w:t>â</w:t>
      </w:r>
      <w:r w:rsidRPr="00D66B33">
        <w:rPr>
          <w:rFonts w:ascii="Arial" w:eastAsia="Calibri" w:hAnsi="Arial" w:cs="Arial"/>
          <w:sz w:val="22"/>
          <w:szCs w:val="22"/>
          <w:lang w:val="pt-BR" w:eastAsia="en-US"/>
        </w:rPr>
        <w:t xml:space="preserve">nzile </w:t>
      </w:r>
      <w:r w:rsidR="00C8051D">
        <w:rPr>
          <w:rFonts w:ascii="Arial" w:eastAsia="Calibri" w:hAnsi="Arial" w:cs="Arial"/>
          <w:sz w:val="22"/>
          <w:szCs w:val="22"/>
          <w:lang w:val="pt-BR" w:eastAsia="en-US"/>
        </w:rPr>
        <w:t>și</w:t>
      </w:r>
      <w:r w:rsidRPr="00D66B33">
        <w:rPr>
          <w:rFonts w:ascii="Arial" w:eastAsia="Calibri" w:hAnsi="Arial" w:cs="Arial"/>
          <w:sz w:val="22"/>
          <w:szCs w:val="22"/>
          <w:lang w:val="pt-BR" w:eastAsia="en-US"/>
        </w:rPr>
        <w:t xml:space="preserve"> penalit</w:t>
      </w:r>
      <w:r w:rsidR="00C8051D">
        <w:rPr>
          <w:rFonts w:ascii="Arial" w:eastAsia="Calibri" w:hAnsi="Arial" w:cs="Arial"/>
          <w:sz w:val="22"/>
          <w:szCs w:val="22"/>
          <w:lang w:val="pt-BR" w:eastAsia="en-US"/>
        </w:rPr>
        <w:t>ăț</w:t>
      </w:r>
      <w:r w:rsidRPr="00D66B33">
        <w:rPr>
          <w:rFonts w:ascii="Arial" w:eastAsia="Calibri" w:hAnsi="Arial" w:cs="Arial"/>
          <w:sz w:val="22"/>
          <w:szCs w:val="22"/>
          <w:lang w:val="pt-BR" w:eastAsia="en-US"/>
        </w:rPr>
        <w:t>ile aferente, actualizate la data pl</w:t>
      </w:r>
      <w:r w:rsidR="00C8051D">
        <w:rPr>
          <w:rFonts w:ascii="Arial" w:eastAsia="Calibri" w:hAnsi="Arial" w:cs="Arial"/>
          <w:sz w:val="22"/>
          <w:szCs w:val="22"/>
          <w:lang w:val="pt-BR" w:eastAsia="en-US"/>
        </w:rPr>
        <w:t>ăț</w:t>
      </w:r>
      <w:r w:rsidRPr="00D66B33">
        <w:rPr>
          <w:rFonts w:ascii="Arial" w:eastAsia="Calibri" w:hAnsi="Arial" w:cs="Arial"/>
          <w:sz w:val="22"/>
          <w:szCs w:val="22"/>
          <w:lang w:val="pt-BR" w:eastAsia="en-US"/>
        </w:rPr>
        <w:t>ii și virare la buget, la valoarea actualizat</w:t>
      </w:r>
      <w:r w:rsidR="00C8051D">
        <w:rPr>
          <w:rFonts w:ascii="Arial" w:eastAsia="Calibri" w:hAnsi="Arial" w:cs="Arial"/>
          <w:sz w:val="22"/>
          <w:szCs w:val="22"/>
          <w:lang w:val="pt-BR" w:eastAsia="en-US"/>
        </w:rPr>
        <w:t>ă</w:t>
      </w:r>
      <w:r w:rsidRPr="00D66B33">
        <w:rPr>
          <w:rFonts w:ascii="Arial" w:eastAsia="Calibri" w:hAnsi="Arial" w:cs="Arial"/>
          <w:sz w:val="22"/>
          <w:szCs w:val="22"/>
          <w:lang w:val="pt-BR" w:eastAsia="en-US"/>
        </w:rPr>
        <w:t xml:space="preserve">, a sumelor identificate </w:t>
      </w:r>
      <w:r w:rsidR="00C8051D">
        <w:rPr>
          <w:rFonts w:ascii="Arial" w:eastAsia="Calibri" w:hAnsi="Arial" w:cs="Arial"/>
          <w:sz w:val="22"/>
          <w:szCs w:val="22"/>
          <w:lang w:val="pt-BR" w:eastAsia="en-US"/>
        </w:rPr>
        <w:t>î</w:t>
      </w:r>
      <w:r w:rsidRPr="00D66B33">
        <w:rPr>
          <w:rFonts w:ascii="Arial" w:eastAsia="Calibri" w:hAnsi="Arial" w:cs="Arial"/>
          <w:sz w:val="22"/>
          <w:szCs w:val="22"/>
          <w:lang w:val="pt-BR" w:eastAsia="en-US"/>
        </w:rPr>
        <w:t>n urma extinderii verific</w:t>
      </w:r>
      <w:r w:rsidR="00C8051D">
        <w:rPr>
          <w:rFonts w:ascii="Arial" w:eastAsia="Calibri" w:hAnsi="Arial" w:cs="Arial"/>
          <w:sz w:val="22"/>
          <w:szCs w:val="22"/>
          <w:lang w:val="pt-BR" w:eastAsia="en-US"/>
        </w:rPr>
        <w:t>ă</w:t>
      </w:r>
      <w:r w:rsidRPr="00D66B33">
        <w:rPr>
          <w:rFonts w:ascii="Arial" w:eastAsia="Calibri" w:hAnsi="Arial" w:cs="Arial"/>
          <w:sz w:val="22"/>
          <w:szCs w:val="22"/>
          <w:lang w:val="pt-BR" w:eastAsia="en-US"/>
        </w:rPr>
        <w:t>rilor privind sumele nete rezultate din valorificarea materialelor aferente activelor corporale apar</w:t>
      </w:r>
      <w:r w:rsidR="00C8051D">
        <w:rPr>
          <w:rFonts w:ascii="Arial" w:eastAsia="Calibri" w:hAnsi="Arial" w:cs="Arial"/>
          <w:sz w:val="22"/>
          <w:szCs w:val="22"/>
          <w:lang w:val="pt-BR" w:eastAsia="en-US"/>
        </w:rPr>
        <w:t>ț</w:t>
      </w:r>
      <w:r w:rsidRPr="00D66B33">
        <w:rPr>
          <w:rFonts w:ascii="Arial" w:eastAsia="Calibri" w:hAnsi="Arial" w:cs="Arial"/>
          <w:sz w:val="22"/>
          <w:szCs w:val="22"/>
          <w:lang w:val="pt-BR" w:eastAsia="en-US"/>
        </w:rPr>
        <w:t>in</w:t>
      </w:r>
      <w:r w:rsidR="00C8051D">
        <w:rPr>
          <w:rFonts w:ascii="Arial" w:eastAsia="Calibri" w:hAnsi="Arial" w:cs="Arial"/>
          <w:sz w:val="22"/>
          <w:szCs w:val="22"/>
          <w:lang w:val="pt-BR" w:eastAsia="en-US"/>
        </w:rPr>
        <w:t>â</w:t>
      </w:r>
      <w:r w:rsidRPr="00D66B33">
        <w:rPr>
          <w:rFonts w:ascii="Arial" w:eastAsia="Calibri" w:hAnsi="Arial" w:cs="Arial"/>
          <w:sz w:val="22"/>
          <w:szCs w:val="22"/>
          <w:lang w:val="pt-BR" w:eastAsia="en-US"/>
        </w:rPr>
        <w:t xml:space="preserve">nd domeniului public al statului dezmembrate </w:t>
      </w:r>
      <w:r w:rsidR="00C8051D">
        <w:rPr>
          <w:rFonts w:ascii="Arial" w:eastAsia="Calibri" w:hAnsi="Arial" w:cs="Arial"/>
          <w:sz w:val="22"/>
          <w:szCs w:val="22"/>
          <w:lang w:val="pt-BR" w:eastAsia="en-US"/>
        </w:rPr>
        <w:t>ș</w:t>
      </w:r>
      <w:r w:rsidRPr="00D66B33">
        <w:rPr>
          <w:rFonts w:ascii="Arial" w:eastAsia="Calibri" w:hAnsi="Arial" w:cs="Arial"/>
          <w:sz w:val="22"/>
          <w:szCs w:val="22"/>
          <w:lang w:val="pt-BR" w:eastAsia="en-US"/>
        </w:rPr>
        <w:t xml:space="preserve">i dezafectate. CONPET S.A. a formulat recurs împotriva </w:t>
      </w:r>
      <w:r w:rsidRPr="00D66B33">
        <w:rPr>
          <w:rFonts w:ascii="Arial" w:eastAsia="Calibri" w:hAnsi="Arial" w:cs="Arial"/>
          <w:bCs/>
          <w:sz w:val="22"/>
          <w:szCs w:val="22"/>
          <w:lang w:val="pt-BR" w:eastAsia="en-US"/>
        </w:rPr>
        <w:t>Hotărârii intermediare nr. 442/23.02.2018 la Curtea de Apel Ploiești.</w:t>
      </w:r>
    </w:p>
    <w:p w:rsidR="001819A5" w:rsidRDefault="001819A5" w:rsidP="00D5561F">
      <w:pPr>
        <w:widowControl/>
        <w:spacing w:line="276" w:lineRule="auto"/>
        <w:ind w:right="-9"/>
        <w:contextualSpacing/>
        <w:jc w:val="both"/>
        <w:rPr>
          <w:rFonts w:ascii="Arial" w:eastAsia="Calibri" w:hAnsi="Arial" w:cs="Arial"/>
          <w:bCs/>
          <w:sz w:val="22"/>
          <w:szCs w:val="22"/>
          <w:lang w:val="pt-BR" w:eastAsia="en-US"/>
        </w:rPr>
      </w:pPr>
    </w:p>
    <w:p w:rsidR="00D5561F" w:rsidRPr="00D66B33" w:rsidRDefault="00D5561F" w:rsidP="00D5561F">
      <w:pPr>
        <w:widowControl/>
        <w:spacing w:line="276" w:lineRule="auto"/>
        <w:ind w:right="-9"/>
        <w:contextualSpacing/>
        <w:jc w:val="both"/>
        <w:rPr>
          <w:rFonts w:ascii="Arial" w:eastAsia="Calibri" w:hAnsi="Arial" w:cs="Arial"/>
          <w:sz w:val="22"/>
          <w:szCs w:val="22"/>
          <w:lang w:val="pt-BR" w:eastAsia="en-US"/>
        </w:rPr>
      </w:pPr>
      <w:r w:rsidRPr="00D66B33">
        <w:rPr>
          <w:rFonts w:ascii="Arial" w:eastAsia="Calibri" w:hAnsi="Arial" w:cs="Arial"/>
          <w:bCs/>
          <w:sz w:val="22"/>
          <w:szCs w:val="22"/>
          <w:lang w:val="pt-BR" w:eastAsia="en-US"/>
        </w:rPr>
        <w:t>Prin cererea de chemare în judecată CONPET S.A. a formulat contestație împotriva Încheierii nr. 78/09.08.2017 emisă de Curtea de Conturi a României pentru ca prin hotărârea pe care o va pronunța instanța să dispună:</w:t>
      </w:r>
    </w:p>
    <w:p w:rsidR="00D5561F" w:rsidRPr="00D66B33" w:rsidRDefault="00D5561F" w:rsidP="00D5561F">
      <w:pPr>
        <w:widowControl/>
        <w:autoSpaceDE/>
        <w:autoSpaceDN/>
        <w:adjustRightInd/>
        <w:spacing w:line="276" w:lineRule="auto"/>
        <w:jc w:val="both"/>
        <w:rPr>
          <w:rFonts w:ascii="Arial" w:eastAsia="Calibri" w:hAnsi="Arial" w:cs="Arial"/>
          <w:bCs/>
          <w:sz w:val="22"/>
          <w:szCs w:val="22"/>
          <w:lang w:val="pt-BR" w:eastAsia="en-US"/>
        </w:rPr>
      </w:pPr>
    </w:p>
    <w:p w:rsidR="00D5561F" w:rsidRPr="00C15326" w:rsidRDefault="00D5561F" w:rsidP="00A87EFF">
      <w:pPr>
        <w:pStyle w:val="ListParagraph"/>
        <w:numPr>
          <w:ilvl w:val="0"/>
          <w:numId w:val="10"/>
        </w:numPr>
        <w:spacing w:after="160"/>
        <w:ind w:right="-9"/>
        <w:jc w:val="both"/>
        <w:rPr>
          <w:rFonts w:ascii="Arial" w:hAnsi="Arial" w:cs="Arial"/>
          <w:b/>
          <w:bCs/>
          <w:lang w:val="en-US"/>
        </w:rPr>
      </w:pPr>
      <w:r w:rsidRPr="00C15326">
        <w:rPr>
          <w:rFonts w:ascii="Arial" w:hAnsi="Arial" w:cs="Arial"/>
          <w:b/>
          <w:bCs/>
          <w:lang w:val="en-US"/>
        </w:rPr>
        <w:t>Anularea în parte a Încheierii nr. 78/09.08.2017 emisă de Curtea de Conturi a României respectiv:</w:t>
      </w:r>
      <w:r w:rsidR="00C8051D">
        <w:rPr>
          <w:rFonts w:ascii="Arial" w:hAnsi="Arial" w:cs="Arial"/>
          <w:b/>
          <w:bCs/>
          <w:lang w:val="en-US"/>
        </w:rPr>
        <w:t xml:space="preserve"> </w:t>
      </w:r>
      <w:r w:rsidRPr="00C15326">
        <w:rPr>
          <w:rFonts w:ascii="Arial" w:hAnsi="Arial" w:cs="Arial"/>
          <w:b/>
          <w:bCs/>
          <w:i/>
        </w:rPr>
        <w:t>considerentul 2</w:t>
      </w:r>
      <w:r w:rsidRPr="00C15326">
        <w:rPr>
          <w:rFonts w:ascii="Arial" w:hAnsi="Arial" w:cs="Arial"/>
          <w:bCs/>
          <w:i/>
        </w:rPr>
        <w:t xml:space="preserve"> referitor la Punctul II din Contestația nr. 27718/10.07.2017 (cu privire la măsurile nr. I.2 și I.3 din Decizia nr. 24/21.06.2017, pentru înlăturarea abaterii prezentate la pct. 2 și 3 din aceiași decizie), constatările de la lit. A și B.</w:t>
      </w:r>
    </w:p>
    <w:p w:rsidR="00D5561F" w:rsidRPr="00C15326" w:rsidRDefault="00D5561F" w:rsidP="00A87EFF">
      <w:pPr>
        <w:pStyle w:val="ListParagraph"/>
        <w:numPr>
          <w:ilvl w:val="0"/>
          <w:numId w:val="10"/>
        </w:numPr>
        <w:ind w:right="-9"/>
        <w:jc w:val="both"/>
        <w:rPr>
          <w:rFonts w:ascii="Arial" w:hAnsi="Arial" w:cs="Arial"/>
          <w:b/>
          <w:bCs/>
          <w:lang w:val="en-US"/>
        </w:rPr>
      </w:pPr>
      <w:r w:rsidRPr="00C15326">
        <w:rPr>
          <w:rFonts w:ascii="Arial" w:hAnsi="Arial" w:cs="Arial"/>
          <w:b/>
          <w:bCs/>
          <w:lang w:val="en-US"/>
        </w:rPr>
        <w:t>Anularea în parte a Deciziei nr. 14/21.06.2017, emisă de Camera de Conturi Prahova, respectiv:</w:t>
      </w:r>
    </w:p>
    <w:p w:rsidR="00D5561F" w:rsidRPr="00C15326" w:rsidRDefault="00D5561F" w:rsidP="00A87EFF">
      <w:pPr>
        <w:pStyle w:val="ListParagraph"/>
        <w:numPr>
          <w:ilvl w:val="0"/>
          <w:numId w:val="11"/>
        </w:numPr>
        <w:spacing w:after="160"/>
        <w:ind w:right="-9"/>
        <w:jc w:val="both"/>
        <w:rPr>
          <w:rFonts w:ascii="Arial" w:hAnsi="Arial" w:cs="Arial"/>
          <w:b/>
          <w:lang w:val="en-US"/>
        </w:rPr>
      </w:pPr>
      <w:r w:rsidRPr="00C15326">
        <w:rPr>
          <w:rFonts w:ascii="Arial" w:hAnsi="Arial" w:cs="Arial"/>
          <w:b/>
          <w:bCs/>
        </w:rPr>
        <w:t>constatările prezentate la punctul</w:t>
      </w:r>
      <w:r w:rsidRPr="00C15326">
        <w:rPr>
          <w:rFonts w:ascii="Arial" w:hAnsi="Arial" w:cs="Arial"/>
          <w:b/>
          <w:bCs/>
          <w:lang w:val="en-US"/>
        </w:rPr>
        <w:t xml:space="preserve"> nr. 2</w:t>
      </w:r>
      <w:r w:rsidRPr="00C15326">
        <w:rPr>
          <w:rFonts w:ascii="Arial" w:hAnsi="Arial" w:cs="Arial"/>
          <w:bCs/>
          <w:lang w:val="en-US"/>
        </w:rPr>
        <w:t xml:space="preserve"> cu privire la </w:t>
      </w:r>
      <w:r w:rsidRPr="00C15326">
        <w:rPr>
          <w:rFonts w:ascii="Arial" w:hAnsi="Arial" w:cs="Arial"/>
          <w:bCs/>
          <w:i/>
          <w:lang w:val="en-US"/>
        </w:rPr>
        <w:t xml:space="preserve">dezafectarea și valorificarea unor tronsoane de conductă aparținând Sistemului </w:t>
      </w:r>
      <w:r w:rsidR="00C8051D">
        <w:rPr>
          <w:rFonts w:ascii="Arial" w:hAnsi="Arial" w:cs="Arial"/>
          <w:bCs/>
          <w:i/>
          <w:lang w:val="en-US"/>
        </w:rPr>
        <w:t>N</w:t>
      </w:r>
      <w:r w:rsidRPr="00C15326">
        <w:rPr>
          <w:rFonts w:ascii="Arial" w:hAnsi="Arial" w:cs="Arial"/>
          <w:bCs/>
          <w:i/>
          <w:lang w:val="en-US"/>
        </w:rPr>
        <w:t xml:space="preserve">ațional de </w:t>
      </w:r>
      <w:r w:rsidR="00C8051D">
        <w:rPr>
          <w:rFonts w:ascii="Arial" w:hAnsi="Arial" w:cs="Arial"/>
          <w:bCs/>
          <w:i/>
          <w:lang w:val="en-US"/>
        </w:rPr>
        <w:t>T</w:t>
      </w:r>
      <w:r w:rsidRPr="00C15326">
        <w:rPr>
          <w:rFonts w:ascii="Arial" w:hAnsi="Arial" w:cs="Arial"/>
          <w:bCs/>
          <w:i/>
          <w:lang w:val="en-US"/>
        </w:rPr>
        <w:t>ransport – parte din domeniul public de interes național, fără ca anterior să fie adoptată hotărâre de guvern de trecere din domeniul public al statului în domeniul privat, în vederea întocmirii documentației de scoatere din funcțiune și casare;</w:t>
      </w:r>
    </w:p>
    <w:p w:rsidR="00D5561F" w:rsidRDefault="00D5561F" w:rsidP="00A87EFF">
      <w:pPr>
        <w:pStyle w:val="ListParagraph"/>
        <w:numPr>
          <w:ilvl w:val="0"/>
          <w:numId w:val="11"/>
        </w:numPr>
        <w:spacing w:after="160"/>
        <w:ind w:right="-9"/>
        <w:jc w:val="both"/>
        <w:rPr>
          <w:rFonts w:ascii="Arial" w:hAnsi="Arial" w:cs="Arial"/>
          <w:i/>
          <w:lang w:val="en-US"/>
        </w:rPr>
      </w:pPr>
      <w:r w:rsidRPr="00C15326">
        <w:rPr>
          <w:rFonts w:ascii="Arial" w:hAnsi="Arial" w:cs="Arial"/>
          <w:b/>
          <w:bCs/>
        </w:rPr>
        <w:t xml:space="preserve">constatările prezentate la </w:t>
      </w:r>
      <w:r w:rsidRPr="00C15326">
        <w:rPr>
          <w:rFonts w:ascii="Arial" w:hAnsi="Arial" w:cs="Arial"/>
          <w:b/>
          <w:lang w:val="en-US"/>
        </w:rPr>
        <w:t xml:space="preserve">punctul nr. 3 </w:t>
      </w:r>
      <w:r w:rsidRPr="00C15326">
        <w:rPr>
          <w:rFonts w:ascii="Arial" w:hAnsi="Arial" w:cs="Arial"/>
          <w:lang w:val="en-US"/>
        </w:rPr>
        <w:t xml:space="preserve">cu privire la faptul că </w:t>
      </w:r>
      <w:r w:rsidRPr="00C15326">
        <w:rPr>
          <w:rFonts w:ascii="Arial" w:hAnsi="Arial" w:cs="Arial"/>
          <w:i/>
          <w:lang w:val="en-US"/>
        </w:rPr>
        <w:t>în anul 2016 a fost valorificată prin licitație conductă îngropată recuperabilă potrivit procedurii de valorificare aprobată prin regulamentul privind condițiile de participare la licitație și modalitatea desfășurării licitației pentru valorificarea materialului tubular metalic îngropat și/sau suprateran. Valorificarea s-a făcut înaintea adoptării unei hotărâri de guvern prin care să aprobe trecerea din domeniul public al statului în domeniul privat în vederea valorificării, potrivit legii;</w:t>
      </w:r>
    </w:p>
    <w:p w:rsidR="00B108EF" w:rsidRPr="00254521" w:rsidRDefault="00D5561F" w:rsidP="00254521">
      <w:pPr>
        <w:pStyle w:val="ListParagraph"/>
        <w:numPr>
          <w:ilvl w:val="0"/>
          <w:numId w:val="11"/>
        </w:numPr>
        <w:spacing w:after="160"/>
        <w:ind w:right="-9"/>
        <w:jc w:val="both"/>
        <w:rPr>
          <w:rFonts w:ascii="Arial" w:hAnsi="Arial" w:cs="Arial"/>
          <w:i/>
          <w:lang w:val="en-US"/>
        </w:rPr>
      </w:pPr>
      <w:r w:rsidRPr="00C15326">
        <w:rPr>
          <w:rFonts w:ascii="Arial" w:hAnsi="Arial" w:cs="Arial"/>
          <w:b/>
          <w:lang w:val="en-US"/>
        </w:rPr>
        <w:t>Măsura nr. 2 privind efectuarea inventarierii</w:t>
      </w:r>
      <w:r w:rsidRPr="00C15326">
        <w:rPr>
          <w:rFonts w:ascii="Arial" w:hAnsi="Arial" w:cs="Arial"/>
          <w:i/>
          <w:lang w:val="en-US"/>
        </w:rPr>
        <w:t xml:space="preserve"> pentru identificarea porțiunilor din Sistemul Național de Transport care au fost abandonate sau dezafectate ca urmare a investițiilor efectuate la Sistemul Național de Transport în cadrul programelor de reabilitare, modernizare și dezvoltare realizate și transmiterea rezultatelor ANRMpentru inițierea hotărârii de guvern pentru aprobarea trecerii din domeniul public al statului în domeniul privat al statului în vederea scoaterii lor din funcțiune. Reglementarea prin procedură internă a modului de scoatere din </w:t>
      </w:r>
    </w:p>
    <w:p w:rsidR="00D5561F" w:rsidRPr="00C15326" w:rsidRDefault="00D5561F" w:rsidP="00254521">
      <w:pPr>
        <w:pStyle w:val="ListParagraph"/>
        <w:spacing w:after="160"/>
        <w:ind w:left="1440" w:right="-9"/>
        <w:jc w:val="both"/>
        <w:rPr>
          <w:rFonts w:ascii="Arial" w:hAnsi="Arial" w:cs="Arial"/>
          <w:i/>
          <w:lang w:val="en-US"/>
        </w:rPr>
      </w:pPr>
      <w:r w:rsidRPr="00C15326">
        <w:rPr>
          <w:rFonts w:ascii="Arial" w:hAnsi="Arial" w:cs="Arial"/>
          <w:i/>
          <w:lang w:val="en-US"/>
        </w:rPr>
        <w:t>funcțiune, casare și valorificare a părților din Sistemul Național de Transport dezafectate urmare lucrărilor de reabilitare, modernizare și dezvoltare efectuate de concesionar;</w:t>
      </w:r>
    </w:p>
    <w:p w:rsidR="00D5561F" w:rsidRPr="00C15326" w:rsidRDefault="00D5561F" w:rsidP="00A87EFF">
      <w:pPr>
        <w:pStyle w:val="ListParagraph"/>
        <w:numPr>
          <w:ilvl w:val="0"/>
          <w:numId w:val="11"/>
        </w:numPr>
        <w:spacing w:after="160"/>
        <w:ind w:right="-9"/>
        <w:jc w:val="both"/>
        <w:rPr>
          <w:rFonts w:ascii="Arial" w:hAnsi="Arial" w:cs="Arial"/>
          <w:lang w:val="en-US"/>
        </w:rPr>
      </w:pPr>
      <w:r w:rsidRPr="00C15326">
        <w:rPr>
          <w:rFonts w:ascii="Arial" w:hAnsi="Arial" w:cs="Arial"/>
          <w:b/>
          <w:lang w:val="en-US"/>
        </w:rPr>
        <w:lastRenderedPageBreak/>
        <w:t xml:space="preserve">Măsura nr. 3 privind virarea sumei de 927.154,06 lei </w:t>
      </w:r>
      <w:r w:rsidRPr="00C15326">
        <w:rPr>
          <w:rFonts w:ascii="Arial" w:hAnsi="Arial" w:cs="Arial"/>
          <w:i/>
          <w:lang w:val="en-US"/>
        </w:rPr>
        <w:t>reprezentând venit la bugetul de stat din valorificarea materialului tubular rezultat din dezafectarea unor părți din activele corporale aparținând domeniului public al statului, împreună cu dobânzile și penalitățile aferente, actualizate la data plății. Extinderea verificărilor pentru identificarea tuturor sumelor nete rezultate din valorificarea materialelor aferente activelor corporale aparținând domeniului public al statului dezmembrate, dezafectate și virarea lor la buget, la valoarea actualizată.</w:t>
      </w:r>
    </w:p>
    <w:p w:rsidR="00D5561F" w:rsidRPr="00C15326" w:rsidRDefault="00D5561F" w:rsidP="00A87EFF">
      <w:pPr>
        <w:pStyle w:val="ListParagraph"/>
        <w:numPr>
          <w:ilvl w:val="0"/>
          <w:numId w:val="12"/>
        </w:numPr>
        <w:ind w:right="-9"/>
        <w:jc w:val="both"/>
        <w:rPr>
          <w:rFonts w:ascii="Arial" w:hAnsi="Arial" w:cs="Arial"/>
          <w:iCs/>
          <w:lang w:val="en-US"/>
        </w:rPr>
      </w:pPr>
      <w:r w:rsidRPr="00C15326">
        <w:rPr>
          <w:rFonts w:ascii="Arial" w:hAnsi="Arial" w:cs="Arial"/>
          <w:b/>
        </w:rPr>
        <w:t xml:space="preserve">Suspendarea măsurilor stabilite prin </w:t>
      </w:r>
      <w:r w:rsidRPr="00C15326">
        <w:rPr>
          <w:rFonts w:ascii="Arial" w:hAnsi="Arial" w:cs="Arial"/>
          <w:b/>
          <w:bCs/>
          <w:lang w:val="en-US"/>
        </w:rPr>
        <w:t xml:space="preserve">Decizia nr. 14/21.06.2017, </w:t>
      </w:r>
      <w:r w:rsidRPr="00C15326">
        <w:rPr>
          <w:rFonts w:ascii="Arial" w:hAnsi="Arial" w:cs="Arial"/>
          <w:bCs/>
          <w:lang w:val="en-US"/>
        </w:rPr>
        <w:t>emisă de Camera de Conturi Prahova, punctele nr. I.2 și I.3, respectiv măsurile 2 și 3 din aceasta p</w:t>
      </w:r>
      <w:r w:rsidRPr="00C15326">
        <w:rPr>
          <w:rFonts w:ascii="Arial" w:hAnsi="Arial" w:cs="Arial"/>
        </w:rPr>
        <w:t>ână la soluționarea</w:t>
      </w:r>
      <w:r w:rsidRPr="00C15326">
        <w:rPr>
          <w:rFonts w:ascii="Arial" w:hAnsi="Arial" w:cs="Arial"/>
          <w:iCs/>
          <w:lang w:val="en-US"/>
        </w:rPr>
        <w:t xml:space="preserve"> definitivă a cauzei.</w:t>
      </w:r>
    </w:p>
    <w:p w:rsidR="00D5561F" w:rsidRPr="00D66B33" w:rsidRDefault="00D5561F" w:rsidP="00D5561F">
      <w:pPr>
        <w:widowControl/>
        <w:autoSpaceDE/>
        <w:autoSpaceDN/>
        <w:adjustRightInd/>
        <w:spacing w:line="276" w:lineRule="auto"/>
        <w:ind w:right="-9"/>
        <w:jc w:val="both"/>
        <w:rPr>
          <w:rFonts w:ascii="Arial" w:hAnsi="Arial" w:cs="Arial"/>
          <w:iCs/>
          <w:sz w:val="22"/>
          <w:szCs w:val="22"/>
          <w:lang w:val="en-US" w:eastAsia="en-US"/>
        </w:rPr>
      </w:pPr>
      <w:r w:rsidRPr="00D66B33">
        <w:rPr>
          <w:rFonts w:ascii="Arial" w:hAnsi="Arial" w:cs="Arial"/>
          <w:iCs/>
          <w:sz w:val="22"/>
          <w:szCs w:val="22"/>
          <w:lang w:val="en-US" w:eastAsia="en-US"/>
        </w:rPr>
        <w:t>Prin Încheierea din data de 23.02.2018 Tribunalul Prahova respinge cererea de suspendare a executării actului administrativ, ca neîntemeiată. Hotărârea a fost atacată cu recurs de Conpet SA.</w:t>
      </w:r>
    </w:p>
    <w:p w:rsidR="00D5561F" w:rsidRPr="00C15326" w:rsidRDefault="00D5561F" w:rsidP="00D5561F">
      <w:pPr>
        <w:widowControl/>
        <w:autoSpaceDE/>
        <w:autoSpaceDN/>
        <w:adjustRightInd/>
        <w:spacing w:line="276" w:lineRule="auto"/>
        <w:ind w:right="-576"/>
        <w:jc w:val="both"/>
        <w:rPr>
          <w:rFonts w:ascii="Arial" w:hAnsi="Arial" w:cs="Arial"/>
          <w:bCs/>
          <w:sz w:val="22"/>
          <w:szCs w:val="22"/>
          <w:lang w:val="pt-BR" w:eastAsia="en-US"/>
        </w:rPr>
      </w:pPr>
      <w:r w:rsidRPr="00C15326">
        <w:rPr>
          <w:rFonts w:ascii="Arial" w:hAnsi="Arial" w:cs="Arial"/>
          <w:bCs/>
          <w:sz w:val="22"/>
          <w:szCs w:val="22"/>
          <w:lang w:val="pt-BR" w:eastAsia="en-US"/>
        </w:rPr>
        <w:t>Ter</w:t>
      </w:r>
      <w:r>
        <w:rPr>
          <w:rFonts w:ascii="Arial" w:hAnsi="Arial" w:cs="Arial"/>
          <w:bCs/>
          <w:sz w:val="22"/>
          <w:szCs w:val="22"/>
          <w:lang w:val="pt-BR" w:eastAsia="en-US"/>
        </w:rPr>
        <w:t>men pentru judecarea fondului: 27</w:t>
      </w:r>
      <w:r w:rsidRPr="00C15326">
        <w:rPr>
          <w:rFonts w:ascii="Arial" w:hAnsi="Arial" w:cs="Arial"/>
          <w:bCs/>
          <w:sz w:val="22"/>
          <w:szCs w:val="22"/>
          <w:lang w:val="pt-BR" w:eastAsia="en-US"/>
        </w:rPr>
        <w:t>.0</w:t>
      </w:r>
      <w:r>
        <w:rPr>
          <w:rFonts w:ascii="Arial" w:hAnsi="Arial" w:cs="Arial"/>
          <w:bCs/>
          <w:sz w:val="22"/>
          <w:szCs w:val="22"/>
          <w:lang w:val="pt-BR" w:eastAsia="en-US"/>
        </w:rPr>
        <w:t>9</w:t>
      </w:r>
      <w:r w:rsidRPr="00C15326">
        <w:rPr>
          <w:rFonts w:ascii="Arial" w:hAnsi="Arial" w:cs="Arial"/>
          <w:bCs/>
          <w:sz w:val="22"/>
          <w:szCs w:val="22"/>
          <w:lang w:val="pt-BR" w:eastAsia="en-US"/>
        </w:rPr>
        <w:t>.2018</w:t>
      </w:r>
    </w:p>
    <w:p w:rsidR="001819A5" w:rsidRDefault="001819A5" w:rsidP="00D5561F">
      <w:pPr>
        <w:widowControl/>
        <w:autoSpaceDE/>
        <w:autoSpaceDN/>
        <w:adjustRightInd/>
        <w:ind w:right="-9"/>
        <w:jc w:val="both"/>
        <w:rPr>
          <w:rFonts w:ascii="Arial" w:hAnsi="Arial" w:cs="Arial"/>
          <w:bCs/>
          <w:sz w:val="22"/>
          <w:szCs w:val="22"/>
          <w:lang w:val="pt-BR" w:eastAsia="en-US"/>
        </w:rPr>
      </w:pPr>
    </w:p>
    <w:p w:rsidR="00D5561F" w:rsidRPr="00632AE3" w:rsidRDefault="00D5561F" w:rsidP="00D5561F">
      <w:pPr>
        <w:widowControl/>
        <w:autoSpaceDE/>
        <w:autoSpaceDN/>
        <w:adjustRightInd/>
        <w:ind w:right="-9"/>
        <w:jc w:val="both"/>
        <w:rPr>
          <w:rFonts w:ascii="Arial" w:hAnsi="Arial" w:cs="Arial"/>
          <w:iCs/>
          <w:sz w:val="22"/>
          <w:szCs w:val="22"/>
          <w:lang w:val="en-US" w:eastAsia="en-US"/>
        </w:rPr>
      </w:pPr>
      <w:r w:rsidRPr="00C15326">
        <w:rPr>
          <w:rFonts w:ascii="Arial" w:hAnsi="Arial" w:cs="Arial"/>
          <w:bCs/>
          <w:sz w:val="22"/>
          <w:szCs w:val="22"/>
          <w:lang w:val="pt-BR" w:eastAsia="en-US"/>
        </w:rPr>
        <w:t xml:space="preserve">Termen pentru judecarea Recursului </w:t>
      </w:r>
      <w:r w:rsidRPr="00C15326">
        <w:rPr>
          <w:rFonts w:ascii="Arial" w:hAnsi="Arial" w:cs="Arial"/>
          <w:bCs/>
          <w:sz w:val="22"/>
          <w:szCs w:val="22"/>
          <w:lang w:eastAsia="en-US"/>
        </w:rPr>
        <w:t xml:space="preserve">împotriva </w:t>
      </w:r>
      <w:r w:rsidRPr="00632AE3">
        <w:rPr>
          <w:rFonts w:ascii="Arial" w:hAnsi="Arial" w:cs="Arial"/>
          <w:iCs/>
          <w:sz w:val="22"/>
          <w:szCs w:val="22"/>
          <w:lang w:val="en-US" w:eastAsia="en-US"/>
        </w:rPr>
        <w:t xml:space="preserve">Încheierii din data de 23.02.2018 prin care Tribunalul Prahova a respins cererea de suspendare a executării actului administrative: 06.09.2018 </w:t>
      </w:r>
    </w:p>
    <w:p w:rsidR="00D5561F" w:rsidRPr="00D66B33" w:rsidRDefault="00D5561F" w:rsidP="00D5561F">
      <w:pPr>
        <w:widowControl/>
        <w:autoSpaceDE/>
        <w:autoSpaceDN/>
        <w:adjustRightInd/>
        <w:spacing w:line="276" w:lineRule="auto"/>
        <w:ind w:right="-9"/>
        <w:jc w:val="both"/>
        <w:rPr>
          <w:rFonts w:ascii="Arial" w:eastAsia="Calibri" w:hAnsi="Arial" w:cs="Arial"/>
          <w:b/>
          <w:bCs/>
          <w:sz w:val="22"/>
          <w:szCs w:val="22"/>
          <w:lang w:val="it-IT" w:eastAsia="en-US"/>
        </w:rPr>
      </w:pPr>
    </w:p>
    <w:p w:rsidR="00D5561F" w:rsidRPr="00C8051D" w:rsidRDefault="00D5561F" w:rsidP="00170D7E">
      <w:pPr>
        <w:pStyle w:val="ListParagraph"/>
        <w:numPr>
          <w:ilvl w:val="0"/>
          <w:numId w:val="34"/>
        </w:numPr>
        <w:jc w:val="both"/>
        <w:rPr>
          <w:rFonts w:ascii="Arial" w:hAnsi="Arial" w:cs="Arial"/>
          <w:bCs/>
        </w:rPr>
      </w:pPr>
      <w:r w:rsidRPr="00C8051D">
        <w:rPr>
          <w:rFonts w:ascii="Arial" w:hAnsi="Arial" w:cs="Arial"/>
          <w:b/>
          <w:bCs/>
          <w:i/>
          <w:lang w:val="pt-BR"/>
        </w:rPr>
        <w:t>Dosar nr. 689/42/2017</w:t>
      </w:r>
      <w:r w:rsidRPr="00C8051D">
        <w:rPr>
          <w:rFonts w:ascii="Arial" w:hAnsi="Arial" w:cs="Arial"/>
          <w:b/>
          <w:bCs/>
          <w:lang w:val="pt-BR"/>
        </w:rPr>
        <w:t xml:space="preserve"> – Curtea de Apel Ploiești</w:t>
      </w:r>
      <w:r w:rsidRPr="00C8051D">
        <w:rPr>
          <w:rFonts w:ascii="Arial" w:hAnsi="Arial" w:cs="Arial"/>
          <w:bCs/>
          <w:lang w:val="pt-BR"/>
        </w:rPr>
        <w:t xml:space="preserve"> – în curs de soluționare</w:t>
      </w:r>
    </w:p>
    <w:p w:rsidR="00D5561F" w:rsidRPr="00C15326" w:rsidRDefault="00D5561F" w:rsidP="00D5561F">
      <w:pPr>
        <w:widowControl/>
        <w:autoSpaceDE/>
        <w:autoSpaceDN/>
        <w:adjustRightInd/>
        <w:spacing w:line="276" w:lineRule="auto"/>
        <w:jc w:val="both"/>
        <w:rPr>
          <w:rFonts w:ascii="Arial" w:eastAsia="Calibri" w:hAnsi="Arial" w:cs="Arial"/>
          <w:bCs/>
          <w:sz w:val="22"/>
          <w:szCs w:val="22"/>
          <w:lang w:val="pt-BR" w:eastAsia="en-US"/>
        </w:rPr>
      </w:pPr>
      <w:r w:rsidRPr="00377641">
        <w:rPr>
          <w:rFonts w:ascii="Arial" w:eastAsia="Calibri" w:hAnsi="Arial" w:cs="Arial"/>
          <w:b/>
          <w:bCs/>
          <w:sz w:val="22"/>
          <w:szCs w:val="22"/>
          <w:lang w:val="pt-BR" w:eastAsia="en-US"/>
        </w:rPr>
        <w:t>Stadiu</w:t>
      </w:r>
      <w:r w:rsidRPr="00C15326">
        <w:rPr>
          <w:rFonts w:ascii="Arial" w:eastAsia="Calibri" w:hAnsi="Arial" w:cs="Arial"/>
          <w:bCs/>
          <w:sz w:val="22"/>
          <w:szCs w:val="22"/>
          <w:lang w:val="pt-BR" w:eastAsia="en-US"/>
        </w:rPr>
        <w:t>: Fond</w:t>
      </w:r>
    </w:p>
    <w:p w:rsidR="00D5561F" w:rsidRPr="00D66B33" w:rsidRDefault="00D5561F" w:rsidP="00D5561F">
      <w:pPr>
        <w:widowControl/>
        <w:autoSpaceDE/>
        <w:autoSpaceDN/>
        <w:adjustRightInd/>
        <w:spacing w:line="276" w:lineRule="auto"/>
        <w:ind w:right="-576"/>
        <w:jc w:val="both"/>
        <w:rPr>
          <w:rFonts w:ascii="Arial" w:hAnsi="Arial" w:cs="Arial"/>
          <w:bCs/>
          <w:sz w:val="22"/>
          <w:szCs w:val="22"/>
          <w:lang w:val="en" w:eastAsia="en-US"/>
        </w:rPr>
      </w:pPr>
      <w:r w:rsidRPr="00D66B33">
        <w:rPr>
          <w:rFonts w:ascii="Arial" w:hAnsi="Arial" w:cs="Arial"/>
          <w:bCs/>
          <w:sz w:val="22"/>
          <w:szCs w:val="22"/>
          <w:lang w:val="pt-BR" w:eastAsia="en-US"/>
        </w:rPr>
        <w:t>CONPET S</w:t>
      </w:r>
      <w:r w:rsidR="00C8051D">
        <w:rPr>
          <w:rFonts w:ascii="Arial" w:hAnsi="Arial" w:cs="Arial"/>
          <w:bCs/>
          <w:sz w:val="22"/>
          <w:szCs w:val="22"/>
          <w:lang w:val="pt-BR" w:eastAsia="en-US"/>
        </w:rPr>
        <w:t>.</w:t>
      </w:r>
      <w:r w:rsidRPr="00D66B33">
        <w:rPr>
          <w:rFonts w:ascii="Arial" w:hAnsi="Arial" w:cs="Arial"/>
          <w:bCs/>
          <w:sz w:val="22"/>
          <w:szCs w:val="22"/>
          <w:lang w:val="pt-BR" w:eastAsia="en-US"/>
        </w:rPr>
        <w:t>A</w:t>
      </w:r>
      <w:r w:rsidR="00C8051D">
        <w:rPr>
          <w:rFonts w:ascii="Arial" w:hAnsi="Arial" w:cs="Arial"/>
          <w:bCs/>
          <w:sz w:val="22"/>
          <w:szCs w:val="22"/>
          <w:lang w:val="pt-BR" w:eastAsia="en-US"/>
        </w:rPr>
        <w:t>.</w:t>
      </w:r>
      <w:r w:rsidRPr="00D66B33">
        <w:rPr>
          <w:rFonts w:ascii="Arial" w:hAnsi="Arial" w:cs="Arial"/>
          <w:bCs/>
          <w:sz w:val="22"/>
          <w:szCs w:val="22"/>
          <w:lang w:val="pt-BR" w:eastAsia="en-US"/>
        </w:rPr>
        <w:t xml:space="preserve"> a formulat plângere împotriva actelor administrativ fiscale emise de Agenția Națională de Administrare Fiscală – Direcția Generală de Soluționare a Contestațiilor – Direcția Generală Regională a Finanțelor Publice Galați – Administrația Județeană a Finanțelor Publice Buzău prin care </w:t>
      </w:r>
      <w:r w:rsidRPr="00D66B33">
        <w:rPr>
          <w:rFonts w:ascii="Arial" w:hAnsi="Arial" w:cs="Arial"/>
          <w:bCs/>
          <w:sz w:val="22"/>
          <w:szCs w:val="22"/>
          <w:lang w:val="en" w:eastAsia="en-US"/>
        </w:rPr>
        <w:t>au fost stabilite obliga</w:t>
      </w:r>
      <w:r w:rsidR="00C8051D">
        <w:rPr>
          <w:rFonts w:ascii="Arial" w:hAnsi="Arial" w:cs="Arial"/>
          <w:bCs/>
          <w:sz w:val="22"/>
          <w:szCs w:val="22"/>
          <w:lang w:val="en" w:eastAsia="en-US"/>
        </w:rPr>
        <w:t>ții fiscale suplimentare în sumă</w:t>
      </w:r>
      <w:r w:rsidRPr="00D66B33">
        <w:rPr>
          <w:rFonts w:ascii="Arial" w:hAnsi="Arial" w:cs="Arial"/>
          <w:bCs/>
          <w:sz w:val="22"/>
          <w:szCs w:val="22"/>
          <w:lang w:val="en" w:eastAsia="en-US"/>
        </w:rPr>
        <w:t xml:space="preserve"> total</w:t>
      </w:r>
      <w:r w:rsidR="00C8051D">
        <w:rPr>
          <w:rFonts w:ascii="Arial" w:hAnsi="Arial" w:cs="Arial"/>
          <w:bCs/>
          <w:sz w:val="22"/>
          <w:szCs w:val="22"/>
          <w:lang w:val="en" w:eastAsia="en-US"/>
        </w:rPr>
        <w:t>ă</w:t>
      </w:r>
      <w:r w:rsidRPr="00D66B33">
        <w:rPr>
          <w:rFonts w:ascii="Arial" w:hAnsi="Arial" w:cs="Arial"/>
          <w:bCs/>
          <w:sz w:val="22"/>
          <w:szCs w:val="22"/>
          <w:lang w:val="en" w:eastAsia="en-US"/>
        </w:rPr>
        <w:t xml:space="preserve"> de 5.505.101 lei, care se compun din: 3.088.868 lei impozit pe profit; 1.528.159 lei dob</w:t>
      </w:r>
      <w:r w:rsidR="00C8051D">
        <w:rPr>
          <w:rFonts w:ascii="Arial" w:hAnsi="Arial" w:cs="Arial"/>
          <w:bCs/>
          <w:sz w:val="22"/>
          <w:szCs w:val="22"/>
          <w:lang w:val="en" w:eastAsia="en-US"/>
        </w:rPr>
        <w:t>â</w:t>
      </w:r>
      <w:r w:rsidRPr="00D66B33">
        <w:rPr>
          <w:rFonts w:ascii="Arial" w:hAnsi="Arial" w:cs="Arial"/>
          <w:bCs/>
          <w:sz w:val="22"/>
          <w:szCs w:val="22"/>
          <w:lang w:val="en" w:eastAsia="en-US"/>
        </w:rPr>
        <w:t>nzi/major</w:t>
      </w:r>
      <w:r w:rsidR="00C8051D">
        <w:rPr>
          <w:rFonts w:ascii="Arial" w:hAnsi="Arial" w:cs="Arial"/>
          <w:bCs/>
          <w:sz w:val="22"/>
          <w:szCs w:val="22"/>
          <w:lang w:val="en" w:eastAsia="en-US"/>
        </w:rPr>
        <w:t>ă</w:t>
      </w:r>
      <w:r w:rsidRPr="00D66B33">
        <w:rPr>
          <w:rFonts w:ascii="Arial" w:hAnsi="Arial" w:cs="Arial"/>
          <w:bCs/>
          <w:sz w:val="22"/>
          <w:szCs w:val="22"/>
          <w:lang w:val="en" w:eastAsia="en-US"/>
        </w:rPr>
        <w:t xml:space="preserve">ri de </w:t>
      </w:r>
      <w:r w:rsidR="00C8051D">
        <w:rPr>
          <w:rFonts w:ascii="Arial" w:hAnsi="Arial" w:cs="Arial"/>
          <w:bCs/>
          <w:sz w:val="22"/>
          <w:szCs w:val="22"/>
          <w:lang w:val="en" w:eastAsia="en-US"/>
        </w:rPr>
        <w:t>î</w:t>
      </w:r>
      <w:r w:rsidRPr="00D66B33">
        <w:rPr>
          <w:rFonts w:ascii="Arial" w:hAnsi="Arial" w:cs="Arial"/>
          <w:bCs/>
          <w:sz w:val="22"/>
          <w:szCs w:val="22"/>
          <w:lang w:val="en" w:eastAsia="en-US"/>
        </w:rPr>
        <w:t>nt</w:t>
      </w:r>
      <w:r w:rsidR="00C8051D">
        <w:rPr>
          <w:rFonts w:ascii="Arial" w:hAnsi="Arial" w:cs="Arial"/>
          <w:bCs/>
          <w:sz w:val="22"/>
          <w:szCs w:val="22"/>
          <w:lang w:val="en" w:eastAsia="en-US"/>
        </w:rPr>
        <w:t>â</w:t>
      </w:r>
      <w:r w:rsidRPr="00D66B33">
        <w:rPr>
          <w:rFonts w:ascii="Arial" w:hAnsi="Arial" w:cs="Arial"/>
          <w:bCs/>
          <w:sz w:val="22"/>
          <w:szCs w:val="22"/>
          <w:lang w:val="en" w:eastAsia="en-US"/>
        </w:rPr>
        <w:t>rziere; 432.274 lei penalit</w:t>
      </w:r>
      <w:r w:rsidR="00C8051D">
        <w:rPr>
          <w:rFonts w:ascii="Arial" w:hAnsi="Arial" w:cs="Arial"/>
          <w:bCs/>
          <w:sz w:val="22"/>
          <w:szCs w:val="22"/>
          <w:lang w:val="en" w:eastAsia="en-US"/>
        </w:rPr>
        <w:t>ăț</w:t>
      </w:r>
      <w:r w:rsidRPr="00D66B33">
        <w:rPr>
          <w:rFonts w:ascii="Arial" w:hAnsi="Arial" w:cs="Arial"/>
          <w:bCs/>
          <w:sz w:val="22"/>
          <w:szCs w:val="22"/>
          <w:lang w:val="en" w:eastAsia="en-US"/>
        </w:rPr>
        <w:t xml:space="preserve">i de </w:t>
      </w:r>
      <w:r w:rsidR="00C8051D">
        <w:rPr>
          <w:rFonts w:ascii="Arial" w:hAnsi="Arial" w:cs="Arial"/>
          <w:bCs/>
          <w:sz w:val="22"/>
          <w:szCs w:val="22"/>
          <w:lang w:val="en" w:eastAsia="en-US"/>
        </w:rPr>
        <w:t>î</w:t>
      </w:r>
      <w:r w:rsidRPr="00D66B33">
        <w:rPr>
          <w:rFonts w:ascii="Arial" w:hAnsi="Arial" w:cs="Arial"/>
          <w:bCs/>
          <w:sz w:val="22"/>
          <w:szCs w:val="22"/>
          <w:lang w:val="en" w:eastAsia="en-US"/>
        </w:rPr>
        <w:t>nt</w:t>
      </w:r>
      <w:r w:rsidR="00C8051D">
        <w:rPr>
          <w:rFonts w:ascii="Arial" w:hAnsi="Arial" w:cs="Arial"/>
          <w:bCs/>
          <w:sz w:val="22"/>
          <w:szCs w:val="22"/>
          <w:lang w:val="en" w:eastAsia="en-US"/>
        </w:rPr>
        <w:t>â</w:t>
      </w:r>
      <w:r w:rsidRPr="00D66B33">
        <w:rPr>
          <w:rFonts w:ascii="Arial" w:hAnsi="Arial" w:cs="Arial"/>
          <w:bCs/>
          <w:sz w:val="22"/>
          <w:szCs w:val="22"/>
          <w:lang w:val="en" w:eastAsia="en-US"/>
        </w:rPr>
        <w:t>rziere; 283.613 lei taxa pe valoarea ad</w:t>
      </w:r>
      <w:r w:rsidR="00C8051D">
        <w:rPr>
          <w:rFonts w:ascii="Arial" w:hAnsi="Arial" w:cs="Arial"/>
          <w:bCs/>
          <w:sz w:val="22"/>
          <w:szCs w:val="22"/>
          <w:lang w:val="en" w:eastAsia="en-US"/>
        </w:rPr>
        <w:t>ă</w:t>
      </w:r>
      <w:r w:rsidRPr="00D66B33">
        <w:rPr>
          <w:rFonts w:ascii="Arial" w:hAnsi="Arial" w:cs="Arial"/>
          <w:bCs/>
          <w:sz w:val="22"/>
          <w:szCs w:val="22"/>
          <w:lang w:val="en" w:eastAsia="en-US"/>
        </w:rPr>
        <w:t>ugat</w:t>
      </w:r>
      <w:r w:rsidR="00C8051D">
        <w:rPr>
          <w:rFonts w:ascii="Arial" w:hAnsi="Arial" w:cs="Arial"/>
          <w:bCs/>
          <w:sz w:val="22"/>
          <w:szCs w:val="22"/>
          <w:lang w:val="en" w:eastAsia="en-US"/>
        </w:rPr>
        <w:t>ă</w:t>
      </w:r>
      <w:r w:rsidRPr="00D66B33">
        <w:rPr>
          <w:rFonts w:ascii="Arial" w:hAnsi="Arial" w:cs="Arial"/>
          <w:bCs/>
          <w:sz w:val="22"/>
          <w:szCs w:val="22"/>
          <w:lang w:val="en" w:eastAsia="en-US"/>
        </w:rPr>
        <w:t>; 130.782 lei dob</w:t>
      </w:r>
      <w:r w:rsidR="00C8051D">
        <w:rPr>
          <w:rFonts w:ascii="Arial" w:hAnsi="Arial" w:cs="Arial"/>
          <w:bCs/>
          <w:sz w:val="22"/>
          <w:szCs w:val="22"/>
          <w:lang w:val="en" w:eastAsia="en-US"/>
        </w:rPr>
        <w:t>â</w:t>
      </w:r>
      <w:r w:rsidRPr="00D66B33">
        <w:rPr>
          <w:rFonts w:ascii="Arial" w:hAnsi="Arial" w:cs="Arial"/>
          <w:bCs/>
          <w:sz w:val="22"/>
          <w:szCs w:val="22"/>
          <w:lang w:val="en" w:eastAsia="en-US"/>
        </w:rPr>
        <w:t>nzi/major</w:t>
      </w:r>
      <w:r w:rsidR="00C8051D">
        <w:rPr>
          <w:rFonts w:ascii="Arial" w:hAnsi="Arial" w:cs="Arial"/>
          <w:bCs/>
          <w:sz w:val="22"/>
          <w:szCs w:val="22"/>
          <w:lang w:val="en" w:eastAsia="en-US"/>
        </w:rPr>
        <w:t>ă</w:t>
      </w:r>
      <w:r w:rsidRPr="00D66B33">
        <w:rPr>
          <w:rFonts w:ascii="Arial" w:hAnsi="Arial" w:cs="Arial"/>
          <w:bCs/>
          <w:sz w:val="22"/>
          <w:szCs w:val="22"/>
          <w:lang w:val="en" w:eastAsia="en-US"/>
        </w:rPr>
        <w:t xml:space="preserve">ri de </w:t>
      </w:r>
      <w:r w:rsidR="00C8051D">
        <w:rPr>
          <w:rFonts w:ascii="Arial" w:hAnsi="Arial" w:cs="Arial"/>
          <w:bCs/>
          <w:sz w:val="22"/>
          <w:szCs w:val="22"/>
          <w:lang w:val="en" w:eastAsia="en-US"/>
        </w:rPr>
        <w:t>î</w:t>
      </w:r>
      <w:r w:rsidRPr="00D66B33">
        <w:rPr>
          <w:rFonts w:ascii="Arial" w:hAnsi="Arial" w:cs="Arial"/>
          <w:bCs/>
          <w:sz w:val="22"/>
          <w:szCs w:val="22"/>
          <w:lang w:val="en" w:eastAsia="en-US"/>
        </w:rPr>
        <w:t>nt</w:t>
      </w:r>
      <w:r w:rsidR="00C8051D">
        <w:rPr>
          <w:rFonts w:ascii="Arial" w:hAnsi="Arial" w:cs="Arial"/>
          <w:bCs/>
          <w:sz w:val="22"/>
          <w:szCs w:val="22"/>
          <w:lang w:val="en" w:eastAsia="en-US"/>
        </w:rPr>
        <w:t>â</w:t>
      </w:r>
      <w:r w:rsidRPr="00D66B33">
        <w:rPr>
          <w:rFonts w:ascii="Arial" w:hAnsi="Arial" w:cs="Arial"/>
          <w:bCs/>
          <w:sz w:val="22"/>
          <w:szCs w:val="22"/>
          <w:lang w:val="en" w:eastAsia="en-US"/>
        </w:rPr>
        <w:t xml:space="preserve">rziere </w:t>
      </w:r>
      <w:r w:rsidR="00C8051D">
        <w:rPr>
          <w:rFonts w:ascii="Arial" w:hAnsi="Arial" w:cs="Arial"/>
          <w:bCs/>
          <w:sz w:val="22"/>
          <w:szCs w:val="22"/>
          <w:lang w:val="en" w:eastAsia="en-US"/>
        </w:rPr>
        <w:t>ș</w:t>
      </w:r>
      <w:r w:rsidRPr="00D66B33">
        <w:rPr>
          <w:rFonts w:ascii="Arial" w:hAnsi="Arial" w:cs="Arial"/>
          <w:bCs/>
          <w:sz w:val="22"/>
          <w:szCs w:val="22"/>
          <w:lang w:val="en" w:eastAsia="en-US"/>
        </w:rPr>
        <w:t xml:space="preserve">i 41.405 </w:t>
      </w:r>
      <w:r w:rsidR="00C8051D">
        <w:rPr>
          <w:rFonts w:ascii="Arial" w:hAnsi="Arial" w:cs="Arial"/>
          <w:bCs/>
          <w:sz w:val="22"/>
          <w:szCs w:val="22"/>
          <w:lang w:val="en" w:eastAsia="en-US"/>
        </w:rPr>
        <w:t>lei penalităț</w:t>
      </w:r>
      <w:r w:rsidRPr="00D66B33">
        <w:rPr>
          <w:rFonts w:ascii="Arial" w:hAnsi="Arial" w:cs="Arial"/>
          <w:bCs/>
          <w:sz w:val="22"/>
          <w:szCs w:val="22"/>
          <w:lang w:val="en" w:eastAsia="en-US"/>
        </w:rPr>
        <w:t xml:space="preserve">i de </w:t>
      </w:r>
      <w:r w:rsidR="00C8051D">
        <w:rPr>
          <w:rFonts w:ascii="Arial" w:hAnsi="Arial" w:cs="Arial"/>
          <w:bCs/>
          <w:sz w:val="22"/>
          <w:szCs w:val="22"/>
          <w:lang w:val="en" w:eastAsia="en-US"/>
        </w:rPr>
        <w:t>î</w:t>
      </w:r>
      <w:r w:rsidRPr="00D66B33">
        <w:rPr>
          <w:rFonts w:ascii="Arial" w:hAnsi="Arial" w:cs="Arial"/>
          <w:bCs/>
          <w:sz w:val="22"/>
          <w:szCs w:val="22"/>
          <w:lang w:val="en" w:eastAsia="en-US"/>
        </w:rPr>
        <w:t>nt</w:t>
      </w:r>
      <w:r w:rsidR="00C8051D">
        <w:rPr>
          <w:rFonts w:ascii="Arial" w:hAnsi="Arial" w:cs="Arial"/>
          <w:bCs/>
          <w:sz w:val="22"/>
          <w:szCs w:val="22"/>
          <w:lang w:val="en" w:eastAsia="en-US"/>
        </w:rPr>
        <w:t>â</w:t>
      </w:r>
      <w:r w:rsidRPr="00D66B33">
        <w:rPr>
          <w:rFonts w:ascii="Arial" w:hAnsi="Arial" w:cs="Arial"/>
          <w:bCs/>
          <w:sz w:val="22"/>
          <w:szCs w:val="22"/>
          <w:lang w:val="en" w:eastAsia="en-US"/>
        </w:rPr>
        <w:t>rziere (dob</w:t>
      </w:r>
      <w:r w:rsidR="00C8051D">
        <w:rPr>
          <w:rFonts w:ascii="Arial" w:hAnsi="Arial" w:cs="Arial"/>
          <w:bCs/>
          <w:sz w:val="22"/>
          <w:szCs w:val="22"/>
          <w:lang w:val="en" w:eastAsia="en-US"/>
        </w:rPr>
        <w:t>â</w:t>
      </w:r>
      <w:r w:rsidRPr="00D66B33">
        <w:rPr>
          <w:rFonts w:ascii="Arial" w:hAnsi="Arial" w:cs="Arial"/>
          <w:bCs/>
          <w:sz w:val="22"/>
          <w:szCs w:val="22"/>
          <w:lang w:val="en" w:eastAsia="en-US"/>
        </w:rPr>
        <w:t>nzile/major</w:t>
      </w:r>
      <w:r w:rsidR="00C8051D">
        <w:rPr>
          <w:rFonts w:ascii="Arial" w:hAnsi="Arial" w:cs="Arial"/>
          <w:bCs/>
          <w:sz w:val="22"/>
          <w:szCs w:val="22"/>
          <w:lang w:val="en" w:eastAsia="en-US"/>
        </w:rPr>
        <w:t>ă</w:t>
      </w:r>
      <w:r w:rsidRPr="00D66B33">
        <w:rPr>
          <w:rFonts w:ascii="Arial" w:hAnsi="Arial" w:cs="Arial"/>
          <w:bCs/>
          <w:sz w:val="22"/>
          <w:szCs w:val="22"/>
          <w:lang w:val="en" w:eastAsia="en-US"/>
        </w:rPr>
        <w:t xml:space="preserve">rile de </w:t>
      </w:r>
      <w:r w:rsidR="00C8051D">
        <w:rPr>
          <w:rFonts w:ascii="Arial" w:hAnsi="Arial" w:cs="Arial"/>
          <w:bCs/>
          <w:sz w:val="22"/>
          <w:szCs w:val="22"/>
          <w:lang w:val="en" w:eastAsia="en-US"/>
        </w:rPr>
        <w:t>î</w:t>
      </w:r>
      <w:r w:rsidRPr="00D66B33">
        <w:rPr>
          <w:rFonts w:ascii="Arial" w:hAnsi="Arial" w:cs="Arial"/>
          <w:bCs/>
          <w:sz w:val="22"/>
          <w:szCs w:val="22"/>
          <w:lang w:val="en" w:eastAsia="en-US"/>
        </w:rPr>
        <w:t>nt</w:t>
      </w:r>
      <w:r w:rsidR="00C8051D">
        <w:rPr>
          <w:rFonts w:ascii="Arial" w:hAnsi="Arial" w:cs="Arial"/>
          <w:bCs/>
          <w:sz w:val="22"/>
          <w:szCs w:val="22"/>
          <w:lang w:val="en" w:eastAsia="en-US"/>
        </w:rPr>
        <w:t>â</w:t>
      </w:r>
      <w:r w:rsidRPr="00D66B33">
        <w:rPr>
          <w:rFonts w:ascii="Arial" w:hAnsi="Arial" w:cs="Arial"/>
          <w:bCs/>
          <w:sz w:val="22"/>
          <w:szCs w:val="22"/>
          <w:lang w:val="en" w:eastAsia="en-US"/>
        </w:rPr>
        <w:t xml:space="preserve">rziere </w:t>
      </w:r>
      <w:r w:rsidR="00C8051D">
        <w:rPr>
          <w:rFonts w:ascii="Arial" w:hAnsi="Arial" w:cs="Arial"/>
          <w:bCs/>
          <w:sz w:val="22"/>
          <w:szCs w:val="22"/>
          <w:lang w:val="en" w:eastAsia="en-US"/>
        </w:rPr>
        <w:t>ș</w:t>
      </w:r>
      <w:r w:rsidRPr="00D66B33">
        <w:rPr>
          <w:rFonts w:ascii="Arial" w:hAnsi="Arial" w:cs="Arial"/>
          <w:bCs/>
          <w:sz w:val="22"/>
          <w:szCs w:val="22"/>
          <w:lang w:val="en" w:eastAsia="en-US"/>
        </w:rPr>
        <w:t>i penalit</w:t>
      </w:r>
      <w:r w:rsidR="00C8051D">
        <w:rPr>
          <w:rFonts w:ascii="Arial" w:hAnsi="Arial" w:cs="Arial"/>
          <w:bCs/>
          <w:sz w:val="22"/>
          <w:szCs w:val="22"/>
          <w:lang w:val="en" w:eastAsia="en-US"/>
        </w:rPr>
        <w:t>ăț</w:t>
      </w:r>
      <w:r w:rsidRPr="00D66B33">
        <w:rPr>
          <w:rFonts w:ascii="Arial" w:hAnsi="Arial" w:cs="Arial"/>
          <w:bCs/>
          <w:sz w:val="22"/>
          <w:szCs w:val="22"/>
          <w:lang w:val="en" w:eastAsia="en-US"/>
        </w:rPr>
        <w:t>ile au fost calculate p</w:t>
      </w:r>
      <w:r w:rsidR="00C8051D">
        <w:rPr>
          <w:rFonts w:ascii="Arial" w:hAnsi="Arial" w:cs="Arial"/>
          <w:bCs/>
          <w:sz w:val="22"/>
          <w:szCs w:val="22"/>
          <w:lang w:val="en" w:eastAsia="en-US"/>
        </w:rPr>
        <w:t>ână</w:t>
      </w:r>
      <w:r w:rsidRPr="00D66B33">
        <w:rPr>
          <w:rFonts w:ascii="Arial" w:hAnsi="Arial" w:cs="Arial"/>
          <w:bCs/>
          <w:sz w:val="22"/>
          <w:szCs w:val="22"/>
          <w:lang w:val="en" w:eastAsia="en-US"/>
        </w:rPr>
        <w:t xml:space="preserve"> la data de 31.12.2015) respectiv:</w:t>
      </w:r>
    </w:p>
    <w:p w:rsidR="00D5561F" w:rsidRPr="00C8051D" w:rsidRDefault="00D5561F" w:rsidP="00170D7E">
      <w:pPr>
        <w:pStyle w:val="ListParagraph"/>
        <w:numPr>
          <w:ilvl w:val="0"/>
          <w:numId w:val="34"/>
        </w:numPr>
        <w:ind w:right="-576"/>
        <w:jc w:val="both"/>
        <w:rPr>
          <w:rFonts w:ascii="Arial" w:hAnsi="Arial" w:cs="Arial"/>
          <w:lang w:val="en-US"/>
        </w:rPr>
      </w:pPr>
      <w:r w:rsidRPr="00C8051D">
        <w:rPr>
          <w:rFonts w:ascii="Arial" w:hAnsi="Arial" w:cs="Arial"/>
          <w:lang w:val="pt-BR"/>
        </w:rPr>
        <w:t xml:space="preserve">Deciziei nr. 114/06.04.2017 </w:t>
      </w:r>
      <w:r w:rsidRPr="00C8051D">
        <w:rPr>
          <w:rFonts w:ascii="Arial" w:hAnsi="Arial" w:cs="Arial"/>
          <w:bCs/>
          <w:lang w:val="en-US"/>
        </w:rPr>
        <w:t>emisă de Agenția Națională de Administrare Fiscală – Direcția Generală de Soluționare a Contestațiilor,</w:t>
      </w:r>
      <w:r w:rsidRPr="00C8051D">
        <w:rPr>
          <w:rFonts w:ascii="Arial" w:hAnsi="Arial" w:cs="Arial"/>
          <w:lang w:val="pt-BR"/>
        </w:rPr>
        <w:t xml:space="preserve"> cu sediul în București,</w:t>
      </w:r>
      <w:r w:rsidRPr="00C8051D">
        <w:rPr>
          <w:rFonts w:ascii="Arial" w:hAnsi="Arial" w:cs="Arial"/>
          <w:lang w:val="en-US"/>
        </w:rPr>
        <w:t xml:space="preserve"> strada Apolodor nr. 17, sector 5, cod 050741, Bucureşti, reprezentată de Mirela Călugăreanu și Alin Ghiurcă; </w:t>
      </w:r>
    </w:p>
    <w:p w:rsidR="00584ADC" w:rsidRDefault="00D5561F" w:rsidP="00170D7E">
      <w:pPr>
        <w:pStyle w:val="ListParagraph"/>
        <w:numPr>
          <w:ilvl w:val="0"/>
          <w:numId w:val="34"/>
        </w:numPr>
        <w:ind w:right="-576"/>
        <w:jc w:val="both"/>
        <w:rPr>
          <w:rFonts w:ascii="Arial" w:hAnsi="Arial" w:cs="Arial"/>
          <w:lang w:val="en-US"/>
        </w:rPr>
      </w:pPr>
      <w:r w:rsidRPr="00C8051D">
        <w:rPr>
          <w:rFonts w:ascii="Arial" w:hAnsi="Arial" w:cs="Arial"/>
          <w:lang w:val="fr-FR"/>
        </w:rPr>
        <w:t xml:space="preserve">Deciziei de Impunere nr. F-BZ 436/31.10.2016, privind obligațiile fiscale suplimentare de plată stabilite de inspecția fiscală pentru persoane juridice, emisă de </w:t>
      </w:r>
      <w:r w:rsidRPr="00C8051D">
        <w:rPr>
          <w:rFonts w:ascii="Arial" w:hAnsi="Arial" w:cs="Arial"/>
          <w:lang w:val="en-US"/>
        </w:rPr>
        <w:t>Direcția Generală Regională a Finanțelor Publice Galați - Administrația Județeană a Finanțelor Publice Buzău, ambele din cadrul Agenției Naționale pentru Administrare Fiscală;</w:t>
      </w:r>
    </w:p>
    <w:p w:rsidR="00D5561F" w:rsidRPr="00C8051D" w:rsidRDefault="00D5561F" w:rsidP="00170D7E">
      <w:pPr>
        <w:pStyle w:val="ListParagraph"/>
        <w:numPr>
          <w:ilvl w:val="0"/>
          <w:numId w:val="34"/>
        </w:numPr>
        <w:ind w:right="-576"/>
        <w:jc w:val="both"/>
        <w:rPr>
          <w:rFonts w:ascii="Arial" w:hAnsi="Arial" w:cs="Arial"/>
          <w:lang w:val="fr-FR"/>
        </w:rPr>
      </w:pPr>
      <w:r w:rsidRPr="00C8051D">
        <w:rPr>
          <w:rFonts w:ascii="Arial" w:hAnsi="Arial" w:cs="Arial"/>
          <w:lang w:val="fr-FR"/>
        </w:rPr>
        <w:t>Raportului de Inspecție Fiscală nr. F-BZ 584/ 31.10.2016, încheiat de către inspectorii din cadrul Agenției Naționale de Administrare Fiscală – Direcția Generală Regională a Finanțelor Publice Galați - Administrația Județeană a Finanțelor Publice Buzău - Serviciul Inspectie Fiscală,</w:t>
      </w:r>
    </w:p>
    <w:p w:rsidR="00D5561F" w:rsidRPr="00C8051D" w:rsidRDefault="00D5561F" w:rsidP="00170D7E">
      <w:pPr>
        <w:pStyle w:val="ListParagraph"/>
        <w:numPr>
          <w:ilvl w:val="0"/>
          <w:numId w:val="34"/>
        </w:numPr>
        <w:ind w:right="288"/>
        <w:jc w:val="both"/>
        <w:rPr>
          <w:rFonts w:ascii="Arial" w:hAnsi="Arial" w:cs="Arial"/>
          <w:bCs/>
          <w:lang w:val="en"/>
        </w:rPr>
      </w:pPr>
      <w:r w:rsidRPr="00C8051D">
        <w:rPr>
          <w:rFonts w:ascii="Arial" w:hAnsi="Arial" w:cs="Arial"/>
          <w:bCs/>
          <w:lang w:val="en"/>
        </w:rPr>
        <w:t>Decizia</w:t>
      </w:r>
      <w:r w:rsidRPr="00C8051D">
        <w:rPr>
          <w:rFonts w:ascii="Arial" w:hAnsi="Arial" w:cs="Arial"/>
          <w:lang w:val="fr-FR"/>
        </w:rPr>
        <w:t xml:space="preserve"> de impunere nr. F-BZ 436/31.10.2016.</w:t>
      </w:r>
      <w:r w:rsidRPr="00C8051D">
        <w:rPr>
          <w:rFonts w:ascii="Arial" w:hAnsi="Arial" w:cs="Arial"/>
          <w:bCs/>
          <w:lang w:val="en"/>
        </w:rPr>
        <w:t xml:space="preserve"> </w:t>
      </w:r>
    </w:p>
    <w:p w:rsidR="00D5561F" w:rsidRDefault="00D5561F" w:rsidP="00D5561F">
      <w:pPr>
        <w:widowControl/>
        <w:autoSpaceDE/>
        <w:autoSpaceDN/>
        <w:adjustRightInd/>
        <w:spacing w:line="276" w:lineRule="auto"/>
        <w:jc w:val="both"/>
        <w:rPr>
          <w:rFonts w:ascii="Arial" w:eastAsia="Calibri" w:hAnsi="Arial" w:cs="Arial"/>
          <w:bCs/>
          <w:sz w:val="22"/>
          <w:szCs w:val="22"/>
          <w:lang w:val="pt-BR" w:eastAsia="en-US"/>
        </w:rPr>
      </w:pPr>
      <w:r w:rsidRPr="001F696C">
        <w:rPr>
          <w:rFonts w:ascii="Arial" w:eastAsia="Calibri" w:hAnsi="Arial" w:cs="Arial"/>
          <w:b/>
          <w:bCs/>
          <w:sz w:val="22"/>
          <w:szCs w:val="22"/>
          <w:lang w:val="pt-BR" w:eastAsia="en-US"/>
        </w:rPr>
        <w:t>Termen</w:t>
      </w:r>
      <w:r>
        <w:rPr>
          <w:rFonts w:ascii="Arial" w:eastAsia="Calibri" w:hAnsi="Arial" w:cs="Arial"/>
          <w:bCs/>
          <w:sz w:val="22"/>
          <w:szCs w:val="22"/>
          <w:lang w:val="pt-BR" w:eastAsia="en-US"/>
        </w:rPr>
        <w:t>: 25</w:t>
      </w:r>
      <w:r w:rsidRPr="00C15326">
        <w:rPr>
          <w:rFonts w:ascii="Arial" w:eastAsia="Calibri" w:hAnsi="Arial" w:cs="Arial"/>
          <w:bCs/>
          <w:sz w:val="22"/>
          <w:szCs w:val="22"/>
          <w:lang w:val="pt-BR" w:eastAsia="en-US"/>
        </w:rPr>
        <w:t>.0</w:t>
      </w:r>
      <w:r>
        <w:rPr>
          <w:rFonts w:ascii="Arial" w:eastAsia="Calibri" w:hAnsi="Arial" w:cs="Arial"/>
          <w:bCs/>
          <w:sz w:val="22"/>
          <w:szCs w:val="22"/>
          <w:lang w:val="pt-BR" w:eastAsia="en-US"/>
        </w:rPr>
        <w:t>9</w:t>
      </w:r>
      <w:r w:rsidRPr="00C15326">
        <w:rPr>
          <w:rFonts w:ascii="Arial" w:eastAsia="Calibri" w:hAnsi="Arial" w:cs="Arial"/>
          <w:bCs/>
          <w:sz w:val="22"/>
          <w:szCs w:val="22"/>
          <w:lang w:val="pt-BR" w:eastAsia="en-US"/>
        </w:rPr>
        <w:t>.2018</w:t>
      </w:r>
      <w:r>
        <w:rPr>
          <w:rFonts w:ascii="Arial" w:eastAsia="Calibri" w:hAnsi="Arial" w:cs="Arial"/>
          <w:bCs/>
          <w:sz w:val="22"/>
          <w:szCs w:val="22"/>
          <w:lang w:val="pt-BR" w:eastAsia="en-US"/>
        </w:rPr>
        <w:t>.</w:t>
      </w:r>
    </w:p>
    <w:p w:rsidR="00B108EF" w:rsidRDefault="00B108EF" w:rsidP="00D5561F">
      <w:pPr>
        <w:widowControl/>
        <w:autoSpaceDE/>
        <w:autoSpaceDN/>
        <w:adjustRightInd/>
        <w:spacing w:line="276" w:lineRule="auto"/>
        <w:jc w:val="both"/>
        <w:rPr>
          <w:rFonts w:ascii="Arial" w:eastAsia="Calibri" w:hAnsi="Arial" w:cs="Arial"/>
          <w:bCs/>
          <w:sz w:val="22"/>
          <w:szCs w:val="22"/>
          <w:lang w:val="pt-BR" w:eastAsia="en-US"/>
        </w:rPr>
      </w:pPr>
    </w:p>
    <w:p w:rsidR="001F696C" w:rsidRDefault="001F696C" w:rsidP="00D5561F">
      <w:pPr>
        <w:widowControl/>
        <w:autoSpaceDE/>
        <w:autoSpaceDN/>
        <w:adjustRightInd/>
        <w:spacing w:line="276" w:lineRule="auto"/>
        <w:jc w:val="both"/>
        <w:rPr>
          <w:rFonts w:ascii="Arial" w:eastAsia="Calibri" w:hAnsi="Arial" w:cs="Arial"/>
          <w:bCs/>
          <w:sz w:val="22"/>
          <w:szCs w:val="22"/>
          <w:lang w:val="pt-BR" w:eastAsia="en-US"/>
        </w:rPr>
      </w:pPr>
    </w:p>
    <w:p w:rsidR="001F696C" w:rsidRDefault="001F696C" w:rsidP="00D5561F">
      <w:pPr>
        <w:widowControl/>
        <w:autoSpaceDE/>
        <w:autoSpaceDN/>
        <w:adjustRightInd/>
        <w:spacing w:line="276" w:lineRule="auto"/>
        <w:jc w:val="both"/>
        <w:rPr>
          <w:rFonts w:ascii="Arial" w:eastAsia="Calibri" w:hAnsi="Arial" w:cs="Arial"/>
          <w:bCs/>
          <w:sz w:val="22"/>
          <w:szCs w:val="22"/>
          <w:lang w:val="pt-BR" w:eastAsia="en-US"/>
        </w:rPr>
      </w:pPr>
    </w:p>
    <w:p w:rsidR="001F696C" w:rsidRDefault="001F696C" w:rsidP="00D5561F">
      <w:pPr>
        <w:widowControl/>
        <w:autoSpaceDE/>
        <w:autoSpaceDN/>
        <w:adjustRightInd/>
        <w:spacing w:line="276" w:lineRule="auto"/>
        <w:jc w:val="both"/>
        <w:rPr>
          <w:rFonts w:ascii="Arial" w:eastAsia="Calibri" w:hAnsi="Arial" w:cs="Arial"/>
          <w:bCs/>
          <w:sz w:val="22"/>
          <w:szCs w:val="22"/>
          <w:lang w:val="pt-BR" w:eastAsia="en-US"/>
        </w:rPr>
      </w:pPr>
    </w:p>
    <w:p w:rsidR="001F696C" w:rsidRDefault="001F696C" w:rsidP="00D5561F">
      <w:pPr>
        <w:widowControl/>
        <w:autoSpaceDE/>
        <w:autoSpaceDN/>
        <w:adjustRightInd/>
        <w:spacing w:line="276" w:lineRule="auto"/>
        <w:jc w:val="both"/>
        <w:rPr>
          <w:rFonts w:ascii="Arial" w:eastAsia="Calibri" w:hAnsi="Arial" w:cs="Arial"/>
          <w:bCs/>
          <w:sz w:val="22"/>
          <w:szCs w:val="22"/>
          <w:lang w:val="pt-BR" w:eastAsia="en-US"/>
        </w:rPr>
      </w:pPr>
    </w:p>
    <w:p w:rsidR="003B6AFB" w:rsidRDefault="003B6AFB" w:rsidP="00D5561F">
      <w:pPr>
        <w:widowControl/>
        <w:autoSpaceDE/>
        <w:autoSpaceDN/>
        <w:adjustRightInd/>
        <w:spacing w:line="276" w:lineRule="auto"/>
        <w:jc w:val="both"/>
        <w:rPr>
          <w:rFonts w:ascii="Arial" w:eastAsia="Calibri" w:hAnsi="Arial" w:cs="Arial"/>
          <w:bCs/>
          <w:sz w:val="22"/>
          <w:szCs w:val="22"/>
          <w:lang w:val="pt-BR" w:eastAsia="en-US"/>
        </w:rPr>
      </w:pPr>
    </w:p>
    <w:p w:rsidR="008F7E9A" w:rsidRPr="00E46854" w:rsidRDefault="008F7E9A" w:rsidP="008F7E9A">
      <w:pPr>
        <w:widowControl/>
        <w:autoSpaceDE/>
        <w:autoSpaceDN/>
        <w:adjustRightInd/>
        <w:spacing w:line="276" w:lineRule="auto"/>
        <w:jc w:val="both"/>
        <w:rPr>
          <w:rFonts w:ascii="Arial" w:hAnsi="Arial" w:cs="Arial"/>
          <w:b/>
          <w:color w:val="1F4E79" w:themeColor="accent1" w:themeShade="80"/>
          <w:sz w:val="24"/>
          <w:szCs w:val="24"/>
          <w:lang w:val="en-US" w:eastAsia="en-US"/>
        </w:rPr>
      </w:pPr>
      <w:r w:rsidRPr="00E46854">
        <w:rPr>
          <w:rFonts w:ascii="Arial" w:hAnsi="Arial" w:cs="Arial"/>
          <w:b/>
          <w:color w:val="1F4E79" w:themeColor="accent1" w:themeShade="80"/>
          <w:sz w:val="24"/>
          <w:szCs w:val="24"/>
        </w:rPr>
        <w:lastRenderedPageBreak/>
        <w:t>3.</w:t>
      </w:r>
      <w:r w:rsidR="00C57A63" w:rsidRPr="00E46854">
        <w:rPr>
          <w:rFonts w:ascii="Arial" w:hAnsi="Arial" w:cs="Arial"/>
          <w:b/>
          <w:color w:val="1F4E79" w:themeColor="accent1" w:themeShade="80"/>
          <w:sz w:val="24"/>
          <w:szCs w:val="24"/>
        </w:rPr>
        <w:t>5</w:t>
      </w:r>
      <w:r w:rsidRPr="00E46854">
        <w:rPr>
          <w:rFonts w:ascii="Arial" w:hAnsi="Arial" w:cs="Arial"/>
          <w:b/>
          <w:color w:val="1F4E79" w:themeColor="accent1" w:themeShade="80"/>
          <w:sz w:val="24"/>
          <w:szCs w:val="24"/>
          <w:lang w:val="en-US" w:eastAsia="en-US"/>
        </w:rPr>
        <w:t xml:space="preserve"> Analiza activității corporative</w:t>
      </w:r>
    </w:p>
    <w:p w:rsidR="00B108EF" w:rsidRPr="00E46854" w:rsidRDefault="008F7E9A" w:rsidP="008F7E9A">
      <w:pPr>
        <w:shd w:val="clear" w:color="auto" w:fill="FFFFFF"/>
        <w:spacing w:before="115"/>
        <w:rPr>
          <w:rFonts w:ascii="Arial" w:hAnsi="Arial" w:cs="Arial"/>
          <w:b/>
          <w:bCs/>
          <w:color w:val="1F4E79" w:themeColor="accent1" w:themeShade="80"/>
          <w:sz w:val="24"/>
          <w:szCs w:val="24"/>
          <w:lang w:val="en-US"/>
        </w:rPr>
      </w:pPr>
      <w:r w:rsidRPr="00E46854">
        <w:rPr>
          <w:rFonts w:ascii="Arial" w:hAnsi="Arial" w:cs="Arial"/>
          <w:b/>
          <w:bCs/>
          <w:color w:val="1F4E79" w:themeColor="accent1" w:themeShade="80"/>
          <w:sz w:val="24"/>
          <w:szCs w:val="24"/>
          <w:lang w:val="en-US"/>
        </w:rPr>
        <w:t>3.</w:t>
      </w:r>
      <w:r w:rsidR="00C57A63" w:rsidRPr="00E46854">
        <w:rPr>
          <w:rFonts w:ascii="Arial" w:hAnsi="Arial" w:cs="Arial"/>
          <w:b/>
          <w:bCs/>
          <w:color w:val="1F4E79" w:themeColor="accent1" w:themeShade="80"/>
          <w:sz w:val="24"/>
          <w:szCs w:val="24"/>
          <w:lang w:val="en-US"/>
        </w:rPr>
        <w:t>5</w:t>
      </w:r>
      <w:r w:rsidRPr="00E46854">
        <w:rPr>
          <w:rFonts w:ascii="Arial" w:hAnsi="Arial" w:cs="Arial"/>
          <w:b/>
          <w:bCs/>
          <w:color w:val="1F4E79" w:themeColor="accent1" w:themeShade="80"/>
          <w:sz w:val="24"/>
          <w:szCs w:val="24"/>
          <w:lang w:val="en-US"/>
        </w:rPr>
        <w:t xml:space="preserve">.1 Activitatea pe piața de capital </w:t>
      </w:r>
    </w:p>
    <w:p w:rsidR="00B108EF" w:rsidRDefault="00B108EF" w:rsidP="00DF06F0">
      <w:pPr>
        <w:spacing w:line="276" w:lineRule="auto"/>
        <w:jc w:val="both"/>
        <w:rPr>
          <w:rFonts w:ascii="Arial" w:eastAsia="Calibri" w:hAnsi="Arial" w:cs="Arial"/>
          <w:sz w:val="22"/>
          <w:szCs w:val="22"/>
          <w:lang w:val="fr-FR"/>
        </w:rPr>
      </w:pPr>
    </w:p>
    <w:p w:rsidR="00DF06F0" w:rsidRPr="006A2E17" w:rsidRDefault="00DF06F0" w:rsidP="00DF06F0">
      <w:pPr>
        <w:spacing w:line="276" w:lineRule="auto"/>
        <w:jc w:val="both"/>
        <w:rPr>
          <w:rFonts w:ascii="Arial" w:eastAsia="Calibri" w:hAnsi="Arial" w:cs="Arial"/>
          <w:sz w:val="22"/>
          <w:szCs w:val="22"/>
          <w:lang w:val="fr-FR"/>
        </w:rPr>
      </w:pPr>
      <w:r w:rsidRPr="006A2E17">
        <w:rPr>
          <w:rFonts w:ascii="Arial" w:eastAsia="Calibri" w:hAnsi="Arial" w:cs="Arial"/>
          <w:sz w:val="22"/>
          <w:szCs w:val="22"/>
          <w:lang w:val="fr-FR"/>
        </w:rPr>
        <w:t>Acțiunile emise de CONPET S.A. sunt tranzacţionate pe piaţa reglementată administrată de Bursa de Valori Bucureşti, pe segmentul Principal, la sectorul Titluri de Capital - categoria Premium, sub simbolul "COTE".</w:t>
      </w:r>
    </w:p>
    <w:p w:rsidR="00DF06F0" w:rsidRPr="006A2E17" w:rsidRDefault="00DF06F0" w:rsidP="00DF06F0">
      <w:pPr>
        <w:spacing w:line="276" w:lineRule="auto"/>
        <w:jc w:val="both"/>
        <w:rPr>
          <w:rFonts w:ascii="Arial" w:eastAsia="Calibri" w:hAnsi="Arial" w:cs="Arial"/>
          <w:sz w:val="22"/>
          <w:szCs w:val="22"/>
          <w:lang w:val="fr-FR"/>
        </w:rPr>
      </w:pPr>
    </w:p>
    <w:p w:rsidR="00DF06F0" w:rsidRPr="006A2E17" w:rsidRDefault="00DF06F0" w:rsidP="00DF06F0">
      <w:pPr>
        <w:spacing w:line="276" w:lineRule="auto"/>
        <w:jc w:val="both"/>
        <w:rPr>
          <w:rFonts w:ascii="Arial" w:eastAsia="Calibri" w:hAnsi="Arial" w:cs="Arial"/>
          <w:sz w:val="22"/>
          <w:szCs w:val="22"/>
          <w:lang w:val="fr-FR"/>
        </w:rPr>
      </w:pPr>
      <w:r w:rsidRPr="006A2E17">
        <w:rPr>
          <w:rFonts w:ascii="Arial" w:eastAsia="Calibri" w:hAnsi="Arial" w:cs="Arial"/>
          <w:sz w:val="22"/>
          <w:szCs w:val="22"/>
          <w:lang w:val="fr-FR"/>
        </w:rPr>
        <w:t xml:space="preserve">La finele </w:t>
      </w:r>
      <w:r>
        <w:rPr>
          <w:rFonts w:ascii="Arial" w:eastAsia="Calibri" w:hAnsi="Arial" w:cs="Arial"/>
          <w:sz w:val="22"/>
          <w:szCs w:val="22"/>
          <w:lang w:val="fr-FR"/>
        </w:rPr>
        <w:t xml:space="preserve">primului </w:t>
      </w:r>
      <w:r w:rsidRPr="006A2E17">
        <w:rPr>
          <w:rFonts w:ascii="Arial" w:eastAsia="Calibri" w:hAnsi="Arial" w:cs="Arial"/>
          <w:sz w:val="22"/>
          <w:szCs w:val="22"/>
          <w:lang w:val="fr-FR"/>
        </w:rPr>
        <w:t>semestru</w:t>
      </w:r>
      <w:r>
        <w:rPr>
          <w:rFonts w:ascii="Arial" w:eastAsia="Calibri" w:hAnsi="Arial" w:cs="Arial"/>
          <w:sz w:val="22"/>
          <w:szCs w:val="22"/>
          <w:lang w:val="fr-FR"/>
        </w:rPr>
        <w:t xml:space="preserve"> al anului </w:t>
      </w:r>
      <w:r w:rsidRPr="006A2E17">
        <w:rPr>
          <w:rFonts w:ascii="Arial" w:eastAsia="Calibri" w:hAnsi="Arial" w:cs="Arial"/>
          <w:sz w:val="22"/>
          <w:szCs w:val="22"/>
          <w:lang w:val="fr-FR"/>
        </w:rPr>
        <w:t xml:space="preserve">2018, prețul de tranzacționare al acțiunilor CONPET a înregistrat o scădere de 9,55% față de prețul de </w:t>
      </w:r>
      <w:r w:rsidRPr="006A2E17">
        <w:rPr>
          <w:rFonts w:ascii="Arial" w:eastAsia="Calibri" w:hAnsi="Arial" w:cs="Arial"/>
          <w:sz w:val="22"/>
          <w:szCs w:val="22"/>
        </w:rPr>
        <w:t>î</w:t>
      </w:r>
      <w:r w:rsidRPr="006A2E17">
        <w:rPr>
          <w:rFonts w:ascii="Arial" w:eastAsia="Calibri" w:hAnsi="Arial" w:cs="Arial"/>
          <w:sz w:val="22"/>
          <w:szCs w:val="22"/>
          <w:lang w:val="fr-FR"/>
        </w:rPr>
        <w:t xml:space="preserve">nchidere </w:t>
      </w:r>
      <w:r>
        <w:rPr>
          <w:rFonts w:ascii="Arial" w:eastAsia="Calibri" w:hAnsi="Arial" w:cs="Arial"/>
          <w:sz w:val="22"/>
          <w:szCs w:val="22"/>
          <w:lang w:val="fr-FR"/>
        </w:rPr>
        <w:t>din</w:t>
      </w:r>
      <w:r w:rsidRPr="006A2E17">
        <w:rPr>
          <w:rFonts w:ascii="Arial" w:eastAsia="Calibri" w:hAnsi="Arial" w:cs="Arial"/>
          <w:sz w:val="22"/>
          <w:szCs w:val="22"/>
          <w:lang w:val="fr-FR"/>
        </w:rPr>
        <w:t xml:space="preserve"> prim</w:t>
      </w:r>
      <w:r>
        <w:rPr>
          <w:rFonts w:ascii="Arial" w:eastAsia="Calibri" w:hAnsi="Arial" w:cs="Arial"/>
          <w:sz w:val="22"/>
          <w:szCs w:val="22"/>
          <w:lang w:val="fr-FR"/>
        </w:rPr>
        <w:t>a</w:t>
      </w:r>
      <w:r w:rsidRPr="006A2E17">
        <w:rPr>
          <w:rFonts w:ascii="Arial" w:eastAsia="Calibri" w:hAnsi="Arial" w:cs="Arial"/>
          <w:sz w:val="22"/>
          <w:szCs w:val="22"/>
          <w:lang w:val="fr-FR"/>
        </w:rPr>
        <w:t xml:space="preserve"> zi de tranzacționare a </w:t>
      </w:r>
      <w:r>
        <w:rPr>
          <w:rFonts w:ascii="Arial" w:eastAsia="Calibri" w:hAnsi="Arial" w:cs="Arial"/>
          <w:sz w:val="22"/>
          <w:szCs w:val="22"/>
          <w:lang w:val="fr-FR"/>
        </w:rPr>
        <w:t>anului.</w:t>
      </w:r>
    </w:p>
    <w:p w:rsidR="00DF06F0" w:rsidRPr="006A2E17" w:rsidRDefault="00DF06F0" w:rsidP="00DF06F0">
      <w:pPr>
        <w:spacing w:line="276" w:lineRule="auto"/>
        <w:jc w:val="both"/>
        <w:rPr>
          <w:rFonts w:ascii="Arial" w:eastAsia="Calibri" w:hAnsi="Arial" w:cs="Arial"/>
          <w:sz w:val="22"/>
          <w:szCs w:val="22"/>
          <w:lang w:val="fr-FR"/>
        </w:rPr>
      </w:pPr>
    </w:p>
    <w:p w:rsidR="00DF06F0" w:rsidRPr="006A2E17" w:rsidRDefault="00DF06F0" w:rsidP="00DF06F0">
      <w:pPr>
        <w:spacing w:line="276" w:lineRule="auto"/>
        <w:jc w:val="both"/>
        <w:rPr>
          <w:rFonts w:ascii="Arial" w:hAnsi="Arial" w:cs="Arial"/>
          <w:sz w:val="22"/>
          <w:szCs w:val="22"/>
          <w:lang w:val="fr-FR"/>
        </w:rPr>
      </w:pPr>
      <w:r w:rsidRPr="006A2E17">
        <w:rPr>
          <w:rFonts w:ascii="Arial" w:hAnsi="Arial" w:cs="Arial"/>
          <w:sz w:val="22"/>
          <w:szCs w:val="22"/>
          <w:lang w:val="fr-FR"/>
        </w:rPr>
        <w:t>În sinteză, tranzacțiile înregistrate cu acțiunile CONPET pe Bursa de Valori București, în semest</w:t>
      </w:r>
      <w:r w:rsidR="00B108EF">
        <w:rPr>
          <w:rFonts w:ascii="Arial" w:hAnsi="Arial" w:cs="Arial"/>
          <w:sz w:val="22"/>
          <w:szCs w:val="22"/>
          <w:lang w:val="fr-FR"/>
        </w:rPr>
        <w:t>rul I 2018, se prezintă astfel:</w:t>
      </w:r>
    </w:p>
    <w:p w:rsidR="00DF06F0" w:rsidRPr="0036241D" w:rsidRDefault="00DF06F0" w:rsidP="00DF06F0">
      <w:pPr>
        <w:widowControl/>
        <w:numPr>
          <w:ilvl w:val="0"/>
          <w:numId w:val="13"/>
        </w:numPr>
        <w:autoSpaceDE/>
        <w:adjustRightInd/>
        <w:spacing w:line="276" w:lineRule="auto"/>
        <w:jc w:val="both"/>
        <w:rPr>
          <w:rFonts w:ascii="Arial" w:hAnsi="Arial" w:cs="Arial"/>
          <w:sz w:val="22"/>
          <w:szCs w:val="22"/>
          <w:lang w:val="fr-FR"/>
        </w:rPr>
      </w:pPr>
      <w:r w:rsidRPr="00EA566D">
        <w:rPr>
          <w:rFonts w:ascii="Arial" w:hAnsi="Arial" w:cs="Arial"/>
          <w:sz w:val="22"/>
          <w:szCs w:val="22"/>
        </w:rPr>
        <w:t xml:space="preserve"> s-au efectuat 7.558 tranzacţii, cu aproximativ 31% mai puține decât în aceeași perioadă a anului precedent (10.907 tranzacții)</w:t>
      </w:r>
      <w:r w:rsidRPr="0036241D">
        <w:rPr>
          <w:rFonts w:ascii="Arial" w:hAnsi="Arial" w:cs="Arial"/>
          <w:sz w:val="22"/>
          <w:szCs w:val="22"/>
        </w:rPr>
        <w:t>, cu toate acestea,</w:t>
      </w:r>
      <w:r w:rsidRPr="001A0F9A">
        <w:rPr>
          <w:rFonts w:ascii="Arial" w:hAnsi="Arial" w:cs="Arial"/>
          <w:sz w:val="22"/>
          <w:szCs w:val="22"/>
        </w:rPr>
        <w:t xml:space="preserve"> </w:t>
      </w:r>
      <w:r w:rsidRPr="00EA566D">
        <w:rPr>
          <w:rFonts w:ascii="Arial" w:hAnsi="Arial" w:cs="Arial"/>
          <w:color w:val="000000"/>
          <w:sz w:val="22"/>
          <w:szCs w:val="22"/>
        </w:rPr>
        <w:t xml:space="preserve">volumul total al acţiunilor tranzacţionate a fost de 1.445.574 acțiuni, </w:t>
      </w:r>
      <w:r w:rsidRPr="00EA566D">
        <w:rPr>
          <w:rFonts w:ascii="Arial" w:hAnsi="Arial" w:cs="Arial"/>
          <w:sz w:val="22"/>
          <w:szCs w:val="22"/>
        </w:rPr>
        <w:t>dublu față de primul semestru al anului 2017 (676.717 acţiuni);</w:t>
      </w:r>
    </w:p>
    <w:p w:rsidR="004A5D9D" w:rsidRPr="00B108EF" w:rsidRDefault="00DF06F0" w:rsidP="00B108EF">
      <w:pPr>
        <w:widowControl/>
        <w:numPr>
          <w:ilvl w:val="0"/>
          <w:numId w:val="13"/>
        </w:numPr>
        <w:autoSpaceDE/>
        <w:adjustRightInd/>
        <w:spacing w:line="276" w:lineRule="auto"/>
        <w:jc w:val="both"/>
        <w:rPr>
          <w:rFonts w:ascii="Arial" w:hAnsi="Arial" w:cs="Arial"/>
          <w:sz w:val="22"/>
          <w:szCs w:val="22"/>
          <w:lang w:val="fr-FR"/>
        </w:rPr>
      </w:pPr>
      <w:r w:rsidRPr="006A2E17">
        <w:rPr>
          <w:rFonts w:ascii="Arial" w:hAnsi="Arial" w:cs="Arial"/>
          <w:color w:val="000000"/>
          <w:sz w:val="22"/>
          <w:szCs w:val="22"/>
          <w:lang w:val="fr-FR"/>
        </w:rPr>
        <w:t>valoarea totală a tranzacţiilor a fost de 147.893.292 lei, de două ori mai mare</w:t>
      </w:r>
      <w:r w:rsidRPr="006A2E17">
        <w:rPr>
          <w:rFonts w:ascii="Arial" w:hAnsi="Arial" w:cs="Arial"/>
          <w:color w:val="FF0000"/>
          <w:sz w:val="22"/>
          <w:szCs w:val="22"/>
          <w:lang w:val="fr-FR"/>
        </w:rPr>
        <w:t xml:space="preserve"> </w:t>
      </w:r>
      <w:r w:rsidRPr="006A2E17">
        <w:rPr>
          <w:rFonts w:ascii="Arial" w:hAnsi="Arial" w:cs="Arial"/>
          <w:sz w:val="22"/>
          <w:szCs w:val="22"/>
          <w:lang w:val="fr-FR"/>
        </w:rPr>
        <w:t xml:space="preserve">decât valoarea înregistrată în semestrul I din </w:t>
      </w:r>
      <w:r>
        <w:rPr>
          <w:rFonts w:ascii="Arial" w:hAnsi="Arial" w:cs="Arial"/>
          <w:sz w:val="22"/>
          <w:szCs w:val="22"/>
          <w:lang w:val="fr-FR"/>
        </w:rPr>
        <w:t xml:space="preserve">anul </w:t>
      </w:r>
      <w:r w:rsidRPr="006A2E17">
        <w:rPr>
          <w:rFonts w:ascii="Arial" w:hAnsi="Arial" w:cs="Arial"/>
          <w:sz w:val="22"/>
          <w:szCs w:val="22"/>
          <w:lang w:val="fr-FR"/>
        </w:rPr>
        <w:t>2017 (</w:t>
      </w:r>
      <w:r w:rsidRPr="006A2E17">
        <w:rPr>
          <w:rFonts w:ascii="Arial" w:hAnsi="Arial" w:cs="Arial"/>
          <w:sz w:val="22"/>
          <w:szCs w:val="22"/>
        </w:rPr>
        <w:t xml:space="preserve">77.312.733 </w:t>
      </w:r>
      <w:r w:rsidRPr="006A2E17">
        <w:rPr>
          <w:rFonts w:ascii="Arial" w:hAnsi="Arial" w:cs="Arial"/>
          <w:sz w:val="22"/>
          <w:szCs w:val="22"/>
          <w:lang w:val="fr-FR"/>
        </w:rPr>
        <w:t>lei);</w:t>
      </w:r>
    </w:p>
    <w:p w:rsidR="00DF06F0" w:rsidRPr="006A2E17" w:rsidRDefault="00DF06F0" w:rsidP="00DF06F0">
      <w:pPr>
        <w:widowControl/>
        <w:numPr>
          <w:ilvl w:val="0"/>
          <w:numId w:val="13"/>
        </w:numPr>
        <w:autoSpaceDE/>
        <w:adjustRightInd/>
        <w:spacing w:line="276" w:lineRule="auto"/>
        <w:jc w:val="both"/>
        <w:rPr>
          <w:rFonts w:ascii="Arial" w:hAnsi="Arial" w:cs="Arial"/>
          <w:sz w:val="22"/>
          <w:szCs w:val="22"/>
          <w:lang w:val="fr-FR"/>
        </w:rPr>
      </w:pPr>
      <w:r w:rsidRPr="006A2E17">
        <w:rPr>
          <w:rFonts w:ascii="Arial" w:hAnsi="Arial" w:cs="Arial"/>
          <w:sz w:val="22"/>
          <w:szCs w:val="22"/>
          <w:lang w:val="fr-FR"/>
        </w:rPr>
        <w:t xml:space="preserve">preţul mediu de tranzacţionare a fost de 102,31 lei/acţiune, în scădere cu 11,94 lei/acţiune față de preţul mediu al acţiunilor înregistrat în aceeași perioadă a anului 2017 (114,25 lei/acţiune);   </w:t>
      </w:r>
    </w:p>
    <w:p w:rsidR="00DF06F0" w:rsidRPr="006A2E17" w:rsidRDefault="00D727ED" w:rsidP="00DF06F0">
      <w:pPr>
        <w:widowControl/>
        <w:numPr>
          <w:ilvl w:val="0"/>
          <w:numId w:val="13"/>
        </w:numPr>
        <w:autoSpaceDE/>
        <w:adjustRightInd/>
        <w:spacing w:line="276" w:lineRule="auto"/>
        <w:contextualSpacing/>
        <w:jc w:val="both"/>
        <w:rPr>
          <w:rFonts w:ascii="Arial" w:hAnsi="Arial" w:cs="Arial"/>
          <w:sz w:val="22"/>
          <w:szCs w:val="22"/>
          <w:lang w:val="fr-FR"/>
        </w:rPr>
      </w:pPr>
      <w:r>
        <w:rPr>
          <w:rFonts w:ascii="Arial" w:hAnsi="Arial" w:cs="Arial"/>
          <w:sz w:val="22"/>
          <w:szCs w:val="22"/>
          <w:lang w:val="fr-FR"/>
        </w:rPr>
        <w:t>nivelul</w:t>
      </w:r>
      <w:r w:rsidR="00DF06F0" w:rsidRPr="006A2E17">
        <w:rPr>
          <w:rFonts w:ascii="Arial" w:hAnsi="Arial" w:cs="Arial"/>
          <w:sz w:val="22"/>
          <w:szCs w:val="22"/>
          <w:lang w:val="fr-FR"/>
        </w:rPr>
        <w:t xml:space="preserve"> maxim înregistrat de prețul de tranzacționare</w:t>
      </w:r>
      <w:r w:rsidR="00DF06F0">
        <w:rPr>
          <w:rFonts w:ascii="Arial" w:hAnsi="Arial" w:cs="Arial"/>
          <w:sz w:val="22"/>
          <w:szCs w:val="22"/>
          <w:lang w:val="fr-FR"/>
        </w:rPr>
        <w:t xml:space="preserve"> a fost de 120 lei/acțiune</w:t>
      </w:r>
      <w:r w:rsidR="004A5D9D">
        <w:rPr>
          <w:rFonts w:ascii="Arial" w:hAnsi="Arial" w:cs="Arial"/>
          <w:sz w:val="22"/>
          <w:szCs w:val="22"/>
          <w:lang w:val="fr-FR"/>
        </w:rPr>
        <w:t xml:space="preserve"> </w:t>
      </w:r>
      <w:r w:rsidR="00DF06F0">
        <w:rPr>
          <w:rFonts w:ascii="Arial" w:hAnsi="Arial" w:cs="Arial"/>
          <w:sz w:val="22"/>
          <w:szCs w:val="22"/>
        </w:rPr>
        <w:t xml:space="preserve">și </w:t>
      </w:r>
      <w:r w:rsidR="00DF06F0" w:rsidRPr="006A2E17">
        <w:rPr>
          <w:rFonts w:ascii="Arial" w:hAnsi="Arial" w:cs="Arial"/>
          <w:sz w:val="22"/>
          <w:szCs w:val="22"/>
          <w:lang w:val="fr-FR"/>
        </w:rPr>
        <w:t>a fost atins atât în ultima săptămână a lunii ianuarie cât și în prima zi din februarie;</w:t>
      </w:r>
    </w:p>
    <w:p w:rsidR="00DF06F0" w:rsidRPr="006A2E17" w:rsidRDefault="00DF06F0" w:rsidP="00DF06F0">
      <w:pPr>
        <w:widowControl/>
        <w:numPr>
          <w:ilvl w:val="0"/>
          <w:numId w:val="13"/>
        </w:numPr>
        <w:autoSpaceDE/>
        <w:adjustRightInd/>
        <w:spacing w:line="276" w:lineRule="auto"/>
        <w:jc w:val="both"/>
        <w:rPr>
          <w:rFonts w:ascii="Arial" w:hAnsi="Arial" w:cs="Arial"/>
          <w:sz w:val="22"/>
          <w:szCs w:val="22"/>
          <w:lang w:val="fr-FR"/>
        </w:rPr>
      </w:pPr>
      <w:r w:rsidRPr="006A2E17">
        <w:rPr>
          <w:rFonts w:ascii="Arial" w:hAnsi="Arial" w:cs="Arial"/>
          <w:sz w:val="22"/>
          <w:szCs w:val="22"/>
          <w:lang w:val="fr-FR"/>
        </w:rPr>
        <w:t>în data de 21.02.2018 a fost înregistrat un vârf al tranzacţiilor</w:t>
      </w:r>
      <w:r w:rsidR="00F84A32">
        <w:rPr>
          <w:rFonts w:ascii="Arial" w:hAnsi="Arial" w:cs="Arial"/>
          <w:sz w:val="22"/>
          <w:szCs w:val="22"/>
          <w:lang w:val="fr-FR"/>
        </w:rPr>
        <w:t xml:space="preserve"> </w:t>
      </w:r>
      <w:r>
        <w:rPr>
          <w:rFonts w:ascii="Arial" w:hAnsi="Arial" w:cs="Arial"/>
          <w:sz w:val="22"/>
          <w:szCs w:val="22"/>
          <w:lang w:val="fr-FR"/>
        </w:rPr>
        <w:t>c</w:t>
      </w:r>
      <w:r>
        <w:rPr>
          <w:rFonts w:ascii="Arial" w:hAnsi="Arial" w:cs="Arial"/>
          <w:sz w:val="22"/>
          <w:szCs w:val="22"/>
        </w:rPr>
        <w:t>ând</w:t>
      </w:r>
      <w:r>
        <w:rPr>
          <w:rFonts w:ascii="Arial" w:hAnsi="Arial" w:cs="Arial"/>
          <w:sz w:val="22"/>
          <w:szCs w:val="22"/>
          <w:lang w:val="fr-FR"/>
        </w:rPr>
        <w:t xml:space="preserve"> a fost</w:t>
      </w:r>
      <w:r w:rsidRPr="006A2E17">
        <w:rPr>
          <w:rFonts w:ascii="Arial" w:hAnsi="Arial" w:cs="Arial"/>
          <w:sz w:val="22"/>
          <w:szCs w:val="22"/>
          <w:lang w:val="fr-FR"/>
        </w:rPr>
        <w:t xml:space="preserve"> tranzacţionat un volum total de 611.933 acţiuni</w:t>
      </w:r>
      <w:r>
        <w:rPr>
          <w:rFonts w:ascii="Arial" w:hAnsi="Arial" w:cs="Arial"/>
          <w:sz w:val="22"/>
          <w:szCs w:val="22"/>
          <w:lang w:val="fr-FR"/>
        </w:rPr>
        <w:t>,</w:t>
      </w:r>
      <w:r w:rsidRPr="006A2E17">
        <w:rPr>
          <w:rFonts w:ascii="Arial" w:hAnsi="Arial" w:cs="Arial"/>
          <w:sz w:val="22"/>
          <w:szCs w:val="22"/>
          <w:lang w:val="fr-FR"/>
        </w:rPr>
        <w:t xml:space="preserve"> în valoare de 61.805.233 lei</w:t>
      </w:r>
      <w:r>
        <w:rPr>
          <w:rFonts w:ascii="Arial" w:hAnsi="Arial" w:cs="Arial"/>
          <w:sz w:val="22"/>
          <w:szCs w:val="22"/>
          <w:lang w:val="fr-FR"/>
        </w:rPr>
        <w:t>,</w:t>
      </w:r>
      <w:r w:rsidRPr="006A2E17">
        <w:rPr>
          <w:rFonts w:ascii="Arial" w:hAnsi="Arial" w:cs="Arial"/>
          <w:sz w:val="22"/>
          <w:szCs w:val="22"/>
          <w:lang w:val="fr-FR"/>
        </w:rPr>
        <w:t xml:space="preserve"> reprezentând 42,33% din volumul total al acțiunilor COTE tranzacționate pe parcursul semestrului I 2018;</w:t>
      </w:r>
    </w:p>
    <w:p w:rsidR="00DF06F0" w:rsidRDefault="00DF06F0" w:rsidP="00DF06F0">
      <w:pPr>
        <w:widowControl/>
        <w:numPr>
          <w:ilvl w:val="0"/>
          <w:numId w:val="13"/>
        </w:numPr>
        <w:autoSpaceDE/>
        <w:adjustRightInd/>
        <w:spacing w:line="276" w:lineRule="auto"/>
        <w:jc w:val="both"/>
        <w:rPr>
          <w:rFonts w:ascii="Arial" w:hAnsi="Arial" w:cs="Arial"/>
          <w:sz w:val="22"/>
          <w:szCs w:val="22"/>
          <w:lang w:val="fr-FR"/>
        </w:rPr>
      </w:pPr>
      <w:r w:rsidRPr="006A2E17">
        <w:rPr>
          <w:rFonts w:ascii="Arial" w:hAnsi="Arial" w:cs="Arial"/>
          <w:sz w:val="22"/>
          <w:szCs w:val="22"/>
          <w:lang w:val="fr-FR"/>
        </w:rPr>
        <w:t>capitalizarea bursieră la sfârşitul semestrului I 2018 a fost de 779.177.520 lei, în scădere cu 5,46% faţă de valoarea înregistrată la sfârşitul primului semestru din 2017 (824.196.666 lei).</w:t>
      </w:r>
      <w:r>
        <w:rPr>
          <w:rFonts w:ascii="Arial" w:hAnsi="Arial" w:cs="Arial"/>
          <w:sz w:val="22"/>
          <w:szCs w:val="22"/>
          <w:lang w:val="fr-FR"/>
        </w:rPr>
        <w:t xml:space="preserve"> </w:t>
      </w:r>
      <w:r w:rsidRPr="00EA566D">
        <w:rPr>
          <w:rFonts w:ascii="Arial" w:hAnsi="Arial" w:cs="Arial"/>
          <w:sz w:val="22"/>
          <w:szCs w:val="22"/>
          <w:lang w:val="fr-FR"/>
        </w:rPr>
        <w:t>La data de 30.06.2018, conform TOP 100 al emitenților după capitalizare, CONPET s-a clasat pe locul 18</w:t>
      </w:r>
      <w:r>
        <w:rPr>
          <w:rFonts w:ascii="Arial" w:hAnsi="Arial" w:cs="Arial"/>
          <w:sz w:val="22"/>
          <w:szCs w:val="22"/>
          <w:lang w:val="fr-FR"/>
        </w:rPr>
        <w:t>.</w:t>
      </w:r>
    </w:p>
    <w:p w:rsidR="00B108EF" w:rsidRPr="006A2E17" w:rsidRDefault="00B108EF" w:rsidP="00B108EF">
      <w:pPr>
        <w:widowControl/>
        <w:autoSpaceDE/>
        <w:adjustRightInd/>
        <w:spacing w:line="276" w:lineRule="auto"/>
        <w:ind w:left="720"/>
        <w:jc w:val="both"/>
        <w:rPr>
          <w:rFonts w:ascii="Arial" w:hAnsi="Arial" w:cs="Arial"/>
          <w:sz w:val="22"/>
          <w:szCs w:val="22"/>
          <w:lang w:val="fr-FR"/>
        </w:rPr>
      </w:pPr>
    </w:p>
    <w:p w:rsidR="00DF06F0" w:rsidRPr="006A2E17" w:rsidRDefault="00DF06F0" w:rsidP="00DF06F0">
      <w:pPr>
        <w:spacing w:line="276" w:lineRule="auto"/>
        <w:jc w:val="both"/>
        <w:rPr>
          <w:rFonts w:ascii="Arial" w:eastAsia="Calibri" w:hAnsi="Arial" w:cs="Arial"/>
          <w:sz w:val="22"/>
          <w:szCs w:val="22"/>
          <w:lang w:val="fr-FR"/>
        </w:rPr>
      </w:pPr>
      <w:r w:rsidRPr="006A2E17">
        <w:rPr>
          <w:rFonts w:ascii="Arial" w:eastAsia="Calibri" w:hAnsi="Arial" w:cs="Arial"/>
          <w:sz w:val="22"/>
          <w:szCs w:val="22"/>
          <w:lang w:val="fr-FR"/>
        </w:rPr>
        <w:t>Valorile de tranzacționare indică o acțiune stabilă, care continuă să atragă încrederea investitorilor, datorată, în mare măsură, eficacităţii managementului CONPET şi gradului ridicat de transparenţă privind activitatea şi obiectivele societății.</w:t>
      </w:r>
    </w:p>
    <w:p w:rsidR="00DF06F0" w:rsidRPr="006A2E17" w:rsidRDefault="00DF06F0" w:rsidP="00DF06F0">
      <w:pPr>
        <w:spacing w:line="276" w:lineRule="auto"/>
        <w:jc w:val="both"/>
        <w:rPr>
          <w:rFonts w:ascii="Arial" w:eastAsia="Calibri" w:hAnsi="Arial" w:cs="Arial"/>
          <w:sz w:val="22"/>
          <w:szCs w:val="22"/>
          <w:lang w:val="fr-FR"/>
        </w:rPr>
      </w:pPr>
    </w:p>
    <w:p w:rsidR="00F03ACD" w:rsidRDefault="00DF06F0" w:rsidP="008B5C3B">
      <w:pPr>
        <w:spacing w:line="276" w:lineRule="auto"/>
        <w:jc w:val="both"/>
        <w:rPr>
          <w:rFonts w:ascii="Arial" w:eastAsia="Calibri" w:hAnsi="Arial" w:cs="Arial"/>
          <w:sz w:val="22"/>
          <w:szCs w:val="22"/>
          <w:lang w:val="fr-FR"/>
        </w:rPr>
      </w:pPr>
      <w:r w:rsidRPr="006A2E17">
        <w:rPr>
          <w:rFonts w:ascii="Arial" w:eastAsia="Calibri" w:hAnsi="Arial" w:cs="Arial"/>
          <w:sz w:val="22"/>
          <w:szCs w:val="22"/>
          <w:lang w:val="fr-FR"/>
        </w:rPr>
        <w:t xml:space="preserve">Principalii indici de tranzacţionare ai primului semestru din 2018 pentru acţiunile emise de CONPET </w:t>
      </w:r>
      <w:r>
        <w:rPr>
          <w:rFonts w:ascii="Arial" w:eastAsia="Calibri" w:hAnsi="Arial" w:cs="Arial"/>
          <w:sz w:val="22"/>
          <w:szCs w:val="22"/>
          <w:lang w:val="fr-FR"/>
        </w:rPr>
        <w:t xml:space="preserve">S.A ., </w:t>
      </w:r>
      <w:r w:rsidRPr="006A2E17">
        <w:rPr>
          <w:rFonts w:ascii="Arial" w:eastAsia="Calibri" w:hAnsi="Arial" w:cs="Arial"/>
          <w:sz w:val="22"/>
          <w:szCs w:val="22"/>
          <w:lang w:val="fr-FR"/>
        </w:rPr>
        <w:t>sunt prezentați în tabelul următor:</w:t>
      </w:r>
    </w:p>
    <w:p w:rsidR="008B5C3B" w:rsidRPr="008B5C3B" w:rsidRDefault="008B5C3B" w:rsidP="008B5C3B">
      <w:pPr>
        <w:spacing w:line="276" w:lineRule="auto"/>
        <w:jc w:val="both"/>
        <w:rPr>
          <w:rFonts w:ascii="Arial" w:eastAsia="Calibri" w:hAnsi="Arial" w:cs="Arial"/>
          <w:sz w:val="22"/>
          <w:szCs w:val="22"/>
          <w:lang w:val="fr-FR"/>
        </w:rPr>
      </w:pPr>
    </w:p>
    <w:tbl>
      <w:tblPr>
        <w:tblStyle w:val="TableGrid"/>
        <w:tblW w:w="9218" w:type="dxa"/>
        <w:tblInd w:w="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03"/>
        <w:gridCol w:w="2286"/>
        <w:gridCol w:w="1595"/>
        <w:gridCol w:w="2217"/>
        <w:gridCol w:w="1817"/>
      </w:tblGrid>
      <w:tr w:rsidR="00F03ACD" w:rsidRPr="008B5C3B" w:rsidTr="00B108EF">
        <w:trPr>
          <w:trHeight w:val="202"/>
        </w:trPr>
        <w:tc>
          <w:tcPr>
            <w:tcW w:w="1303" w:type="dxa"/>
            <w:tcBorders>
              <w:bottom w:val="nil"/>
            </w:tcBorders>
            <w:shd w:val="clear" w:color="auto" w:fill="DEEAF6" w:themeFill="accent1" w:themeFillTint="33"/>
            <w:vAlign w:val="center"/>
          </w:tcPr>
          <w:p w:rsidR="00F03ACD" w:rsidRPr="008B5C3B" w:rsidRDefault="00F03ACD" w:rsidP="001D229E">
            <w:pPr>
              <w:spacing w:line="276" w:lineRule="auto"/>
              <w:jc w:val="right"/>
              <w:rPr>
                <w:rFonts w:ascii="Arial" w:eastAsia="Calibri" w:hAnsi="Arial" w:cs="Arial"/>
                <w:lang w:val="fr-FR"/>
              </w:rPr>
            </w:pPr>
            <w:r w:rsidRPr="008B5C3B">
              <w:rPr>
                <w:rFonts w:ascii="Arial" w:hAnsi="Arial" w:cs="Arial"/>
                <w:b/>
                <w:bCs/>
                <w:iCs/>
                <w:noProof/>
                <w:lang w:val="en-US" w:eastAsia="en-US"/>
              </w:rPr>
              <mc:AlternateContent>
                <mc:Choice Requires="wps">
                  <w:drawing>
                    <wp:anchor distT="0" distB="0" distL="114300" distR="114300" simplePos="0" relativeHeight="251662336" behindDoc="0" locked="0" layoutInCell="1" allowOverlap="1" wp14:anchorId="35BFBC52" wp14:editId="17A86D4F">
                      <wp:simplePos x="0" y="0"/>
                      <wp:positionH relativeFrom="page">
                        <wp:posOffset>9525</wp:posOffset>
                      </wp:positionH>
                      <wp:positionV relativeFrom="page">
                        <wp:posOffset>0</wp:posOffset>
                      </wp:positionV>
                      <wp:extent cx="828675" cy="38100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828675" cy="381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8009B4"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5pt,0" to="6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" strokecolor="windowText" strokeweight=".5pt">
                      <v:stroke joinstyle="miter"/>
                      <w10:wrap anchorx="page" anchory="page"/>
                    </v:line>
                  </w:pict>
                </mc:Fallback>
              </mc:AlternateContent>
            </w:r>
            <w:r w:rsidRPr="008B5C3B">
              <w:rPr>
                <w:rFonts w:ascii="Arial" w:hAnsi="Arial" w:cs="Arial"/>
                <w:b/>
                <w:bCs/>
                <w:iCs/>
              </w:rPr>
              <w:t>Indici</w:t>
            </w:r>
          </w:p>
        </w:tc>
        <w:tc>
          <w:tcPr>
            <w:tcW w:w="2286" w:type="dxa"/>
            <w:vMerge w:val="restart"/>
            <w:shd w:val="clear" w:color="auto" w:fill="DEEAF6" w:themeFill="accent1" w:themeFillTint="33"/>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b/>
                <w:bCs/>
              </w:rPr>
              <w:t>Preţ mediu (lei/acțiune)</w:t>
            </w:r>
          </w:p>
        </w:tc>
        <w:tc>
          <w:tcPr>
            <w:tcW w:w="1595" w:type="dxa"/>
            <w:vMerge w:val="restart"/>
            <w:shd w:val="clear" w:color="auto" w:fill="DEEAF6" w:themeFill="accent1" w:themeFillTint="33"/>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b/>
                <w:bCs/>
              </w:rPr>
              <w:t>Nr. tranzacții</w:t>
            </w:r>
          </w:p>
        </w:tc>
        <w:tc>
          <w:tcPr>
            <w:tcW w:w="2217" w:type="dxa"/>
            <w:vMerge w:val="restart"/>
            <w:shd w:val="clear" w:color="auto" w:fill="DEEAF6" w:themeFill="accent1" w:themeFillTint="33"/>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b/>
                <w:bCs/>
              </w:rPr>
              <w:t xml:space="preserve">Nr. acţiuni tranzacționate </w:t>
            </w:r>
          </w:p>
        </w:tc>
        <w:tc>
          <w:tcPr>
            <w:tcW w:w="1817" w:type="dxa"/>
            <w:vMerge w:val="restart"/>
            <w:shd w:val="clear" w:color="auto" w:fill="DEEAF6" w:themeFill="accent1" w:themeFillTint="33"/>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b/>
                <w:bCs/>
              </w:rPr>
              <w:t>Valoare tranzacţii (lei)</w:t>
            </w:r>
          </w:p>
        </w:tc>
      </w:tr>
      <w:tr w:rsidR="00F03ACD" w:rsidRPr="008B5C3B" w:rsidTr="00B108EF">
        <w:trPr>
          <w:trHeight w:val="211"/>
        </w:trPr>
        <w:tc>
          <w:tcPr>
            <w:tcW w:w="1303" w:type="dxa"/>
            <w:tcBorders>
              <w:top w:val="nil"/>
            </w:tcBorders>
            <w:shd w:val="clear" w:color="auto" w:fill="DEEAF6" w:themeFill="accent1" w:themeFillTint="33"/>
            <w:vAlign w:val="center"/>
          </w:tcPr>
          <w:p w:rsidR="00F03ACD" w:rsidRPr="008B5C3B" w:rsidRDefault="00F03ACD" w:rsidP="001D229E">
            <w:pPr>
              <w:spacing w:line="276" w:lineRule="auto"/>
              <w:jc w:val="both"/>
              <w:rPr>
                <w:rFonts w:ascii="Arial" w:eastAsia="Calibri" w:hAnsi="Arial" w:cs="Arial"/>
                <w:lang w:val="fr-FR"/>
              </w:rPr>
            </w:pPr>
            <w:r w:rsidRPr="008B5C3B">
              <w:rPr>
                <w:rFonts w:ascii="Arial" w:hAnsi="Arial" w:cs="Arial"/>
                <w:b/>
                <w:bCs/>
                <w:iCs/>
              </w:rPr>
              <w:t>Luna</w:t>
            </w:r>
          </w:p>
        </w:tc>
        <w:tc>
          <w:tcPr>
            <w:tcW w:w="2286" w:type="dxa"/>
            <w:vMerge/>
            <w:shd w:val="clear" w:color="auto" w:fill="DEEAF6" w:themeFill="accent1" w:themeFillTint="33"/>
            <w:vAlign w:val="center"/>
          </w:tcPr>
          <w:p w:rsidR="00F03ACD" w:rsidRPr="008B5C3B" w:rsidRDefault="00F03ACD" w:rsidP="001D229E">
            <w:pPr>
              <w:spacing w:line="276" w:lineRule="auto"/>
              <w:jc w:val="both"/>
              <w:rPr>
                <w:rFonts w:ascii="Arial" w:eastAsia="Calibri" w:hAnsi="Arial" w:cs="Arial"/>
                <w:lang w:val="fr-FR"/>
              </w:rPr>
            </w:pPr>
          </w:p>
        </w:tc>
        <w:tc>
          <w:tcPr>
            <w:tcW w:w="1595" w:type="dxa"/>
            <w:vMerge/>
            <w:shd w:val="clear" w:color="auto" w:fill="auto"/>
            <w:vAlign w:val="center"/>
          </w:tcPr>
          <w:p w:rsidR="00F03ACD" w:rsidRPr="008B5C3B" w:rsidRDefault="00F03ACD" w:rsidP="001D229E">
            <w:pPr>
              <w:spacing w:line="276" w:lineRule="auto"/>
              <w:jc w:val="both"/>
              <w:rPr>
                <w:rFonts w:ascii="Arial" w:eastAsia="Calibri" w:hAnsi="Arial" w:cs="Arial"/>
                <w:lang w:val="fr-FR"/>
              </w:rPr>
            </w:pPr>
          </w:p>
        </w:tc>
        <w:tc>
          <w:tcPr>
            <w:tcW w:w="2217" w:type="dxa"/>
            <w:vMerge/>
            <w:shd w:val="clear" w:color="auto" w:fill="auto"/>
            <w:vAlign w:val="center"/>
          </w:tcPr>
          <w:p w:rsidR="00F03ACD" w:rsidRPr="008B5C3B" w:rsidRDefault="00F03ACD" w:rsidP="001D229E">
            <w:pPr>
              <w:spacing w:line="276" w:lineRule="auto"/>
              <w:jc w:val="both"/>
              <w:rPr>
                <w:rFonts w:ascii="Arial" w:eastAsia="Calibri" w:hAnsi="Arial" w:cs="Arial"/>
                <w:lang w:val="fr-FR"/>
              </w:rPr>
            </w:pPr>
          </w:p>
        </w:tc>
        <w:tc>
          <w:tcPr>
            <w:tcW w:w="1817" w:type="dxa"/>
            <w:vMerge/>
            <w:shd w:val="clear" w:color="auto" w:fill="auto"/>
            <w:vAlign w:val="center"/>
          </w:tcPr>
          <w:p w:rsidR="00F03ACD" w:rsidRPr="008B5C3B" w:rsidRDefault="00F03ACD" w:rsidP="001D229E">
            <w:pPr>
              <w:spacing w:line="276" w:lineRule="auto"/>
              <w:jc w:val="both"/>
              <w:rPr>
                <w:rFonts w:ascii="Arial" w:eastAsia="Calibri" w:hAnsi="Arial" w:cs="Arial"/>
                <w:lang w:val="fr-FR"/>
              </w:rPr>
            </w:pPr>
          </w:p>
        </w:tc>
      </w:tr>
      <w:tr w:rsidR="00F03ACD" w:rsidRPr="008B5C3B" w:rsidTr="00B108EF">
        <w:trPr>
          <w:trHeight w:val="225"/>
        </w:trPr>
        <w:tc>
          <w:tcPr>
            <w:tcW w:w="1303" w:type="dxa"/>
            <w:shd w:val="clear" w:color="auto" w:fill="auto"/>
            <w:vAlign w:val="center"/>
          </w:tcPr>
          <w:p w:rsidR="00F03ACD" w:rsidRPr="008B5C3B" w:rsidRDefault="00F03ACD" w:rsidP="001D229E">
            <w:pPr>
              <w:spacing w:line="276" w:lineRule="auto"/>
              <w:jc w:val="both"/>
              <w:rPr>
                <w:rFonts w:ascii="Arial" w:eastAsia="Calibri" w:hAnsi="Arial" w:cs="Arial"/>
                <w:lang w:val="fr-FR"/>
              </w:rPr>
            </w:pPr>
            <w:r w:rsidRPr="008B5C3B">
              <w:rPr>
                <w:rFonts w:ascii="Arial" w:hAnsi="Arial" w:cs="Arial"/>
              </w:rPr>
              <w:t>ianuarie</w:t>
            </w:r>
          </w:p>
        </w:tc>
        <w:tc>
          <w:tcPr>
            <w:tcW w:w="2286" w:type="dxa"/>
            <w:shd w:val="clear" w:color="auto" w:fill="auto"/>
            <w:vAlign w:val="center"/>
          </w:tcPr>
          <w:p w:rsidR="00F03ACD" w:rsidRPr="008B5C3B" w:rsidRDefault="00F03ACD" w:rsidP="001D229E">
            <w:pPr>
              <w:spacing w:line="276" w:lineRule="auto"/>
              <w:jc w:val="center"/>
              <w:rPr>
                <w:rFonts w:ascii="Arial" w:hAnsi="Arial" w:cs="Arial"/>
              </w:rPr>
            </w:pPr>
            <w:r w:rsidRPr="008B5C3B">
              <w:rPr>
                <w:rFonts w:ascii="Arial" w:hAnsi="Arial" w:cs="Arial"/>
              </w:rPr>
              <w:t>112,39</w:t>
            </w:r>
          </w:p>
        </w:tc>
        <w:tc>
          <w:tcPr>
            <w:tcW w:w="1595" w:type="dxa"/>
            <w:shd w:val="clear" w:color="auto" w:fill="auto"/>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rPr>
              <w:t>1.596</w:t>
            </w:r>
          </w:p>
        </w:tc>
        <w:tc>
          <w:tcPr>
            <w:tcW w:w="2217" w:type="dxa"/>
            <w:shd w:val="clear" w:color="auto" w:fill="auto"/>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rPr>
              <w:t>54.932</w:t>
            </w:r>
          </w:p>
        </w:tc>
        <w:tc>
          <w:tcPr>
            <w:tcW w:w="1817" w:type="dxa"/>
            <w:shd w:val="clear" w:color="auto" w:fill="auto"/>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rPr>
              <w:t>6.173.638</w:t>
            </w:r>
          </w:p>
        </w:tc>
      </w:tr>
      <w:tr w:rsidR="00F03ACD" w:rsidRPr="008B5C3B" w:rsidTr="00B108EF">
        <w:trPr>
          <w:trHeight w:val="211"/>
        </w:trPr>
        <w:tc>
          <w:tcPr>
            <w:tcW w:w="1303" w:type="dxa"/>
            <w:shd w:val="clear" w:color="auto" w:fill="auto"/>
            <w:vAlign w:val="center"/>
          </w:tcPr>
          <w:p w:rsidR="00F03ACD" w:rsidRPr="008B5C3B" w:rsidRDefault="00F03ACD" w:rsidP="001D229E">
            <w:pPr>
              <w:spacing w:line="276" w:lineRule="auto"/>
              <w:jc w:val="both"/>
              <w:rPr>
                <w:rFonts w:ascii="Arial" w:eastAsia="Calibri" w:hAnsi="Arial" w:cs="Arial"/>
                <w:lang w:val="fr-FR"/>
              </w:rPr>
            </w:pPr>
            <w:r w:rsidRPr="008B5C3B">
              <w:rPr>
                <w:rFonts w:ascii="Arial" w:hAnsi="Arial" w:cs="Arial"/>
              </w:rPr>
              <w:t>februarie</w:t>
            </w:r>
          </w:p>
        </w:tc>
        <w:tc>
          <w:tcPr>
            <w:tcW w:w="2286" w:type="dxa"/>
            <w:shd w:val="clear" w:color="auto" w:fill="auto"/>
            <w:vAlign w:val="center"/>
          </w:tcPr>
          <w:p w:rsidR="00F03ACD" w:rsidRPr="008B5C3B" w:rsidRDefault="00F03ACD" w:rsidP="001D229E">
            <w:pPr>
              <w:spacing w:line="276" w:lineRule="auto"/>
              <w:jc w:val="center"/>
              <w:rPr>
                <w:rFonts w:ascii="Arial" w:hAnsi="Arial" w:cs="Arial"/>
              </w:rPr>
            </w:pPr>
            <w:r w:rsidRPr="008B5C3B">
              <w:rPr>
                <w:rFonts w:ascii="Arial" w:hAnsi="Arial" w:cs="Arial"/>
              </w:rPr>
              <w:t>102,53</w:t>
            </w:r>
          </w:p>
        </w:tc>
        <w:tc>
          <w:tcPr>
            <w:tcW w:w="1595" w:type="dxa"/>
            <w:shd w:val="clear" w:color="auto" w:fill="auto"/>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rPr>
              <w:t>2.175</w:t>
            </w:r>
          </w:p>
        </w:tc>
        <w:tc>
          <w:tcPr>
            <w:tcW w:w="2217" w:type="dxa"/>
            <w:shd w:val="clear" w:color="auto" w:fill="auto"/>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rPr>
              <w:t>707.740</w:t>
            </w:r>
          </w:p>
        </w:tc>
        <w:tc>
          <w:tcPr>
            <w:tcW w:w="1817" w:type="dxa"/>
            <w:shd w:val="clear" w:color="auto" w:fill="auto"/>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rPr>
              <w:t>72.566.976</w:t>
            </w:r>
          </w:p>
        </w:tc>
      </w:tr>
      <w:tr w:rsidR="00F03ACD" w:rsidRPr="008B5C3B" w:rsidTr="00B108EF">
        <w:trPr>
          <w:trHeight w:val="202"/>
        </w:trPr>
        <w:tc>
          <w:tcPr>
            <w:tcW w:w="1303" w:type="dxa"/>
            <w:shd w:val="clear" w:color="auto" w:fill="auto"/>
            <w:vAlign w:val="center"/>
          </w:tcPr>
          <w:p w:rsidR="00F03ACD" w:rsidRPr="008B5C3B" w:rsidRDefault="00F03ACD" w:rsidP="001D229E">
            <w:pPr>
              <w:spacing w:line="276" w:lineRule="auto"/>
              <w:jc w:val="both"/>
              <w:rPr>
                <w:rFonts w:ascii="Arial" w:eastAsia="Calibri" w:hAnsi="Arial" w:cs="Arial"/>
                <w:lang w:val="fr-FR"/>
              </w:rPr>
            </w:pPr>
            <w:r w:rsidRPr="008B5C3B">
              <w:rPr>
                <w:rFonts w:ascii="Arial" w:hAnsi="Arial" w:cs="Arial"/>
              </w:rPr>
              <w:t>martie</w:t>
            </w:r>
          </w:p>
        </w:tc>
        <w:tc>
          <w:tcPr>
            <w:tcW w:w="2286" w:type="dxa"/>
            <w:shd w:val="clear" w:color="auto" w:fill="auto"/>
            <w:vAlign w:val="center"/>
          </w:tcPr>
          <w:p w:rsidR="00F03ACD" w:rsidRPr="008B5C3B" w:rsidRDefault="00F03ACD" w:rsidP="001D229E">
            <w:pPr>
              <w:spacing w:line="276" w:lineRule="auto"/>
              <w:jc w:val="center"/>
              <w:rPr>
                <w:rFonts w:ascii="Arial" w:hAnsi="Arial" w:cs="Arial"/>
              </w:rPr>
            </w:pPr>
            <w:r w:rsidRPr="008B5C3B">
              <w:rPr>
                <w:rFonts w:ascii="Arial" w:hAnsi="Arial" w:cs="Arial"/>
              </w:rPr>
              <w:t>113,36</w:t>
            </w:r>
          </w:p>
        </w:tc>
        <w:tc>
          <w:tcPr>
            <w:tcW w:w="1595" w:type="dxa"/>
            <w:shd w:val="clear" w:color="auto" w:fill="auto"/>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rPr>
              <w:t>965</w:t>
            </w:r>
          </w:p>
        </w:tc>
        <w:tc>
          <w:tcPr>
            <w:tcW w:w="2217" w:type="dxa"/>
            <w:shd w:val="clear" w:color="auto" w:fill="auto"/>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rPr>
              <w:t>39.158</w:t>
            </w:r>
          </w:p>
        </w:tc>
        <w:tc>
          <w:tcPr>
            <w:tcW w:w="1817" w:type="dxa"/>
            <w:shd w:val="clear" w:color="auto" w:fill="auto"/>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rPr>
              <w:t>4.438.997</w:t>
            </w:r>
          </w:p>
        </w:tc>
      </w:tr>
      <w:tr w:rsidR="00F03ACD" w:rsidRPr="008B5C3B" w:rsidTr="00B108EF">
        <w:trPr>
          <w:trHeight w:val="211"/>
        </w:trPr>
        <w:tc>
          <w:tcPr>
            <w:tcW w:w="1303" w:type="dxa"/>
            <w:shd w:val="clear" w:color="auto" w:fill="auto"/>
            <w:vAlign w:val="center"/>
          </w:tcPr>
          <w:p w:rsidR="00F03ACD" w:rsidRPr="008B5C3B" w:rsidRDefault="00F03ACD" w:rsidP="001D229E">
            <w:pPr>
              <w:spacing w:line="276" w:lineRule="auto"/>
              <w:jc w:val="both"/>
              <w:rPr>
                <w:rFonts w:ascii="Arial" w:eastAsia="Calibri" w:hAnsi="Arial" w:cs="Arial"/>
                <w:lang w:val="fr-FR"/>
              </w:rPr>
            </w:pPr>
            <w:r w:rsidRPr="008B5C3B">
              <w:rPr>
                <w:rFonts w:ascii="Arial" w:hAnsi="Arial" w:cs="Arial"/>
              </w:rPr>
              <w:t>aprilie</w:t>
            </w:r>
          </w:p>
        </w:tc>
        <w:tc>
          <w:tcPr>
            <w:tcW w:w="2286" w:type="dxa"/>
            <w:shd w:val="clear" w:color="auto" w:fill="auto"/>
            <w:vAlign w:val="center"/>
          </w:tcPr>
          <w:p w:rsidR="00F03ACD" w:rsidRPr="008B5C3B" w:rsidRDefault="00F03ACD" w:rsidP="001D229E">
            <w:pPr>
              <w:spacing w:line="276" w:lineRule="auto"/>
              <w:jc w:val="center"/>
              <w:rPr>
                <w:rFonts w:ascii="Arial" w:hAnsi="Arial" w:cs="Arial"/>
              </w:rPr>
            </w:pPr>
            <w:r w:rsidRPr="008B5C3B">
              <w:rPr>
                <w:rFonts w:ascii="Arial" w:hAnsi="Arial" w:cs="Arial"/>
              </w:rPr>
              <w:t>101,34</w:t>
            </w:r>
          </w:p>
        </w:tc>
        <w:tc>
          <w:tcPr>
            <w:tcW w:w="1595" w:type="dxa"/>
            <w:shd w:val="clear" w:color="auto" w:fill="auto"/>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rPr>
              <w:t>507</w:t>
            </w:r>
          </w:p>
        </w:tc>
        <w:tc>
          <w:tcPr>
            <w:tcW w:w="2217" w:type="dxa"/>
            <w:shd w:val="clear" w:color="auto" w:fill="auto"/>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rPr>
              <w:t>541.175</w:t>
            </w:r>
          </w:p>
        </w:tc>
        <w:tc>
          <w:tcPr>
            <w:tcW w:w="1817" w:type="dxa"/>
            <w:shd w:val="clear" w:color="auto" w:fill="auto"/>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rPr>
              <w:t>54.840.244</w:t>
            </w:r>
          </w:p>
        </w:tc>
      </w:tr>
      <w:tr w:rsidR="00F03ACD" w:rsidRPr="008B5C3B" w:rsidTr="00B108EF">
        <w:trPr>
          <w:trHeight w:val="202"/>
        </w:trPr>
        <w:tc>
          <w:tcPr>
            <w:tcW w:w="1303" w:type="dxa"/>
            <w:shd w:val="clear" w:color="auto" w:fill="auto"/>
            <w:vAlign w:val="center"/>
          </w:tcPr>
          <w:p w:rsidR="00F03ACD" w:rsidRPr="008B5C3B" w:rsidRDefault="00F03ACD" w:rsidP="001D229E">
            <w:pPr>
              <w:spacing w:line="276" w:lineRule="auto"/>
              <w:jc w:val="both"/>
              <w:rPr>
                <w:rFonts w:ascii="Arial" w:eastAsia="Calibri" w:hAnsi="Arial" w:cs="Arial"/>
                <w:lang w:val="fr-FR"/>
              </w:rPr>
            </w:pPr>
            <w:r w:rsidRPr="008B5C3B">
              <w:rPr>
                <w:rFonts w:ascii="Arial" w:hAnsi="Arial" w:cs="Arial"/>
              </w:rPr>
              <w:t>mai</w:t>
            </w:r>
          </w:p>
        </w:tc>
        <w:tc>
          <w:tcPr>
            <w:tcW w:w="2286" w:type="dxa"/>
            <w:shd w:val="clear" w:color="auto" w:fill="auto"/>
            <w:vAlign w:val="center"/>
          </w:tcPr>
          <w:p w:rsidR="00F03ACD" w:rsidRPr="008B5C3B" w:rsidRDefault="00F03ACD" w:rsidP="001D229E">
            <w:pPr>
              <w:spacing w:line="276" w:lineRule="auto"/>
              <w:jc w:val="center"/>
              <w:rPr>
                <w:rFonts w:ascii="Arial" w:hAnsi="Arial" w:cs="Arial"/>
              </w:rPr>
            </w:pPr>
            <w:r w:rsidRPr="008B5C3B">
              <w:rPr>
                <w:rFonts w:ascii="Arial" w:hAnsi="Arial" w:cs="Arial"/>
              </w:rPr>
              <w:t>97,94</w:t>
            </w:r>
          </w:p>
        </w:tc>
        <w:tc>
          <w:tcPr>
            <w:tcW w:w="1595" w:type="dxa"/>
            <w:shd w:val="clear" w:color="auto" w:fill="auto"/>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rPr>
              <w:t>1.162</w:t>
            </w:r>
          </w:p>
        </w:tc>
        <w:tc>
          <w:tcPr>
            <w:tcW w:w="2217" w:type="dxa"/>
            <w:shd w:val="clear" w:color="auto" w:fill="auto"/>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rPr>
              <w:t>50.813</w:t>
            </w:r>
          </w:p>
        </w:tc>
        <w:tc>
          <w:tcPr>
            <w:tcW w:w="1817" w:type="dxa"/>
            <w:shd w:val="clear" w:color="auto" w:fill="auto"/>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rPr>
              <w:t>4.976.778</w:t>
            </w:r>
          </w:p>
        </w:tc>
      </w:tr>
      <w:tr w:rsidR="00F03ACD" w:rsidRPr="008B5C3B" w:rsidTr="00B108EF">
        <w:trPr>
          <w:trHeight w:val="202"/>
        </w:trPr>
        <w:tc>
          <w:tcPr>
            <w:tcW w:w="1303" w:type="dxa"/>
            <w:shd w:val="clear" w:color="auto" w:fill="auto"/>
            <w:vAlign w:val="center"/>
          </w:tcPr>
          <w:p w:rsidR="00F03ACD" w:rsidRPr="008B5C3B" w:rsidRDefault="00F03ACD" w:rsidP="001D229E">
            <w:pPr>
              <w:spacing w:line="276" w:lineRule="auto"/>
              <w:jc w:val="both"/>
              <w:rPr>
                <w:rFonts w:ascii="Arial" w:eastAsia="Calibri" w:hAnsi="Arial" w:cs="Arial"/>
                <w:lang w:val="fr-FR"/>
              </w:rPr>
            </w:pPr>
            <w:r w:rsidRPr="008B5C3B">
              <w:rPr>
                <w:rFonts w:ascii="Arial" w:hAnsi="Arial" w:cs="Arial"/>
              </w:rPr>
              <w:t>iunie</w:t>
            </w:r>
          </w:p>
        </w:tc>
        <w:tc>
          <w:tcPr>
            <w:tcW w:w="2286" w:type="dxa"/>
            <w:shd w:val="clear" w:color="auto" w:fill="auto"/>
            <w:vAlign w:val="center"/>
          </w:tcPr>
          <w:p w:rsidR="00F03ACD" w:rsidRPr="008B5C3B" w:rsidRDefault="00F03ACD" w:rsidP="001D229E">
            <w:pPr>
              <w:spacing w:line="276" w:lineRule="auto"/>
              <w:jc w:val="center"/>
              <w:rPr>
                <w:rFonts w:ascii="Arial" w:hAnsi="Arial" w:cs="Arial"/>
              </w:rPr>
            </w:pPr>
            <w:r w:rsidRPr="008B5C3B">
              <w:rPr>
                <w:rFonts w:ascii="Arial" w:hAnsi="Arial" w:cs="Arial"/>
              </w:rPr>
              <w:t>94,61</w:t>
            </w:r>
          </w:p>
        </w:tc>
        <w:tc>
          <w:tcPr>
            <w:tcW w:w="1595" w:type="dxa"/>
            <w:shd w:val="clear" w:color="auto" w:fill="auto"/>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rPr>
              <w:t>1.153</w:t>
            </w:r>
          </w:p>
        </w:tc>
        <w:tc>
          <w:tcPr>
            <w:tcW w:w="2217" w:type="dxa"/>
            <w:shd w:val="clear" w:color="auto" w:fill="auto"/>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rPr>
              <w:t>51.756</w:t>
            </w:r>
          </w:p>
        </w:tc>
        <w:tc>
          <w:tcPr>
            <w:tcW w:w="1817" w:type="dxa"/>
            <w:shd w:val="clear" w:color="auto" w:fill="auto"/>
            <w:vAlign w:val="center"/>
          </w:tcPr>
          <w:p w:rsidR="00F03ACD" w:rsidRPr="008B5C3B" w:rsidRDefault="00F03ACD" w:rsidP="001D229E">
            <w:pPr>
              <w:spacing w:line="276" w:lineRule="auto"/>
              <w:jc w:val="center"/>
              <w:rPr>
                <w:rFonts w:ascii="Arial" w:eastAsia="Calibri" w:hAnsi="Arial" w:cs="Arial"/>
                <w:lang w:val="fr-FR"/>
              </w:rPr>
            </w:pPr>
            <w:r w:rsidRPr="008B5C3B">
              <w:rPr>
                <w:rFonts w:ascii="Arial" w:hAnsi="Arial" w:cs="Arial"/>
              </w:rPr>
              <w:t>4.896.659</w:t>
            </w:r>
          </w:p>
        </w:tc>
      </w:tr>
      <w:tr w:rsidR="00497F0F" w:rsidRPr="008B5C3B" w:rsidTr="00B108EF">
        <w:trPr>
          <w:trHeight w:val="225"/>
        </w:trPr>
        <w:tc>
          <w:tcPr>
            <w:tcW w:w="1303" w:type="dxa"/>
            <w:shd w:val="clear" w:color="auto" w:fill="DEEAF6" w:themeFill="accent1" w:themeFillTint="33"/>
            <w:vAlign w:val="center"/>
          </w:tcPr>
          <w:p w:rsidR="00F03ACD" w:rsidRPr="008B5C3B" w:rsidRDefault="00F03ACD" w:rsidP="001D229E">
            <w:pPr>
              <w:spacing w:line="276" w:lineRule="auto"/>
              <w:jc w:val="both"/>
              <w:rPr>
                <w:rFonts w:ascii="Arial" w:eastAsia="Calibri" w:hAnsi="Arial" w:cs="Arial"/>
                <w:lang w:val="fr-FR"/>
              </w:rPr>
            </w:pPr>
            <w:r w:rsidRPr="008B5C3B">
              <w:rPr>
                <w:rFonts w:ascii="Arial" w:hAnsi="Arial" w:cs="Arial"/>
                <w:b/>
                <w:bCs/>
              </w:rPr>
              <w:t xml:space="preserve">Cumulat </w:t>
            </w:r>
          </w:p>
        </w:tc>
        <w:tc>
          <w:tcPr>
            <w:tcW w:w="2286" w:type="dxa"/>
            <w:shd w:val="clear" w:color="auto" w:fill="DEEAF6" w:themeFill="accent1" w:themeFillTint="33"/>
            <w:vAlign w:val="center"/>
          </w:tcPr>
          <w:p w:rsidR="00F03ACD" w:rsidRPr="008B5C3B" w:rsidRDefault="00F03ACD" w:rsidP="001D229E">
            <w:pPr>
              <w:spacing w:line="276" w:lineRule="auto"/>
              <w:jc w:val="center"/>
              <w:rPr>
                <w:rFonts w:ascii="Arial" w:hAnsi="Arial" w:cs="Arial"/>
                <w:b/>
              </w:rPr>
            </w:pPr>
            <w:r w:rsidRPr="008B5C3B">
              <w:rPr>
                <w:rFonts w:ascii="Arial" w:hAnsi="Arial" w:cs="Arial"/>
                <w:b/>
              </w:rPr>
              <w:t>102,31</w:t>
            </w:r>
          </w:p>
        </w:tc>
        <w:tc>
          <w:tcPr>
            <w:tcW w:w="1595" w:type="dxa"/>
            <w:shd w:val="clear" w:color="auto" w:fill="DEEAF6" w:themeFill="accent1" w:themeFillTint="33"/>
            <w:vAlign w:val="center"/>
          </w:tcPr>
          <w:p w:rsidR="00F03ACD" w:rsidRPr="008B5C3B" w:rsidRDefault="00F03ACD" w:rsidP="001D229E">
            <w:pPr>
              <w:spacing w:line="276" w:lineRule="auto"/>
              <w:jc w:val="center"/>
              <w:rPr>
                <w:rFonts w:ascii="Arial" w:hAnsi="Arial" w:cs="Arial"/>
                <w:b/>
              </w:rPr>
            </w:pPr>
            <w:r w:rsidRPr="008B5C3B">
              <w:rPr>
                <w:rFonts w:ascii="Arial" w:hAnsi="Arial" w:cs="Arial"/>
                <w:b/>
              </w:rPr>
              <w:t>7.558</w:t>
            </w:r>
          </w:p>
        </w:tc>
        <w:tc>
          <w:tcPr>
            <w:tcW w:w="2217" w:type="dxa"/>
            <w:shd w:val="clear" w:color="auto" w:fill="DEEAF6" w:themeFill="accent1" w:themeFillTint="33"/>
            <w:vAlign w:val="center"/>
          </w:tcPr>
          <w:p w:rsidR="00F03ACD" w:rsidRPr="008B5C3B" w:rsidRDefault="00F03ACD" w:rsidP="001D229E">
            <w:pPr>
              <w:spacing w:line="276" w:lineRule="auto"/>
              <w:jc w:val="center"/>
              <w:rPr>
                <w:rFonts w:ascii="Arial" w:hAnsi="Arial" w:cs="Arial"/>
                <w:b/>
              </w:rPr>
            </w:pPr>
            <w:r w:rsidRPr="008B5C3B">
              <w:rPr>
                <w:rFonts w:ascii="Arial" w:hAnsi="Arial" w:cs="Arial"/>
                <w:b/>
              </w:rPr>
              <w:t>1.445.574</w:t>
            </w:r>
          </w:p>
        </w:tc>
        <w:tc>
          <w:tcPr>
            <w:tcW w:w="1817" w:type="dxa"/>
            <w:shd w:val="clear" w:color="auto" w:fill="DEEAF6" w:themeFill="accent1" w:themeFillTint="33"/>
            <w:vAlign w:val="center"/>
          </w:tcPr>
          <w:p w:rsidR="00F03ACD" w:rsidRPr="008B5C3B" w:rsidRDefault="00F03ACD" w:rsidP="001D229E">
            <w:pPr>
              <w:spacing w:line="276" w:lineRule="auto"/>
              <w:jc w:val="center"/>
              <w:rPr>
                <w:rFonts w:ascii="Arial" w:hAnsi="Arial" w:cs="Arial"/>
                <w:b/>
              </w:rPr>
            </w:pPr>
            <w:r w:rsidRPr="008B5C3B">
              <w:rPr>
                <w:rFonts w:ascii="Arial" w:hAnsi="Arial" w:cs="Arial"/>
                <w:b/>
              </w:rPr>
              <w:t>147.893.292</w:t>
            </w:r>
          </w:p>
        </w:tc>
      </w:tr>
    </w:tbl>
    <w:p w:rsidR="00F03ACD" w:rsidRPr="001819A5" w:rsidRDefault="00F03ACD" w:rsidP="00F03ACD">
      <w:pPr>
        <w:spacing w:line="276" w:lineRule="auto"/>
        <w:jc w:val="center"/>
        <w:rPr>
          <w:rFonts w:ascii="Arial" w:eastAsia="Calibri" w:hAnsi="Arial" w:cs="Arial"/>
          <w:sz w:val="16"/>
          <w:szCs w:val="16"/>
          <w:lang w:val="fr-FR"/>
        </w:rPr>
      </w:pPr>
      <w:r w:rsidRPr="001819A5">
        <w:rPr>
          <w:rFonts w:ascii="Arial" w:eastAsia="Calibri" w:hAnsi="Arial" w:cs="Arial"/>
          <w:sz w:val="16"/>
          <w:szCs w:val="16"/>
          <w:lang w:val="fr-FR"/>
        </w:rPr>
        <w:t xml:space="preserve">Tabel </w:t>
      </w:r>
      <w:r w:rsidR="008F5405" w:rsidRPr="001819A5">
        <w:rPr>
          <w:rFonts w:ascii="Arial" w:eastAsia="Calibri" w:hAnsi="Arial" w:cs="Arial"/>
          <w:sz w:val="16"/>
          <w:szCs w:val="16"/>
          <w:lang w:val="fr-FR"/>
        </w:rPr>
        <w:t>17 -</w:t>
      </w:r>
      <w:r w:rsidRPr="001819A5">
        <w:rPr>
          <w:rFonts w:ascii="Arial" w:eastAsia="Calibri" w:hAnsi="Arial" w:cs="Arial"/>
          <w:sz w:val="16"/>
          <w:szCs w:val="16"/>
          <w:lang w:val="fr-FR"/>
        </w:rPr>
        <w:t xml:space="preserve"> Principalii indici de tranzacționare</w:t>
      </w:r>
    </w:p>
    <w:p w:rsidR="00F03ACD" w:rsidRPr="006A2E17" w:rsidRDefault="00F03ACD" w:rsidP="00F03ACD">
      <w:pPr>
        <w:spacing w:line="276" w:lineRule="auto"/>
        <w:jc w:val="center"/>
        <w:rPr>
          <w:rFonts w:ascii="Arial" w:eastAsia="Calibri" w:hAnsi="Arial" w:cs="Arial"/>
          <w:b/>
          <w:i/>
          <w:sz w:val="22"/>
          <w:szCs w:val="22"/>
          <w:lang w:val="fr-FR"/>
        </w:rPr>
      </w:pPr>
    </w:p>
    <w:p w:rsidR="00F03ACD" w:rsidRPr="006A2E17" w:rsidRDefault="00F03ACD" w:rsidP="00F03ACD">
      <w:pPr>
        <w:rPr>
          <w:rFonts w:ascii="Arial" w:eastAsia="Calibri" w:hAnsi="Arial" w:cs="Arial"/>
          <w:sz w:val="22"/>
          <w:szCs w:val="22"/>
          <w:lang w:val="fr-FR"/>
        </w:rPr>
      </w:pPr>
      <w:r w:rsidRPr="006A2E17">
        <w:rPr>
          <w:rFonts w:ascii="Arial" w:hAnsi="Arial" w:cs="Arial"/>
          <w:b/>
          <w:noProof/>
          <w:color w:val="1F497D"/>
          <w:sz w:val="22"/>
          <w:szCs w:val="22"/>
          <w:lang w:val="en-US" w:eastAsia="en-US"/>
        </w:rPr>
        <w:drawing>
          <wp:inline distT="0" distB="0" distL="0" distR="0" wp14:anchorId="3376292C" wp14:editId="57163CAC">
            <wp:extent cx="5848350" cy="3168000"/>
            <wp:effectExtent l="0" t="0" r="0"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03ACD" w:rsidRDefault="00F03ACD" w:rsidP="00F03ACD">
      <w:pPr>
        <w:jc w:val="center"/>
        <w:rPr>
          <w:rFonts w:ascii="Arial" w:eastAsia="Calibri" w:hAnsi="Arial" w:cs="Arial"/>
          <w:i/>
          <w:sz w:val="18"/>
          <w:szCs w:val="18"/>
          <w:lang w:val="fr-FR"/>
        </w:rPr>
      </w:pPr>
    </w:p>
    <w:p w:rsidR="00F03ACD" w:rsidRPr="001819A5" w:rsidRDefault="00F03ACD" w:rsidP="00F03ACD">
      <w:pPr>
        <w:jc w:val="center"/>
        <w:rPr>
          <w:rFonts w:ascii="Arial" w:eastAsia="Calibri" w:hAnsi="Arial" w:cs="Arial"/>
          <w:sz w:val="16"/>
          <w:szCs w:val="16"/>
          <w:lang w:val="fr-FR"/>
        </w:rPr>
      </w:pPr>
      <w:r w:rsidRPr="001819A5">
        <w:rPr>
          <w:rFonts w:ascii="Arial" w:eastAsia="Calibri" w:hAnsi="Arial" w:cs="Arial"/>
          <w:sz w:val="16"/>
          <w:szCs w:val="16"/>
          <w:lang w:val="fr-FR"/>
        </w:rPr>
        <w:t xml:space="preserve">Grafic </w:t>
      </w:r>
      <w:r w:rsidR="00A04B15">
        <w:rPr>
          <w:rFonts w:ascii="Arial" w:eastAsia="Calibri" w:hAnsi="Arial" w:cs="Arial"/>
          <w:sz w:val="16"/>
          <w:szCs w:val="16"/>
          <w:lang w:val="fr-FR"/>
        </w:rPr>
        <w:t>14</w:t>
      </w:r>
      <w:r w:rsidR="001819A5" w:rsidRPr="001819A5">
        <w:rPr>
          <w:rFonts w:ascii="Arial" w:eastAsia="Calibri" w:hAnsi="Arial" w:cs="Arial"/>
          <w:sz w:val="16"/>
          <w:szCs w:val="16"/>
          <w:lang w:val="fr-FR"/>
        </w:rPr>
        <w:t xml:space="preserve"> - </w:t>
      </w:r>
      <w:r w:rsidRPr="001819A5">
        <w:rPr>
          <w:rFonts w:ascii="Arial" w:eastAsia="Calibri" w:hAnsi="Arial" w:cs="Arial"/>
          <w:sz w:val="16"/>
          <w:szCs w:val="16"/>
        </w:rPr>
        <w:t>Evoluția acțiunilor</w:t>
      </w:r>
      <w:r w:rsidRPr="001819A5">
        <w:rPr>
          <w:rFonts w:ascii="Arial" w:eastAsia="Calibri" w:hAnsi="Arial" w:cs="Arial"/>
          <w:sz w:val="16"/>
          <w:szCs w:val="16"/>
          <w:lang w:val="it-IT"/>
        </w:rPr>
        <w:t xml:space="preserve"> </w:t>
      </w:r>
      <w:r w:rsidRPr="001819A5">
        <w:rPr>
          <w:rFonts w:ascii="Arial" w:eastAsia="Calibri" w:hAnsi="Arial" w:cs="Arial"/>
          <w:sz w:val="16"/>
          <w:szCs w:val="16"/>
          <w:lang w:val="fr-FR"/>
        </w:rPr>
        <w:t>COTE vs. indicele BET (rebazat)</w:t>
      </w:r>
    </w:p>
    <w:p w:rsidR="00F03ACD" w:rsidRPr="006A2E17" w:rsidRDefault="00F03ACD" w:rsidP="00F03ACD">
      <w:pPr>
        <w:rPr>
          <w:rFonts w:ascii="Arial" w:eastAsia="Calibri" w:hAnsi="Arial" w:cs="Arial"/>
          <w:sz w:val="22"/>
          <w:szCs w:val="22"/>
          <w:lang w:val="fr-FR"/>
        </w:rPr>
      </w:pPr>
    </w:p>
    <w:p w:rsidR="00F03ACD" w:rsidRPr="006A2E17" w:rsidRDefault="00F03ACD" w:rsidP="00F03ACD">
      <w:pPr>
        <w:spacing w:line="360" w:lineRule="auto"/>
        <w:jc w:val="both"/>
        <w:rPr>
          <w:rFonts w:ascii="Arial" w:hAnsi="Arial" w:cs="Arial"/>
          <w:sz w:val="22"/>
          <w:szCs w:val="22"/>
          <w:lang w:val="en-US"/>
        </w:rPr>
      </w:pPr>
      <w:r w:rsidRPr="006A2E17">
        <w:rPr>
          <w:rFonts w:ascii="Arial" w:hAnsi="Arial" w:cs="Arial"/>
          <w:sz w:val="22"/>
          <w:szCs w:val="22"/>
          <w:lang w:val="en-US"/>
        </w:rPr>
        <w:t xml:space="preserve">În prezent, societatea CONPET S.A. este inclusă în 7 indici din totalul de 9 ai Bursei de Valori Bucuresti, </w:t>
      </w:r>
      <w:r w:rsidRPr="006A2E17">
        <w:rPr>
          <w:rFonts w:ascii="Arial" w:hAnsi="Arial" w:cs="Arial"/>
          <w:sz w:val="22"/>
          <w:szCs w:val="22"/>
          <w:lang w:val="fr-FR"/>
        </w:rPr>
        <w:t xml:space="preserve">respectiv </w:t>
      </w:r>
      <w:r w:rsidRPr="006A2E17">
        <w:rPr>
          <w:rFonts w:ascii="Arial" w:hAnsi="Arial" w:cs="Arial"/>
          <w:b/>
          <w:bCs/>
          <w:i/>
          <w:iCs/>
          <w:sz w:val="22"/>
          <w:szCs w:val="22"/>
          <w:lang w:val="fr-FR"/>
        </w:rPr>
        <w:t xml:space="preserve">BET, BET-TR, BET-XT, BET-XT-TR, BET-BK, BET-NG </w:t>
      </w:r>
      <w:r w:rsidRPr="006A2E17">
        <w:rPr>
          <w:rFonts w:ascii="Arial" w:hAnsi="Arial" w:cs="Arial"/>
          <w:sz w:val="22"/>
          <w:szCs w:val="22"/>
          <w:lang w:val="fr-FR"/>
        </w:rPr>
        <w:t>și</w:t>
      </w:r>
      <w:r w:rsidRPr="006A2E17">
        <w:rPr>
          <w:rFonts w:ascii="Arial" w:hAnsi="Arial" w:cs="Arial"/>
          <w:b/>
          <w:bCs/>
          <w:i/>
          <w:iCs/>
          <w:sz w:val="22"/>
          <w:szCs w:val="22"/>
          <w:lang w:val="fr-FR"/>
        </w:rPr>
        <w:t xml:space="preserve"> BET Plus</w:t>
      </w:r>
      <w:r w:rsidRPr="006A2E17">
        <w:rPr>
          <w:rFonts w:ascii="Arial" w:hAnsi="Arial" w:cs="Arial"/>
          <w:sz w:val="22"/>
          <w:szCs w:val="22"/>
          <w:lang w:val="fr-FR"/>
        </w:rPr>
        <w:t xml:space="preserve">. </w:t>
      </w:r>
    </w:p>
    <w:p w:rsidR="00F03ACD" w:rsidRPr="006A2E17" w:rsidRDefault="00F03ACD" w:rsidP="00F03ACD">
      <w:pPr>
        <w:rPr>
          <w:rFonts w:ascii="Arial" w:hAnsi="Arial" w:cs="Arial"/>
          <w:b/>
          <w:bCs/>
          <w:i/>
          <w:sz w:val="22"/>
          <w:szCs w:val="22"/>
          <w:lang w:val="it-IT"/>
        </w:rPr>
      </w:pPr>
    </w:p>
    <w:p w:rsidR="00F03ACD" w:rsidRPr="006A2E17" w:rsidRDefault="00F03ACD" w:rsidP="00F03ACD">
      <w:pPr>
        <w:rPr>
          <w:rFonts w:ascii="Arial" w:eastAsia="Calibri" w:hAnsi="Arial" w:cs="Arial"/>
          <w:sz w:val="22"/>
          <w:szCs w:val="22"/>
          <w:lang w:val="fr-FR"/>
        </w:rPr>
      </w:pPr>
      <w:r w:rsidRPr="006A2E17">
        <w:rPr>
          <w:rFonts w:ascii="Arial" w:eastAsia="Calibri" w:hAnsi="Arial" w:cs="Arial"/>
          <w:noProof/>
          <w:sz w:val="22"/>
          <w:szCs w:val="22"/>
          <w:lang w:val="en-US" w:eastAsia="en-US"/>
        </w:rPr>
        <w:drawing>
          <wp:inline distT="0" distB="0" distL="0" distR="0" wp14:anchorId="0B227B76" wp14:editId="44E723B3">
            <wp:extent cx="5934075" cy="3182400"/>
            <wp:effectExtent l="0" t="0" r="9525" b="1841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03ACD" w:rsidRDefault="00F03ACD" w:rsidP="00F03ACD">
      <w:pPr>
        <w:jc w:val="center"/>
        <w:rPr>
          <w:rFonts w:ascii="Arial" w:hAnsi="Arial" w:cs="Arial"/>
          <w:bCs/>
          <w:i/>
          <w:sz w:val="18"/>
          <w:szCs w:val="18"/>
          <w:lang w:val="it-IT"/>
        </w:rPr>
      </w:pPr>
    </w:p>
    <w:p w:rsidR="00F03ACD" w:rsidRPr="001819A5" w:rsidRDefault="001819A5" w:rsidP="00F03ACD">
      <w:pPr>
        <w:jc w:val="center"/>
        <w:rPr>
          <w:rFonts w:ascii="Arial" w:hAnsi="Arial" w:cs="Arial"/>
          <w:bCs/>
          <w:sz w:val="16"/>
          <w:szCs w:val="16"/>
          <w:lang w:val="it-IT"/>
        </w:rPr>
      </w:pPr>
      <w:r w:rsidRPr="001819A5">
        <w:rPr>
          <w:rFonts w:ascii="Arial" w:hAnsi="Arial" w:cs="Arial"/>
          <w:bCs/>
          <w:sz w:val="16"/>
          <w:szCs w:val="16"/>
          <w:lang w:val="it-IT"/>
        </w:rPr>
        <w:t xml:space="preserve">Grafic </w:t>
      </w:r>
      <w:r w:rsidR="00A04B15">
        <w:rPr>
          <w:rFonts w:ascii="Arial" w:hAnsi="Arial" w:cs="Arial"/>
          <w:bCs/>
          <w:sz w:val="16"/>
          <w:szCs w:val="16"/>
          <w:lang w:val="it-IT"/>
        </w:rPr>
        <w:t>15</w:t>
      </w:r>
      <w:r w:rsidRPr="001819A5">
        <w:rPr>
          <w:rFonts w:ascii="Arial" w:hAnsi="Arial" w:cs="Arial"/>
          <w:bCs/>
          <w:sz w:val="16"/>
          <w:szCs w:val="16"/>
          <w:lang w:val="it-IT"/>
        </w:rPr>
        <w:t xml:space="preserve"> - </w:t>
      </w:r>
      <w:r w:rsidR="00F03ACD" w:rsidRPr="001819A5">
        <w:rPr>
          <w:rFonts w:ascii="Arial" w:hAnsi="Arial" w:cs="Arial"/>
          <w:bCs/>
          <w:sz w:val="16"/>
          <w:szCs w:val="16"/>
          <w:lang w:val="it-IT"/>
        </w:rPr>
        <w:t>Evolu</w:t>
      </w:r>
      <w:r w:rsidR="00F03ACD" w:rsidRPr="001819A5">
        <w:rPr>
          <w:rFonts w:ascii="Arial" w:hAnsi="Arial" w:cs="Arial"/>
          <w:bCs/>
          <w:sz w:val="16"/>
          <w:szCs w:val="16"/>
        </w:rPr>
        <w:t>ț</w:t>
      </w:r>
      <w:r w:rsidR="00F03ACD" w:rsidRPr="001819A5">
        <w:rPr>
          <w:rFonts w:ascii="Arial" w:hAnsi="Arial" w:cs="Arial"/>
          <w:bCs/>
          <w:sz w:val="16"/>
          <w:szCs w:val="16"/>
          <w:lang w:val="it-IT"/>
        </w:rPr>
        <w:t>ia acțiunii COTE vs. indicii bursieri (rebazați) în care este inclusă în semestrul I 2018 (lei)</w:t>
      </w:r>
    </w:p>
    <w:p w:rsidR="00F03ACD" w:rsidRPr="00EA1976" w:rsidRDefault="00F03ACD" w:rsidP="00F03ACD">
      <w:pPr>
        <w:rPr>
          <w:rFonts w:ascii="Arial" w:eastAsia="Calibri" w:hAnsi="Arial" w:cs="Arial"/>
          <w:sz w:val="18"/>
          <w:szCs w:val="18"/>
          <w:lang w:val="fr-FR"/>
        </w:rPr>
      </w:pPr>
    </w:p>
    <w:p w:rsidR="00F84A32" w:rsidRDefault="00F84A32" w:rsidP="00F03ACD">
      <w:pPr>
        <w:spacing w:line="360" w:lineRule="auto"/>
        <w:rPr>
          <w:rFonts w:ascii="Arial" w:hAnsi="Arial" w:cs="Arial"/>
          <w:sz w:val="22"/>
          <w:szCs w:val="22"/>
        </w:rPr>
      </w:pPr>
    </w:p>
    <w:p w:rsidR="00F03ACD" w:rsidRDefault="00F84A32" w:rsidP="00F03ACD">
      <w:pPr>
        <w:spacing w:line="360" w:lineRule="auto"/>
        <w:rPr>
          <w:rFonts w:ascii="Arial" w:eastAsia="Calibri" w:hAnsi="Arial" w:cs="Arial"/>
          <w:sz w:val="22"/>
          <w:szCs w:val="22"/>
        </w:rPr>
      </w:pPr>
      <w:r>
        <w:rPr>
          <w:rFonts w:ascii="Arial" w:eastAsia="Calibri" w:hAnsi="Arial" w:cs="Arial"/>
          <w:sz w:val="22"/>
          <w:szCs w:val="22"/>
        </w:rPr>
        <w:t>E</w:t>
      </w:r>
      <w:r w:rsidR="00F03ACD" w:rsidRPr="006A2E17">
        <w:rPr>
          <w:rFonts w:ascii="Arial" w:eastAsia="Calibri" w:hAnsi="Arial" w:cs="Arial"/>
          <w:sz w:val="22"/>
          <w:szCs w:val="22"/>
        </w:rPr>
        <w:t>voluţia prețului de tranzacţionare a acţiunilor CONPET S</w:t>
      </w:r>
      <w:r w:rsidR="00F03ACD">
        <w:rPr>
          <w:rFonts w:ascii="Arial" w:eastAsia="Calibri" w:hAnsi="Arial" w:cs="Arial"/>
          <w:sz w:val="22"/>
          <w:szCs w:val="22"/>
        </w:rPr>
        <w:t>.</w:t>
      </w:r>
      <w:r w:rsidR="00F03ACD" w:rsidRPr="006A2E17">
        <w:rPr>
          <w:rFonts w:ascii="Arial" w:eastAsia="Calibri" w:hAnsi="Arial" w:cs="Arial"/>
          <w:sz w:val="22"/>
          <w:szCs w:val="22"/>
        </w:rPr>
        <w:t>A</w:t>
      </w:r>
      <w:r w:rsidR="00F03ACD">
        <w:rPr>
          <w:rFonts w:ascii="Arial" w:eastAsia="Calibri" w:hAnsi="Arial" w:cs="Arial"/>
          <w:sz w:val="22"/>
          <w:szCs w:val="22"/>
        </w:rPr>
        <w:t>.</w:t>
      </w:r>
      <w:r w:rsidR="00F03ACD" w:rsidRPr="006A2E17">
        <w:rPr>
          <w:rFonts w:ascii="Arial" w:eastAsia="Calibri" w:hAnsi="Arial" w:cs="Arial"/>
          <w:sz w:val="22"/>
          <w:szCs w:val="22"/>
        </w:rPr>
        <w:t xml:space="preserve">, în cursul semestrului I al anului 2018, se prezintă astfel:  </w:t>
      </w:r>
    </w:p>
    <w:p w:rsidR="00F84A32" w:rsidRPr="004031C8" w:rsidRDefault="00F03ACD" w:rsidP="004031C8">
      <w:pPr>
        <w:spacing w:line="276" w:lineRule="auto"/>
        <w:jc w:val="both"/>
        <w:rPr>
          <w:rFonts w:ascii="Arial" w:eastAsia="Calibri" w:hAnsi="Arial" w:cs="Arial"/>
          <w:sz w:val="22"/>
          <w:szCs w:val="22"/>
        </w:rPr>
      </w:pPr>
      <w:r w:rsidRPr="006A2E17">
        <w:rPr>
          <w:rFonts w:ascii="Arial" w:hAnsi="Arial" w:cs="Arial"/>
          <w:noProof/>
          <w:sz w:val="22"/>
          <w:szCs w:val="22"/>
          <w:lang w:val="en-US" w:eastAsia="en-US"/>
        </w:rPr>
        <w:lastRenderedPageBreak/>
        <w:drawing>
          <wp:inline distT="0" distB="0" distL="0" distR="0" wp14:anchorId="72516EF4" wp14:editId="391A7A2E">
            <wp:extent cx="5972175" cy="1742400"/>
            <wp:effectExtent l="0" t="0" r="9525" b="1079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03ACD" w:rsidRDefault="00F03ACD" w:rsidP="004031C8">
      <w:pPr>
        <w:spacing w:line="276" w:lineRule="auto"/>
        <w:jc w:val="center"/>
        <w:rPr>
          <w:rFonts w:ascii="Arial" w:eastAsia="Calibri" w:hAnsi="Arial" w:cs="Arial"/>
          <w:sz w:val="16"/>
          <w:szCs w:val="16"/>
        </w:rPr>
      </w:pPr>
      <w:r w:rsidRPr="001819A5">
        <w:rPr>
          <w:rFonts w:ascii="Arial" w:eastAsia="Calibri" w:hAnsi="Arial" w:cs="Arial"/>
          <w:sz w:val="16"/>
          <w:szCs w:val="16"/>
        </w:rPr>
        <w:t xml:space="preserve">Grafic </w:t>
      </w:r>
      <w:r w:rsidR="008F5405" w:rsidRPr="001819A5">
        <w:rPr>
          <w:rFonts w:ascii="Arial" w:eastAsia="Calibri" w:hAnsi="Arial" w:cs="Arial"/>
          <w:sz w:val="16"/>
          <w:szCs w:val="16"/>
        </w:rPr>
        <w:t>1</w:t>
      </w:r>
      <w:r w:rsidR="002A7D97">
        <w:rPr>
          <w:rFonts w:ascii="Arial" w:eastAsia="Calibri" w:hAnsi="Arial" w:cs="Arial"/>
          <w:sz w:val="16"/>
          <w:szCs w:val="16"/>
        </w:rPr>
        <w:t>6</w:t>
      </w:r>
      <w:r w:rsidR="001819A5" w:rsidRPr="001819A5">
        <w:rPr>
          <w:rFonts w:ascii="Arial" w:eastAsia="Calibri" w:hAnsi="Arial" w:cs="Arial"/>
          <w:sz w:val="16"/>
          <w:szCs w:val="16"/>
        </w:rPr>
        <w:t xml:space="preserve"> -</w:t>
      </w:r>
      <w:r w:rsidRPr="001819A5">
        <w:rPr>
          <w:rFonts w:ascii="Arial" w:eastAsia="Calibri" w:hAnsi="Arial" w:cs="Arial"/>
          <w:sz w:val="16"/>
          <w:szCs w:val="16"/>
        </w:rPr>
        <w:t xml:space="preserve"> Evoluți</w:t>
      </w:r>
      <w:r w:rsidR="008A3E41">
        <w:rPr>
          <w:rFonts w:ascii="Arial" w:eastAsia="Calibri" w:hAnsi="Arial" w:cs="Arial"/>
          <w:sz w:val="16"/>
          <w:szCs w:val="16"/>
        </w:rPr>
        <w:t xml:space="preserve">a </w:t>
      </w:r>
      <w:r w:rsidRPr="001819A5">
        <w:rPr>
          <w:rFonts w:ascii="Arial" w:eastAsia="Calibri" w:hAnsi="Arial" w:cs="Arial"/>
          <w:sz w:val="16"/>
          <w:szCs w:val="16"/>
        </w:rPr>
        <w:t xml:space="preserve">prețului </w:t>
      </w:r>
      <w:r w:rsidR="008A3E41">
        <w:rPr>
          <w:rFonts w:ascii="Arial" w:eastAsia="Calibri" w:hAnsi="Arial" w:cs="Arial"/>
          <w:sz w:val="16"/>
          <w:szCs w:val="16"/>
        </w:rPr>
        <w:t xml:space="preserve">mediu </w:t>
      </w:r>
      <w:r w:rsidRPr="001819A5">
        <w:rPr>
          <w:rFonts w:ascii="Arial" w:eastAsia="Calibri" w:hAnsi="Arial" w:cs="Arial"/>
          <w:sz w:val="16"/>
          <w:szCs w:val="16"/>
        </w:rPr>
        <w:t>de tranzacționare a acțiunilor</w:t>
      </w:r>
    </w:p>
    <w:p w:rsidR="004031C8" w:rsidRPr="004031C8" w:rsidRDefault="004031C8" w:rsidP="004031C8">
      <w:pPr>
        <w:spacing w:line="276" w:lineRule="auto"/>
        <w:jc w:val="center"/>
        <w:rPr>
          <w:rFonts w:ascii="Arial" w:eastAsia="Calibri" w:hAnsi="Arial" w:cs="Arial"/>
          <w:sz w:val="16"/>
          <w:szCs w:val="16"/>
        </w:rPr>
      </w:pPr>
    </w:p>
    <w:p w:rsidR="00F84A32" w:rsidRPr="006A2E17" w:rsidRDefault="00F84A32" w:rsidP="00F84A32">
      <w:pPr>
        <w:spacing w:line="276" w:lineRule="auto"/>
        <w:jc w:val="both"/>
        <w:rPr>
          <w:rFonts w:ascii="Arial" w:hAnsi="Arial" w:cs="Arial"/>
          <w:color w:val="FF0000"/>
          <w:sz w:val="22"/>
          <w:szCs w:val="22"/>
        </w:rPr>
      </w:pPr>
      <w:r w:rsidRPr="006A2E17">
        <w:rPr>
          <w:rFonts w:ascii="Arial" w:hAnsi="Arial" w:cs="Arial"/>
          <w:sz w:val="22"/>
          <w:szCs w:val="22"/>
        </w:rPr>
        <w:t>În prim</w:t>
      </w:r>
      <w:r>
        <w:rPr>
          <w:rFonts w:ascii="Arial" w:hAnsi="Arial" w:cs="Arial"/>
          <w:sz w:val="22"/>
          <w:szCs w:val="22"/>
        </w:rPr>
        <w:t xml:space="preserve">ele șase luni ale </w:t>
      </w:r>
      <w:r w:rsidRPr="006A2E17">
        <w:rPr>
          <w:rFonts w:ascii="Arial" w:hAnsi="Arial" w:cs="Arial"/>
          <w:sz w:val="22"/>
          <w:szCs w:val="22"/>
        </w:rPr>
        <w:t xml:space="preserve">anului 2018, CONPET S.A. a fost una dintre cele mai tranzacționate 13 companii de pe Bursa de Valori București. </w:t>
      </w:r>
    </w:p>
    <w:p w:rsidR="00F84A32" w:rsidRPr="006A2E17" w:rsidRDefault="00F84A32" w:rsidP="00F03ACD">
      <w:pPr>
        <w:rPr>
          <w:rFonts w:ascii="Arial" w:hAnsi="Arial" w:cs="Arial"/>
          <w:sz w:val="22"/>
          <w:szCs w:val="22"/>
        </w:rPr>
      </w:pPr>
    </w:p>
    <w:p w:rsidR="00F03ACD" w:rsidRPr="00E46854" w:rsidRDefault="00F03ACD" w:rsidP="00F03ACD">
      <w:pPr>
        <w:widowControl/>
        <w:autoSpaceDE/>
        <w:autoSpaceDN/>
        <w:adjustRightInd/>
        <w:spacing w:line="276" w:lineRule="auto"/>
        <w:jc w:val="both"/>
        <w:rPr>
          <w:rFonts w:ascii="Arial" w:eastAsia="Calibri" w:hAnsi="Arial" w:cs="Arial"/>
          <w:b/>
          <w:color w:val="1F4E79" w:themeColor="accent1" w:themeShade="80"/>
          <w:sz w:val="24"/>
          <w:szCs w:val="24"/>
          <w:lang w:val="fr-FR" w:eastAsia="en-US"/>
        </w:rPr>
      </w:pPr>
      <w:r w:rsidRPr="00E46854">
        <w:rPr>
          <w:rFonts w:ascii="Arial" w:hAnsi="Arial" w:cs="Arial"/>
          <w:b/>
          <w:color w:val="1F4E79" w:themeColor="accent1" w:themeShade="80"/>
          <w:sz w:val="24"/>
          <w:szCs w:val="24"/>
          <w:lang w:val="fr-FR" w:eastAsia="en-US"/>
        </w:rPr>
        <w:t xml:space="preserve">Acțiuni proprii, emisiuni de obligațiuni sau alte titluri de creanță </w:t>
      </w:r>
    </w:p>
    <w:p w:rsidR="00F03ACD" w:rsidRPr="006A2E17" w:rsidRDefault="00F03ACD" w:rsidP="00F03ACD">
      <w:pPr>
        <w:spacing w:line="276" w:lineRule="auto"/>
        <w:jc w:val="both"/>
        <w:rPr>
          <w:rFonts w:ascii="Arial" w:hAnsi="Arial" w:cs="Arial"/>
          <w:sz w:val="22"/>
          <w:szCs w:val="22"/>
          <w:lang w:val="fr-FR"/>
        </w:rPr>
      </w:pPr>
    </w:p>
    <w:p w:rsidR="00D94626" w:rsidRPr="006A2E17" w:rsidRDefault="00D94626" w:rsidP="00D94626">
      <w:pPr>
        <w:spacing w:line="276" w:lineRule="auto"/>
        <w:jc w:val="both"/>
        <w:rPr>
          <w:rFonts w:ascii="Arial" w:hAnsi="Arial" w:cs="Arial"/>
          <w:sz w:val="22"/>
          <w:szCs w:val="22"/>
          <w:lang w:val="fr-FR"/>
        </w:rPr>
      </w:pPr>
      <w:r w:rsidRPr="006A2E17">
        <w:rPr>
          <w:rFonts w:ascii="Arial" w:hAnsi="Arial" w:cs="Arial"/>
          <w:sz w:val="22"/>
          <w:szCs w:val="22"/>
          <w:lang w:val="fr-FR"/>
        </w:rPr>
        <w:t xml:space="preserve">CONPET </w:t>
      </w:r>
      <w:r>
        <w:rPr>
          <w:rFonts w:ascii="Arial" w:hAnsi="Arial" w:cs="Arial"/>
          <w:sz w:val="22"/>
          <w:szCs w:val="22"/>
          <w:lang w:val="fr-FR"/>
        </w:rPr>
        <w:t xml:space="preserve">S.A. </w:t>
      </w:r>
      <w:r w:rsidRPr="006A2E17">
        <w:rPr>
          <w:rFonts w:ascii="Arial" w:hAnsi="Arial" w:cs="Arial"/>
          <w:sz w:val="22"/>
          <w:szCs w:val="22"/>
          <w:lang w:val="fr-FR"/>
        </w:rPr>
        <w:t>nu a efectuat tranzacţii având ca obiect cumpărare de acţiuni proprii şi nu deţine la sfârşitul semestrului I al anului 2018 acţiuni proprii.</w:t>
      </w:r>
    </w:p>
    <w:p w:rsidR="00D70023" w:rsidRDefault="00D94626" w:rsidP="00CC5790">
      <w:pPr>
        <w:spacing w:line="276" w:lineRule="auto"/>
        <w:jc w:val="both"/>
        <w:rPr>
          <w:rFonts w:ascii="Arial" w:hAnsi="Arial" w:cs="Arial"/>
          <w:b/>
          <w:sz w:val="22"/>
          <w:szCs w:val="22"/>
          <w:lang w:val="fr-FR" w:eastAsia="en-US"/>
        </w:rPr>
      </w:pPr>
      <w:r w:rsidRPr="006A2E17">
        <w:rPr>
          <w:rFonts w:ascii="Arial" w:hAnsi="Arial" w:cs="Arial"/>
          <w:sz w:val="22"/>
          <w:szCs w:val="22"/>
          <w:lang w:val="fr-FR"/>
        </w:rPr>
        <w:t xml:space="preserve">CONPET </w:t>
      </w:r>
      <w:r>
        <w:rPr>
          <w:rFonts w:ascii="Arial" w:hAnsi="Arial" w:cs="Arial"/>
          <w:sz w:val="22"/>
          <w:szCs w:val="22"/>
          <w:lang w:val="fr-FR"/>
        </w:rPr>
        <w:t xml:space="preserve">S.A. </w:t>
      </w:r>
      <w:r w:rsidRPr="006A2E17">
        <w:rPr>
          <w:rFonts w:ascii="Arial" w:hAnsi="Arial" w:cs="Arial"/>
          <w:sz w:val="22"/>
          <w:szCs w:val="22"/>
          <w:lang w:val="fr-FR"/>
        </w:rPr>
        <w:t>nu a emis obligaţiuni sau alte titluri de creanţă.</w:t>
      </w:r>
    </w:p>
    <w:p w:rsidR="00CC5790" w:rsidRPr="00CC5790" w:rsidRDefault="00CC5790" w:rsidP="00CC5790">
      <w:pPr>
        <w:spacing w:line="276" w:lineRule="auto"/>
        <w:jc w:val="both"/>
        <w:rPr>
          <w:rFonts w:ascii="Arial" w:hAnsi="Arial" w:cs="Arial"/>
          <w:b/>
          <w:sz w:val="22"/>
          <w:szCs w:val="22"/>
          <w:lang w:val="fr-FR" w:eastAsia="en-US"/>
        </w:rPr>
      </w:pPr>
    </w:p>
    <w:p w:rsidR="00D70023" w:rsidRPr="00E46854" w:rsidRDefault="00F03ACD" w:rsidP="008F7E9A">
      <w:pPr>
        <w:spacing w:line="360" w:lineRule="auto"/>
        <w:rPr>
          <w:rFonts w:ascii="Arial" w:hAnsi="Arial" w:cs="Arial"/>
          <w:b/>
          <w:color w:val="1F4E79" w:themeColor="accent1" w:themeShade="80"/>
          <w:sz w:val="24"/>
          <w:szCs w:val="24"/>
        </w:rPr>
      </w:pPr>
      <w:r w:rsidRPr="00E46854">
        <w:rPr>
          <w:rFonts w:ascii="Arial" w:hAnsi="Arial" w:cs="Arial"/>
          <w:b/>
          <w:color w:val="1F4E79" w:themeColor="accent1" w:themeShade="80"/>
          <w:sz w:val="24"/>
          <w:szCs w:val="24"/>
        </w:rPr>
        <w:t>Dividende</w:t>
      </w:r>
    </w:p>
    <w:p w:rsidR="00D94626" w:rsidRPr="00D94626" w:rsidRDefault="00D94626" w:rsidP="00D70023">
      <w:pPr>
        <w:spacing w:line="276" w:lineRule="auto"/>
        <w:jc w:val="both"/>
        <w:rPr>
          <w:rFonts w:ascii="Arial" w:hAnsi="Arial" w:cs="Arial"/>
          <w:color w:val="FF0000"/>
          <w:sz w:val="22"/>
          <w:szCs w:val="22"/>
        </w:rPr>
      </w:pPr>
      <w:r w:rsidRPr="00D94626">
        <w:rPr>
          <w:rFonts w:ascii="Arial" w:hAnsi="Arial" w:cs="Arial"/>
          <w:sz w:val="22"/>
          <w:szCs w:val="22"/>
        </w:rPr>
        <w:t>CONPET S.A. și-a continuat politica de dividend, acordând acționarilor săi un dividend în valoare de 8,04 lei, ocupând astfel locul al doilea în topul dividendelor acordate de companiile listate la Bursa de Valori București, la categoria Premium. Randamentul dividendului înregistrat la data plății dividendelor a fost de 8,93%.</w:t>
      </w:r>
    </w:p>
    <w:p w:rsidR="00D94626" w:rsidRPr="00D94626" w:rsidRDefault="00D94626" w:rsidP="00D70023">
      <w:pPr>
        <w:widowControl/>
        <w:tabs>
          <w:tab w:val="num" w:pos="540"/>
        </w:tabs>
        <w:autoSpaceDE/>
        <w:autoSpaceDN/>
        <w:adjustRightInd/>
        <w:spacing w:after="200" w:line="276" w:lineRule="auto"/>
        <w:contextualSpacing/>
        <w:jc w:val="both"/>
        <w:rPr>
          <w:rFonts w:ascii="Arial" w:eastAsia="Calibri" w:hAnsi="Arial" w:cs="Arial"/>
          <w:sz w:val="22"/>
          <w:szCs w:val="22"/>
          <w:lang w:eastAsia="en-US"/>
        </w:rPr>
      </w:pPr>
    </w:p>
    <w:p w:rsidR="00D94626" w:rsidRPr="00D94626" w:rsidRDefault="00D94626" w:rsidP="00D70023">
      <w:pPr>
        <w:widowControl/>
        <w:tabs>
          <w:tab w:val="num" w:pos="540"/>
        </w:tabs>
        <w:autoSpaceDE/>
        <w:autoSpaceDN/>
        <w:adjustRightInd/>
        <w:spacing w:after="200" w:line="276" w:lineRule="auto"/>
        <w:contextualSpacing/>
        <w:jc w:val="both"/>
        <w:rPr>
          <w:rFonts w:ascii="Arial" w:eastAsia="Calibri" w:hAnsi="Arial" w:cs="Arial"/>
          <w:iCs/>
          <w:sz w:val="22"/>
          <w:szCs w:val="22"/>
          <w:lang w:eastAsia="en-US"/>
        </w:rPr>
      </w:pPr>
      <w:r w:rsidRPr="00D94626">
        <w:rPr>
          <w:rFonts w:ascii="Arial" w:eastAsia="Calibri" w:hAnsi="Arial" w:cs="Arial"/>
          <w:sz w:val="22"/>
          <w:szCs w:val="22"/>
          <w:lang w:eastAsia="en-US"/>
        </w:rPr>
        <w:t xml:space="preserve">Adunarea Generală Ordinară a Acționarilor </w:t>
      </w:r>
      <w:r w:rsidRPr="00D94626">
        <w:rPr>
          <w:rFonts w:ascii="Arial" w:eastAsia="Calibri" w:hAnsi="Arial" w:cs="Arial"/>
          <w:bCs/>
          <w:sz w:val="22"/>
          <w:szCs w:val="22"/>
          <w:lang w:eastAsia="en-US"/>
        </w:rPr>
        <w:t>din data de 26.04.2018</w:t>
      </w:r>
      <w:r w:rsidRPr="00D94626">
        <w:rPr>
          <w:rFonts w:ascii="Arial" w:eastAsia="Calibri" w:hAnsi="Arial" w:cs="Arial"/>
          <w:b/>
          <w:bCs/>
          <w:sz w:val="22"/>
          <w:szCs w:val="22"/>
          <w:lang w:eastAsia="en-US"/>
        </w:rPr>
        <w:t xml:space="preserve"> </w:t>
      </w:r>
      <w:r w:rsidRPr="00D94626">
        <w:rPr>
          <w:rFonts w:ascii="Arial" w:eastAsia="Calibri" w:hAnsi="Arial" w:cs="Arial"/>
          <w:sz w:val="22"/>
          <w:szCs w:val="22"/>
          <w:lang w:eastAsia="en-US"/>
        </w:rPr>
        <w:t>a aprobat repartizarea sub formă de dividende a sumei de 69.621.097 lei  din profitului net aferent exercițiului financiar 2017.</w:t>
      </w:r>
      <w:r w:rsidRPr="00D94626">
        <w:rPr>
          <w:rFonts w:ascii="Arial" w:eastAsia="Calibri" w:hAnsi="Arial" w:cs="Arial"/>
          <w:iCs/>
          <w:sz w:val="22"/>
          <w:szCs w:val="22"/>
          <w:lang w:eastAsia="en-US"/>
        </w:rPr>
        <w:t xml:space="preserve"> Data plății a fost stabilită de către AGOA pentru 28.06.2018.</w:t>
      </w:r>
    </w:p>
    <w:p w:rsidR="00D94626" w:rsidRPr="00D94626" w:rsidRDefault="00D94626" w:rsidP="00D70023">
      <w:pPr>
        <w:spacing w:line="276" w:lineRule="auto"/>
        <w:jc w:val="both"/>
        <w:rPr>
          <w:rFonts w:ascii="Arial" w:hAnsi="Arial" w:cs="Arial"/>
          <w:bCs/>
          <w:i/>
          <w:color w:val="FF0000"/>
          <w:sz w:val="18"/>
          <w:szCs w:val="18"/>
        </w:rPr>
      </w:pPr>
    </w:p>
    <w:p w:rsidR="00FB7CDD" w:rsidRDefault="00D94626" w:rsidP="00FB7CDD">
      <w:pPr>
        <w:widowControl/>
        <w:tabs>
          <w:tab w:val="num" w:pos="540"/>
        </w:tabs>
        <w:autoSpaceDE/>
        <w:autoSpaceDN/>
        <w:adjustRightInd/>
        <w:spacing w:after="200" w:line="276" w:lineRule="auto"/>
        <w:contextualSpacing/>
        <w:jc w:val="both"/>
        <w:rPr>
          <w:rFonts w:ascii="Arial" w:eastAsia="Calibri" w:hAnsi="Arial" w:cs="Arial"/>
          <w:bCs/>
          <w:sz w:val="22"/>
          <w:szCs w:val="22"/>
          <w:lang w:eastAsia="en-US"/>
        </w:rPr>
      </w:pPr>
      <w:r w:rsidRPr="00D94626">
        <w:rPr>
          <w:rFonts w:ascii="Arial" w:eastAsia="Calibri" w:hAnsi="Arial" w:cs="Arial"/>
          <w:bCs/>
          <w:sz w:val="22"/>
          <w:szCs w:val="22"/>
          <w:lang w:eastAsia="en-US"/>
        </w:rPr>
        <w:t>Evoluț</w:t>
      </w:r>
      <w:r w:rsidR="003B6AFB">
        <w:rPr>
          <w:rFonts w:ascii="Arial" w:eastAsia="Calibri" w:hAnsi="Arial" w:cs="Arial"/>
          <w:bCs/>
          <w:sz w:val="22"/>
          <w:szCs w:val="22"/>
          <w:lang w:eastAsia="en-US"/>
        </w:rPr>
        <w:t>ia dividendului brut pe acțiune</w:t>
      </w:r>
      <w:r w:rsidRPr="00D94626">
        <w:rPr>
          <w:rFonts w:ascii="Arial" w:eastAsia="Calibri" w:hAnsi="Arial" w:cs="Arial"/>
          <w:bCs/>
          <w:sz w:val="22"/>
          <w:szCs w:val="22"/>
          <w:lang w:eastAsia="en-US"/>
        </w:rPr>
        <w:t xml:space="preserve"> pl</w:t>
      </w:r>
      <w:r w:rsidR="00D70023">
        <w:rPr>
          <w:rFonts w:ascii="Arial" w:eastAsia="Calibri" w:hAnsi="Arial" w:cs="Arial"/>
          <w:bCs/>
          <w:sz w:val="22"/>
          <w:szCs w:val="22"/>
          <w:lang w:eastAsia="en-US"/>
        </w:rPr>
        <w:t>ă</w:t>
      </w:r>
      <w:r w:rsidRPr="00D94626">
        <w:rPr>
          <w:rFonts w:ascii="Arial" w:eastAsia="Calibri" w:hAnsi="Arial" w:cs="Arial"/>
          <w:bCs/>
          <w:sz w:val="22"/>
          <w:szCs w:val="22"/>
          <w:lang w:eastAsia="en-US"/>
        </w:rPr>
        <w:t>tit în exercițiil</w:t>
      </w:r>
      <w:r w:rsidR="00D70023">
        <w:rPr>
          <w:rFonts w:ascii="Arial" w:eastAsia="Calibri" w:hAnsi="Arial" w:cs="Arial"/>
          <w:bCs/>
          <w:sz w:val="22"/>
          <w:szCs w:val="22"/>
          <w:lang w:eastAsia="en-US"/>
        </w:rPr>
        <w:t>e</w:t>
      </w:r>
      <w:r w:rsidRPr="00D94626">
        <w:rPr>
          <w:rFonts w:ascii="Arial" w:eastAsia="Calibri" w:hAnsi="Arial" w:cs="Arial"/>
          <w:bCs/>
          <w:sz w:val="22"/>
          <w:szCs w:val="22"/>
          <w:lang w:eastAsia="en-US"/>
        </w:rPr>
        <w:t xml:space="preserve"> financiare din ult</w:t>
      </w:r>
      <w:r w:rsidR="00FB7CDD">
        <w:rPr>
          <w:rFonts w:ascii="Arial" w:eastAsia="Calibri" w:hAnsi="Arial" w:cs="Arial"/>
          <w:bCs/>
          <w:sz w:val="22"/>
          <w:szCs w:val="22"/>
          <w:lang w:eastAsia="en-US"/>
        </w:rPr>
        <w:t>imii 5 ani, se prezintă astfel:</w:t>
      </w:r>
    </w:p>
    <w:p w:rsidR="00F03ACD" w:rsidRPr="009B4B54" w:rsidRDefault="00EF7F60" w:rsidP="009B4B54">
      <w:pPr>
        <w:widowControl/>
        <w:tabs>
          <w:tab w:val="num" w:pos="540"/>
        </w:tabs>
        <w:autoSpaceDE/>
        <w:autoSpaceDN/>
        <w:adjustRightInd/>
        <w:spacing w:after="200" w:line="276" w:lineRule="auto"/>
        <w:contextualSpacing/>
        <w:jc w:val="center"/>
        <w:rPr>
          <w:rFonts w:ascii="Arial" w:eastAsia="Calibri" w:hAnsi="Arial" w:cs="Arial"/>
          <w:bCs/>
          <w:sz w:val="22"/>
          <w:szCs w:val="22"/>
          <w:lang w:eastAsia="en-US"/>
        </w:rPr>
      </w:pPr>
      <w:r>
        <w:rPr>
          <w:noProof/>
          <w:lang w:val="en-US" w:eastAsia="en-US"/>
        </w:rPr>
        <w:drawing>
          <wp:inline distT="0" distB="0" distL="0" distR="0" wp14:anchorId="0492C1A0" wp14:editId="6AF68B2B">
            <wp:extent cx="4491990" cy="2757600"/>
            <wp:effectExtent l="0" t="0" r="381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20442" cy="2775067"/>
                    </a:xfrm>
                    <a:prstGeom prst="rect">
                      <a:avLst/>
                    </a:prstGeom>
                  </pic:spPr>
                </pic:pic>
              </a:graphicData>
            </a:graphic>
          </wp:inline>
        </w:drawing>
      </w:r>
    </w:p>
    <w:p w:rsidR="00D5561F" w:rsidRDefault="008F5405" w:rsidP="001819A5">
      <w:pPr>
        <w:jc w:val="center"/>
        <w:rPr>
          <w:rFonts w:ascii="Arial" w:hAnsi="Arial" w:cs="Arial"/>
          <w:sz w:val="16"/>
          <w:szCs w:val="16"/>
        </w:rPr>
      </w:pPr>
      <w:r w:rsidRPr="001819A5">
        <w:rPr>
          <w:rFonts w:ascii="Arial" w:hAnsi="Arial" w:cs="Arial"/>
          <w:sz w:val="16"/>
          <w:szCs w:val="16"/>
        </w:rPr>
        <w:t>Grafic 1</w:t>
      </w:r>
      <w:r w:rsidR="00524191">
        <w:rPr>
          <w:rFonts w:ascii="Arial" w:hAnsi="Arial" w:cs="Arial"/>
          <w:sz w:val="16"/>
          <w:szCs w:val="16"/>
        </w:rPr>
        <w:t>7</w:t>
      </w:r>
      <w:r w:rsidRPr="001819A5">
        <w:rPr>
          <w:rFonts w:ascii="Arial" w:hAnsi="Arial" w:cs="Arial"/>
          <w:sz w:val="16"/>
          <w:szCs w:val="16"/>
        </w:rPr>
        <w:t xml:space="preserve"> Evoluție </w:t>
      </w:r>
      <w:r w:rsidRPr="00FB7CDD">
        <w:rPr>
          <w:rFonts w:ascii="Arial" w:hAnsi="Arial" w:cs="Arial"/>
          <w:sz w:val="16"/>
          <w:szCs w:val="16"/>
        </w:rPr>
        <w:t>dividend pe actiune</w:t>
      </w:r>
      <w:r w:rsidR="00345F3D" w:rsidRPr="00FB7CDD">
        <w:rPr>
          <w:rFonts w:ascii="Arial" w:hAnsi="Arial" w:cs="Arial"/>
          <w:sz w:val="16"/>
          <w:szCs w:val="16"/>
        </w:rPr>
        <w:t xml:space="preserve"> pl</w:t>
      </w:r>
      <w:r w:rsidR="001B4D4C" w:rsidRPr="00FB7CDD">
        <w:rPr>
          <w:rFonts w:ascii="Arial" w:hAnsi="Arial" w:cs="Arial"/>
          <w:sz w:val="16"/>
          <w:szCs w:val="16"/>
        </w:rPr>
        <w:t>ă</w:t>
      </w:r>
      <w:r w:rsidR="00345F3D" w:rsidRPr="00FB7CDD">
        <w:rPr>
          <w:rFonts w:ascii="Arial" w:hAnsi="Arial" w:cs="Arial"/>
          <w:sz w:val="16"/>
          <w:szCs w:val="16"/>
        </w:rPr>
        <w:t xml:space="preserve">tit </w:t>
      </w:r>
      <w:r w:rsidR="001B4D4C" w:rsidRPr="00FB7CDD">
        <w:rPr>
          <w:rFonts w:ascii="Arial" w:hAnsi="Arial" w:cs="Arial"/>
          <w:sz w:val="16"/>
          <w:szCs w:val="16"/>
        </w:rPr>
        <w:t>î</w:t>
      </w:r>
      <w:r w:rsidR="00345F3D" w:rsidRPr="00FB7CDD">
        <w:rPr>
          <w:rFonts w:ascii="Arial" w:hAnsi="Arial" w:cs="Arial"/>
          <w:sz w:val="16"/>
          <w:szCs w:val="16"/>
        </w:rPr>
        <w:t>n</w:t>
      </w:r>
      <w:r w:rsidR="003B6AFB">
        <w:rPr>
          <w:rFonts w:ascii="Arial" w:hAnsi="Arial" w:cs="Arial"/>
          <w:sz w:val="16"/>
          <w:szCs w:val="16"/>
        </w:rPr>
        <w:t xml:space="preserve"> perioada 2014-2018</w:t>
      </w:r>
      <w:r w:rsidR="00345F3D">
        <w:rPr>
          <w:rFonts w:ascii="Arial" w:hAnsi="Arial" w:cs="Arial"/>
          <w:sz w:val="16"/>
          <w:szCs w:val="16"/>
        </w:rPr>
        <w:t xml:space="preserve"> </w:t>
      </w:r>
    </w:p>
    <w:p w:rsidR="001819A5" w:rsidRDefault="001819A5" w:rsidP="00D70023">
      <w:pPr>
        <w:jc w:val="both"/>
        <w:rPr>
          <w:rFonts w:ascii="Arial" w:hAnsi="Arial" w:cs="Arial"/>
          <w:sz w:val="16"/>
          <w:szCs w:val="16"/>
        </w:rPr>
      </w:pPr>
    </w:p>
    <w:p w:rsidR="00D70023" w:rsidRPr="00CC5790" w:rsidRDefault="00D70023" w:rsidP="00CC5790">
      <w:pPr>
        <w:spacing w:line="276" w:lineRule="auto"/>
        <w:jc w:val="both"/>
        <w:rPr>
          <w:rFonts w:ascii="Arial" w:hAnsi="Arial" w:cs="Arial"/>
          <w:sz w:val="22"/>
          <w:szCs w:val="22"/>
        </w:rPr>
      </w:pPr>
      <w:r w:rsidRPr="00EE6C1F">
        <w:rPr>
          <w:rFonts w:ascii="Arial" w:hAnsi="Arial" w:cs="Arial"/>
          <w:sz w:val="22"/>
          <w:szCs w:val="22"/>
        </w:rPr>
        <w:lastRenderedPageBreak/>
        <w:t xml:space="preserve">În anul 2017 </w:t>
      </w:r>
      <w:r>
        <w:rPr>
          <w:rFonts w:ascii="Arial" w:hAnsi="Arial" w:cs="Arial"/>
          <w:sz w:val="22"/>
          <w:szCs w:val="22"/>
        </w:rPr>
        <w:t>s-</w:t>
      </w:r>
      <w:r w:rsidRPr="00EE6C1F">
        <w:rPr>
          <w:rFonts w:ascii="Arial" w:hAnsi="Arial" w:cs="Arial"/>
          <w:sz w:val="22"/>
          <w:szCs w:val="22"/>
        </w:rPr>
        <w:t xml:space="preserve">a distribuit un dividend suplimentar de </w:t>
      </w:r>
      <w:r>
        <w:rPr>
          <w:rFonts w:ascii="Arial" w:hAnsi="Arial" w:cs="Arial"/>
          <w:sz w:val="22"/>
          <w:szCs w:val="22"/>
        </w:rPr>
        <w:t>18,34</w:t>
      </w:r>
      <w:r w:rsidRPr="00EE6C1F">
        <w:rPr>
          <w:rFonts w:ascii="Arial" w:hAnsi="Arial" w:cs="Arial"/>
          <w:sz w:val="22"/>
          <w:szCs w:val="22"/>
        </w:rPr>
        <w:t xml:space="preserve"> lei/acțiune</w:t>
      </w:r>
      <w:r>
        <w:rPr>
          <w:rFonts w:ascii="Arial" w:hAnsi="Arial" w:cs="Arial"/>
          <w:sz w:val="22"/>
          <w:szCs w:val="22"/>
        </w:rPr>
        <w:t>, repartizat</w:t>
      </w:r>
      <w:r w:rsidRPr="00EE6C1F">
        <w:rPr>
          <w:rFonts w:ascii="Arial" w:hAnsi="Arial" w:cs="Arial"/>
          <w:sz w:val="22"/>
          <w:szCs w:val="22"/>
        </w:rPr>
        <w:t xml:space="preserve"> </w:t>
      </w:r>
      <w:r w:rsidRPr="001A0F9A">
        <w:rPr>
          <w:rFonts w:ascii="Arial" w:hAnsi="Arial" w:cs="Arial"/>
          <w:sz w:val="22"/>
          <w:szCs w:val="22"/>
        </w:rPr>
        <w:t>din rezultatul reportat ș</w:t>
      </w:r>
      <w:r w:rsidRPr="00EE6C1F">
        <w:rPr>
          <w:rFonts w:ascii="Arial" w:hAnsi="Arial" w:cs="Arial"/>
          <w:sz w:val="22"/>
          <w:szCs w:val="22"/>
        </w:rPr>
        <w:t xml:space="preserve">i din </w:t>
      </w:r>
      <w:r>
        <w:rPr>
          <w:rFonts w:ascii="Arial" w:hAnsi="Arial" w:cs="Arial"/>
          <w:sz w:val="22"/>
          <w:szCs w:val="22"/>
        </w:rPr>
        <w:t xml:space="preserve">alte </w:t>
      </w:r>
      <w:r w:rsidRPr="00EE6C1F">
        <w:rPr>
          <w:rFonts w:ascii="Arial" w:hAnsi="Arial" w:cs="Arial"/>
          <w:sz w:val="22"/>
          <w:szCs w:val="22"/>
        </w:rPr>
        <w:t xml:space="preserve">rezerve-surse proprii de finanțare, </w:t>
      </w:r>
      <w:r>
        <w:rPr>
          <w:rFonts w:ascii="Arial" w:hAnsi="Arial" w:cs="Arial"/>
          <w:sz w:val="22"/>
          <w:szCs w:val="22"/>
        </w:rPr>
        <w:t xml:space="preserve">dividendul brut/acțiune </w:t>
      </w:r>
      <w:r w:rsidRPr="00EE6C1F">
        <w:rPr>
          <w:rFonts w:ascii="Arial" w:hAnsi="Arial" w:cs="Arial"/>
          <w:sz w:val="22"/>
          <w:szCs w:val="22"/>
        </w:rPr>
        <w:t>repartizat din profit</w:t>
      </w:r>
      <w:r w:rsidRPr="001A0F9A">
        <w:rPr>
          <w:rFonts w:ascii="Arial" w:hAnsi="Arial" w:cs="Arial"/>
          <w:sz w:val="22"/>
          <w:szCs w:val="22"/>
        </w:rPr>
        <w:t xml:space="preserve">ul anului 2016 a fost de </w:t>
      </w:r>
      <w:r>
        <w:rPr>
          <w:rFonts w:ascii="Arial" w:hAnsi="Arial" w:cs="Arial"/>
          <w:sz w:val="22"/>
          <w:szCs w:val="22"/>
        </w:rPr>
        <w:t>8,07 lei/acțiune.</w:t>
      </w:r>
    </w:p>
    <w:p w:rsidR="002F763D" w:rsidRPr="00E46854" w:rsidRDefault="001819A5" w:rsidP="00170D7E">
      <w:pPr>
        <w:pStyle w:val="ListParagraph"/>
        <w:numPr>
          <w:ilvl w:val="2"/>
          <w:numId w:val="39"/>
        </w:numPr>
        <w:shd w:val="clear" w:color="auto" w:fill="FFFFFF"/>
        <w:spacing w:before="180"/>
        <w:rPr>
          <w:rFonts w:ascii="Arial" w:hAnsi="Arial" w:cs="Arial"/>
          <w:b/>
          <w:bCs/>
          <w:color w:val="1F4E79" w:themeColor="accent1" w:themeShade="80"/>
          <w:spacing w:val="-2"/>
          <w:sz w:val="24"/>
          <w:szCs w:val="24"/>
        </w:rPr>
      </w:pPr>
      <w:r w:rsidRPr="00E46854">
        <w:rPr>
          <w:rFonts w:ascii="Arial" w:hAnsi="Arial" w:cs="Arial"/>
          <w:b/>
          <w:bCs/>
          <w:color w:val="1F4E79" w:themeColor="accent1" w:themeShade="80"/>
          <w:spacing w:val="-2"/>
          <w:sz w:val="24"/>
          <w:szCs w:val="24"/>
        </w:rPr>
        <w:t>Guvernanță corporativă</w:t>
      </w:r>
    </w:p>
    <w:p w:rsidR="00461FC5" w:rsidRPr="00D70023" w:rsidRDefault="00461FC5" w:rsidP="00461FC5">
      <w:pPr>
        <w:shd w:val="clear" w:color="auto" w:fill="FFFFFF"/>
        <w:spacing w:line="276" w:lineRule="auto"/>
        <w:jc w:val="both"/>
        <w:rPr>
          <w:rFonts w:ascii="Arial" w:hAnsi="Arial" w:cs="Arial"/>
          <w:sz w:val="22"/>
          <w:szCs w:val="22"/>
        </w:rPr>
      </w:pPr>
      <w:r w:rsidRPr="00D70023">
        <w:rPr>
          <w:rFonts w:ascii="Arial" w:hAnsi="Arial" w:cs="Arial"/>
          <w:sz w:val="22"/>
          <w:szCs w:val="22"/>
        </w:rPr>
        <w:t>Guvernanța corporativă în cadrul CONPET</w:t>
      </w:r>
      <w:r>
        <w:rPr>
          <w:rFonts w:ascii="Arial" w:hAnsi="Arial" w:cs="Arial"/>
          <w:sz w:val="22"/>
          <w:szCs w:val="22"/>
        </w:rPr>
        <w:t xml:space="preserve"> S.A.</w:t>
      </w:r>
      <w:r w:rsidRPr="00D70023">
        <w:rPr>
          <w:rFonts w:ascii="Arial" w:hAnsi="Arial" w:cs="Arial"/>
          <w:sz w:val="22"/>
          <w:szCs w:val="22"/>
        </w:rPr>
        <w:t xml:space="preserve"> este organizată și se realizează în concordanță cu cadrul legislativ din România, respectiv Legea societăților nr. 31/1990 și Ordonanța de Urgență a Guvernului nr. 109/2011 privind guvernanța corporativă a întreprinderilor publice.</w:t>
      </w:r>
    </w:p>
    <w:p w:rsidR="00461FC5" w:rsidRPr="00D70023" w:rsidRDefault="00461FC5" w:rsidP="00461FC5">
      <w:pPr>
        <w:spacing w:line="276" w:lineRule="auto"/>
        <w:jc w:val="both"/>
        <w:rPr>
          <w:rFonts w:ascii="Arial" w:hAnsi="Arial" w:cs="Arial"/>
          <w:color w:val="000000"/>
          <w:sz w:val="22"/>
          <w:szCs w:val="22"/>
        </w:rPr>
      </w:pPr>
    </w:p>
    <w:p w:rsidR="00461FC5" w:rsidRPr="00D70023" w:rsidRDefault="00461FC5" w:rsidP="00461FC5">
      <w:pPr>
        <w:spacing w:line="276" w:lineRule="auto"/>
        <w:jc w:val="both"/>
        <w:rPr>
          <w:rFonts w:ascii="Arial" w:hAnsi="Arial" w:cs="Arial"/>
          <w:color w:val="000000"/>
          <w:sz w:val="22"/>
          <w:szCs w:val="22"/>
        </w:rPr>
      </w:pPr>
      <w:r>
        <w:rPr>
          <w:rFonts w:ascii="Arial" w:hAnsi="Arial" w:cs="Arial"/>
          <w:color w:val="000000"/>
          <w:sz w:val="22"/>
          <w:szCs w:val="22"/>
        </w:rPr>
        <w:t xml:space="preserve">Acțiunile CONPET S.A. </w:t>
      </w:r>
      <w:r w:rsidRPr="00D70023">
        <w:rPr>
          <w:rFonts w:ascii="Arial" w:hAnsi="Arial" w:cs="Arial"/>
          <w:color w:val="000000"/>
          <w:sz w:val="22"/>
          <w:szCs w:val="22"/>
        </w:rPr>
        <w:t>sunt tranzacționate, începând cu data de 5 septembrie 2013, pe piața reglementată administrată de Bursa de Valori București (BVB), la categoria I, sub simbolul COTE.</w:t>
      </w:r>
    </w:p>
    <w:p w:rsidR="00461FC5" w:rsidRPr="00D70023" w:rsidRDefault="00461FC5" w:rsidP="00461FC5">
      <w:pPr>
        <w:spacing w:line="276" w:lineRule="auto"/>
        <w:jc w:val="both"/>
        <w:rPr>
          <w:rFonts w:ascii="Arial" w:hAnsi="Arial" w:cs="Arial"/>
          <w:color w:val="000000"/>
          <w:sz w:val="22"/>
          <w:szCs w:val="22"/>
        </w:rPr>
      </w:pPr>
    </w:p>
    <w:p w:rsidR="00461FC5" w:rsidRPr="00D70023" w:rsidRDefault="00461FC5" w:rsidP="00461FC5">
      <w:pPr>
        <w:spacing w:line="276" w:lineRule="auto"/>
        <w:jc w:val="both"/>
        <w:rPr>
          <w:rFonts w:ascii="Arial" w:hAnsi="Arial" w:cs="Arial"/>
          <w:color w:val="000000"/>
          <w:sz w:val="22"/>
          <w:szCs w:val="22"/>
        </w:rPr>
      </w:pPr>
      <w:r w:rsidRPr="00D70023">
        <w:rPr>
          <w:rFonts w:ascii="Arial" w:hAnsi="Arial" w:cs="Arial"/>
          <w:color w:val="000000"/>
          <w:sz w:val="22"/>
          <w:szCs w:val="22"/>
        </w:rPr>
        <w:t>Sistemul de guvernanță corporativă al CONPET este permanent îmbunătățit, astfel încât acesta să fie conform cu regulile și recomandările aplicabile unei companii listate la BVB.</w:t>
      </w:r>
    </w:p>
    <w:p w:rsidR="00461FC5" w:rsidRPr="00D70023" w:rsidRDefault="00461FC5" w:rsidP="00461FC5">
      <w:pPr>
        <w:spacing w:line="276" w:lineRule="auto"/>
        <w:jc w:val="both"/>
        <w:rPr>
          <w:rFonts w:ascii="Arial" w:hAnsi="Arial" w:cs="Arial"/>
          <w:sz w:val="22"/>
          <w:szCs w:val="22"/>
        </w:rPr>
      </w:pPr>
    </w:p>
    <w:p w:rsidR="00461FC5" w:rsidRPr="00D70023" w:rsidRDefault="00461FC5" w:rsidP="00461FC5">
      <w:pPr>
        <w:spacing w:line="276" w:lineRule="auto"/>
        <w:jc w:val="both"/>
        <w:rPr>
          <w:rFonts w:ascii="Arial" w:hAnsi="Arial" w:cs="Arial"/>
          <w:sz w:val="22"/>
          <w:szCs w:val="22"/>
        </w:rPr>
      </w:pPr>
      <w:r w:rsidRPr="00D70023">
        <w:rPr>
          <w:rFonts w:ascii="Arial" w:hAnsi="Arial" w:cs="Arial"/>
          <w:sz w:val="22"/>
          <w:szCs w:val="22"/>
        </w:rPr>
        <w:t xml:space="preserve">Printre primele măsuri implementate în scopul de a asigura o informare transparentă și echitabilă, au fost: </w:t>
      </w:r>
    </w:p>
    <w:p w:rsidR="00461FC5" w:rsidRPr="00D70023" w:rsidRDefault="00461FC5" w:rsidP="00461FC5">
      <w:pPr>
        <w:widowControl/>
        <w:numPr>
          <w:ilvl w:val="0"/>
          <w:numId w:val="14"/>
        </w:numPr>
        <w:adjustRightInd/>
        <w:spacing w:line="276" w:lineRule="auto"/>
        <w:jc w:val="both"/>
        <w:rPr>
          <w:rFonts w:ascii="Arial" w:hAnsi="Arial" w:cs="Arial"/>
          <w:sz w:val="22"/>
          <w:szCs w:val="22"/>
        </w:rPr>
      </w:pPr>
      <w:r w:rsidRPr="00D70023">
        <w:rPr>
          <w:rFonts w:ascii="Arial" w:hAnsi="Arial" w:cs="Arial"/>
          <w:sz w:val="22"/>
          <w:szCs w:val="22"/>
        </w:rPr>
        <w:t>prezentarea în raportul anual al administratorilor a unui capitol dedicat guvernanței corporative care face referire, printre altele, la informațiile legate de Consiliul de Administrație și comitetele consultative constituite;</w:t>
      </w:r>
    </w:p>
    <w:p w:rsidR="00461FC5" w:rsidRPr="00D70023" w:rsidRDefault="00461FC5" w:rsidP="00461FC5">
      <w:pPr>
        <w:widowControl/>
        <w:numPr>
          <w:ilvl w:val="0"/>
          <w:numId w:val="14"/>
        </w:numPr>
        <w:adjustRightInd/>
        <w:spacing w:line="276" w:lineRule="auto"/>
        <w:jc w:val="both"/>
        <w:rPr>
          <w:rFonts w:ascii="Arial" w:hAnsi="Arial" w:cs="Arial"/>
          <w:sz w:val="22"/>
          <w:szCs w:val="22"/>
        </w:rPr>
      </w:pPr>
      <w:r w:rsidRPr="00D70023">
        <w:rPr>
          <w:rFonts w:ascii="Arial" w:hAnsi="Arial" w:cs="Arial"/>
          <w:sz w:val="22"/>
          <w:szCs w:val="22"/>
        </w:rPr>
        <w:t>diversificarea comunicării cu acționarii și investitorii prin publicarea pe pagina de internet proprie a comunicatelor adresate participanților la piață, a raport</w:t>
      </w:r>
      <w:r>
        <w:rPr>
          <w:rFonts w:ascii="Arial" w:hAnsi="Arial" w:cs="Arial"/>
          <w:sz w:val="22"/>
          <w:szCs w:val="22"/>
        </w:rPr>
        <w:t>ă</w:t>
      </w:r>
      <w:r w:rsidRPr="00D70023">
        <w:rPr>
          <w:rFonts w:ascii="Arial" w:hAnsi="Arial" w:cs="Arial"/>
          <w:sz w:val="22"/>
          <w:szCs w:val="22"/>
        </w:rPr>
        <w:t xml:space="preserve">rilor financiare trimestriale și semestriale și a rapoartelor anuale, precum și a procedurilor de urmat în vederea accesului și participării la ședințele A.G.A.; </w:t>
      </w:r>
    </w:p>
    <w:p w:rsidR="00461FC5" w:rsidRPr="00D70023" w:rsidRDefault="00461FC5" w:rsidP="00461FC5">
      <w:pPr>
        <w:widowControl/>
        <w:numPr>
          <w:ilvl w:val="0"/>
          <w:numId w:val="14"/>
        </w:numPr>
        <w:adjustRightInd/>
        <w:spacing w:line="276" w:lineRule="auto"/>
        <w:jc w:val="both"/>
        <w:rPr>
          <w:rFonts w:ascii="Arial" w:hAnsi="Arial" w:cs="Arial"/>
          <w:sz w:val="22"/>
          <w:szCs w:val="22"/>
        </w:rPr>
      </w:pPr>
      <w:r w:rsidRPr="00D70023">
        <w:rPr>
          <w:rFonts w:ascii="Arial" w:hAnsi="Arial" w:cs="Arial"/>
          <w:sz w:val="22"/>
          <w:szCs w:val="22"/>
        </w:rPr>
        <w:t>înființarea unei entități specializate dedicate relației cu investitorii și acționarii.</w:t>
      </w:r>
    </w:p>
    <w:p w:rsidR="00461FC5" w:rsidRPr="00D70023" w:rsidRDefault="00461FC5" w:rsidP="00461FC5">
      <w:pPr>
        <w:overflowPunct w:val="0"/>
        <w:spacing w:line="276" w:lineRule="auto"/>
        <w:jc w:val="both"/>
        <w:textAlignment w:val="baseline"/>
        <w:rPr>
          <w:rFonts w:ascii="Arial" w:hAnsi="Arial" w:cs="Arial"/>
          <w:b/>
          <w:bCs/>
          <w:i/>
          <w:iCs/>
          <w:sz w:val="22"/>
          <w:szCs w:val="22"/>
        </w:rPr>
      </w:pPr>
    </w:p>
    <w:p w:rsidR="00461FC5" w:rsidRPr="00E46854" w:rsidRDefault="00461FC5" w:rsidP="00461FC5">
      <w:pPr>
        <w:overflowPunct w:val="0"/>
        <w:spacing w:line="276" w:lineRule="auto"/>
        <w:jc w:val="both"/>
        <w:textAlignment w:val="baseline"/>
        <w:rPr>
          <w:rFonts w:ascii="Arial" w:hAnsi="Arial" w:cs="Arial"/>
          <w:b/>
          <w:bCs/>
          <w:i/>
          <w:iCs/>
          <w:color w:val="1F4E79" w:themeColor="accent1" w:themeShade="80"/>
          <w:sz w:val="22"/>
          <w:szCs w:val="22"/>
        </w:rPr>
      </w:pPr>
      <w:r w:rsidRPr="00E46854">
        <w:rPr>
          <w:rFonts w:ascii="Arial" w:hAnsi="Arial" w:cs="Arial"/>
          <w:b/>
          <w:bCs/>
          <w:i/>
          <w:iCs/>
          <w:color w:val="1F4E79" w:themeColor="accent1" w:themeShade="80"/>
          <w:sz w:val="22"/>
          <w:szCs w:val="22"/>
        </w:rPr>
        <w:t>Regulamentul de guvernanță corporativă</w:t>
      </w:r>
    </w:p>
    <w:p w:rsidR="000C2FE3" w:rsidRPr="00D70023" w:rsidRDefault="000C2FE3" w:rsidP="00461FC5">
      <w:pPr>
        <w:overflowPunct w:val="0"/>
        <w:spacing w:line="276" w:lineRule="auto"/>
        <w:jc w:val="both"/>
        <w:textAlignment w:val="baseline"/>
        <w:rPr>
          <w:rFonts w:ascii="Arial" w:eastAsiaTheme="minorHAnsi" w:hAnsi="Arial" w:cs="Arial"/>
          <w:b/>
          <w:bCs/>
          <w:i/>
          <w:iCs/>
          <w:sz w:val="22"/>
          <w:szCs w:val="22"/>
          <w:lang w:eastAsia="en-US"/>
        </w:rPr>
      </w:pPr>
    </w:p>
    <w:p w:rsidR="000C2FE3" w:rsidRDefault="00461FC5" w:rsidP="00461FC5">
      <w:pPr>
        <w:overflowPunct w:val="0"/>
        <w:spacing w:line="276" w:lineRule="auto"/>
        <w:jc w:val="both"/>
        <w:textAlignment w:val="baseline"/>
        <w:rPr>
          <w:rFonts w:ascii="Arial" w:hAnsi="Arial" w:cs="Arial"/>
          <w:sz w:val="22"/>
          <w:szCs w:val="22"/>
        </w:rPr>
      </w:pPr>
      <w:r w:rsidRPr="00D70023">
        <w:rPr>
          <w:rFonts w:ascii="Arial" w:hAnsi="Arial" w:cs="Arial"/>
          <w:sz w:val="22"/>
          <w:szCs w:val="22"/>
        </w:rPr>
        <w:t>CONPET</w:t>
      </w:r>
      <w:r>
        <w:rPr>
          <w:rFonts w:ascii="Arial" w:hAnsi="Arial" w:cs="Arial"/>
          <w:sz w:val="22"/>
          <w:szCs w:val="22"/>
        </w:rPr>
        <w:t xml:space="preserve"> S.A.</w:t>
      </w:r>
      <w:r w:rsidRPr="00D70023">
        <w:rPr>
          <w:rFonts w:ascii="Arial" w:hAnsi="Arial" w:cs="Arial"/>
          <w:sz w:val="22"/>
          <w:szCs w:val="22"/>
        </w:rPr>
        <w:t xml:space="preserve"> a elaborat Regulamentul de Guvernanță Corporativă al CONPET în conformitate cu cerințele Codului de Guvernanță al BVB, acesta fiind aprobat de Consiliului de Administrație în sedința din data de 27 martie 2014. </w:t>
      </w:r>
    </w:p>
    <w:p w:rsidR="000C2FE3" w:rsidRPr="00D70023" w:rsidRDefault="000C2FE3" w:rsidP="00461FC5">
      <w:pPr>
        <w:overflowPunct w:val="0"/>
        <w:spacing w:line="276" w:lineRule="auto"/>
        <w:jc w:val="both"/>
        <w:textAlignment w:val="baseline"/>
        <w:rPr>
          <w:rFonts w:ascii="Arial" w:hAnsi="Arial" w:cs="Arial"/>
          <w:sz w:val="22"/>
          <w:szCs w:val="22"/>
        </w:rPr>
      </w:pPr>
    </w:p>
    <w:p w:rsidR="00461FC5" w:rsidRPr="00D70023" w:rsidRDefault="00461FC5" w:rsidP="00461FC5">
      <w:pPr>
        <w:overflowPunct w:val="0"/>
        <w:spacing w:line="276" w:lineRule="auto"/>
        <w:jc w:val="both"/>
        <w:textAlignment w:val="baseline"/>
        <w:rPr>
          <w:rFonts w:ascii="Arial" w:hAnsi="Arial" w:cs="Arial"/>
          <w:sz w:val="22"/>
          <w:szCs w:val="22"/>
        </w:rPr>
      </w:pPr>
      <w:r w:rsidRPr="00D70023">
        <w:rPr>
          <w:rFonts w:ascii="Arial" w:hAnsi="Arial" w:cs="Arial"/>
          <w:sz w:val="22"/>
          <w:szCs w:val="22"/>
        </w:rPr>
        <w:t>Prin</w:t>
      </w:r>
      <w:r w:rsidR="00976496">
        <w:rPr>
          <w:rFonts w:ascii="Arial" w:hAnsi="Arial" w:cs="Arial"/>
          <w:sz w:val="22"/>
          <w:szCs w:val="22"/>
        </w:rPr>
        <w:t xml:space="preserve"> acest document, compania și-a </w:t>
      </w:r>
      <w:r w:rsidRPr="00D70023">
        <w:rPr>
          <w:rFonts w:ascii="Arial" w:hAnsi="Arial" w:cs="Arial"/>
          <w:sz w:val="22"/>
          <w:szCs w:val="22"/>
        </w:rPr>
        <w:t xml:space="preserve">asumat voluntar principiile guvernanței corporative. Regulamentul este un document public și poate fi vizualizat pe site-ul companiei accesând  link-ul </w:t>
      </w:r>
      <w:hyperlink r:id="rId28" w:history="1">
        <w:r w:rsidRPr="00082E15">
          <w:rPr>
            <w:rStyle w:val="Hyperlink"/>
            <w:rFonts w:ascii="Arial" w:hAnsi="Arial" w:cs="Arial"/>
            <w:color w:val="auto"/>
            <w:sz w:val="22"/>
            <w:szCs w:val="22"/>
          </w:rPr>
          <w:t>http://www.CONPET.ro/guvernanta-corporativa/regulament-de-guvernanta-corporativa/</w:t>
        </w:r>
      </w:hyperlink>
      <w:r w:rsidRPr="00082E15">
        <w:rPr>
          <w:rFonts w:ascii="Arial" w:hAnsi="Arial" w:cs="Arial"/>
          <w:sz w:val="22"/>
          <w:szCs w:val="22"/>
        </w:rPr>
        <w:t>.</w:t>
      </w:r>
    </w:p>
    <w:p w:rsidR="00461FC5" w:rsidRPr="00D70023" w:rsidRDefault="00461FC5" w:rsidP="00461FC5">
      <w:pPr>
        <w:spacing w:line="276" w:lineRule="auto"/>
        <w:rPr>
          <w:rFonts w:ascii="Arial" w:hAnsi="Arial" w:cs="Arial"/>
          <w:sz w:val="22"/>
          <w:szCs w:val="22"/>
        </w:rPr>
      </w:pPr>
    </w:p>
    <w:p w:rsidR="00461FC5" w:rsidRPr="00D70023" w:rsidRDefault="00461FC5" w:rsidP="00461FC5">
      <w:pPr>
        <w:overflowPunct w:val="0"/>
        <w:spacing w:line="276" w:lineRule="auto"/>
        <w:jc w:val="both"/>
        <w:textAlignment w:val="baseline"/>
        <w:rPr>
          <w:rFonts w:ascii="Arial" w:hAnsi="Arial" w:cs="Arial"/>
          <w:i/>
          <w:iCs/>
          <w:sz w:val="22"/>
          <w:szCs w:val="22"/>
          <w:lang w:eastAsia="en-US"/>
        </w:rPr>
      </w:pPr>
      <w:r w:rsidRPr="00D70023">
        <w:rPr>
          <w:rFonts w:ascii="Arial" w:hAnsi="Arial" w:cs="Arial"/>
          <w:i/>
          <w:iCs/>
          <w:sz w:val="22"/>
          <w:szCs w:val="22"/>
        </w:rPr>
        <w:t>Acțiuni în vederea îmbunătățirii în continuare a guvernanței corporative a CONPET</w:t>
      </w:r>
      <w:r>
        <w:rPr>
          <w:rFonts w:ascii="Arial" w:hAnsi="Arial" w:cs="Arial"/>
          <w:i/>
          <w:iCs/>
          <w:sz w:val="22"/>
          <w:szCs w:val="22"/>
        </w:rPr>
        <w:t xml:space="preserve"> S.A.</w:t>
      </w:r>
    </w:p>
    <w:p w:rsidR="00461FC5" w:rsidRPr="00D70023" w:rsidRDefault="00461FC5" w:rsidP="00461FC5">
      <w:pPr>
        <w:overflowPunct w:val="0"/>
        <w:spacing w:line="276" w:lineRule="auto"/>
        <w:jc w:val="both"/>
        <w:textAlignment w:val="baseline"/>
        <w:rPr>
          <w:rFonts w:ascii="Arial" w:hAnsi="Arial" w:cs="Arial"/>
          <w:sz w:val="22"/>
          <w:szCs w:val="22"/>
        </w:rPr>
      </w:pPr>
    </w:p>
    <w:p w:rsidR="00461FC5" w:rsidRPr="00D70023" w:rsidRDefault="00461FC5" w:rsidP="00461FC5">
      <w:pPr>
        <w:overflowPunct w:val="0"/>
        <w:spacing w:line="276" w:lineRule="auto"/>
        <w:jc w:val="both"/>
        <w:textAlignment w:val="baseline"/>
        <w:rPr>
          <w:rFonts w:ascii="Arial" w:hAnsi="Arial" w:cs="Arial"/>
          <w:sz w:val="22"/>
          <w:szCs w:val="22"/>
        </w:rPr>
      </w:pPr>
      <w:r w:rsidRPr="00D70023">
        <w:rPr>
          <w:rFonts w:ascii="Arial" w:hAnsi="Arial" w:cs="Arial"/>
          <w:sz w:val="22"/>
          <w:szCs w:val="22"/>
        </w:rPr>
        <w:t>Odată cu listarea la BVB, CONPET</w:t>
      </w:r>
      <w:r w:rsidR="00976496">
        <w:rPr>
          <w:rFonts w:ascii="Arial" w:hAnsi="Arial" w:cs="Arial"/>
          <w:sz w:val="22"/>
          <w:szCs w:val="22"/>
        </w:rPr>
        <w:t xml:space="preserve"> S.</w:t>
      </w:r>
      <w:r>
        <w:rPr>
          <w:rFonts w:ascii="Arial" w:hAnsi="Arial" w:cs="Arial"/>
          <w:sz w:val="22"/>
          <w:szCs w:val="22"/>
        </w:rPr>
        <w:t>A.</w:t>
      </w:r>
      <w:r w:rsidRPr="00D70023">
        <w:rPr>
          <w:rFonts w:ascii="Arial" w:hAnsi="Arial" w:cs="Arial"/>
          <w:sz w:val="22"/>
          <w:szCs w:val="22"/>
        </w:rPr>
        <w:t xml:space="preserve"> și-a asumat aplicarea Codului de Guvernanță Corporativă al Bursei de Valori București și deci a celor mai înalte standarde de guvernanță corporativă existente în România în acest moment. </w:t>
      </w:r>
    </w:p>
    <w:p w:rsidR="00461FC5" w:rsidRPr="00D70023" w:rsidRDefault="00461FC5" w:rsidP="00461FC5">
      <w:pPr>
        <w:overflowPunct w:val="0"/>
        <w:spacing w:line="276" w:lineRule="auto"/>
        <w:jc w:val="both"/>
        <w:textAlignment w:val="baseline"/>
        <w:rPr>
          <w:rFonts w:ascii="Arial" w:hAnsi="Arial" w:cs="Arial"/>
          <w:sz w:val="22"/>
          <w:szCs w:val="22"/>
        </w:rPr>
      </w:pPr>
    </w:p>
    <w:p w:rsidR="00461FC5" w:rsidRPr="00D70023" w:rsidRDefault="00461FC5" w:rsidP="00461FC5">
      <w:pPr>
        <w:spacing w:line="276" w:lineRule="auto"/>
        <w:jc w:val="both"/>
        <w:rPr>
          <w:rFonts w:ascii="Arial" w:hAnsi="Arial" w:cs="Arial"/>
          <w:b/>
          <w:bCs/>
          <w:sz w:val="22"/>
          <w:szCs w:val="22"/>
        </w:rPr>
      </w:pPr>
      <w:r w:rsidRPr="00D70023">
        <w:rPr>
          <w:rFonts w:ascii="Arial" w:hAnsi="Arial" w:cs="Arial"/>
          <w:sz w:val="22"/>
          <w:szCs w:val="22"/>
        </w:rPr>
        <w:t xml:space="preserve">Unul dintre obiectivele societății CONPET S.A. este de a crește transparența și vizibilitatea companiei pe piața de capital și de a asigura o mai mare deschidere față de acționari și investitori, în scopul creșterii credibilității companiei. </w:t>
      </w:r>
    </w:p>
    <w:p w:rsidR="00461FC5" w:rsidRDefault="00461FC5" w:rsidP="00461FC5">
      <w:pPr>
        <w:overflowPunct w:val="0"/>
        <w:spacing w:line="276" w:lineRule="auto"/>
        <w:ind w:left="720"/>
        <w:jc w:val="both"/>
        <w:rPr>
          <w:rFonts w:ascii="Arial" w:hAnsi="Arial" w:cs="Arial"/>
          <w:sz w:val="22"/>
          <w:szCs w:val="22"/>
        </w:rPr>
      </w:pPr>
    </w:p>
    <w:p w:rsidR="00EF0FAE" w:rsidRDefault="00EF0FAE" w:rsidP="00461FC5">
      <w:pPr>
        <w:overflowPunct w:val="0"/>
        <w:spacing w:line="276" w:lineRule="auto"/>
        <w:ind w:left="720"/>
        <w:jc w:val="both"/>
        <w:rPr>
          <w:rFonts w:ascii="Arial" w:hAnsi="Arial" w:cs="Arial"/>
          <w:sz w:val="22"/>
          <w:szCs w:val="22"/>
        </w:rPr>
      </w:pPr>
    </w:p>
    <w:p w:rsidR="00EF0FAE" w:rsidRDefault="00EF0FAE" w:rsidP="00461FC5">
      <w:pPr>
        <w:overflowPunct w:val="0"/>
        <w:spacing w:line="276" w:lineRule="auto"/>
        <w:ind w:left="720"/>
        <w:jc w:val="both"/>
        <w:rPr>
          <w:rFonts w:ascii="Arial" w:hAnsi="Arial" w:cs="Arial"/>
          <w:sz w:val="22"/>
          <w:szCs w:val="22"/>
        </w:rPr>
      </w:pPr>
    </w:p>
    <w:p w:rsidR="002540B7" w:rsidRPr="00D70023" w:rsidRDefault="002540B7" w:rsidP="004031C8">
      <w:pPr>
        <w:overflowPunct w:val="0"/>
        <w:spacing w:line="276" w:lineRule="auto"/>
        <w:jc w:val="both"/>
        <w:rPr>
          <w:rFonts w:ascii="Arial" w:hAnsi="Arial" w:cs="Arial"/>
          <w:sz w:val="22"/>
          <w:szCs w:val="22"/>
        </w:rPr>
      </w:pPr>
    </w:p>
    <w:p w:rsidR="00461FC5" w:rsidRPr="00E46854" w:rsidRDefault="00461FC5" w:rsidP="00461FC5">
      <w:pPr>
        <w:overflowPunct w:val="0"/>
        <w:spacing w:line="276" w:lineRule="auto"/>
        <w:jc w:val="both"/>
        <w:textAlignment w:val="baseline"/>
        <w:rPr>
          <w:rFonts w:ascii="Arial" w:hAnsi="Arial" w:cs="Arial"/>
          <w:b/>
          <w:bCs/>
          <w:i/>
          <w:iCs/>
          <w:color w:val="1F4E79" w:themeColor="accent1" w:themeShade="80"/>
          <w:sz w:val="22"/>
          <w:szCs w:val="22"/>
        </w:rPr>
      </w:pPr>
      <w:r w:rsidRPr="00E46854">
        <w:rPr>
          <w:rFonts w:ascii="Arial" w:hAnsi="Arial" w:cs="Arial"/>
          <w:b/>
          <w:bCs/>
          <w:i/>
          <w:iCs/>
          <w:color w:val="1F4E79" w:themeColor="accent1" w:themeShade="80"/>
          <w:sz w:val="22"/>
          <w:szCs w:val="22"/>
        </w:rPr>
        <w:t>Transparența, informarea și comunicarea</w:t>
      </w:r>
    </w:p>
    <w:p w:rsidR="00461FC5" w:rsidRPr="00D70023" w:rsidRDefault="00461FC5" w:rsidP="00461FC5">
      <w:pPr>
        <w:overflowPunct w:val="0"/>
        <w:spacing w:line="276" w:lineRule="auto"/>
        <w:jc w:val="both"/>
        <w:textAlignment w:val="baseline"/>
        <w:rPr>
          <w:rFonts w:ascii="Arial" w:hAnsi="Arial" w:cs="Arial"/>
          <w:b/>
          <w:bCs/>
          <w:i/>
          <w:iCs/>
          <w:sz w:val="22"/>
          <w:szCs w:val="22"/>
        </w:rPr>
      </w:pPr>
    </w:p>
    <w:p w:rsidR="00461FC5" w:rsidRDefault="00461FC5" w:rsidP="000C2FE3">
      <w:pPr>
        <w:overflowPunct w:val="0"/>
        <w:spacing w:after="260" w:line="276" w:lineRule="auto"/>
        <w:jc w:val="both"/>
        <w:textAlignment w:val="baseline"/>
        <w:rPr>
          <w:rFonts w:ascii="Arial" w:hAnsi="Arial" w:cs="Arial"/>
          <w:sz w:val="22"/>
          <w:szCs w:val="22"/>
        </w:rPr>
      </w:pPr>
      <w:r w:rsidRPr="00D70023">
        <w:rPr>
          <w:rFonts w:ascii="Arial" w:hAnsi="Arial" w:cs="Arial"/>
          <w:sz w:val="22"/>
          <w:szCs w:val="22"/>
        </w:rPr>
        <w:t xml:space="preserve">În calitate de societate cotată la categoria Premium a Bursei de Valori Bucuresti, CONPET </w:t>
      </w:r>
      <w:r>
        <w:rPr>
          <w:rFonts w:ascii="Arial" w:hAnsi="Arial" w:cs="Arial"/>
          <w:sz w:val="22"/>
          <w:szCs w:val="22"/>
        </w:rPr>
        <w:t xml:space="preserve">S.A. </w:t>
      </w:r>
      <w:r w:rsidRPr="00D70023">
        <w:rPr>
          <w:rFonts w:ascii="Arial" w:hAnsi="Arial" w:cs="Arial"/>
          <w:sz w:val="22"/>
          <w:szCs w:val="22"/>
        </w:rPr>
        <w:t xml:space="preserve">respectă întru totul obligaţiile de raportare către investitori şi către piaţă în general, întocmind şi transmiţând rapoartele periodice şi curente cerute de regulamentele Bursei. Societatea a implementat, de asemenea, o strategie de comunicare către alte părţi interesate (autorităţi şi comunităţi locale, presă, etc). </w:t>
      </w:r>
    </w:p>
    <w:p w:rsidR="00461FC5" w:rsidRPr="00D70023" w:rsidRDefault="00461FC5" w:rsidP="00461FC5">
      <w:pPr>
        <w:overflowPunct w:val="0"/>
        <w:spacing w:line="276" w:lineRule="auto"/>
        <w:jc w:val="both"/>
        <w:textAlignment w:val="baseline"/>
        <w:rPr>
          <w:rFonts w:ascii="Arial" w:hAnsi="Arial" w:cs="Arial"/>
          <w:sz w:val="22"/>
          <w:szCs w:val="22"/>
        </w:rPr>
      </w:pPr>
      <w:r w:rsidRPr="00D70023">
        <w:rPr>
          <w:rFonts w:ascii="Arial" w:hAnsi="Arial" w:cs="Arial"/>
          <w:sz w:val="22"/>
          <w:szCs w:val="22"/>
        </w:rPr>
        <w:t xml:space="preserve">Ca societate care activează într-un domeniu de activitate de </w:t>
      </w:r>
      <w:r w:rsidRPr="0016617E">
        <w:rPr>
          <w:rFonts w:ascii="Arial" w:hAnsi="Arial" w:cs="Arial"/>
          <w:color w:val="000000" w:themeColor="text1"/>
          <w:sz w:val="22"/>
          <w:szCs w:val="22"/>
        </w:rPr>
        <w:t xml:space="preserve">interes </w:t>
      </w:r>
      <w:r w:rsidRPr="0016617E">
        <w:rPr>
          <w:rFonts w:ascii="Arial" w:hAnsi="Arial" w:cs="Arial"/>
          <w:color w:val="000000" w:themeColor="text1"/>
          <w:sz w:val="22"/>
          <w:szCs w:val="22"/>
          <w:shd w:val="clear" w:color="auto" w:fill="FFFFFF"/>
        </w:rPr>
        <w:t>național și importanță strategică</w:t>
      </w:r>
      <w:r w:rsidRPr="0016617E">
        <w:rPr>
          <w:rFonts w:ascii="Arial" w:hAnsi="Arial" w:cs="Arial"/>
          <w:color w:val="000000" w:themeColor="text1"/>
          <w:sz w:val="22"/>
          <w:szCs w:val="22"/>
        </w:rPr>
        <w:t xml:space="preserve">, CONPET S.A. urmăreşte să atingă echilibrul adecvat între </w:t>
      </w:r>
      <w:r w:rsidRPr="00D70023">
        <w:rPr>
          <w:rFonts w:ascii="Arial" w:hAnsi="Arial" w:cs="Arial"/>
          <w:sz w:val="22"/>
          <w:szCs w:val="22"/>
        </w:rPr>
        <w:t xml:space="preserve">informaţiile de natură confidenţială şi cele de interes public. Au fost adoptate reglementări interne privind diseminarea informaţiei şi respectarea confidenţialităţii. </w:t>
      </w:r>
    </w:p>
    <w:p w:rsidR="00461FC5" w:rsidRPr="00D70023" w:rsidRDefault="00461FC5" w:rsidP="00461FC5">
      <w:pPr>
        <w:spacing w:line="276" w:lineRule="auto"/>
        <w:jc w:val="both"/>
        <w:rPr>
          <w:rFonts w:ascii="Arial" w:hAnsi="Arial" w:cs="Arial"/>
          <w:sz w:val="22"/>
          <w:szCs w:val="22"/>
        </w:rPr>
      </w:pPr>
    </w:p>
    <w:p w:rsidR="00461FC5" w:rsidRPr="00D70023" w:rsidRDefault="00461FC5" w:rsidP="00461FC5">
      <w:pPr>
        <w:spacing w:line="276" w:lineRule="auto"/>
        <w:jc w:val="both"/>
        <w:rPr>
          <w:rFonts w:ascii="Arial" w:hAnsi="Arial" w:cs="Arial"/>
          <w:sz w:val="22"/>
          <w:szCs w:val="22"/>
        </w:rPr>
      </w:pPr>
      <w:r w:rsidRPr="00D70023">
        <w:rPr>
          <w:rFonts w:ascii="Arial" w:hAnsi="Arial" w:cs="Arial"/>
          <w:sz w:val="22"/>
          <w:szCs w:val="22"/>
        </w:rPr>
        <w:t>Ȋn conformitate cu principiile guvernanţei corporative, CONPET a anunţat calendarul întâlnirilor cu analişti şi investitori, fiind organizate în semestrul I trei conferinţe telefonice cu analişti financiari din piaţa de capital, în care au fost dezb</w:t>
      </w:r>
      <w:r>
        <w:rPr>
          <w:rFonts w:ascii="Arial" w:hAnsi="Arial" w:cs="Arial"/>
          <w:sz w:val="22"/>
          <w:szCs w:val="22"/>
        </w:rPr>
        <w:t>ă</w:t>
      </w:r>
      <w:r w:rsidRPr="00D70023">
        <w:rPr>
          <w:rFonts w:ascii="Arial" w:hAnsi="Arial" w:cs="Arial"/>
          <w:sz w:val="22"/>
          <w:szCs w:val="22"/>
        </w:rPr>
        <w:t>tute raportăril</w:t>
      </w:r>
      <w:r>
        <w:rPr>
          <w:rFonts w:ascii="Arial" w:hAnsi="Arial" w:cs="Arial"/>
          <w:sz w:val="22"/>
          <w:szCs w:val="22"/>
        </w:rPr>
        <w:t>e</w:t>
      </w:r>
      <w:r w:rsidRPr="00D70023">
        <w:rPr>
          <w:rFonts w:ascii="Arial" w:hAnsi="Arial" w:cs="Arial"/>
          <w:sz w:val="22"/>
          <w:szCs w:val="22"/>
        </w:rPr>
        <w:t xml:space="preserve"> periodice ale companiei. Materialele de prezentare întocmite cu ocazia desfăşurării evenimentelor sus menţionate au fost publicate pe site-ul companiei.</w:t>
      </w:r>
      <w:r w:rsidR="00E97280">
        <w:rPr>
          <w:rFonts w:ascii="Arial" w:hAnsi="Arial" w:cs="Arial"/>
          <w:sz w:val="22"/>
          <w:szCs w:val="22"/>
        </w:rPr>
        <w:t xml:space="preserve"> </w:t>
      </w:r>
      <w:r w:rsidRPr="00D70023">
        <w:rPr>
          <w:rFonts w:ascii="Arial" w:hAnsi="Arial" w:cs="Arial"/>
          <w:sz w:val="22"/>
          <w:szCs w:val="22"/>
        </w:rPr>
        <w:t>De asemenea, reprezentanţii companiei au răspuns pozitiv la toate solicitările participanţilor la piaţa de capital.</w:t>
      </w:r>
    </w:p>
    <w:p w:rsidR="00461FC5" w:rsidRPr="00D70023" w:rsidRDefault="00461FC5" w:rsidP="00461FC5">
      <w:pPr>
        <w:spacing w:line="276" w:lineRule="auto"/>
        <w:rPr>
          <w:rFonts w:ascii="Arial" w:hAnsi="Arial" w:cs="Arial"/>
          <w:sz w:val="22"/>
          <w:szCs w:val="22"/>
        </w:rPr>
      </w:pPr>
    </w:p>
    <w:p w:rsidR="00461FC5" w:rsidRPr="00D70023" w:rsidRDefault="00461FC5" w:rsidP="00461FC5">
      <w:pPr>
        <w:spacing w:line="276" w:lineRule="auto"/>
        <w:jc w:val="both"/>
        <w:rPr>
          <w:rFonts w:ascii="Arial" w:hAnsi="Arial" w:cs="Arial"/>
          <w:sz w:val="22"/>
          <w:szCs w:val="22"/>
        </w:rPr>
      </w:pPr>
      <w:r w:rsidRPr="00D70023">
        <w:rPr>
          <w:rFonts w:ascii="Arial" w:hAnsi="Arial" w:cs="Arial"/>
          <w:sz w:val="22"/>
          <w:szCs w:val="22"/>
        </w:rPr>
        <w:t>Societatea a pus la dispoziția investitorilor un număr de contact și o adresă de email (</w:t>
      </w:r>
      <w:hyperlink r:id="rId29" w:history="1">
        <w:r w:rsidRPr="0030298C">
          <w:rPr>
            <w:rStyle w:val="Hyperlink"/>
            <w:rFonts w:ascii="Arial" w:hAnsi="Arial" w:cs="Arial"/>
            <w:color w:val="auto"/>
            <w:sz w:val="22"/>
            <w:szCs w:val="22"/>
          </w:rPr>
          <w:t>infoinvestitori@CONPET.ro</w:t>
        </w:r>
      </w:hyperlink>
      <w:r w:rsidRPr="0030298C">
        <w:rPr>
          <w:rFonts w:ascii="Arial" w:hAnsi="Arial" w:cs="Arial"/>
          <w:sz w:val="22"/>
          <w:szCs w:val="22"/>
        </w:rPr>
        <w:t>),</w:t>
      </w:r>
      <w:r w:rsidRPr="00D70023">
        <w:rPr>
          <w:rFonts w:ascii="Arial" w:hAnsi="Arial" w:cs="Arial"/>
          <w:sz w:val="22"/>
          <w:szCs w:val="22"/>
        </w:rPr>
        <w:t xml:space="preserve"> prin intermediul căreia aceștia pot adresa diverse întrebări, intrând astfel în contact direct cu echipa de relații cu investitorii a companiei. Bursa de Valori București a testat promptitudinea răspunsului și abordarea pe e-mail, respectiv acuratețea și calitatea informațiilor furnizate, trimițând câteva întrebări de pe o adresa de email aleatorie, calificativul primit în urma acest</w:t>
      </w:r>
      <w:r w:rsidR="00E97280">
        <w:rPr>
          <w:rFonts w:ascii="Arial" w:hAnsi="Arial" w:cs="Arial"/>
          <w:sz w:val="22"/>
          <w:szCs w:val="22"/>
        </w:rPr>
        <w:t xml:space="preserve">ei verificări inopinate fiind </w:t>
      </w:r>
      <w:r w:rsidR="00E97280">
        <w:rPr>
          <w:rFonts w:ascii="Arial" w:hAnsi="Arial" w:cs="Arial"/>
          <w:sz w:val="22"/>
          <w:szCs w:val="22"/>
          <w:lang w:val="en-US"/>
        </w:rPr>
        <w:t>“</w:t>
      </w:r>
      <w:r w:rsidRPr="00D70023">
        <w:rPr>
          <w:rFonts w:ascii="Arial" w:hAnsi="Arial" w:cs="Arial"/>
          <w:sz w:val="22"/>
          <w:szCs w:val="22"/>
        </w:rPr>
        <w:t>excelent”.</w:t>
      </w:r>
    </w:p>
    <w:p w:rsidR="00461FC5" w:rsidRDefault="00461FC5" w:rsidP="00461FC5">
      <w:pPr>
        <w:spacing w:line="276" w:lineRule="auto"/>
        <w:jc w:val="both"/>
        <w:rPr>
          <w:rFonts w:ascii="Arial" w:hAnsi="Arial" w:cs="Arial"/>
          <w:sz w:val="22"/>
          <w:szCs w:val="22"/>
        </w:rPr>
      </w:pPr>
    </w:p>
    <w:p w:rsidR="00461FC5" w:rsidRDefault="00461FC5" w:rsidP="00461FC5">
      <w:pPr>
        <w:spacing w:line="276" w:lineRule="auto"/>
        <w:jc w:val="both"/>
        <w:rPr>
          <w:rFonts w:ascii="Arial" w:hAnsi="Arial" w:cs="Arial"/>
          <w:sz w:val="22"/>
          <w:szCs w:val="22"/>
        </w:rPr>
      </w:pPr>
      <w:r w:rsidRPr="00D70023">
        <w:rPr>
          <w:rFonts w:ascii="Arial" w:hAnsi="Arial" w:cs="Arial"/>
          <w:sz w:val="22"/>
          <w:szCs w:val="22"/>
        </w:rPr>
        <w:t>Evoluția acțiunii CONPET S.A. este monitorizată de departamentele de research ale principalelor societăți de servicii de investiții financiare din piața de capital românească. Entitatea care gestionează relația cu investitorii menține o legatură permanentă  cu toți analiștii financiari din piața de capital.</w:t>
      </w:r>
    </w:p>
    <w:p w:rsidR="00461FC5" w:rsidRPr="00D70023" w:rsidRDefault="00461FC5" w:rsidP="00461FC5">
      <w:pPr>
        <w:spacing w:line="276" w:lineRule="auto"/>
        <w:rPr>
          <w:rFonts w:ascii="Arial" w:hAnsi="Arial" w:cs="Arial"/>
          <w:sz w:val="22"/>
          <w:szCs w:val="22"/>
        </w:rPr>
      </w:pPr>
    </w:p>
    <w:p w:rsidR="00461FC5" w:rsidRPr="00D70023" w:rsidRDefault="00461FC5" w:rsidP="00461FC5">
      <w:pPr>
        <w:overflowPunct w:val="0"/>
        <w:spacing w:line="276" w:lineRule="auto"/>
        <w:jc w:val="both"/>
        <w:textAlignment w:val="baseline"/>
        <w:rPr>
          <w:rFonts w:ascii="Arial" w:hAnsi="Arial" w:cs="Arial"/>
          <w:sz w:val="22"/>
          <w:szCs w:val="22"/>
          <w:lang w:eastAsia="en-US"/>
        </w:rPr>
      </w:pPr>
      <w:r w:rsidRPr="00D70023">
        <w:rPr>
          <w:rFonts w:ascii="Arial" w:hAnsi="Arial" w:cs="Arial"/>
          <w:sz w:val="22"/>
          <w:szCs w:val="22"/>
        </w:rPr>
        <w:t>La nivelul CONPET</w:t>
      </w:r>
      <w:r>
        <w:rPr>
          <w:rFonts w:ascii="Arial" w:hAnsi="Arial" w:cs="Arial"/>
          <w:sz w:val="22"/>
          <w:szCs w:val="22"/>
        </w:rPr>
        <w:t xml:space="preserve"> S.A.</w:t>
      </w:r>
      <w:r w:rsidRPr="00D70023">
        <w:rPr>
          <w:rFonts w:ascii="Arial" w:hAnsi="Arial" w:cs="Arial"/>
          <w:sz w:val="22"/>
          <w:szCs w:val="22"/>
        </w:rPr>
        <w:t xml:space="preserve"> structurile de guvernanţă corporativă sunt:</w:t>
      </w:r>
    </w:p>
    <w:p w:rsidR="00461FC5" w:rsidRPr="00D70023" w:rsidRDefault="00461FC5" w:rsidP="00461FC5">
      <w:pPr>
        <w:overflowPunct w:val="0"/>
        <w:spacing w:line="276" w:lineRule="auto"/>
        <w:ind w:left="720"/>
        <w:jc w:val="both"/>
        <w:rPr>
          <w:rFonts w:ascii="Arial" w:hAnsi="Arial" w:cs="Arial"/>
          <w:sz w:val="22"/>
          <w:szCs w:val="22"/>
          <w:lang w:val="en-GB"/>
        </w:rPr>
      </w:pPr>
      <w:r w:rsidRPr="00D70023">
        <w:rPr>
          <w:rFonts w:ascii="Arial" w:hAnsi="Arial" w:cs="Arial"/>
          <w:bCs/>
          <w:sz w:val="22"/>
          <w:szCs w:val="22"/>
        </w:rPr>
        <w:t>-</w:t>
      </w:r>
      <w:r w:rsidRPr="00D70023">
        <w:rPr>
          <w:rFonts w:ascii="Arial" w:hAnsi="Arial" w:cs="Arial"/>
          <w:b/>
          <w:bCs/>
          <w:sz w:val="22"/>
          <w:szCs w:val="22"/>
        </w:rPr>
        <w:t xml:space="preserve"> </w:t>
      </w:r>
      <w:r w:rsidRPr="00D70023">
        <w:rPr>
          <w:rFonts w:ascii="Arial" w:hAnsi="Arial" w:cs="Arial"/>
          <w:sz w:val="22"/>
          <w:szCs w:val="22"/>
          <w:lang w:val="en-GB"/>
        </w:rPr>
        <w:t>Adunarea Generală a Acţionarilor;</w:t>
      </w:r>
    </w:p>
    <w:p w:rsidR="00461FC5" w:rsidRPr="00D70023" w:rsidRDefault="00461FC5" w:rsidP="00461FC5">
      <w:pPr>
        <w:overflowPunct w:val="0"/>
        <w:spacing w:line="276" w:lineRule="auto"/>
        <w:ind w:left="720"/>
        <w:jc w:val="both"/>
        <w:rPr>
          <w:rFonts w:ascii="Arial" w:hAnsi="Arial" w:cs="Arial"/>
          <w:sz w:val="22"/>
          <w:szCs w:val="22"/>
          <w:lang w:val="en-US"/>
        </w:rPr>
      </w:pPr>
      <w:r w:rsidRPr="00D70023">
        <w:rPr>
          <w:rFonts w:ascii="Arial" w:hAnsi="Arial" w:cs="Arial"/>
          <w:sz w:val="22"/>
          <w:szCs w:val="22"/>
        </w:rPr>
        <w:t>- Consiliul de Administraţ</w:t>
      </w:r>
      <w:r w:rsidR="001363B6">
        <w:rPr>
          <w:rFonts w:ascii="Arial" w:hAnsi="Arial" w:cs="Arial"/>
          <w:sz w:val="22"/>
          <w:szCs w:val="22"/>
        </w:rPr>
        <w:t>ie și Comitetele C</w:t>
      </w:r>
      <w:r w:rsidRPr="00D70023">
        <w:rPr>
          <w:rFonts w:ascii="Arial" w:hAnsi="Arial" w:cs="Arial"/>
          <w:sz w:val="22"/>
          <w:szCs w:val="22"/>
        </w:rPr>
        <w:t>onsultative;</w:t>
      </w:r>
    </w:p>
    <w:p w:rsidR="00461FC5" w:rsidRPr="00D70023" w:rsidRDefault="00461FC5" w:rsidP="00461FC5">
      <w:pPr>
        <w:widowControl/>
        <w:autoSpaceDE/>
        <w:autoSpaceDN/>
        <w:adjustRightInd/>
        <w:spacing w:line="276" w:lineRule="auto"/>
        <w:ind w:firstLine="720"/>
        <w:jc w:val="both"/>
        <w:rPr>
          <w:rFonts w:ascii="Arial" w:eastAsia="Calibri" w:hAnsi="Arial" w:cs="Arial"/>
          <w:bCs/>
          <w:sz w:val="22"/>
          <w:szCs w:val="22"/>
          <w:lang w:val="pt-BR" w:eastAsia="en-US"/>
        </w:rPr>
      </w:pPr>
      <w:r w:rsidRPr="00D70023">
        <w:rPr>
          <w:rFonts w:ascii="Arial" w:hAnsi="Arial" w:cs="Arial"/>
          <w:sz w:val="22"/>
          <w:szCs w:val="22"/>
        </w:rPr>
        <w:t>- Directorul General.</w:t>
      </w:r>
    </w:p>
    <w:p w:rsidR="00461FC5" w:rsidRPr="00D70023" w:rsidRDefault="00461FC5" w:rsidP="00461FC5">
      <w:pPr>
        <w:widowControl/>
        <w:autoSpaceDE/>
        <w:autoSpaceDN/>
        <w:adjustRightInd/>
        <w:spacing w:line="276" w:lineRule="auto"/>
        <w:jc w:val="both"/>
        <w:rPr>
          <w:rFonts w:ascii="Arial" w:eastAsia="Calibri" w:hAnsi="Arial" w:cs="Arial"/>
          <w:bCs/>
          <w:sz w:val="22"/>
          <w:szCs w:val="22"/>
          <w:lang w:val="pt-BR" w:eastAsia="en-US"/>
        </w:rPr>
      </w:pPr>
    </w:p>
    <w:p w:rsidR="00461FC5" w:rsidRPr="00E46854" w:rsidRDefault="00461FC5" w:rsidP="00461FC5">
      <w:pPr>
        <w:widowControl/>
        <w:overflowPunct w:val="0"/>
        <w:spacing w:line="276" w:lineRule="auto"/>
        <w:jc w:val="both"/>
        <w:textAlignment w:val="baseline"/>
        <w:rPr>
          <w:rFonts w:ascii="Arial" w:hAnsi="Arial" w:cs="Arial"/>
          <w:b/>
          <w:bCs/>
          <w:color w:val="1F4E79" w:themeColor="accent1" w:themeShade="80"/>
          <w:sz w:val="22"/>
          <w:szCs w:val="22"/>
          <w:lang w:eastAsia="en-US"/>
        </w:rPr>
      </w:pPr>
      <w:r w:rsidRPr="00E46854">
        <w:rPr>
          <w:rFonts w:ascii="Arial" w:hAnsi="Arial" w:cs="Arial"/>
          <w:b/>
          <w:bCs/>
          <w:color w:val="1F4E79" w:themeColor="accent1" w:themeShade="80"/>
          <w:sz w:val="22"/>
          <w:szCs w:val="22"/>
          <w:lang w:eastAsia="en-US"/>
        </w:rPr>
        <w:t xml:space="preserve">Adunarea Generală a Acţionarilor </w:t>
      </w:r>
    </w:p>
    <w:p w:rsidR="00461FC5" w:rsidRPr="00D70023" w:rsidRDefault="00461FC5" w:rsidP="00461FC5">
      <w:pPr>
        <w:widowControl/>
        <w:overflowPunct w:val="0"/>
        <w:spacing w:line="276" w:lineRule="auto"/>
        <w:jc w:val="both"/>
        <w:textAlignment w:val="baseline"/>
        <w:rPr>
          <w:rFonts w:ascii="Arial" w:hAnsi="Arial" w:cs="Arial"/>
          <w:sz w:val="22"/>
          <w:szCs w:val="22"/>
          <w:lang w:eastAsia="en-US"/>
        </w:rPr>
      </w:pPr>
    </w:p>
    <w:p w:rsidR="00461FC5" w:rsidRDefault="00461FC5" w:rsidP="00461FC5">
      <w:pPr>
        <w:widowControl/>
        <w:overflowPunct w:val="0"/>
        <w:spacing w:line="276" w:lineRule="auto"/>
        <w:jc w:val="both"/>
        <w:textAlignment w:val="baseline"/>
        <w:rPr>
          <w:rFonts w:ascii="Arial" w:hAnsi="Arial" w:cs="Arial"/>
          <w:sz w:val="22"/>
          <w:szCs w:val="22"/>
          <w:lang w:eastAsia="en-US"/>
        </w:rPr>
      </w:pPr>
      <w:r w:rsidRPr="00D70023">
        <w:rPr>
          <w:rFonts w:ascii="Arial" w:hAnsi="Arial" w:cs="Arial"/>
          <w:sz w:val="22"/>
          <w:szCs w:val="22"/>
          <w:lang w:eastAsia="en-US"/>
        </w:rPr>
        <w:t>Structura acţionariatului, corespunzător structurii sintetice consolidate a acţionarilor la data de 30.06.2018, a fost următoarea:</w:t>
      </w:r>
    </w:p>
    <w:p w:rsidR="002963F3" w:rsidRPr="00D70023" w:rsidRDefault="002963F3" w:rsidP="00461FC5">
      <w:pPr>
        <w:widowControl/>
        <w:overflowPunct w:val="0"/>
        <w:spacing w:line="276" w:lineRule="auto"/>
        <w:jc w:val="both"/>
        <w:textAlignment w:val="baseline"/>
        <w:rPr>
          <w:rFonts w:ascii="Arial" w:hAnsi="Arial" w:cs="Arial"/>
          <w:sz w:val="22"/>
          <w:szCs w:val="22"/>
          <w:lang w:eastAsia="en-US"/>
        </w:rPr>
      </w:pPr>
    </w:p>
    <w:p w:rsidR="00461FC5" w:rsidRPr="00D70023" w:rsidRDefault="00461FC5" w:rsidP="00461FC5">
      <w:pPr>
        <w:widowControl/>
        <w:numPr>
          <w:ilvl w:val="0"/>
          <w:numId w:val="18"/>
        </w:numPr>
        <w:overflowPunct w:val="0"/>
        <w:autoSpaceDE/>
        <w:autoSpaceDN/>
        <w:adjustRightInd/>
        <w:spacing w:line="276" w:lineRule="auto"/>
        <w:jc w:val="both"/>
        <w:rPr>
          <w:rFonts w:ascii="Arial" w:hAnsi="Arial" w:cs="Arial"/>
          <w:sz w:val="22"/>
          <w:szCs w:val="22"/>
          <w:lang w:eastAsia="en-US"/>
        </w:rPr>
      </w:pPr>
      <w:r w:rsidRPr="00D70023">
        <w:rPr>
          <w:rFonts w:ascii="Arial" w:hAnsi="Arial" w:cs="Arial"/>
          <w:sz w:val="22"/>
          <w:szCs w:val="22"/>
          <w:lang w:eastAsia="en-US"/>
        </w:rPr>
        <w:t>Statul Român, reprezentat de Ministerul Energiei (ministerul de resort sau succesorii acestuia, potrivit legii)</w:t>
      </w:r>
    </w:p>
    <w:p w:rsidR="00461FC5" w:rsidRPr="00D70023" w:rsidRDefault="00461FC5" w:rsidP="00461FC5">
      <w:pPr>
        <w:widowControl/>
        <w:numPr>
          <w:ilvl w:val="0"/>
          <w:numId w:val="19"/>
        </w:numPr>
        <w:overflowPunct w:val="0"/>
        <w:autoSpaceDE/>
        <w:autoSpaceDN/>
        <w:adjustRightInd/>
        <w:spacing w:line="276" w:lineRule="auto"/>
        <w:jc w:val="both"/>
        <w:rPr>
          <w:rFonts w:ascii="Arial" w:hAnsi="Arial" w:cs="Arial"/>
          <w:sz w:val="22"/>
          <w:szCs w:val="22"/>
          <w:lang w:eastAsia="en-US"/>
        </w:rPr>
      </w:pPr>
      <w:r w:rsidRPr="00D70023">
        <w:rPr>
          <w:rFonts w:ascii="Arial" w:hAnsi="Arial" w:cs="Arial"/>
          <w:sz w:val="22"/>
          <w:szCs w:val="22"/>
          <w:lang w:eastAsia="en-US"/>
        </w:rPr>
        <w:t xml:space="preserve">Număr de acţiuni: </w:t>
      </w:r>
      <w:r w:rsidRPr="00D70023">
        <w:rPr>
          <w:rFonts w:ascii="Arial" w:hAnsi="Arial" w:cs="Arial"/>
          <w:sz w:val="22"/>
          <w:szCs w:val="22"/>
          <w:lang w:eastAsia="en-US"/>
        </w:rPr>
        <w:tab/>
      </w:r>
      <w:r w:rsidRPr="00D70023">
        <w:rPr>
          <w:rFonts w:ascii="Arial" w:hAnsi="Arial" w:cs="Arial"/>
          <w:sz w:val="22"/>
          <w:szCs w:val="22"/>
          <w:lang w:eastAsia="en-US"/>
        </w:rPr>
        <w:tab/>
      </w:r>
      <w:r w:rsidRPr="00D70023">
        <w:rPr>
          <w:rFonts w:ascii="Arial" w:hAnsi="Arial" w:cs="Arial"/>
          <w:sz w:val="22"/>
          <w:szCs w:val="22"/>
          <w:lang w:eastAsia="en-US"/>
        </w:rPr>
        <w:tab/>
      </w:r>
      <w:r w:rsidRPr="00D70023">
        <w:rPr>
          <w:rFonts w:ascii="Arial" w:hAnsi="Arial" w:cs="Arial"/>
          <w:sz w:val="22"/>
          <w:szCs w:val="22"/>
          <w:lang w:eastAsia="en-US"/>
        </w:rPr>
        <w:tab/>
      </w:r>
      <w:r w:rsidRPr="00D70023">
        <w:rPr>
          <w:rFonts w:ascii="Arial" w:hAnsi="Arial" w:cs="Arial"/>
          <w:sz w:val="22"/>
          <w:szCs w:val="22"/>
          <w:lang w:eastAsia="en-US"/>
        </w:rPr>
        <w:tab/>
      </w:r>
      <w:r w:rsidRPr="00D70023">
        <w:rPr>
          <w:rFonts w:ascii="Arial" w:hAnsi="Arial" w:cs="Arial"/>
          <w:sz w:val="22"/>
          <w:szCs w:val="22"/>
          <w:lang w:eastAsia="en-US"/>
        </w:rPr>
        <w:tab/>
        <w:t xml:space="preserve">  5.083.372</w:t>
      </w:r>
    </w:p>
    <w:p w:rsidR="00461FC5" w:rsidRPr="00D70023" w:rsidRDefault="00461FC5" w:rsidP="00461FC5">
      <w:pPr>
        <w:widowControl/>
        <w:numPr>
          <w:ilvl w:val="0"/>
          <w:numId w:val="19"/>
        </w:numPr>
        <w:overflowPunct w:val="0"/>
        <w:autoSpaceDE/>
        <w:autoSpaceDN/>
        <w:adjustRightInd/>
        <w:spacing w:line="276" w:lineRule="auto"/>
        <w:jc w:val="both"/>
        <w:rPr>
          <w:rFonts w:ascii="Arial" w:hAnsi="Arial" w:cs="Arial"/>
          <w:sz w:val="22"/>
          <w:szCs w:val="22"/>
          <w:lang w:eastAsia="en-US"/>
        </w:rPr>
      </w:pPr>
      <w:r w:rsidRPr="00D70023">
        <w:rPr>
          <w:rFonts w:ascii="Arial" w:hAnsi="Arial" w:cs="Arial"/>
          <w:sz w:val="22"/>
          <w:szCs w:val="22"/>
          <w:lang w:eastAsia="en-US"/>
        </w:rPr>
        <w:t xml:space="preserve">Valoare aport la capitalul social (lei): </w:t>
      </w:r>
      <w:r w:rsidRPr="00D70023">
        <w:rPr>
          <w:rFonts w:ascii="Arial" w:hAnsi="Arial" w:cs="Arial"/>
          <w:sz w:val="22"/>
          <w:szCs w:val="22"/>
          <w:lang w:eastAsia="en-US"/>
        </w:rPr>
        <w:tab/>
      </w:r>
      <w:r w:rsidRPr="00D70023">
        <w:rPr>
          <w:rFonts w:ascii="Arial" w:hAnsi="Arial" w:cs="Arial"/>
          <w:sz w:val="22"/>
          <w:szCs w:val="22"/>
          <w:lang w:eastAsia="en-US"/>
        </w:rPr>
        <w:tab/>
      </w:r>
      <w:r w:rsidRPr="00D70023">
        <w:rPr>
          <w:rFonts w:ascii="Arial" w:hAnsi="Arial" w:cs="Arial"/>
          <w:sz w:val="22"/>
          <w:szCs w:val="22"/>
          <w:lang w:eastAsia="en-US"/>
        </w:rPr>
        <w:tab/>
      </w:r>
      <w:r w:rsidRPr="00D70023">
        <w:rPr>
          <w:rFonts w:ascii="Arial" w:hAnsi="Arial" w:cs="Arial"/>
          <w:sz w:val="22"/>
          <w:szCs w:val="22"/>
          <w:lang w:eastAsia="en-US"/>
        </w:rPr>
        <w:tab/>
        <w:t>16.775.128</w:t>
      </w:r>
    </w:p>
    <w:p w:rsidR="00461FC5" w:rsidRPr="00D70023" w:rsidRDefault="00461FC5" w:rsidP="00461FC5">
      <w:pPr>
        <w:widowControl/>
        <w:numPr>
          <w:ilvl w:val="0"/>
          <w:numId w:val="19"/>
        </w:numPr>
        <w:overflowPunct w:val="0"/>
        <w:autoSpaceDE/>
        <w:autoSpaceDN/>
        <w:adjustRightInd/>
        <w:spacing w:line="276" w:lineRule="auto"/>
        <w:jc w:val="both"/>
        <w:rPr>
          <w:rFonts w:ascii="Arial" w:hAnsi="Arial" w:cs="Arial"/>
          <w:sz w:val="22"/>
          <w:szCs w:val="22"/>
          <w:lang w:eastAsia="en-US"/>
        </w:rPr>
      </w:pPr>
      <w:r w:rsidRPr="00D70023">
        <w:rPr>
          <w:rFonts w:ascii="Arial" w:hAnsi="Arial" w:cs="Arial"/>
          <w:sz w:val="22"/>
          <w:szCs w:val="22"/>
          <w:lang w:eastAsia="en-US"/>
        </w:rPr>
        <w:t xml:space="preserve">Cota de participare la profit şi pierdere (%): </w:t>
      </w:r>
      <w:r w:rsidRPr="00D70023">
        <w:rPr>
          <w:rFonts w:ascii="Arial" w:hAnsi="Arial" w:cs="Arial"/>
          <w:sz w:val="22"/>
          <w:szCs w:val="22"/>
          <w:lang w:eastAsia="en-US"/>
        </w:rPr>
        <w:tab/>
      </w:r>
      <w:r w:rsidRPr="00D70023">
        <w:rPr>
          <w:rFonts w:ascii="Arial" w:hAnsi="Arial" w:cs="Arial"/>
          <w:sz w:val="22"/>
          <w:szCs w:val="22"/>
          <w:lang w:eastAsia="en-US"/>
        </w:rPr>
        <w:tab/>
        <w:t xml:space="preserve">                 58,7162</w:t>
      </w:r>
    </w:p>
    <w:p w:rsidR="00643AAB" w:rsidRPr="00D70023" w:rsidRDefault="00643AAB" w:rsidP="00461FC5">
      <w:pPr>
        <w:widowControl/>
        <w:overflowPunct w:val="0"/>
        <w:adjustRightInd/>
        <w:spacing w:line="276" w:lineRule="auto"/>
        <w:ind w:left="360"/>
        <w:jc w:val="both"/>
        <w:rPr>
          <w:rFonts w:ascii="Arial" w:hAnsi="Arial" w:cs="Arial"/>
          <w:sz w:val="22"/>
          <w:szCs w:val="22"/>
          <w:lang w:eastAsia="en-US"/>
        </w:rPr>
      </w:pPr>
    </w:p>
    <w:p w:rsidR="00461FC5" w:rsidRPr="00D70023" w:rsidRDefault="00461FC5" w:rsidP="00461FC5">
      <w:pPr>
        <w:widowControl/>
        <w:numPr>
          <w:ilvl w:val="0"/>
          <w:numId w:val="18"/>
        </w:numPr>
        <w:overflowPunct w:val="0"/>
        <w:autoSpaceDE/>
        <w:autoSpaceDN/>
        <w:adjustRightInd/>
        <w:spacing w:line="276" w:lineRule="auto"/>
        <w:jc w:val="both"/>
        <w:rPr>
          <w:rFonts w:ascii="Arial" w:hAnsi="Arial" w:cs="Arial"/>
          <w:sz w:val="22"/>
          <w:szCs w:val="22"/>
          <w:lang w:eastAsia="en-US"/>
        </w:rPr>
      </w:pPr>
      <w:r w:rsidRPr="00D70023">
        <w:rPr>
          <w:rFonts w:ascii="Arial" w:hAnsi="Arial" w:cs="Arial"/>
          <w:sz w:val="22"/>
          <w:szCs w:val="22"/>
          <w:lang w:eastAsia="en-US"/>
        </w:rPr>
        <w:lastRenderedPageBreak/>
        <w:t>Persoane juridice (91 acționari)</w:t>
      </w:r>
    </w:p>
    <w:p w:rsidR="00461FC5" w:rsidRPr="00D70023" w:rsidRDefault="00461FC5" w:rsidP="00461FC5">
      <w:pPr>
        <w:widowControl/>
        <w:numPr>
          <w:ilvl w:val="0"/>
          <w:numId w:val="19"/>
        </w:numPr>
        <w:tabs>
          <w:tab w:val="left" w:pos="6570"/>
        </w:tabs>
        <w:overflowPunct w:val="0"/>
        <w:autoSpaceDE/>
        <w:autoSpaceDN/>
        <w:adjustRightInd/>
        <w:spacing w:line="276" w:lineRule="auto"/>
        <w:jc w:val="both"/>
        <w:rPr>
          <w:rFonts w:ascii="Arial" w:hAnsi="Arial" w:cs="Arial"/>
          <w:sz w:val="22"/>
          <w:szCs w:val="22"/>
          <w:lang w:eastAsia="en-US"/>
        </w:rPr>
      </w:pPr>
      <w:r w:rsidRPr="00D70023">
        <w:rPr>
          <w:rFonts w:ascii="Arial" w:hAnsi="Arial" w:cs="Arial"/>
          <w:sz w:val="22"/>
          <w:szCs w:val="22"/>
          <w:lang w:eastAsia="en-US"/>
        </w:rPr>
        <w:t xml:space="preserve">Număr de acţiuni: </w:t>
      </w:r>
      <w:r w:rsidRPr="00D70023">
        <w:rPr>
          <w:rFonts w:ascii="Arial" w:hAnsi="Arial" w:cs="Arial"/>
          <w:sz w:val="22"/>
          <w:szCs w:val="22"/>
          <w:lang w:eastAsia="en-US"/>
        </w:rPr>
        <w:tab/>
        <w:t>2.536.458</w:t>
      </w:r>
    </w:p>
    <w:p w:rsidR="00461FC5" w:rsidRPr="00D70023" w:rsidRDefault="00461FC5" w:rsidP="00461FC5">
      <w:pPr>
        <w:widowControl/>
        <w:numPr>
          <w:ilvl w:val="0"/>
          <w:numId w:val="19"/>
        </w:numPr>
        <w:overflowPunct w:val="0"/>
        <w:autoSpaceDE/>
        <w:autoSpaceDN/>
        <w:adjustRightInd/>
        <w:spacing w:line="276" w:lineRule="auto"/>
        <w:jc w:val="both"/>
        <w:rPr>
          <w:rFonts w:ascii="Arial" w:hAnsi="Arial" w:cs="Arial"/>
          <w:sz w:val="22"/>
          <w:szCs w:val="22"/>
          <w:lang w:eastAsia="en-US"/>
        </w:rPr>
      </w:pPr>
      <w:r w:rsidRPr="00D70023">
        <w:rPr>
          <w:rFonts w:ascii="Arial" w:hAnsi="Arial" w:cs="Arial"/>
          <w:sz w:val="22"/>
          <w:szCs w:val="22"/>
          <w:lang w:eastAsia="en-US"/>
        </w:rPr>
        <w:t>Valoare aport la capitalul social (lei)</w:t>
      </w:r>
      <w:r w:rsidR="00016211">
        <w:rPr>
          <w:rFonts w:ascii="Arial" w:hAnsi="Arial" w:cs="Arial"/>
          <w:sz w:val="22"/>
          <w:szCs w:val="22"/>
          <w:lang w:eastAsia="en-US"/>
        </w:rPr>
        <w:t>:</w:t>
      </w:r>
      <w:r w:rsidRPr="00D70023">
        <w:rPr>
          <w:rFonts w:ascii="Arial" w:hAnsi="Arial" w:cs="Arial"/>
          <w:sz w:val="22"/>
          <w:szCs w:val="22"/>
          <w:lang w:eastAsia="en-US"/>
        </w:rPr>
        <w:tab/>
      </w:r>
      <w:r w:rsidRPr="00D70023">
        <w:rPr>
          <w:rFonts w:ascii="Arial" w:hAnsi="Arial" w:cs="Arial"/>
          <w:sz w:val="22"/>
          <w:szCs w:val="22"/>
          <w:lang w:eastAsia="en-US"/>
        </w:rPr>
        <w:tab/>
      </w:r>
      <w:r w:rsidRPr="00D70023">
        <w:rPr>
          <w:rFonts w:ascii="Arial" w:hAnsi="Arial" w:cs="Arial"/>
          <w:sz w:val="22"/>
          <w:szCs w:val="22"/>
          <w:lang w:eastAsia="en-US"/>
        </w:rPr>
        <w:tab/>
        <w:t xml:space="preserve">              </w:t>
      </w:r>
      <w:r w:rsidRPr="00D70023">
        <w:rPr>
          <w:rFonts w:ascii="Arial" w:hAnsi="Arial" w:cs="Arial"/>
          <w:sz w:val="22"/>
          <w:szCs w:val="22"/>
          <w:lang w:val="en-GB" w:eastAsia="en-US"/>
        </w:rPr>
        <w:t>8.370.311</w:t>
      </w:r>
    </w:p>
    <w:p w:rsidR="00461FC5" w:rsidRPr="00D70023" w:rsidRDefault="00461FC5" w:rsidP="00461FC5">
      <w:pPr>
        <w:widowControl/>
        <w:numPr>
          <w:ilvl w:val="0"/>
          <w:numId w:val="19"/>
        </w:numPr>
        <w:overflowPunct w:val="0"/>
        <w:autoSpaceDE/>
        <w:autoSpaceDN/>
        <w:adjustRightInd/>
        <w:spacing w:line="276" w:lineRule="auto"/>
        <w:jc w:val="both"/>
        <w:rPr>
          <w:rFonts w:ascii="Arial" w:hAnsi="Arial" w:cs="Arial"/>
          <w:sz w:val="22"/>
          <w:szCs w:val="22"/>
          <w:lang w:eastAsia="en-US"/>
        </w:rPr>
      </w:pPr>
      <w:r w:rsidRPr="00D70023">
        <w:rPr>
          <w:rFonts w:ascii="Arial" w:hAnsi="Arial" w:cs="Arial"/>
          <w:sz w:val="22"/>
          <w:szCs w:val="22"/>
          <w:lang w:eastAsia="en-US"/>
        </w:rPr>
        <w:t>Cota de participare la profit şi pierdere (%):                               29,2977</w:t>
      </w:r>
    </w:p>
    <w:p w:rsidR="00461FC5" w:rsidRPr="00D70023" w:rsidRDefault="00461FC5" w:rsidP="00461FC5">
      <w:pPr>
        <w:widowControl/>
        <w:overflowPunct w:val="0"/>
        <w:autoSpaceDE/>
        <w:autoSpaceDN/>
        <w:adjustRightInd/>
        <w:spacing w:line="276" w:lineRule="auto"/>
        <w:ind w:left="720"/>
        <w:jc w:val="both"/>
        <w:rPr>
          <w:rFonts w:ascii="Arial" w:hAnsi="Arial" w:cs="Arial"/>
          <w:sz w:val="22"/>
          <w:szCs w:val="22"/>
          <w:lang w:eastAsia="en-US"/>
        </w:rPr>
      </w:pPr>
    </w:p>
    <w:p w:rsidR="00461FC5" w:rsidRPr="00D70023" w:rsidRDefault="00461FC5" w:rsidP="00461FC5">
      <w:pPr>
        <w:widowControl/>
        <w:numPr>
          <w:ilvl w:val="0"/>
          <w:numId w:val="18"/>
        </w:numPr>
        <w:overflowPunct w:val="0"/>
        <w:autoSpaceDE/>
        <w:autoSpaceDN/>
        <w:adjustRightInd/>
        <w:spacing w:line="276" w:lineRule="auto"/>
        <w:jc w:val="both"/>
        <w:rPr>
          <w:rFonts w:ascii="Arial" w:hAnsi="Arial" w:cs="Arial"/>
          <w:sz w:val="22"/>
          <w:szCs w:val="22"/>
        </w:rPr>
      </w:pPr>
      <w:r w:rsidRPr="00D70023">
        <w:rPr>
          <w:rFonts w:ascii="Arial" w:hAnsi="Arial" w:cs="Arial"/>
          <w:sz w:val="22"/>
          <w:szCs w:val="22"/>
        </w:rPr>
        <w:t>Persoane fizice (12.620 acționari)</w:t>
      </w:r>
    </w:p>
    <w:p w:rsidR="00461FC5" w:rsidRPr="00D70023" w:rsidRDefault="00461FC5" w:rsidP="00461FC5">
      <w:pPr>
        <w:widowControl/>
        <w:numPr>
          <w:ilvl w:val="0"/>
          <w:numId w:val="19"/>
        </w:numPr>
        <w:overflowPunct w:val="0"/>
        <w:autoSpaceDE/>
        <w:autoSpaceDN/>
        <w:adjustRightInd/>
        <w:spacing w:line="276" w:lineRule="auto"/>
        <w:jc w:val="both"/>
        <w:rPr>
          <w:rFonts w:ascii="Arial" w:hAnsi="Arial" w:cs="Arial"/>
          <w:sz w:val="22"/>
          <w:szCs w:val="22"/>
        </w:rPr>
      </w:pPr>
      <w:r w:rsidRPr="00D70023">
        <w:rPr>
          <w:rFonts w:ascii="Arial" w:hAnsi="Arial" w:cs="Arial"/>
          <w:sz w:val="22"/>
          <w:szCs w:val="22"/>
        </w:rPr>
        <w:t xml:space="preserve">Număr de acţiuni: </w:t>
      </w:r>
      <w:r w:rsidRPr="00D70023">
        <w:rPr>
          <w:rFonts w:ascii="Arial" w:hAnsi="Arial" w:cs="Arial"/>
          <w:sz w:val="22"/>
          <w:szCs w:val="22"/>
        </w:rPr>
        <w:tab/>
      </w:r>
      <w:r w:rsidRPr="00D70023">
        <w:rPr>
          <w:rFonts w:ascii="Arial" w:hAnsi="Arial" w:cs="Arial"/>
          <w:sz w:val="22"/>
          <w:szCs w:val="22"/>
        </w:rPr>
        <w:tab/>
      </w:r>
      <w:r w:rsidRPr="00D70023">
        <w:rPr>
          <w:rFonts w:ascii="Arial" w:hAnsi="Arial" w:cs="Arial"/>
          <w:sz w:val="22"/>
          <w:szCs w:val="22"/>
        </w:rPr>
        <w:tab/>
      </w:r>
      <w:r w:rsidRPr="00D70023">
        <w:rPr>
          <w:rFonts w:ascii="Arial" w:hAnsi="Arial" w:cs="Arial"/>
          <w:sz w:val="22"/>
          <w:szCs w:val="22"/>
        </w:rPr>
        <w:tab/>
      </w:r>
      <w:r w:rsidRPr="00D70023">
        <w:rPr>
          <w:rFonts w:ascii="Arial" w:hAnsi="Arial" w:cs="Arial"/>
          <w:sz w:val="22"/>
          <w:szCs w:val="22"/>
        </w:rPr>
        <w:tab/>
      </w:r>
      <w:r w:rsidRPr="00D70023">
        <w:rPr>
          <w:rFonts w:ascii="Arial" w:hAnsi="Arial" w:cs="Arial"/>
          <w:sz w:val="22"/>
          <w:szCs w:val="22"/>
        </w:rPr>
        <w:tab/>
        <w:t xml:space="preserve">  1.037.698</w:t>
      </w:r>
    </w:p>
    <w:p w:rsidR="00461FC5" w:rsidRPr="00D70023" w:rsidRDefault="00461FC5" w:rsidP="00461FC5">
      <w:pPr>
        <w:widowControl/>
        <w:numPr>
          <w:ilvl w:val="0"/>
          <w:numId w:val="19"/>
        </w:numPr>
        <w:overflowPunct w:val="0"/>
        <w:autoSpaceDE/>
        <w:autoSpaceDN/>
        <w:adjustRightInd/>
        <w:spacing w:line="276" w:lineRule="auto"/>
        <w:jc w:val="both"/>
        <w:rPr>
          <w:rFonts w:ascii="Arial" w:hAnsi="Arial" w:cs="Arial"/>
          <w:sz w:val="22"/>
          <w:szCs w:val="22"/>
        </w:rPr>
      </w:pPr>
      <w:r w:rsidRPr="00D70023">
        <w:rPr>
          <w:rFonts w:ascii="Arial" w:hAnsi="Arial" w:cs="Arial"/>
          <w:sz w:val="22"/>
          <w:szCs w:val="22"/>
        </w:rPr>
        <w:t xml:space="preserve">Valoare aport la capitalul social (lei): </w:t>
      </w:r>
      <w:r w:rsidRPr="00D70023">
        <w:rPr>
          <w:rFonts w:ascii="Arial" w:hAnsi="Arial" w:cs="Arial"/>
          <w:sz w:val="22"/>
          <w:szCs w:val="22"/>
        </w:rPr>
        <w:tab/>
      </w:r>
      <w:r w:rsidRPr="00D70023">
        <w:rPr>
          <w:rFonts w:ascii="Arial" w:hAnsi="Arial" w:cs="Arial"/>
          <w:sz w:val="22"/>
          <w:szCs w:val="22"/>
        </w:rPr>
        <w:tab/>
      </w:r>
      <w:r w:rsidRPr="00D70023">
        <w:rPr>
          <w:rFonts w:ascii="Arial" w:hAnsi="Arial" w:cs="Arial"/>
          <w:sz w:val="22"/>
          <w:szCs w:val="22"/>
        </w:rPr>
        <w:tab/>
      </w:r>
      <w:r w:rsidRPr="00D70023">
        <w:rPr>
          <w:rFonts w:ascii="Arial" w:hAnsi="Arial" w:cs="Arial"/>
          <w:sz w:val="22"/>
          <w:szCs w:val="22"/>
        </w:rPr>
        <w:tab/>
        <w:t xml:space="preserve">  3.424.403</w:t>
      </w:r>
    </w:p>
    <w:p w:rsidR="00461FC5" w:rsidRPr="00D70023" w:rsidRDefault="00461FC5" w:rsidP="00461FC5">
      <w:pPr>
        <w:widowControl/>
        <w:numPr>
          <w:ilvl w:val="0"/>
          <w:numId w:val="19"/>
        </w:numPr>
        <w:overflowPunct w:val="0"/>
        <w:autoSpaceDE/>
        <w:autoSpaceDN/>
        <w:adjustRightInd/>
        <w:spacing w:line="276" w:lineRule="auto"/>
        <w:jc w:val="both"/>
        <w:rPr>
          <w:rFonts w:ascii="Arial" w:hAnsi="Arial" w:cs="Arial"/>
          <w:sz w:val="22"/>
          <w:szCs w:val="22"/>
        </w:rPr>
      </w:pPr>
      <w:r w:rsidRPr="00D70023">
        <w:rPr>
          <w:rFonts w:ascii="Arial" w:hAnsi="Arial" w:cs="Arial"/>
          <w:sz w:val="22"/>
          <w:szCs w:val="22"/>
        </w:rPr>
        <w:t xml:space="preserve">Cota de participare la profit şi pierdere (%): </w:t>
      </w:r>
      <w:r w:rsidRPr="00D70023">
        <w:rPr>
          <w:rFonts w:ascii="Arial" w:hAnsi="Arial" w:cs="Arial"/>
          <w:sz w:val="22"/>
          <w:szCs w:val="22"/>
        </w:rPr>
        <w:tab/>
      </w:r>
      <w:r w:rsidRPr="00D70023">
        <w:rPr>
          <w:rFonts w:ascii="Arial" w:hAnsi="Arial" w:cs="Arial"/>
          <w:sz w:val="22"/>
          <w:szCs w:val="22"/>
        </w:rPr>
        <w:tab/>
        <w:t xml:space="preserve">                 11,9861</w:t>
      </w:r>
    </w:p>
    <w:p w:rsidR="00461FC5" w:rsidRPr="00D70023" w:rsidRDefault="00461FC5" w:rsidP="00461FC5">
      <w:pPr>
        <w:widowControl/>
        <w:overflowPunct w:val="0"/>
        <w:spacing w:line="276" w:lineRule="auto"/>
        <w:jc w:val="both"/>
        <w:textAlignment w:val="baseline"/>
        <w:rPr>
          <w:rFonts w:ascii="Arial" w:hAnsi="Arial" w:cs="Arial"/>
          <w:sz w:val="22"/>
          <w:szCs w:val="22"/>
          <w:lang w:eastAsia="en-US"/>
        </w:rPr>
      </w:pPr>
    </w:p>
    <w:p w:rsidR="00461FC5" w:rsidRPr="00D70023" w:rsidRDefault="00461FC5" w:rsidP="00461FC5">
      <w:pPr>
        <w:widowControl/>
        <w:overflowPunct w:val="0"/>
        <w:spacing w:line="276" w:lineRule="auto"/>
        <w:jc w:val="both"/>
        <w:textAlignment w:val="baseline"/>
        <w:rPr>
          <w:rFonts w:ascii="Arial" w:hAnsi="Arial" w:cs="Arial"/>
          <w:sz w:val="22"/>
          <w:szCs w:val="22"/>
          <w:lang w:eastAsia="en-US"/>
        </w:rPr>
      </w:pPr>
      <w:r w:rsidRPr="00D70023">
        <w:rPr>
          <w:rFonts w:ascii="Arial" w:hAnsi="Arial" w:cs="Arial"/>
          <w:sz w:val="22"/>
          <w:szCs w:val="22"/>
          <w:lang w:eastAsia="en-US"/>
        </w:rPr>
        <w:t>Acţionarul majoritar al societăţii CONPET este Statul Român. Drepturile şi îndatoririle Statului Român, în calitate de acţionar majoritar, sunt exercitate în Adunările Generale ale Acţionarilor, de către Ministerul Energiei, au</w:t>
      </w:r>
      <w:r>
        <w:rPr>
          <w:rFonts w:ascii="Arial" w:hAnsi="Arial" w:cs="Arial"/>
          <w:sz w:val="22"/>
          <w:szCs w:val="22"/>
          <w:lang w:eastAsia="en-US"/>
        </w:rPr>
        <w:t xml:space="preserve">toritatea tutelară a societății, </w:t>
      </w:r>
      <w:r w:rsidRPr="00D70023">
        <w:rPr>
          <w:rFonts w:ascii="Arial" w:hAnsi="Arial" w:cs="Arial"/>
          <w:sz w:val="22"/>
          <w:szCs w:val="22"/>
          <w:lang w:eastAsia="en-US"/>
        </w:rPr>
        <w:t>prin reprezentanţi special desemnaţi.</w:t>
      </w:r>
    </w:p>
    <w:p w:rsidR="00461FC5" w:rsidRPr="00D70023" w:rsidRDefault="00461FC5" w:rsidP="00461FC5">
      <w:pPr>
        <w:widowControl/>
        <w:tabs>
          <w:tab w:val="left" w:pos="6840"/>
        </w:tabs>
        <w:overflowPunct w:val="0"/>
        <w:spacing w:line="276" w:lineRule="auto"/>
        <w:ind w:right="-15"/>
        <w:jc w:val="both"/>
        <w:textAlignment w:val="baseline"/>
        <w:rPr>
          <w:rFonts w:ascii="Arial" w:hAnsi="Arial" w:cs="Arial"/>
          <w:sz w:val="22"/>
          <w:szCs w:val="22"/>
          <w:lang w:eastAsia="en-US"/>
        </w:rPr>
      </w:pPr>
    </w:p>
    <w:p w:rsidR="00461FC5" w:rsidRPr="00D70023" w:rsidRDefault="00461FC5" w:rsidP="00461FC5">
      <w:pPr>
        <w:widowControl/>
        <w:tabs>
          <w:tab w:val="left" w:pos="6840"/>
        </w:tabs>
        <w:overflowPunct w:val="0"/>
        <w:spacing w:line="276" w:lineRule="auto"/>
        <w:ind w:right="-15"/>
        <w:jc w:val="both"/>
        <w:textAlignment w:val="baseline"/>
        <w:rPr>
          <w:rFonts w:ascii="Arial" w:hAnsi="Arial" w:cs="Arial"/>
          <w:sz w:val="22"/>
          <w:szCs w:val="22"/>
          <w:lang w:eastAsia="en-US"/>
        </w:rPr>
      </w:pPr>
      <w:r w:rsidRPr="00D70023">
        <w:rPr>
          <w:rFonts w:ascii="Arial" w:hAnsi="Arial" w:cs="Arial"/>
          <w:sz w:val="22"/>
          <w:szCs w:val="22"/>
          <w:lang w:eastAsia="en-US"/>
        </w:rPr>
        <w:t>Acţionarii îşi exercită drepturile în cadrul Adunării Generale a Acţionarilor („AGA”), care reprezintă cel mai înalt organism decizional al societăţii. Competenţele de aprobare ale Adunării Generale a Acţionarilor, condiţiile de organizare şi de validitate a acestor şedinţe sunt stabilite în Actul Constitutiv al societăţii, în conformitate cu reglementările aplicabile, şi se completează cu prev</w:t>
      </w:r>
      <w:r w:rsidR="00F64F32">
        <w:rPr>
          <w:rFonts w:ascii="Arial" w:hAnsi="Arial" w:cs="Arial"/>
          <w:sz w:val="22"/>
          <w:szCs w:val="22"/>
          <w:lang w:eastAsia="en-US"/>
        </w:rPr>
        <w:t>ederile legale incidente. Atât Actul C</w:t>
      </w:r>
      <w:r w:rsidRPr="00D70023">
        <w:rPr>
          <w:rFonts w:ascii="Arial" w:hAnsi="Arial" w:cs="Arial"/>
          <w:sz w:val="22"/>
          <w:szCs w:val="22"/>
          <w:lang w:eastAsia="en-US"/>
        </w:rPr>
        <w:t>onstitutiv al societății, cât și drepturile acționarilor sunt postate pe site-ul companiei la următoarele adrese:</w:t>
      </w:r>
    </w:p>
    <w:p w:rsidR="00461FC5" w:rsidRPr="00D70023" w:rsidRDefault="00461FC5" w:rsidP="00461FC5">
      <w:pPr>
        <w:widowControl/>
        <w:tabs>
          <w:tab w:val="left" w:pos="6840"/>
        </w:tabs>
        <w:overflowPunct w:val="0"/>
        <w:spacing w:line="276" w:lineRule="auto"/>
        <w:ind w:right="-15"/>
        <w:jc w:val="both"/>
        <w:textAlignment w:val="baseline"/>
        <w:rPr>
          <w:rFonts w:ascii="Arial" w:hAnsi="Arial" w:cs="Arial"/>
          <w:sz w:val="22"/>
          <w:szCs w:val="22"/>
          <w:u w:val="single"/>
          <w:lang w:eastAsia="en-US"/>
        </w:rPr>
      </w:pPr>
      <w:r w:rsidRPr="00D70023">
        <w:rPr>
          <w:rFonts w:ascii="Arial" w:hAnsi="Arial" w:cs="Arial"/>
          <w:sz w:val="22"/>
          <w:szCs w:val="22"/>
          <w:u w:val="single"/>
          <w:lang w:eastAsia="en-US"/>
        </w:rPr>
        <w:t>https://www.conpet.ro/wp-content/uploads/2015/11/Act-Constitutiv-la-17.05.2018.pdf</w:t>
      </w:r>
    </w:p>
    <w:p w:rsidR="00461FC5" w:rsidRPr="00D70023" w:rsidRDefault="0069434A" w:rsidP="00461FC5">
      <w:pPr>
        <w:widowControl/>
        <w:tabs>
          <w:tab w:val="left" w:pos="6840"/>
        </w:tabs>
        <w:overflowPunct w:val="0"/>
        <w:spacing w:line="276" w:lineRule="auto"/>
        <w:ind w:right="-15"/>
        <w:jc w:val="both"/>
        <w:textAlignment w:val="baseline"/>
        <w:rPr>
          <w:rFonts w:ascii="Arial" w:hAnsi="Arial" w:cs="Arial"/>
          <w:sz w:val="22"/>
          <w:szCs w:val="22"/>
          <w:lang w:eastAsia="en-US"/>
        </w:rPr>
      </w:pPr>
      <w:hyperlink r:id="rId30" w:history="1">
        <w:r w:rsidR="00461FC5" w:rsidRPr="00D70023">
          <w:rPr>
            <w:rFonts w:ascii="Arial" w:hAnsi="Arial" w:cs="Arial"/>
            <w:sz w:val="22"/>
            <w:szCs w:val="22"/>
            <w:u w:val="single"/>
            <w:lang w:eastAsia="en-US"/>
          </w:rPr>
          <w:t>http://www.CONPET.ro/relatia-cu-investitorii/info-actionari/</w:t>
        </w:r>
      </w:hyperlink>
      <w:r w:rsidR="00461FC5" w:rsidRPr="00D70023">
        <w:rPr>
          <w:rFonts w:ascii="Arial" w:hAnsi="Arial" w:cs="Arial"/>
          <w:sz w:val="22"/>
          <w:szCs w:val="22"/>
          <w:lang w:eastAsia="en-US"/>
        </w:rPr>
        <w:t xml:space="preserve"> </w:t>
      </w:r>
    </w:p>
    <w:p w:rsidR="00461FC5" w:rsidRPr="00D70023" w:rsidRDefault="00461FC5" w:rsidP="00461FC5">
      <w:pPr>
        <w:widowControl/>
        <w:overflowPunct w:val="0"/>
        <w:spacing w:line="276" w:lineRule="auto"/>
        <w:jc w:val="both"/>
        <w:textAlignment w:val="baseline"/>
        <w:rPr>
          <w:rFonts w:ascii="Arial" w:hAnsi="Arial" w:cs="Arial"/>
          <w:sz w:val="22"/>
          <w:szCs w:val="22"/>
          <w:lang w:eastAsia="en-US"/>
        </w:rPr>
      </w:pPr>
    </w:p>
    <w:p w:rsidR="00461FC5" w:rsidRPr="00D70023" w:rsidRDefault="00461FC5" w:rsidP="00461FC5">
      <w:pPr>
        <w:widowControl/>
        <w:overflowPunct w:val="0"/>
        <w:spacing w:after="260" w:line="276" w:lineRule="auto"/>
        <w:jc w:val="both"/>
        <w:textAlignment w:val="baseline"/>
        <w:rPr>
          <w:rFonts w:ascii="Arial" w:hAnsi="Arial" w:cs="Arial"/>
          <w:sz w:val="22"/>
          <w:szCs w:val="22"/>
          <w:lang w:eastAsia="en-US"/>
        </w:rPr>
      </w:pPr>
      <w:r w:rsidRPr="00D70023">
        <w:rPr>
          <w:rFonts w:ascii="Arial" w:hAnsi="Arial" w:cs="Arial"/>
          <w:sz w:val="22"/>
          <w:szCs w:val="22"/>
          <w:lang w:eastAsia="en-US"/>
        </w:rPr>
        <w:t>Potrivit legii, fiecare acţiune subscrisă şi plătită, conferă deţinătorului dreptul la un vot în Adunarea Generală a Acţionarilor, dreptul de a alege şi de a fi ales în organele de conducere, dreptul de a participa la distribuirea dividendelor conform prevederilor Actului Constitutiv şi dispoziţiilor legale, precum şi alte drepturi prevăzute de acestea.</w:t>
      </w:r>
    </w:p>
    <w:p w:rsidR="00461FC5" w:rsidRPr="00D70023" w:rsidRDefault="00461FC5" w:rsidP="00461FC5">
      <w:pPr>
        <w:widowControl/>
        <w:overflowPunct w:val="0"/>
        <w:spacing w:after="345" w:line="276" w:lineRule="auto"/>
        <w:jc w:val="both"/>
        <w:textAlignment w:val="baseline"/>
        <w:rPr>
          <w:rFonts w:ascii="Arial" w:hAnsi="Arial" w:cs="Arial"/>
          <w:sz w:val="22"/>
          <w:szCs w:val="22"/>
          <w:lang w:eastAsia="en-US"/>
        </w:rPr>
      </w:pPr>
      <w:r w:rsidRPr="00D70023">
        <w:rPr>
          <w:rFonts w:ascii="Arial" w:hAnsi="Arial" w:cs="Arial"/>
          <w:sz w:val="22"/>
          <w:szCs w:val="22"/>
          <w:lang w:eastAsia="en-US"/>
        </w:rPr>
        <w:t xml:space="preserve">Acţionarii au dreptul la o corectă şi completă informare în Adunarea Generală a Acţionarilor asupra situaţiei societăţii. </w:t>
      </w:r>
    </w:p>
    <w:p w:rsidR="00461FC5" w:rsidRPr="00D70023" w:rsidRDefault="00461FC5" w:rsidP="00461FC5">
      <w:pPr>
        <w:widowControl/>
        <w:overflowPunct w:val="0"/>
        <w:spacing w:after="260" w:line="276" w:lineRule="auto"/>
        <w:jc w:val="both"/>
        <w:textAlignment w:val="baseline"/>
        <w:rPr>
          <w:rFonts w:ascii="Arial" w:hAnsi="Arial" w:cs="Arial"/>
          <w:sz w:val="22"/>
          <w:szCs w:val="22"/>
          <w:lang w:eastAsia="en-US"/>
        </w:rPr>
      </w:pPr>
      <w:r w:rsidRPr="00D70023">
        <w:rPr>
          <w:rFonts w:ascii="Arial" w:hAnsi="Arial" w:cs="Arial"/>
          <w:sz w:val="22"/>
          <w:szCs w:val="22"/>
          <w:lang w:eastAsia="en-US"/>
        </w:rPr>
        <w:t>Pentru a asigura tratamentul egal şi exercitarea deplină şi într-o manieră echitabilă a drepturilor deţinătorilor de acţiuni, CONPET</w:t>
      </w:r>
      <w:r>
        <w:rPr>
          <w:rFonts w:ascii="Arial" w:hAnsi="Arial" w:cs="Arial"/>
          <w:sz w:val="22"/>
          <w:szCs w:val="22"/>
          <w:lang w:eastAsia="en-US"/>
        </w:rPr>
        <w:t xml:space="preserve"> S.A.</w:t>
      </w:r>
      <w:r w:rsidRPr="00D70023">
        <w:rPr>
          <w:rFonts w:ascii="Arial" w:hAnsi="Arial" w:cs="Arial"/>
          <w:sz w:val="22"/>
          <w:szCs w:val="22"/>
          <w:lang w:eastAsia="en-US"/>
        </w:rPr>
        <w:t xml:space="preserve"> pune la dispoziţia acestora toate informaţiile relevante cu</w:t>
      </w:r>
      <w:r w:rsidR="00643AAB">
        <w:rPr>
          <w:rFonts w:ascii="Arial" w:hAnsi="Arial" w:cs="Arial"/>
          <w:sz w:val="22"/>
          <w:szCs w:val="22"/>
          <w:lang w:eastAsia="en-US"/>
        </w:rPr>
        <w:t xml:space="preserve"> </w:t>
      </w:r>
      <w:r w:rsidRPr="00D70023">
        <w:rPr>
          <w:rFonts w:ascii="Arial" w:hAnsi="Arial" w:cs="Arial"/>
          <w:sz w:val="22"/>
          <w:szCs w:val="22"/>
          <w:lang w:eastAsia="en-US"/>
        </w:rPr>
        <w:t>privire la AGA şi la deciziile adoptate, conform legii, atât prin mijloacele de comunicare în masă, cât şi în secţiunea specială, deschisă pe pagina proprie de internet.</w:t>
      </w:r>
    </w:p>
    <w:p w:rsidR="00461FC5" w:rsidRPr="00D70023" w:rsidRDefault="00461FC5" w:rsidP="00461FC5">
      <w:pPr>
        <w:widowControl/>
        <w:overflowPunct w:val="0"/>
        <w:spacing w:after="260" w:line="276" w:lineRule="auto"/>
        <w:jc w:val="both"/>
        <w:textAlignment w:val="baseline"/>
        <w:rPr>
          <w:rFonts w:ascii="Arial" w:hAnsi="Arial" w:cs="Arial"/>
          <w:sz w:val="22"/>
          <w:szCs w:val="22"/>
          <w:lang w:eastAsia="en-US"/>
        </w:rPr>
      </w:pPr>
      <w:r w:rsidRPr="00D70023">
        <w:rPr>
          <w:rFonts w:ascii="Arial" w:hAnsi="Arial" w:cs="Arial"/>
          <w:sz w:val="22"/>
          <w:szCs w:val="22"/>
          <w:lang w:eastAsia="en-US"/>
        </w:rPr>
        <w:t>CONPET</w:t>
      </w:r>
      <w:r>
        <w:rPr>
          <w:rFonts w:ascii="Arial" w:hAnsi="Arial" w:cs="Arial"/>
          <w:sz w:val="22"/>
          <w:szCs w:val="22"/>
          <w:lang w:eastAsia="en-US"/>
        </w:rPr>
        <w:t xml:space="preserve"> S.A.</w:t>
      </w:r>
      <w:r w:rsidRPr="00D70023">
        <w:rPr>
          <w:rFonts w:ascii="Arial" w:hAnsi="Arial" w:cs="Arial"/>
          <w:sz w:val="22"/>
          <w:szCs w:val="22"/>
          <w:lang w:eastAsia="en-US"/>
        </w:rPr>
        <w:t xml:space="preserve"> depune toate diligenţele, cu respectarea cerinţelor legislaţiei în materie, pentru facilitarea participării acţionarilor la lucrările Adunărilor Generale, precum şi a exercitării depline a drepturilor acestora. Acţionarii pot participa şi vota personal în Adunarea Generală a Acţionarilor, dar au şi posibilitatea exercitării votului prin reprezentare sau prin corespondenţă.</w:t>
      </w:r>
    </w:p>
    <w:p w:rsidR="00461FC5" w:rsidRPr="00D70023" w:rsidRDefault="00461FC5" w:rsidP="00461FC5">
      <w:pPr>
        <w:widowControl/>
        <w:overflowPunct w:val="0"/>
        <w:spacing w:after="260" w:line="276" w:lineRule="auto"/>
        <w:jc w:val="both"/>
        <w:textAlignment w:val="baseline"/>
        <w:rPr>
          <w:rFonts w:ascii="Arial" w:hAnsi="Arial" w:cs="Arial"/>
          <w:sz w:val="22"/>
          <w:szCs w:val="22"/>
          <w:lang w:eastAsia="en-US"/>
        </w:rPr>
      </w:pPr>
      <w:r w:rsidRPr="00D70023">
        <w:rPr>
          <w:rFonts w:ascii="Arial" w:hAnsi="Arial" w:cs="Arial"/>
          <w:sz w:val="22"/>
          <w:szCs w:val="22"/>
          <w:lang w:eastAsia="en-US"/>
        </w:rPr>
        <w:t>Adunarea Generală a Acţionarilor este deschisă şi prezidată de Preşedintele Consiliului de Administraţie sau în lipsa acestuia, de către un alt administrator desemnat de către Președintele Consiliului de Administrație.</w:t>
      </w:r>
    </w:p>
    <w:p w:rsidR="00461FC5" w:rsidRDefault="00461FC5" w:rsidP="00643AAB">
      <w:pPr>
        <w:widowControl/>
        <w:overflowPunct w:val="0"/>
        <w:spacing w:before="120"/>
        <w:jc w:val="both"/>
        <w:textAlignment w:val="baseline"/>
        <w:rPr>
          <w:rFonts w:ascii="Arial" w:hAnsi="Arial" w:cs="Arial"/>
          <w:sz w:val="22"/>
          <w:szCs w:val="22"/>
          <w:lang w:eastAsia="en-US"/>
        </w:rPr>
      </w:pPr>
      <w:r w:rsidRPr="00D70023">
        <w:rPr>
          <w:rFonts w:ascii="Arial" w:hAnsi="Arial" w:cs="Arial"/>
          <w:sz w:val="22"/>
          <w:szCs w:val="22"/>
          <w:lang w:eastAsia="en-US"/>
        </w:rPr>
        <w:t>Ȋn cadrul Adunărilor Generale ale Acţionarilor se permite şi se încurajează dialogul între acţionari şi membrii Consiliului de Administraţie/Directorul General. Fiecare acţionar poate adresa administratorilor întrebări referitoare la activitatea societăţii, conform prevederilor legale.</w:t>
      </w:r>
    </w:p>
    <w:p w:rsidR="00643AAB" w:rsidRDefault="00643AAB" w:rsidP="00643AAB">
      <w:pPr>
        <w:widowControl/>
        <w:overflowPunct w:val="0"/>
        <w:spacing w:before="120"/>
        <w:jc w:val="both"/>
        <w:textAlignment w:val="baseline"/>
        <w:rPr>
          <w:rFonts w:ascii="Arial" w:hAnsi="Arial" w:cs="Arial"/>
          <w:sz w:val="22"/>
          <w:szCs w:val="22"/>
          <w:lang w:eastAsia="en-US"/>
        </w:rPr>
      </w:pPr>
    </w:p>
    <w:p w:rsidR="00461FC5" w:rsidRPr="00D70023" w:rsidRDefault="00461FC5" w:rsidP="00643AAB">
      <w:pPr>
        <w:widowControl/>
        <w:overflowPunct w:val="0"/>
        <w:spacing w:before="120"/>
        <w:jc w:val="both"/>
        <w:textAlignment w:val="baseline"/>
        <w:rPr>
          <w:rFonts w:ascii="Arial" w:hAnsi="Arial" w:cs="Arial"/>
          <w:sz w:val="22"/>
          <w:szCs w:val="22"/>
          <w:lang w:eastAsia="en-US"/>
        </w:rPr>
      </w:pPr>
      <w:r w:rsidRPr="00D70023">
        <w:rPr>
          <w:rFonts w:ascii="Arial" w:hAnsi="Arial" w:cs="Arial"/>
          <w:sz w:val="22"/>
          <w:szCs w:val="22"/>
          <w:lang w:eastAsia="en-US"/>
        </w:rPr>
        <w:lastRenderedPageBreak/>
        <w:t>Hotărârile luate de Adunările Generale ale Acţionarilor în limitele legii şi ale Actului Constitutiv sunt obligatorii chiar şi pentru acţionarii care nu au luat parte la adunare sau au votat împotrivă.</w:t>
      </w:r>
    </w:p>
    <w:p w:rsidR="00461FC5" w:rsidRPr="00D70023" w:rsidRDefault="00461FC5" w:rsidP="00461FC5">
      <w:pPr>
        <w:widowControl/>
        <w:overflowPunct w:val="0"/>
        <w:spacing w:line="276" w:lineRule="auto"/>
        <w:jc w:val="both"/>
        <w:textAlignment w:val="baseline"/>
        <w:rPr>
          <w:rFonts w:ascii="Arial" w:hAnsi="Arial" w:cs="Arial"/>
          <w:sz w:val="22"/>
          <w:szCs w:val="22"/>
          <w:lang w:eastAsia="en-US"/>
        </w:rPr>
      </w:pPr>
      <w:r w:rsidRPr="00D70023">
        <w:rPr>
          <w:rFonts w:ascii="Arial" w:hAnsi="Arial" w:cs="Arial"/>
          <w:sz w:val="22"/>
          <w:szCs w:val="22"/>
          <w:lang w:eastAsia="en-US"/>
        </w:rPr>
        <w:t>Hotărârile Adunării Generale a Acţionarilor contrare legii sau Actului Constitutiv pot fi atacate în justiţie, în condiţiile legii.</w:t>
      </w:r>
    </w:p>
    <w:p w:rsidR="00461FC5" w:rsidRDefault="00461FC5" w:rsidP="00461FC5">
      <w:pPr>
        <w:spacing w:line="276" w:lineRule="auto"/>
        <w:jc w:val="both"/>
        <w:rPr>
          <w:rFonts w:ascii="Arial" w:hAnsi="Arial" w:cs="Arial"/>
          <w:b/>
          <w:bCs/>
          <w:color w:val="0070C0"/>
          <w:spacing w:val="-2"/>
          <w:sz w:val="22"/>
          <w:szCs w:val="22"/>
        </w:rPr>
      </w:pPr>
    </w:p>
    <w:p w:rsidR="00461FC5" w:rsidRPr="00E46854" w:rsidRDefault="00461FC5" w:rsidP="00461FC5">
      <w:pPr>
        <w:widowControl/>
        <w:overflowPunct w:val="0"/>
        <w:spacing w:line="276" w:lineRule="auto"/>
        <w:jc w:val="both"/>
        <w:textAlignment w:val="baseline"/>
        <w:rPr>
          <w:rFonts w:ascii="Arial" w:hAnsi="Arial" w:cs="Arial"/>
          <w:b/>
          <w:bCs/>
          <w:color w:val="1F4E79" w:themeColor="accent1" w:themeShade="80"/>
          <w:sz w:val="22"/>
          <w:szCs w:val="22"/>
          <w:lang w:eastAsia="en-US"/>
        </w:rPr>
      </w:pPr>
      <w:r w:rsidRPr="00E46854">
        <w:rPr>
          <w:rFonts w:ascii="Arial" w:hAnsi="Arial" w:cs="Arial"/>
          <w:b/>
          <w:bCs/>
          <w:color w:val="1F4E79" w:themeColor="accent1" w:themeShade="80"/>
          <w:sz w:val="22"/>
          <w:szCs w:val="22"/>
          <w:lang w:eastAsia="en-US"/>
        </w:rPr>
        <w:t xml:space="preserve">Consiliul de Administraţie </w:t>
      </w:r>
    </w:p>
    <w:p w:rsidR="00461FC5" w:rsidRPr="003D6980" w:rsidRDefault="00461FC5" w:rsidP="00461FC5">
      <w:pPr>
        <w:widowControl/>
        <w:overflowPunct w:val="0"/>
        <w:spacing w:before="240" w:after="260" w:line="276" w:lineRule="auto"/>
        <w:jc w:val="both"/>
        <w:textAlignment w:val="baseline"/>
        <w:rPr>
          <w:rFonts w:ascii="Arial" w:hAnsi="Arial" w:cs="Arial"/>
          <w:sz w:val="22"/>
          <w:szCs w:val="22"/>
          <w:lang w:eastAsia="en-US"/>
        </w:rPr>
      </w:pPr>
      <w:r w:rsidRPr="003D6980">
        <w:rPr>
          <w:rFonts w:ascii="Arial" w:hAnsi="Arial" w:cs="Arial"/>
          <w:sz w:val="22"/>
          <w:szCs w:val="22"/>
          <w:lang w:eastAsia="en-US"/>
        </w:rPr>
        <w:t>Societatea</w:t>
      </w:r>
      <w:r w:rsidR="00846B8D">
        <w:rPr>
          <w:rFonts w:ascii="Arial" w:hAnsi="Arial" w:cs="Arial"/>
          <w:sz w:val="22"/>
          <w:szCs w:val="22"/>
          <w:lang w:eastAsia="en-US"/>
        </w:rPr>
        <w:t xml:space="preserve"> este administrată de către un Consiliu de A</w:t>
      </w:r>
      <w:r w:rsidRPr="003D6980">
        <w:rPr>
          <w:rFonts w:ascii="Arial" w:hAnsi="Arial" w:cs="Arial"/>
          <w:sz w:val="22"/>
          <w:szCs w:val="22"/>
          <w:lang w:eastAsia="en-US"/>
        </w:rPr>
        <w:t>dministraţie, format din 7 membri. Consiliul de Administraţie este condus de un preşedinte care nu poate fi şi director general al societății.</w:t>
      </w:r>
    </w:p>
    <w:p w:rsidR="00461FC5" w:rsidRPr="003D6980" w:rsidRDefault="00461FC5" w:rsidP="00461FC5">
      <w:pPr>
        <w:widowControl/>
        <w:overflowPunct w:val="0"/>
        <w:spacing w:line="276" w:lineRule="auto"/>
        <w:jc w:val="both"/>
        <w:textAlignment w:val="baseline"/>
        <w:rPr>
          <w:rFonts w:ascii="Arial" w:eastAsia="Calibri" w:hAnsi="Arial" w:cs="Arial"/>
          <w:sz w:val="22"/>
          <w:szCs w:val="22"/>
          <w:lang w:val="en-US" w:eastAsia="en-US"/>
        </w:rPr>
      </w:pPr>
      <w:r w:rsidRPr="003D6980">
        <w:rPr>
          <w:rFonts w:ascii="Arial" w:hAnsi="Arial" w:cs="Arial"/>
          <w:sz w:val="22"/>
          <w:szCs w:val="22"/>
          <w:lang w:eastAsia="en-US"/>
        </w:rPr>
        <w:t xml:space="preserve">Începând cu data de 28.11.2017, </w:t>
      </w:r>
      <w:r w:rsidRPr="003D6980">
        <w:rPr>
          <w:rFonts w:ascii="Arial" w:eastAsia="Calibri" w:hAnsi="Arial" w:cs="Arial"/>
          <w:sz w:val="22"/>
          <w:szCs w:val="22"/>
          <w:lang w:val="en-US" w:eastAsia="en-US"/>
        </w:rPr>
        <w:t>Adunarea Generală a Acționarilor</w:t>
      </w:r>
      <w:r w:rsidRPr="003D6980">
        <w:rPr>
          <w:rFonts w:ascii="Arial" w:hAnsi="Arial" w:cs="Arial"/>
          <w:sz w:val="22"/>
          <w:szCs w:val="22"/>
          <w:lang w:eastAsia="en-US"/>
        </w:rPr>
        <w:t xml:space="preserve"> a numit membri provizorii ai  Consiliului de Administrație cu un mandat limitat pe  durata de </w:t>
      </w:r>
      <w:r w:rsidRPr="003D6980">
        <w:rPr>
          <w:rFonts w:ascii="Arial" w:eastAsia="Calibri" w:hAnsi="Arial" w:cs="Arial"/>
          <w:sz w:val="22"/>
          <w:szCs w:val="22"/>
          <w:lang w:val="en-US" w:eastAsia="en-US"/>
        </w:rPr>
        <w:t xml:space="preserve">4 luni, respectiv până la 28.03.2018 sau până la finalizarea procedurii de selecție prevăzută în O.U.G. nr. 109/ 2011 aprobată cu modificări și completări prin Legea nr. 111/ 2016, dacă aceasta va avea loc mai devreme de 4 luni de la numirea administratorilor provizorii. </w:t>
      </w:r>
    </w:p>
    <w:p w:rsidR="00461FC5" w:rsidRPr="003D6980" w:rsidRDefault="00461FC5" w:rsidP="00461FC5">
      <w:pPr>
        <w:widowControl/>
        <w:overflowPunct w:val="0"/>
        <w:spacing w:line="276" w:lineRule="auto"/>
        <w:jc w:val="both"/>
        <w:textAlignment w:val="baseline"/>
        <w:rPr>
          <w:rFonts w:ascii="Arial" w:eastAsia="Calibri" w:hAnsi="Arial" w:cs="Arial"/>
          <w:sz w:val="22"/>
          <w:szCs w:val="22"/>
          <w:lang w:val="en-US" w:eastAsia="en-US"/>
        </w:rPr>
      </w:pPr>
    </w:p>
    <w:p w:rsidR="00461FC5" w:rsidRPr="003D6980" w:rsidRDefault="00461FC5" w:rsidP="00461FC5">
      <w:pPr>
        <w:widowControl/>
        <w:overflowPunct w:val="0"/>
        <w:spacing w:line="276" w:lineRule="auto"/>
        <w:jc w:val="both"/>
        <w:textAlignment w:val="baseline"/>
        <w:rPr>
          <w:rFonts w:ascii="Arial" w:eastAsia="Calibri" w:hAnsi="Arial" w:cs="Arial"/>
          <w:sz w:val="22"/>
          <w:szCs w:val="22"/>
          <w:lang w:val="en-US" w:eastAsia="en-US"/>
        </w:rPr>
      </w:pPr>
      <w:r w:rsidRPr="003D6980">
        <w:rPr>
          <w:rFonts w:ascii="Arial" w:eastAsia="Calibri" w:hAnsi="Arial" w:cs="Arial"/>
          <w:sz w:val="22"/>
          <w:szCs w:val="22"/>
          <w:lang w:val="en-US" w:eastAsia="en-US"/>
        </w:rPr>
        <w:t>În data de 05.03.2018, Adunarea Generală a Acționarilor a aprobat prelungirea mandatelor administratorilor aflați în funcție cu o perioadă de 2 luni, respectiv, până la data de 28.05.2018.</w:t>
      </w:r>
    </w:p>
    <w:p w:rsidR="00461FC5" w:rsidRPr="003D6980" w:rsidRDefault="00461FC5" w:rsidP="00461FC5">
      <w:pPr>
        <w:widowControl/>
        <w:autoSpaceDE/>
        <w:autoSpaceDN/>
        <w:adjustRightInd/>
        <w:spacing w:line="276" w:lineRule="auto"/>
        <w:jc w:val="both"/>
        <w:rPr>
          <w:rFonts w:ascii="Arial" w:eastAsia="Calibri" w:hAnsi="Arial" w:cs="Arial"/>
          <w:sz w:val="22"/>
          <w:szCs w:val="22"/>
          <w:lang w:eastAsia="en-US"/>
        </w:rPr>
      </w:pPr>
    </w:p>
    <w:p w:rsidR="00461FC5" w:rsidRPr="003D6980" w:rsidRDefault="00461FC5" w:rsidP="00461FC5">
      <w:pPr>
        <w:widowControl/>
        <w:autoSpaceDE/>
        <w:autoSpaceDN/>
        <w:adjustRightInd/>
        <w:spacing w:line="276" w:lineRule="auto"/>
        <w:jc w:val="both"/>
        <w:rPr>
          <w:rFonts w:ascii="Arial" w:eastAsia="Calibri" w:hAnsi="Arial" w:cs="Arial"/>
          <w:sz w:val="22"/>
          <w:szCs w:val="22"/>
          <w:lang w:eastAsia="en-US"/>
        </w:rPr>
      </w:pPr>
      <w:r w:rsidRPr="003D6980">
        <w:rPr>
          <w:rFonts w:ascii="Arial" w:eastAsia="Calibri" w:hAnsi="Arial" w:cs="Arial"/>
          <w:sz w:val="22"/>
          <w:szCs w:val="22"/>
          <w:lang w:eastAsia="en-US"/>
        </w:rPr>
        <w:t>Î</w:t>
      </w:r>
      <w:r w:rsidRPr="003D6980">
        <w:rPr>
          <w:rFonts w:ascii="Arial" w:eastAsia="Calibri" w:hAnsi="Arial" w:cs="Arial"/>
          <w:sz w:val="22"/>
          <w:szCs w:val="22"/>
          <w:lang w:val="en-US" w:eastAsia="en-US"/>
        </w:rPr>
        <w:t>n data de 17.05.2018, Adunarea Generală a Acționarilor, a revocat membri</w:t>
      </w:r>
      <w:r>
        <w:rPr>
          <w:rFonts w:ascii="Arial" w:eastAsia="Calibri" w:hAnsi="Arial" w:cs="Arial"/>
          <w:sz w:val="22"/>
          <w:szCs w:val="22"/>
          <w:lang w:val="en-US" w:eastAsia="en-US"/>
        </w:rPr>
        <w:t>i</w:t>
      </w:r>
      <w:r w:rsidRPr="003D6980">
        <w:rPr>
          <w:rFonts w:ascii="Arial" w:eastAsia="Calibri" w:hAnsi="Arial" w:cs="Arial"/>
          <w:sz w:val="22"/>
          <w:szCs w:val="22"/>
          <w:lang w:val="en-US" w:eastAsia="en-US"/>
        </w:rPr>
        <w:t xml:space="preserve"> Consiliul de </w:t>
      </w:r>
      <w:r>
        <w:rPr>
          <w:rFonts w:ascii="Arial" w:eastAsia="Calibri" w:hAnsi="Arial" w:cs="Arial"/>
          <w:sz w:val="22"/>
          <w:szCs w:val="22"/>
          <w:lang w:val="en-US" w:eastAsia="en-US"/>
        </w:rPr>
        <w:t>A</w:t>
      </w:r>
      <w:r w:rsidRPr="003D6980">
        <w:rPr>
          <w:rFonts w:ascii="Arial" w:eastAsia="Calibri" w:hAnsi="Arial" w:cs="Arial"/>
          <w:sz w:val="22"/>
          <w:szCs w:val="22"/>
          <w:lang w:val="en-US" w:eastAsia="en-US"/>
        </w:rPr>
        <w:t>dministrație și a numit,</w:t>
      </w:r>
      <w:r w:rsidRPr="003D6980">
        <w:rPr>
          <w:rFonts w:ascii="Arial" w:eastAsia="Calibri" w:hAnsi="Arial" w:cs="Arial"/>
          <w:sz w:val="22"/>
          <w:szCs w:val="22"/>
          <w:lang w:eastAsia="en-US"/>
        </w:rPr>
        <w:t xml:space="preserve"> prin aplicarea metodei votului cumulativ, noul </w:t>
      </w:r>
      <w:r w:rsidRPr="003D6980">
        <w:rPr>
          <w:rFonts w:ascii="Arial" w:eastAsia="Calibri" w:hAnsi="Arial" w:cs="Arial"/>
          <w:sz w:val="22"/>
          <w:szCs w:val="22"/>
          <w:lang w:val="en-US" w:eastAsia="en-US"/>
        </w:rPr>
        <w:t>Consiliu de Administra</w:t>
      </w:r>
      <w:r w:rsidRPr="003D6980">
        <w:rPr>
          <w:rFonts w:ascii="Arial" w:eastAsia="Calibri" w:hAnsi="Arial" w:cs="Arial"/>
          <w:sz w:val="22"/>
          <w:szCs w:val="22"/>
          <w:lang w:eastAsia="en-US"/>
        </w:rPr>
        <w:t xml:space="preserve">ție format din 7 membri, pe o durata de 4 luni, respectiv până la data de 17.09.2018 sau până la finalizarea procedurii de selecție prevăzută în O.U.G. nr. 109/ 2011, aprobată cu modificări și completări prin Legea nr. 111/ 2016, dacă aceasta va avea loc mai devreme de data expirării mandatelor administratorilor: </w:t>
      </w:r>
    </w:p>
    <w:p w:rsidR="00461FC5" w:rsidRPr="003D6980" w:rsidRDefault="00461FC5" w:rsidP="00461FC5">
      <w:pPr>
        <w:widowControl/>
        <w:autoSpaceDE/>
        <w:autoSpaceDN/>
        <w:adjustRightInd/>
        <w:spacing w:line="276" w:lineRule="auto"/>
        <w:jc w:val="both"/>
        <w:rPr>
          <w:rFonts w:ascii="Arial" w:eastAsia="Calibri" w:hAnsi="Arial" w:cs="Arial"/>
          <w:sz w:val="22"/>
          <w:szCs w:val="22"/>
          <w:lang w:eastAsia="en-US"/>
        </w:rPr>
      </w:pPr>
    </w:p>
    <w:p w:rsidR="00461FC5" w:rsidRDefault="00EC5967" w:rsidP="00461FC5">
      <w:pPr>
        <w:widowControl/>
        <w:autoSpaceDE/>
        <w:autoSpaceDN/>
        <w:adjustRightInd/>
        <w:spacing w:line="276" w:lineRule="auto"/>
        <w:jc w:val="both"/>
        <w:rPr>
          <w:rFonts w:ascii="Arial" w:eastAsia="Calibri" w:hAnsi="Arial" w:cs="Arial"/>
          <w:color w:val="000000" w:themeColor="text1"/>
          <w:sz w:val="22"/>
          <w:szCs w:val="22"/>
          <w:lang w:eastAsia="en-US"/>
        </w:rPr>
      </w:pPr>
      <w:r>
        <w:rPr>
          <w:rFonts w:ascii="Arial" w:eastAsia="Calibri" w:hAnsi="Arial" w:cs="Arial"/>
          <w:color w:val="000000" w:themeColor="text1"/>
          <w:sz w:val="22"/>
          <w:szCs w:val="22"/>
          <w:lang w:eastAsia="en-US"/>
        </w:rPr>
        <w:t>Componența actuală a Consiliului de Administraț</w:t>
      </w:r>
      <w:r w:rsidR="00461FC5" w:rsidRPr="00EC5967">
        <w:rPr>
          <w:rFonts w:ascii="Arial" w:eastAsia="Calibri" w:hAnsi="Arial" w:cs="Arial"/>
          <w:color w:val="000000" w:themeColor="text1"/>
          <w:sz w:val="22"/>
          <w:szCs w:val="22"/>
          <w:lang w:eastAsia="en-US"/>
        </w:rPr>
        <w:t>ie este urm</w:t>
      </w:r>
      <w:r>
        <w:rPr>
          <w:rFonts w:ascii="Arial" w:eastAsia="Calibri" w:hAnsi="Arial" w:cs="Arial"/>
          <w:color w:val="000000" w:themeColor="text1"/>
          <w:sz w:val="22"/>
          <w:szCs w:val="22"/>
          <w:lang w:eastAsia="en-US"/>
        </w:rPr>
        <w:t>ă</w:t>
      </w:r>
      <w:r w:rsidR="00461FC5" w:rsidRPr="00EC5967">
        <w:rPr>
          <w:rFonts w:ascii="Arial" w:eastAsia="Calibri" w:hAnsi="Arial" w:cs="Arial"/>
          <w:color w:val="000000" w:themeColor="text1"/>
          <w:sz w:val="22"/>
          <w:szCs w:val="22"/>
          <w:lang w:eastAsia="en-US"/>
        </w:rPr>
        <w:t>toarea:</w:t>
      </w:r>
    </w:p>
    <w:p w:rsidR="000E74C7" w:rsidRPr="00EC5967" w:rsidRDefault="000E74C7" w:rsidP="00461FC5">
      <w:pPr>
        <w:widowControl/>
        <w:autoSpaceDE/>
        <w:autoSpaceDN/>
        <w:adjustRightInd/>
        <w:spacing w:line="276" w:lineRule="auto"/>
        <w:jc w:val="both"/>
        <w:rPr>
          <w:rFonts w:ascii="Arial" w:eastAsia="Calibri" w:hAnsi="Arial" w:cs="Arial"/>
          <w:color w:val="000000" w:themeColor="text1"/>
          <w:sz w:val="22"/>
          <w:szCs w:val="22"/>
          <w:lang w:eastAsia="en-US"/>
        </w:rPr>
      </w:pPr>
    </w:p>
    <w:p w:rsidR="00461FC5" w:rsidRPr="00EC5967" w:rsidRDefault="00461FC5" w:rsidP="00170D7E">
      <w:pPr>
        <w:widowControl/>
        <w:numPr>
          <w:ilvl w:val="0"/>
          <w:numId w:val="40"/>
        </w:numPr>
        <w:autoSpaceDE/>
        <w:autoSpaceDN/>
        <w:adjustRightInd/>
        <w:spacing w:after="160" w:line="276" w:lineRule="auto"/>
        <w:ind w:left="720" w:hanging="360"/>
        <w:contextualSpacing/>
        <w:jc w:val="both"/>
        <w:rPr>
          <w:rFonts w:ascii="Arial" w:eastAsia="Calibri" w:hAnsi="Arial" w:cs="Arial"/>
          <w:color w:val="000000" w:themeColor="text1"/>
          <w:sz w:val="22"/>
          <w:szCs w:val="22"/>
          <w:lang w:val="it-IT" w:eastAsia="en-US"/>
        </w:rPr>
      </w:pPr>
      <w:r w:rsidRPr="00EC5967">
        <w:rPr>
          <w:rFonts w:ascii="Arial" w:eastAsia="Calibri" w:hAnsi="Arial" w:cs="Arial"/>
          <w:color w:val="000000" w:themeColor="text1"/>
          <w:sz w:val="22"/>
          <w:szCs w:val="22"/>
          <w:lang w:eastAsia="en-US"/>
        </w:rPr>
        <w:t>Stan – Olteanu Manuela - Petronela</w:t>
      </w:r>
      <w:r w:rsidRPr="00EC5967">
        <w:rPr>
          <w:rFonts w:ascii="Arial" w:eastAsia="Calibri" w:hAnsi="Arial" w:cs="Arial"/>
          <w:color w:val="000000" w:themeColor="text1"/>
          <w:sz w:val="22"/>
          <w:szCs w:val="22"/>
          <w:lang w:val="it-IT" w:eastAsia="en-US"/>
        </w:rPr>
        <w:t>, cet</w:t>
      </w:r>
      <w:r w:rsidRPr="00EC5967">
        <w:rPr>
          <w:rFonts w:ascii="Arial" w:eastAsia="Calibri" w:hAnsi="Arial" w:cs="Arial"/>
          <w:color w:val="000000" w:themeColor="text1"/>
          <w:sz w:val="22"/>
          <w:szCs w:val="22"/>
          <w:lang w:eastAsia="en-US"/>
        </w:rPr>
        <w:t xml:space="preserve">ățean </w:t>
      </w:r>
      <w:r w:rsidR="00846B8D" w:rsidRPr="00EC5967">
        <w:rPr>
          <w:rFonts w:ascii="Arial" w:eastAsia="Calibri" w:hAnsi="Arial" w:cs="Arial"/>
          <w:color w:val="000000" w:themeColor="text1"/>
          <w:sz w:val="22"/>
          <w:szCs w:val="22"/>
          <w:lang w:val="it-IT" w:eastAsia="en-US"/>
        </w:rPr>
        <w:t>român;</w:t>
      </w:r>
    </w:p>
    <w:p w:rsidR="00461FC5" w:rsidRPr="00EC5967" w:rsidRDefault="00461FC5" w:rsidP="00170D7E">
      <w:pPr>
        <w:widowControl/>
        <w:numPr>
          <w:ilvl w:val="0"/>
          <w:numId w:val="40"/>
        </w:numPr>
        <w:autoSpaceDE/>
        <w:autoSpaceDN/>
        <w:adjustRightInd/>
        <w:spacing w:after="160" w:line="276" w:lineRule="auto"/>
        <w:ind w:left="720" w:hanging="360"/>
        <w:contextualSpacing/>
        <w:jc w:val="both"/>
        <w:rPr>
          <w:rFonts w:ascii="Arial" w:eastAsia="Calibri" w:hAnsi="Arial" w:cs="Arial"/>
          <w:color w:val="000000" w:themeColor="text1"/>
          <w:sz w:val="22"/>
          <w:szCs w:val="22"/>
          <w:lang w:val="it-IT" w:eastAsia="en-US"/>
        </w:rPr>
      </w:pPr>
      <w:r w:rsidRPr="00EC5967">
        <w:rPr>
          <w:rFonts w:ascii="Arial" w:eastAsia="Calibri" w:hAnsi="Arial" w:cs="Arial"/>
          <w:color w:val="000000" w:themeColor="text1"/>
          <w:sz w:val="22"/>
          <w:szCs w:val="22"/>
          <w:lang w:eastAsia="en-US"/>
        </w:rPr>
        <w:t>Văduva Constantin</w:t>
      </w:r>
      <w:r w:rsidRPr="00EC5967">
        <w:rPr>
          <w:rFonts w:ascii="Arial" w:eastAsia="Calibri" w:hAnsi="Arial" w:cs="Arial"/>
          <w:color w:val="000000" w:themeColor="text1"/>
          <w:sz w:val="22"/>
          <w:szCs w:val="22"/>
          <w:lang w:val="it-IT" w:eastAsia="en-US"/>
        </w:rPr>
        <w:t>, cet</w:t>
      </w:r>
      <w:r w:rsidRPr="00EC5967">
        <w:rPr>
          <w:rFonts w:ascii="Arial" w:eastAsia="Calibri" w:hAnsi="Arial" w:cs="Arial"/>
          <w:color w:val="000000" w:themeColor="text1"/>
          <w:sz w:val="22"/>
          <w:szCs w:val="22"/>
          <w:lang w:eastAsia="en-US"/>
        </w:rPr>
        <w:t xml:space="preserve">ățean </w:t>
      </w:r>
      <w:r w:rsidR="00846B8D" w:rsidRPr="00EC5967">
        <w:rPr>
          <w:rFonts w:ascii="Arial" w:eastAsia="Calibri" w:hAnsi="Arial" w:cs="Arial"/>
          <w:color w:val="000000" w:themeColor="text1"/>
          <w:sz w:val="22"/>
          <w:szCs w:val="22"/>
          <w:lang w:val="it-IT" w:eastAsia="en-US"/>
        </w:rPr>
        <w:t>român;</w:t>
      </w:r>
    </w:p>
    <w:p w:rsidR="00461FC5" w:rsidRPr="00EC5967" w:rsidRDefault="00461FC5" w:rsidP="00170D7E">
      <w:pPr>
        <w:widowControl/>
        <w:numPr>
          <w:ilvl w:val="0"/>
          <w:numId w:val="40"/>
        </w:numPr>
        <w:autoSpaceDE/>
        <w:autoSpaceDN/>
        <w:adjustRightInd/>
        <w:spacing w:after="160" w:line="276" w:lineRule="auto"/>
        <w:ind w:left="720" w:hanging="360"/>
        <w:contextualSpacing/>
        <w:jc w:val="both"/>
        <w:rPr>
          <w:rFonts w:ascii="Arial" w:eastAsia="Calibri" w:hAnsi="Arial" w:cs="Arial"/>
          <w:color w:val="000000" w:themeColor="text1"/>
          <w:sz w:val="22"/>
          <w:szCs w:val="22"/>
          <w:lang w:val="it-IT" w:eastAsia="en-US"/>
        </w:rPr>
      </w:pPr>
      <w:r w:rsidRPr="00EC5967">
        <w:rPr>
          <w:rFonts w:ascii="Arial" w:eastAsia="Calibri" w:hAnsi="Arial" w:cs="Arial"/>
          <w:color w:val="000000" w:themeColor="text1"/>
          <w:sz w:val="22"/>
          <w:szCs w:val="22"/>
          <w:lang w:eastAsia="en-US"/>
        </w:rPr>
        <w:t>Iacob Constantin - Ciprian</w:t>
      </w:r>
      <w:r w:rsidRPr="00EC5967">
        <w:rPr>
          <w:rFonts w:ascii="Arial" w:eastAsia="Calibri" w:hAnsi="Arial" w:cs="Arial"/>
          <w:color w:val="000000" w:themeColor="text1"/>
          <w:sz w:val="22"/>
          <w:szCs w:val="22"/>
          <w:lang w:val="it-IT" w:eastAsia="en-US"/>
        </w:rPr>
        <w:t>, cet</w:t>
      </w:r>
      <w:r w:rsidRPr="00EC5967">
        <w:rPr>
          <w:rFonts w:ascii="Arial" w:eastAsia="Calibri" w:hAnsi="Arial" w:cs="Arial"/>
          <w:color w:val="000000" w:themeColor="text1"/>
          <w:sz w:val="22"/>
          <w:szCs w:val="22"/>
          <w:lang w:eastAsia="en-US"/>
        </w:rPr>
        <w:t xml:space="preserve">ățean </w:t>
      </w:r>
      <w:r w:rsidRPr="00EC5967">
        <w:rPr>
          <w:rFonts w:ascii="Arial" w:eastAsia="Calibri" w:hAnsi="Arial" w:cs="Arial"/>
          <w:color w:val="000000" w:themeColor="text1"/>
          <w:sz w:val="22"/>
          <w:szCs w:val="22"/>
          <w:lang w:val="it-IT" w:eastAsia="en-US"/>
        </w:rPr>
        <w:t>ro</w:t>
      </w:r>
      <w:r w:rsidR="00846B8D" w:rsidRPr="00EC5967">
        <w:rPr>
          <w:rFonts w:ascii="Arial" w:eastAsia="Calibri" w:hAnsi="Arial" w:cs="Arial"/>
          <w:color w:val="000000" w:themeColor="text1"/>
          <w:sz w:val="22"/>
          <w:szCs w:val="22"/>
          <w:lang w:val="it-IT" w:eastAsia="en-US"/>
        </w:rPr>
        <w:t>mân;</w:t>
      </w:r>
      <w:r w:rsidRPr="00EC5967">
        <w:rPr>
          <w:rFonts w:ascii="Arial" w:eastAsia="Calibri" w:hAnsi="Arial" w:cs="Arial"/>
          <w:color w:val="000000" w:themeColor="text1"/>
          <w:sz w:val="22"/>
          <w:szCs w:val="22"/>
          <w:lang w:val="it-IT" w:eastAsia="en-US"/>
        </w:rPr>
        <w:t xml:space="preserve"> </w:t>
      </w:r>
    </w:p>
    <w:p w:rsidR="00846B8D" w:rsidRPr="00EC5967" w:rsidRDefault="00461FC5" w:rsidP="00170D7E">
      <w:pPr>
        <w:widowControl/>
        <w:numPr>
          <w:ilvl w:val="0"/>
          <w:numId w:val="40"/>
        </w:numPr>
        <w:autoSpaceDE/>
        <w:autoSpaceDN/>
        <w:adjustRightInd/>
        <w:spacing w:after="160" w:line="276" w:lineRule="auto"/>
        <w:ind w:left="720" w:hanging="360"/>
        <w:contextualSpacing/>
        <w:jc w:val="both"/>
        <w:rPr>
          <w:rFonts w:ascii="Arial" w:eastAsia="Calibri" w:hAnsi="Arial" w:cs="Arial"/>
          <w:color w:val="000000" w:themeColor="text1"/>
          <w:sz w:val="22"/>
          <w:szCs w:val="22"/>
          <w:lang w:eastAsia="en-US"/>
        </w:rPr>
      </w:pPr>
      <w:r w:rsidRPr="00EC5967">
        <w:rPr>
          <w:rFonts w:ascii="Arial" w:eastAsia="Calibri" w:hAnsi="Arial" w:cs="Arial"/>
          <w:color w:val="000000" w:themeColor="text1"/>
          <w:sz w:val="22"/>
          <w:szCs w:val="22"/>
          <w:lang w:eastAsia="en-US"/>
        </w:rPr>
        <w:t>Popa Claudiu - Aurelian</w:t>
      </w:r>
      <w:r w:rsidRPr="00EC5967">
        <w:rPr>
          <w:rFonts w:ascii="Arial" w:eastAsia="Calibri" w:hAnsi="Arial" w:cs="Arial"/>
          <w:color w:val="000000" w:themeColor="text1"/>
          <w:sz w:val="22"/>
          <w:szCs w:val="22"/>
          <w:lang w:val="it-IT" w:eastAsia="en-US"/>
        </w:rPr>
        <w:t>, cet</w:t>
      </w:r>
      <w:r w:rsidRPr="00EC5967">
        <w:rPr>
          <w:rFonts w:ascii="Arial" w:eastAsia="Calibri" w:hAnsi="Arial" w:cs="Arial"/>
          <w:color w:val="000000" w:themeColor="text1"/>
          <w:sz w:val="22"/>
          <w:szCs w:val="22"/>
          <w:lang w:eastAsia="en-US"/>
        </w:rPr>
        <w:t xml:space="preserve">ățean </w:t>
      </w:r>
      <w:r w:rsidR="00846B8D" w:rsidRPr="00EC5967">
        <w:rPr>
          <w:rFonts w:ascii="Arial" w:eastAsia="Calibri" w:hAnsi="Arial" w:cs="Arial"/>
          <w:color w:val="000000" w:themeColor="text1"/>
          <w:sz w:val="22"/>
          <w:szCs w:val="22"/>
          <w:lang w:val="it-IT" w:eastAsia="en-US"/>
        </w:rPr>
        <w:t>român;</w:t>
      </w:r>
    </w:p>
    <w:p w:rsidR="00461FC5" w:rsidRPr="00EC5967" w:rsidRDefault="00461FC5" w:rsidP="00170D7E">
      <w:pPr>
        <w:widowControl/>
        <w:numPr>
          <w:ilvl w:val="0"/>
          <w:numId w:val="40"/>
        </w:numPr>
        <w:autoSpaceDE/>
        <w:autoSpaceDN/>
        <w:adjustRightInd/>
        <w:spacing w:after="160" w:line="276" w:lineRule="auto"/>
        <w:ind w:left="720" w:hanging="360"/>
        <w:contextualSpacing/>
        <w:jc w:val="both"/>
        <w:rPr>
          <w:rFonts w:ascii="Arial" w:eastAsia="Calibri" w:hAnsi="Arial" w:cs="Arial"/>
          <w:color w:val="000000" w:themeColor="text1"/>
          <w:sz w:val="22"/>
          <w:szCs w:val="22"/>
          <w:lang w:eastAsia="en-US"/>
        </w:rPr>
      </w:pPr>
      <w:r w:rsidRPr="00EC5967">
        <w:rPr>
          <w:rFonts w:ascii="Arial" w:eastAsia="Calibri" w:hAnsi="Arial" w:cs="Arial"/>
          <w:color w:val="000000" w:themeColor="text1"/>
          <w:sz w:val="22"/>
          <w:szCs w:val="22"/>
          <w:lang w:val="it-IT" w:eastAsia="en-US"/>
        </w:rPr>
        <w:t>Matei Ion - Cristian, cet</w:t>
      </w:r>
      <w:r w:rsidR="00846B8D" w:rsidRPr="00EC5967">
        <w:rPr>
          <w:rFonts w:ascii="Arial" w:eastAsia="Calibri" w:hAnsi="Arial" w:cs="Arial"/>
          <w:color w:val="000000" w:themeColor="text1"/>
          <w:sz w:val="22"/>
          <w:szCs w:val="22"/>
          <w:lang w:eastAsia="en-US"/>
        </w:rPr>
        <w:t>ățean român;</w:t>
      </w:r>
    </w:p>
    <w:p w:rsidR="00461FC5" w:rsidRPr="00EC5967" w:rsidRDefault="00461FC5" w:rsidP="00170D7E">
      <w:pPr>
        <w:widowControl/>
        <w:numPr>
          <w:ilvl w:val="0"/>
          <w:numId w:val="40"/>
        </w:numPr>
        <w:autoSpaceDE/>
        <w:autoSpaceDN/>
        <w:adjustRightInd/>
        <w:spacing w:after="160" w:line="276" w:lineRule="auto"/>
        <w:ind w:left="720" w:hanging="360"/>
        <w:contextualSpacing/>
        <w:jc w:val="both"/>
        <w:rPr>
          <w:rFonts w:ascii="Arial" w:eastAsia="Calibri" w:hAnsi="Arial" w:cs="Arial"/>
          <w:color w:val="000000" w:themeColor="text1"/>
          <w:sz w:val="22"/>
          <w:szCs w:val="22"/>
          <w:lang w:eastAsia="en-US"/>
        </w:rPr>
      </w:pPr>
      <w:r w:rsidRPr="00EC5967">
        <w:rPr>
          <w:rFonts w:ascii="Arial" w:eastAsia="Calibri" w:hAnsi="Arial" w:cs="Arial"/>
          <w:color w:val="000000" w:themeColor="text1"/>
          <w:sz w:val="22"/>
          <w:szCs w:val="22"/>
          <w:lang w:val="it-IT" w:eastAsia="en-US"/>
        </w:rPr>
        <w:t>Gavrilă Florin - Daniel, cet</w:t>
      </w:r>
      <w:r w:rsidR="00846B8D" w:rsidRPr="00EC5967">
        <w:rPr>
          <w:rFonts w:ascii="Arial" w:eastAsia="Calibri" w:hAnsi="Arial" w:cs="Arial"/>
          <w:color w:val="000000" w:themeColor="text1"/>
          <w:sz w:val="22"/>
          <w:szCs w:val="22"/>
          <w:lang w:eastAsia="en-US"/>
        </w:rPr>
        <w:t>ățean român;</w:t>
      </w:r>
      <w:r w:rsidRPr="00EC5967">
        <w:rPr>
          <w:rFonts w:ascii="Arial" w:eastAsia="Calibri" w:hAnsi="Arial" w:cs="Arial"/>
          <w:color w:val="000000" w:themeColor="text1"/>
          <w:sz w:val="22"/>
          <w:szCs w:val="22"/>
          <w:lang w:eastAsia="en-US"/>
        </w:rPr>
        <w:t xml:space="preserve"> </w:t>
      </w:r>
    </w:p>
    <w:p w:rsidR="00461FC5" w:rsidRPr="00EC5967" w:rsidRDefault="00461FC5" w:rsidP="00170D7E">
      <w:pPr>
        <w:widowControl/>
        <w:numPr>
          <w:ilvl w:val="0"/>
          <w:numId w:val="40"/>
        </w:numPr>
        <w:autoSpaceDE/>
        <w:autoSpaceDN/>
        <w:adjustRightInd/>
        <w:spacing w:after="160" w:line="276" w:lineRule="auto"/>
        <w:ind w:left="720" w:hanging="360"/>
        <w:contextualSpacing/>
        <w:jc w:val="both"/>
        <w:rPr>
          <w:rFonts w:ascii="Arial" w:eastAsia="Calibri" w:hAnsi="Arial" w:cs="Arial"/>
          <w:color w:val="000000" w:themeColor="text1"/>
          <w:sz w:val="22"/>
          <w:szCs w:val="22"/>
          <w:lang w:eastAsia="en-US"/>
        </w:rPr>
      </w:pPr>
      <w:r w:rsidRPr="00EC5967">
        <w:rPr>
          <w:rFonts w:ascii="Arial" w:eastAsia="Calibri" w:hAnsi="Arial" w:cs="Arial"/>
          <w:color w:val="000000" w:themeColor="text1"/>
          <w:sz w:val="22"/>
          <w:szCs w:val="22"/>
          <w:lang w:val="it-IT" w:eastAsia="en-US"/>
        </w:rPr>
        <w:t>Ilași Liviu, cet</w:t>
      </w:r>
      <w:r w:rsidRPr="00EC5967">
        <w:rPr>
          <w:rFonts w:ascii="Arial" w:eastAsia="Calibri" w:hAnsi="Arial" w:cs="Arial"/>
          <w:color w:val="000000" w:themeColor="text1"/>
          <w:sz w:val="22"/>
          <w:szCs w:val="22"/>
          <w:lang w:eastAsia="en-US"/>
        </w:rPr>
        <w:t>ățean român.</w:t>
      </w:r>
    </w:p>
    <w:p w:rsidR="00846B8D" w:rsidRPr="003D6980" w:rsidRDefault="00846B8D" w:rsidP="00846B8D">
      <w:pPr>
        <w:widowControl/>
        <w:autoSpaceDE/>
        <w:autoSpaceDN/>
        <w:adjustRightInd/>
        <w:spacing w:after="160" w:line="276" w:lineRule="auto"/>
        <w:ind w:left="1080"/>
        <w:contextualSpacing/>
        <w:jc w:val="both"/>
        <w:rPr>
          <w:rFonts w:ascii="Arial" w:eastAsia="Calibri" w:hAnsi="Arial" w:cs="Arial"/>
          <w:sz w:val="22"/>
          <w:szCs w:val="22"/>
          <w:lang w:eastAsia="en-US"/>
        </w:rPr>
      </w:pPr>
    </w:p>
    <w:p w:rsidR="00461FC5" w:rsidRPr="00846B8D" w:rsidRDefault="00846B8D" w:rsidP="00846B8D">
      <w:pPr>
        <w:widowControl/>
        <w:overflowPunct w:val="0"/>
        <w:spacing w:line="276" w:lineRule="auto"/>
        <w:jc w:val="both"/>
        <w:textAlignment w:val="baseline"/>
        <w:rPr>
          <w:rFonts w:ascii="Arial" w:hAnsi="Arial" w:cs="Arial"/>
          <w:sz w:val="22"/>
          <w:szCs w:val="22"/>
          <w:lang w:eastAsia="en-US"/>
        </w:rPr>
      </w:pPr>
      <w:r>
        <w:rPr>
          <w:rFonts w:ascii="Arial" w:hAnsi="Arial" w:cs="Arial"/>
          <w:sz w:val="22"/>
          <w:szCs w:val="22"/>
          <w:lang w:eastAsia="en-US"/>
        </w:rPr>
        <w:t>Structura Consiliului de A</w:t>
      </w:r>
      <w:r w:rsidR="00461FC5" w:rsidRPr="003D6980">
        <w:rPr>
          <w:rFonts w:ascii="Arial" w:hAnsi="Arial" w:cs="Arial"/>
          <w:sz w:val="22"/>
          <w:szCs w:val="22"/>
          <w:lang w:eastAsia="en-US"/>
        </w:rPr>
        <w:t>dministrație este diversă, cuprinzând atât bărbați cât și femei, de profesii diferite (ingineri, juriști și economiști)</w:t>
      </w:r>
      <w:r w:rsidR="00461FC5">
        <w:rPr>
          <w:rFonts w:ascii="Arial" w:hAnsi="Arial" w:cs="Arial"/>
          <w:sz w:val="22"/>
          <w:szCs w:val="22"/>
          <w:lang w:eastAsia="en-US"/>
        </w:rPr>
        <w:t xml:space="preserve"> </w:t>
      </w:r>
      <w:r w:rsidR="00461FC5" w:rsidRPr="003D6980">
        <w:rPr>
          <w:rFonts w:ascii="Arial" w:hAnsi="Arial" w:cs="Arial"/>
          <w:sz w:val="22"/>
          <w:szCs w:val="22"/>
          <w:lang w:eastAsia="en-US"/>
        </w:rPr>
        <w:t>și cu experiență profesională în domeniul  energetic, ban</w:t>
      </w:r>
      <w:r>
        <w:rPr>
          <w:rFonts w:ascii="Arial" w:hAnsi="Arial" w:cs="Arial"/>
          <w:sz w:val="22"/>
          <w:szCs w:val="22"/>
          <w:lang w:eastAsia="en-US"/>
        </w:rPr>
        <w:t>car, investiții</w:t>
      </w:r>
      <w:r w:rsidR="000E74C7">
        <w:rPr>
          <w:rFonts w:ascii="Arial" w:hAnsi="Arial" w:cs="Arial"/>
          <w:sz w:val="22"/>
          <w:szCs w:val="22"/>
          <w:lang w:eastAsia="en-US"/>
        </w:rPr>
        <w:t xml:space="preserve"> </w:t>
      </w:r>
      <w:r>
        <w:rPr>
          <w:rFonts w:ascii="Arial" w:hAnsi="Arial" w:cs="Arial"/>
          <w:sz w:val="22"/>
          <w:szCs w:val="22"/>
          <w:lang w:eastAsia="en-US"/>
        </w:rPr>
        <w:t>și consultanță.</w:t>
      </w:r>
    </w:p>
    <w:p w:rsidR="00461FC5" w:rsidRPr="008815F0" w:rsidRDefault="00461FC5" w:rsidP="00461FC5">
      <w:pPr>
        <w:spacing w:before="120" w:line="276" w:lineRule="auto"/>
        <w:jc w:val="both"/>
        <w:rPr>
          <w:rFonts w:ascii="Arial" w:hAnsi="Arial" w:cs="Arial"/>
          <w:bCs/>
          <w:sz w:val="22"/>
          <w:szCs w:val="22"/>
          <w:lang w:val="fr-FR"/>
        </w:rPr>
      </w:pPr>
      <w:r w:rsidRPr="008815F0">
        <w:rPr>
          <w:rFonts w:ascii="Arial" w:hAnsi="Arial" w:cs="Arial"/>
          <w:bCs/>
          <w:sz w:val="22"/>
          <w:szCs w:val="22"/>
          <w:lang w:val="fr-FR"/>
        </w:rPr>
        <w:t>CV-urile membrilor Consiliului de Administrație al CONPET S</w:t>
      </w:r>
      <w:r w:rsidR="008546F7" w:rsidRPr="008815F0">
        <w:rPr>
          <w:rFonts w:ascii="Arial" w:hAnsi="Arial" w:cs="Arial"/>
          <w:bCs/>
          <w:sz w:val="22"/>
          <w:szCs w:val="22"/>
          <w:lang w:val="fr-FR"/>
        </w:rPr>
        <w:t>.</w:t>
      </w:r>
      <w:r w:rsidRPr="008815F0">
        <w:rPr>
          <w:rFonts w:ascii="Arial" w:hAnsi="Arial" w:cs="Arial"/>
          <w:bCs/>
          <w:sz w:val="22"/>
          <w:szCs w:val="22"/>
          <w:lang w:val="fr-FR"/>
        </w:rPr>
        <w:t>A</w:t>
      </w:r>
      <w:r w:rsidR="008546F7" w:rsidRPr="008815F0">
        <w:rPr>
          <w:rFonts w:ascii="Arial" w:hAnsi="Arial" w:cs="Arial"/>
          <w:bCs/>
          <w:sz w:val="22"/>
          <w:szCs w:val="22"/>
          <w:lang w:val="fr-FR"/>
        </w:rPr>
        <w:t>.</w:t>
      </w:r>
      <w:r w:rsidRPr="008815F0">
        <w:rPr>
          <w:rFonts w:ascii="Arial" w:hAnsi="Arial" w:cs="Arial"/>
          <w:bCs/>
          <w:sz w:val="22"/>
          <w:szCs w:val="22"/>
          <w:lang w:val="fr-FR"/>
        </w:rPr>
        <w:t xml:space="preserve"> sunt disponibile pe site-ul societății la adresa </w:t>
      </w:r>
      <w:hyperlink r:id="rId31" w:history="1">
        <w:r w:rsidRPr="008815F0">
          <w:rPr>
            <w:rFonts w:ascii="Arial" w:hAnsi="Arial" w:cs="Arial"/>
            <w:bCs/>
            <w:sz w:val="22"/>
            <w:szCs w:val="22"/>
            <w:u w:val="single"/>
            <w:lang w:val="fr-FR"/>
          </w:rPr>
          <w:t>www.conpet.ro/Guvernanță corporativă /</w:t>
        </w:r>
      </w:hyperlink>
      <w:r w:rsidRPr="008815F0">
        <w:rPr>
          <w:rFonts w:ascii="Arial" w:hAnsi="Arial" w:cs="Arial"/>
          <w:bCs/>
          <w:sz w:val="22"/>
          <w:szCs w:val="22"/>
          <w:u w:val="single"/>
          <w:lang w:val="fr-FR"/>
        </w:rPr>
        <w:t xml:space="preserve"> Consiliul de Administrație. </w:t>
      </w:r>
    </w:p>
    <w:p w:rsidR="00461FC5" w:rsidRPr="008815F0" w:rsidRDefault="00461FC5" w:rsidP="008815F0">
      <w:pPr>
        <w:rPr>
          <w:rFonts w:ascii="Arial" w:hAnsi="Arial" w:cs="Arial"/>
          <w:sz w:val="22"/>
          <w:szCs w:val="22"/>
          <w:lang w:val="fr-FR"/>
        </w:rPr>
      </w:pPr>
      <w:r w:rsidRPr="008815F0">
        <w:rPr>
          <w:rFonts w:ascii="Arial" w:hAnsi="Arial" w:cs="Arial"/>
          <w:bCs/>
          <w:sz w:val="22"/>
          <w:szCs w:val="22"/>
          <w:lang w:val="fr-FR"/>
        </w:rPr>
        <w:t>Administratorul  Ilaşi Liviu</w:t>
      </w:r>
      <w:r w:rsidRPr="008815F0">
        <w:rPr>
          <w:rFonts w:ascii="Arial" w:hAnsi="Arial" w:cs="Arial"/>
          <w:sz w:val="22"/>
          <w:szCs w:val="22"/>
          <w:lang w:val="fr-FR"/>
        </w:rPr>
        <w:t xml:space="preserve"> deţine un număr de </w:t>
      </w:r>
      <w:r w:rsidRPr="008815F0">
        <w:rPr>
          <w:rFonts w:ascii="Arial" w:hAnsi="Arial" w:cs="Arial"/>
          <w:bCs/>
          <w:sz w:val="22"/>
          <w:szCs w:val="22"/>
          <w:lang w:val="fr-FR"/>
        </w:rPr>
        <w:t>40 acţiuni</w:t>
      </w:r>
      <w:r w:rsidRPr="008815F0">
        <w:rPr>
          <w:rFonts w:ascii="Arial" w:hAnsi="Arial" w:cs="Arial"/>
          <w:sz w:val="22"/>
          <w:szCs w:val="22"/>
          <w:lang w:val="fr-FR"/>
        </w:rPr>
        <w:t xml:space="preserve"> emise de societate,</w:t>
      </w:r>
      <w:r w:rsidR="008815F0" w:rsidRPr="008815F0">
        <w:rPr>
          <w:rFonts w:ascii="Arial" w:hAnsi="Arial" w:cs="Arial"/>
          <w:sz w:val="22"/>
          <w:szCs w:val="22"/>
          <w:lang w:val="fr-FR"/>
        </w:rPr>
        <w:t xml:space="preserve"> administratorul </w:t>
      </w:r>
      <w:r w:rsidRPr="008815F0">
        <w:rPr>
          <w:rFonts w:ascii="Arial" w:hAnsi="Arial" w:cs="Arial"/>
          <w:sz w:val="22"/>
          <w:szCs w:val="22"/>
          <w:lang w:val="fr-FR"/>
        </w:rPr>
        <w:t xml:space="preserve"> </w:t>
      </w:r>
      <w:r w:rsidR="008815F0">
        <w:rPr>
          <w:rFonts w:ascii="Arial" w:hAnsi="Arial" w:cs="Arial"/>
          <w:sz w:val="22"/>
          <w:szCs w:val="22"/>
          <w:lang w:val="fr-FR"/>
        </w:rPr>
        <w:t>G</w:t>
      </w:r>
      <w:r w:rsidR="008815F0" w:rsidRPr="008815F0">
        <w:rPr>
          <w:rFonts w:ascii="Arial" w:hAnsi="Arial" w:cs="Arial"/>
          <w:sz w:val="22"/>
          <w:szCs w:val="22"/>
        </w:rPr>
        <w:t>avril</w:t>
      </w:r>
      <w:r w:rsidR="008815F0">
        <w:rPr>
          <w:rFonts w:ascii="Arial" w:hAnsi="Arial" w:cs="Arial"/>
          <w:sz w:val="22"/>
          <w:szCs w:val="22"/>
        </w:rPr>
        <w:t>ă</w:t>
      </w:r>
      <w:r w:rsidR="008815F0" w:rsidRPr="008815F0">
        <w:rPr>
          <w:rFonts w:ascii="Arial" w:hAnsi="Arial" w:cs="Arial"/>
          <w:sz w:val="22"/>
          <w:szCs w:val="22"/>
        </w:rPr>
        <w:t xml:space="preserve"> </w:t>
      </w:r>
      <w:r w:rsidR="008815F0">
        <w:rPr>
          <w:rFonts w:ascii="Arial" w:hAnsi="Arial" w:cs="Arial"/>
          <w:sz w:val="22"/>
          <w:szCs w:val="22"/>
        </w:rPr>
        <w:t>F</w:t>
      </w:r>
      <w:r w:rsidR="008815F0" w:rsidRPr="008815F0">
        <w:rPr>
          <w:rFonts w:ascii="Arial" w:hAnsi="Arial" w:cs="Arial"/>
          <w:sz w:val="22"/>
          <w:szCs w:val="22"/>
        </w:rPr>
        <w:t xml:space="preserve">lorin – </w:t>
      </w:r>
      <w:r w:rsidR="008815F0">
        <w:rPr>
          <w:rFonts w:ascii="Arial" w:hAnsi="Arial" w:cs="Arial"/>
          <w:sz w:val="22"/>
          <w:szCs w:val="22"/>
        </w:rPr>
        <w:t>D</w:t>
      </w:r>
      <w:r w:rsidR="008815F0" w:rsidRPr="008815F0">
        <w:rPr>
          <w:rFonts w:ascii="Arial" w:hAnsi="Arial" w:cs="Arial"/>
          <w:sz w:val="22"/>
          <w:szCs w:val="22"/>
        </w:rPr>
        <w:t xml:space="preserve">aniel </w:t>
      </w:r>
      <w:r w:rsidR="008815F0">
        <w:rPr>
          <w:rFonts w:ascii="Arial" w:hAnsi="Arial" w:cs="Arial"/>
          <w:sz w:val="22"/>
          <w:szCs w:val="22"/>
        </w:rPr>
        <w:t xml:space="preserve">deține  50 acțiuni, </w:t>
      </w:r>
      <w:r w:rsidRPr="008815F0">
        <w:rPr>
          <w:rFonts w:ascii="Arial" w:hAnsi="Arial" w:cs="Arial"/>
          <w:sz w:val="22"/>
          <w:szCs w:val="22"/>
          <w:lang w:val="fr-FR"/>
        </w:rPr>
        <w:t>ceilalți administratori neavând participații la capitalul social al CONPET S.A.</w:t>
      </w:r>
      <w:r w:rsidR="008546F7" w:rsidRPr="008815F0">
        <w:rPr>
          <w:rFonts w:ascii="Arial" w:hAnsi="Arial" w:cs="Arial"/>
          <w:sz w:val="22"/>
          <w:szCs w:val="22"/>
          <w:lang w:val="fr-FR"/>
        </w:rPr>
        <w:t>.</w:t>
      </w:r>
    </w:p>
    <w:p w:rsidR="00461FC5" w:rsidRPr="003D6980" w:rsidRDefault="00461FC5" w:rsidP="00461FC5">
      <w:pPr>
        <w:widowControl/>
        <w:overflowPunct w:val="0"/>
        <w:spacing w:line="276" w:lineRule="auto"/>
        <w:jc w:val="both"/>
        <w:textAlignment w:val="baseline"/>
        <w:rPr>
          <w:rFonts w:ascii="Arial" w:hAnsi="Arial" w:cs="Arial"/>
          <w:sz w:val="22"/>
          <w:szCs w:val="22"/>
          <w:lang w:eastAsia="en-US"/>
        </w:rPr>
      </w:pPr>
    </w:p>
    <w:p w:rsidR="00461FC5" w:rsidRDefault="008546F7" w:rsidP="00461FC5">
      <w:pPr>
        <w:spacing w:line="276" w:lineRule="auto"/>
        <w:jc w:val="both"/>
        <w:rPr>
          <w:rFonts w:ascii="Arial" w:hAnsi="Arial" w:cs="Arial"/>
          <w:sz w:val="22"/>
          <w:szCs w:val="22"/>
          <w:lang w:val="it-IT"/>
        </w:rPr>
      </w:pPr>
      <w:r>
        <w:rPr>
          <w:rFonts w:ascii="Arial" w:hAnsi="Arial" w:cs="Arial"/>
          <w:sz w:val="22"/>
          <w:szCs w:val="22"/>
          <w:lang w:val="it-IT"/>
        </w:rPr>
        <w:t>Actul C</w:t>
      </w:r>
      <w:r w:rsidR="00461FC5" w:rsidRPr="00C76D33">
        <w:rPr>
          <w:rFonts w:ascii="Arial" w:hAnsi="Arial" w:cs="Arial"/>
          <w:sz w:val="22"/>
          <w:szCs w:val="22"/>
          <w:lang w:val="it-IT"/>
        </w:rPr>
        <w:t>onstitutiv al societății CONPET</w:t>
      </w:r>
      <w:r w:rsidR="00461FC5">
        <w:rPr>
          <w:rFonts w:ascii="Arial" w:hAnsi="Arial" w:cs="Arial"/>
          <w:sz w:val="22"/>
          <w:szCs w:val="22"/>
          <w:lang w:val="it-IT"/>
        </w:rPr>
        <w:t xml:space="preserve"> S.A.</w:t>
      </w:r>
      <w:r w:rsidR="00461FC5" w:rsidRPr="00C76D33">
        <w:rPr>
          <w:rFonts w:ascii="Arial" w:hAnsi="Arial" w:cs="Arial"/>
          <w:sz w:val="22"/>
          <w:szCs w:val="22"/>
          <w:lang w:val="it-IT"/>
        </w:rPr>
        <w:t>, actualizat la data de 17.05.2018 reglementează atribuțiile, răspunderile și competen</w:t>
      </w:r>
      <w:r w:rsidR="00846B8D">
        <w:rPr>
          <w:rFonts w:ascii="Arial" w:hAnsi="Arial" w:cs="Arial"/>
          <w:sz w:val="22"/>
          <w:szCs w:val="22"/>
          <w:lang w:val="it-IT"/>
        </w:rPr>
        <w:t>țele Consiliul de Administraţie.</w:t>
      </w:r>
    </w:p>
    <w:p w:rsidR="00461FC5" w:rsidRDefault="00461FC5" w:rsidP="00461FC5">
      <w:pPr>
        <w:spacing w:line="276" w:lineRule="auto"/>
        <w:jc w:val="both"/>
        <w:rPr>
          <w:rFonts w:ascii="Arial" w:hAnsi="Arial" w:cs="Arial"/>
          <w:sz w:val="22"/>
          <w:szCs w:val="22"/>
          <w:lang w:val="it-IT"/>
        </w:rPr>
      </w:pPr>
    </w:p>
    <w:p w:rsidR="00D60FCC" w:rsidRDefault="00D60FCC" w:rsidP="00461FC5">
      <w:pPr>
        <w:spacing w:line="276" w:lineRule="auto"/>
        <w:jc w:val="both"/>
        <w:rPr>
          <w:rFonts w:ascii="Arial" w:hAnsi="Arial" w:cs="Arial"/>
          <w:sz w:val="22"/>
          <w:szCs w:val="22"/>
          <w:lang w:val="it-IT"/>
        </w:rPr>
      </w:pPr>
    </w:p>
    <w:p w:rsidR="00461FC5" w:rsidRDefault="00461FC5" w:rsidP="00461FC5">
      <w:pPr>
        <w:spacing w:line="276" w:lineRule="auto"/>
        <w:jc w:val="both"/>
        <w:rPr>
          <w:rFonts w:ascii="Arial" w:eastAsia="Calibri" w:hAnsi="Arial" w:cs="Arial"/>
          <w:sz w:val="22"/>
          <w:szCs w:val="22"/>
        </w:rPr>
      </w:pPr>
      <w:r>
        <w:rPr>
          <w:rFonts w:ascii="Arial" w:eastAsia="Calibri" w:hAnsi="Arial" w:cs="Arial"/>
          <w:sz w:val="22"/>
          <w:szCs w:val="22"/>
        </w:rPr>
        <w:lastRenderedPageBreak/>
        <w:t>Consiliul de Administrație î</w:t>
      </w:r>
      <w:r w:rsidRPr="003D6980">
        <w:rPr>
          <w:rFonts w:ascii="Arial" w:eastAsia="Calibri" w:hAnsi="Arial" w:cs="Arial"/>
          <w:sz w:val="22"/>
          <w:szCs w:val="22"/>
        </w:rPr>
        <w:t>și desfașoară activitatea în baza Regulamentului de Organizare și Funcționare stabilit în conformitate cu prevederile Legii nr. 31/1990 a societăților, republicată, cu modificările și compl</w:t>
      </w:r>
      <w:r>
        <w:rPr>
          <w:rFonts w:ascii="Arial" w:eastAsia="Calibri" w:hAnsi="Arial" w:cs="Arial"/>
          <w:sz w:val="22"/>
          <w:szCs w:val="22"/>
        </w:rPr>
        <w:t>etările ulterioare și cu Actul C</w:t>
      </w:r>
      <w:r w:rsidRPr="003D6980">
        <w:rPr>
          <w:rFonts w:ascii="Arial" w:eastAsia="Calibri" w:hAnsi="Arial" w:cs="Arial"/>
          <w:sz w:val="22"/>
          <w:szCs w:val="22"/>
        </w:rPr>
        <w:t>onstitutiv al CONPET</w:t>
      </w:r>
      <w:r>
        <w:rPr>
          <w:rFonts w:ascii="Arial" w:eastAsia="Calibri" w:hAnsi="Arial" w:cs="Arial"/>
          <w:sz w:val="22"/>
          <w:szCs w:val="22"/>
        </w:rPr>
        <w:t xml:space="preserve"> S.A.</w:t>
      </w:r>
      <w:r w:rsidRPr="003D6980">
        <w:rPr>
          <w:rFonts w:ascii="Arial" w:eastAsia="Calibri" w:hAnsi="Arial" w:cs="Arial"/>
          <w:sz w:val="22"/>
          <w:szCs w:val="22"/>
        </w:rPr>
        <w:t>.</w:t>
      </w:r>
    </w:p>
    <w:p w:rsidR="00F07012" w:rsidRPr="003D6980" w:rsidRDefault="00F07012" w:rsidP="00461FC5">
      <w:pPr>
        <w:spacing w:line="276" w:lineRule="auto"/>
        <w:jc w:val="both"/>
        <w:rPr>
          <w:rFonts w:ascii="Arial" w:eastAsia="Calibri" w:hAnsi="Arial" w:cs="Arial"/>
          <w:sz w:val="22"/>
          <w:szCs w:val="22"/>
        </w:rPr>
      </w:pPr>
    </w:p>
    <w:p w:rsidR="00461FC5" w:rsidRDefault="00461FC5" w:rsidP="00461FC5">
      <w:pPr>
        <w:spacing w:line="276" w:lineRule="auto"/>
        <w:jc w:val="both"/>
        <w:rPr>
          <w:rFonts w:ascii="Arial" w:hAnsi="Arial" w:cs="Arial"/>
          <w:sz w:val="22"/>
          <w:szCs w:val="22"/>
          <w:lang w:val="it-IT"/>
        </w:rPr>
      </w:pPr>
      <w:r w:rsidRPr="003D6980">
        <w:rPr>
          <w:rFonts w:ascii="Arial" w:eastAsia="Calibri" w:hAnsi="Arial" w:cs="Arial"/>
          <w:sz w:val="22"/>
          <w:szCs w:val="22"/>
        </w:rPr>
        <w:t xml:space="preserve">Termenii de referinţă ai Consiliului de Administrație pot fi consultaţi la adresa: </w:t>
      </w:r>
      <w:hyperlink r:id="rId32" w:history="1">
        <w:r w:rsidRPr="003D6980">
          <w:rPr>
            <w:rFonts w:ascii="Arial" w:eastAsia="Calibri" w:hAnsi="Arial" w:cs="Arial"/>
            <w:sz w:val="22"/>
            <w:szCs w:val="22"/>
            <w:u w:val="single"/>
            <w:lang w:val="fr-FR"/>
          </w:rPr>
          <w:t>www. CONPET.ro/ guvernanță corporativă/ ROF</w:t>
        </w:r>
      </w:hyperlink>
      <w:r w:rsidR="00006550">
        <w:rPr>
          <w:rFonts w:ascii="Arial" w:eastAsia="Calibri" w:hAnsi="Arial" w:cs="Arial"/>
          <w:sz w:val="22"/>
          <w:szCs w:val="22"/>
          <w:lang w:val="fr-FR"/>
        </w:rPr>
        <w:t>.</w:t>
      </w:r>
      <w:r w:rsidRPr="003D6980">
        <w:rPr>
          <w:rFonts w:ascii="Arial" w:hAnsi="Arial" w:cs="Arial"/>
          <w:sz w:val="22"/>
          <w:szCs w:val="22"/>
          <w:lang w:val="it-IT"/>
        </w:rPr>
        <w:t xml:space="preserve"> </w:t>
      </w:r>
    </w:p>
    <w:p w:rsidR="00F07012" w:rsidRPr="00F07012" w:rsidRDefault="00F07012" w:rsidP="00461FC5">
      <w:pPr>
        <w:spacing w:line="276" w:lineRule="auto"/>
        <w:jc w:val="both"/>
        <w:rPr>
          <w:rFonts w:ascii="Arial" w:hAnsi="Arial" w:cs="Arial"/>
          <w:sz w:val="22"/>
          <w:szCs w:val="22"/>
          <w:lang w:val="it-IT"/>
        </w:rPr>
      </w:pPr>
    </w:p>
    <w:p w:rsidR="00461FC5" w:rsidRPr="007F5D81" w:rsidRDefault="00EB7F3C" w:rsidP="00461FC5">
      <w:pPr>
        <w:widowControl/>
        <w:overflowPunct w:val="0"/>
        <w:spacing w:line="276" w:lineRule="auto"/>
        <w:jc w:val="both"/>
        <w:textAlignment w:val="baseline"/>
        <w:rPr>
          <w:rFonts w:ascii="Arial" w:hAnsi="Arial" w:cs="Arial"/>
          <w:b/>
          <w:bCs/>
          <w:color w:val="1F4E79" w:themeColor="accent1" w:themeShade="80"/>
          <w:sz w:val="22"/>
          <w:szCs w:val="22"/>
          <w:lang w:eastAsia="en-US"/>
        </w:rPr>
      </w:pPr>
      <w:r w:rsidRPr="007F5D81">
        <w:rPr>
          <w:rFonts w:ascii="Arial" w:hAnsi="Arial" w:cs="Arial"/>
          <w:b/>
          <w:bCs/>
          <w:color w:val="1F4E79" w:themeColor="accent1" w:themeShade="80"/>
          <w:sz w:val="22"/>
          <w:szCs w:val="22"/>
          <w:lang w:eastAsia="en-US"/>
        </w:rPr>
        <w:t>Comitete C</w:t>
      </w:r>
      <w:r w:rsidR="00461FC5" w:rsidRPr="007F5D81">
        <w:rPr>
          <w:rFonts w:ascii="Arial" w:hAnsi="Arial" w:cs="Arial"/>
          <w:b/>
          <w:bCs/>
          <w:color w:val="1F4E79" w:themeColor="accent1" w:themeShade="80"/>
          <w:sz w:val="22"/>
          <w:szCs w:val="22"/>
          <w:lang w:eastAsia="en-US"/>
        </w:rPr>
        <w:t xml:space="preserve">onsultative </w:t>
      </w:r>
    </w:p>
    <w:p w:rsidR="00461FC5" w:rsidRPr="0001076F" w:rsidRDefault="00461FC5" w:rsidP="00461FC5">
      <w:pPr>
        <w:widowControl/>
        <w:overflowPunct w:val="0"/>
        <w:spacing w:line="276" w:lineRule="auto"/>
        <w:jc w:val="both"/>
        <w:textAlignment w:val="baseline"/>
        <w:rPr>
          <w:rFonts w:ascii="Arial" w:hAnsi="Arial" w:cs="Arial"/>
          <w:bCs/>
          <w:i/>
          <w:sz w:val="22"/>
          <w:szCs w:val="22"/>
          <w:lang w:eastAsia="en-US"/>
        </w:rPr>
      </w:pPr>
    </w:p>
    <w:p w:rsidR="00461FC5" w:rsidRDefault="00461FC5" w:rsidP="00461FC5">
      <w:pPr>
        <w:widowControl/>
        <w:overflowPunct w:val="0"/>
        <w:spacing w:line="276" w:lineRule="auto"/>
        <w:jc w:val="both"/>
        <w:textAlignment w:val="baseline"/>
        <w:rPr>
          <w:rFonts w:ascii="Arial" w:hAnsi="Arial" w:cs="Arial"/>
          <w:bCs/>
          <w:sz w:val="22"/>
          <w:szCs w:val="22"/>
          <w:lang w:eastAsia="en-US"/>
        </w:rPr>
      </w:pPr>
      <w:r w:rsidRPr="0001076F">
        <w:rPr>
          <w:rFonts w:ascii="Arial" w:hAnsi="Arial" w:cs="Arial"/>
          <w:sz w:val="22"/>
          <w:szCs w:val="22"/>
          <w:lang w:val="en-GB" w:eastAsia="en-US"/>
        </w:rPr>
        <w:t xml:space="preserve">În vederea respectării prevederilor legale specifice pieței de capital, </w:t>
      </w:r>
      <w:r w:rsidRPr="0001076F">
        <w:rPr>
          <w:rFonts w:ascii="Arial" w:hAnsi="Arial" w:cs="Arial"/>
          <w:bCs/>
          <w:sz w:val="22"/>
          <w:szCs w:val="22"/>
          <w:lang w:eastAsia="en-US"/>
        </w:rPr>
        <w:t>Consiliului de Administraţie are constitui</w:t>
      </w:r>
      <w:r w:rsidR="001613B7">
        <w:rPr>
          <w:rFonts w:ascii="Arial" w:hAnsi="Arial" w:cs="Arial"/>
          <w:bCs/>
          <w:sz w:val="22"/>
          <w:szCs w:val="22"/>
          <w:lang w:eastAsia="en-US"/>
        </w:rPr>
        <w:t>te comitete consultative în urmă</w:t>
      </w:r>
      <w:r w:rsidRPr="0001076F">
        <w:rPr>
          <w:rFonts w:ascii="Arial" w:hAnsi="Arial" w:cs="Arial"/>
          <w:bCs/>
          <w:sz w:val="22"/>
          <w:szCs w:val="22"/>
          <w:lang w:eastAsia="en-US"/>
        </w:rPr>
        <w:t>toarea structură:</w:t>
      </w:r>
    </w:p>
    <w:p w:rsidR="00F84A93" w:rsidRPr="0001076F" w:rsidRDefault="00F84A93" w:rsidP="00461FC5">
      <w:pPr>
        <w:widowControl/>
        <w:overflowPunct w:val="0"/>
        <w:spacing w:line="276" w:lineRule="auto"/>
        <w:jc w:val="both"/>
        <w:textAlignment w:val="baseline"/>
        <w:rPr>
          <w:rFonts w:ascii="Arial" w:hAnsi="Arial" w:cs="Arial"/>
          <w:bCs/>
          <w:sz w:val="22"/>
          <w:szCs w:val="22"/>
          <w:lang w:eastAsia="en-US"/>
        </w:rPr>
      </w:pPr>
    </w:p>
    <w:p w:rsidR="00461FC5" w:rsidRPr="0001076F" w:rsidRDefault="00461FC5" w:rsidP="00461FC5">
      <w:pPr>
        <w:widowControl/>
        <w:numPr>
          <w:ilvl w:val="1"/>
          <w:numId w:val="17"/>
        </w:numPr>
        <w:overflowPunct w:val="0"/>
        <w:autoSpaceDE/>
        <w:autoSpaceDN/>
        <w:adjustRightInd/>
        <w:spacing w:line="276" w:lineRule="auto"/>
        <w:ind w:hanging="357"/>
        <w:jc w:val="both"/>
        <w:rPr>
          <w:rFonts w:ascii="Arial" w:hAnsi="Arial" w:cs="Arial"/>
          <w:sz w:val="22"/>
          <w:szCs w:val="22"/>
          <w:lang w:eastAsia="en-US"/>
        </w:rPr>
      </w:pPr>
      <w:r w:rsidRPr="0001076F">
        <w:rPr>
          <w:rFonts w:ascii="Arial" w:hAnsi="Arial" w:cs="Arial"/>
          <w:sz w:val="22"/>
          <w:szCs w:val="22"/>
          <w:lang w:eastAsia="en-US"/>
        </w:rPr>
        <w:t>Comitetul de Audit;</w:t>
      </w:r>
    </w:p>
    <w:p w:rsidR="00461FC5" w:rsidRPr="0001076F" w:rsidRDefault="00461FC5" w:rsidP="00461FC5">
      <w:pPr>
        <w:widowControl/>
        <w:numPr>
          <w:ilvl w:val="1"/>
          <w:numId w:val="17"/>
        </w:numPr>
        <w:overflowPunct w:val="0"/>
        <w:autoSpaceDE/>
        <w:autoSpaceDN/>
        <w:adjustRightInd/>
        <w:spacing w:line="276" w:lineRule="auto"/>
        <w:ind w:hanging="357"/>
        <w:jc w:val="both"/>
        <w:rPr>
          <w:rFonts w:ascii="Arial" w:hAnsi="Arial" w:cs="Arial"/>
          <w:sz w:val="22"/>
          <w:szCs w:val="22"/>
          <w:lang w:eastAsia="en-US"/>
        </w:rPr>
      </w:pPr>
      <w:r w:rsidRPr="0001076F">
        <w:rPr>
          <w:rFonts w:ascii="Arial" w:hAnsi="Arial" w:cs="Arial"/>
          <w:sz w:val="22"/>
          <w:szCs w:val="22"/>
          <w:lang w:eastAsia="en-US"/>
        </w:rPr>
        <w:t>Comitetul de Nominalizare și Remunerare;</w:t>
      </w:r>
    </w:p>
    <w:p w:rsidR="00461FC5" w:rsidRPr="0001076F" w:rsidRDefault="00461FC5" w:rsidP="00461FC5">
      <w:pPr>
        <w:widowControl/>
        <w:numPr>
          <w:ilvl w:val="1"/>
          <w:numId w:val="17"/>
        </w:numPr>
        <w:overflowPunct w:val="0"/>
        <w:autoSpaceDE/>
        <w:autoSpaceDN/>
        <w:adjustRightInd/>
        <w:spacing w:line="276" w:lineRule="auto"/>
        <w:ind w:hanging="357"/>
        <w:jc w:val="both"/>
        <w:rPr>
          <w:rFonts w:ascii="Arial" w:hAnsi="Arial" w:cs="Arial"/>
          <w:sz w:val="22"/>
          <w:szCs w:val="22"/>
          <w:lang w:eastAsia="en-US"/>
        </w:rPr>
      </w:pPr>
      <w:r w:rsidRPr="0001076F">
        <w:rPr>
          <w:rFonts w:ascii="Arial" w:hAnsi="Arial" w:cs="Arial"/>
          <w:sz w:val="22"/>
          <w:szCs w:val="22"/>
          <w:lang w:eastAsia="en-US"/>
        </w:rPr>
        <w:t>Comitetul Financiar şi pentru Relaţia cu Investitorii;</w:t>
      </w:r>
    </w:p>
    <w:p w:rsidR="00461FC5" w:rsidRPr="0001076F" w:rsidRDefault="00461FC5" w:rsidP="00EA3F77">
      <w:pPr>
        <w:widowControl/>
        <w:numPr>
          <w:ilvl w:val="1"/>
          <w:numId w:val="17"/>
        </w:numPr>
        <w:overflowPunct w:val="0"/>
        <w:autoSpaceDE/>
        <w:autoSpaceDN/>
        <w:adjustRightInd/>
        <w:spacing w:line="276" w:lineRule="auto"/>
        <w:ind w:hanging="357"/>
        <w:jc w:val="both"/>
        <w:rPr>
          <w:rFonts w:ascii="Arial" w:hAnsi="Arial" w:cs="Arial"/>
          <w:sz w:val="22"/>
          <w:szCs w:val="22"/>
          <w:lang w:eastAsia="en-US"/>
        </w:rPr>
      </w:pPr>
      <w:r w:rsidRPr="0001076F">
        <w:rPr>
          <w:rFonts w:ascii="Arial" w:hAnsi="Arial" w:cs="Arial"/>
          <w:sz w:val="22"/>
          <w:szCs w:val="22"/>
          <w:lang w:eastAsia="en-US"/>
        </w:rPr>
        <w:t xml:space="preserve">Comitetul de Dezvoltare și pentru Relația cu Autoritățile (constituit prin unirea </w:t>
      </w:r>
    </w:p>
    <w:p w:rsidR="00461FC5" w:rsidRPr="0001076F" w:rsidRDefault="00461FC5" w:rsidP="00EA3F77">
      <w:pPr>
        <w:overflowPunct w:val="0"/>
        <w:spacing w:line="276" w:lineRule="auto"/>
        <w:ind w:left="1080"/>
        <w:jc w:val="both"/>
        <w:rPr>
          <w:rFonts w:ascii="Arial" w:hAnsi="Arial" w:cs="Arial"/>
          <w:sz w:val="22"/>
          <w:szCs w:val="22"/>
          <w:lang w:eastAsia="en-US"/>
        </w:rPr>
      </w:pPr>
      <w:r w:rsidRPr="0001076F">
        <w:rPr>
          <w:rFonts w:ascii="Arial" w:hAnsi="Arial" w:cs="Arial"/>
          <w:sz w:val="22"/>
          <w:szCs w:val="22"/>
          <w:lang w:eastAsia="en-US"/>
        </w:rPr>
        <w:t>Comitetului pentru Relaţiile cu Autorităţile de Reglementare şi de Energie cu Comitetul de Dezvoltare, conform Deciziei C.A. nr. 18/ 28.11.2017).</w:t>
      </w:r>
    </w:p>
    <w:p w:rsidR="00461FC5" w:rsidRDefault="00461FC5" w:rsidP="00461FC5">
      <w:pPr>
        <w:widowControl/>
        <w:overflowPunct w:val="0"/>
        <w:spacing w:line="276" w:lineRule="auto"/>
        <w:jc w:val="both"/>
        <w:textAlignment w:val="baseline"/>
        <w:rPr>
          <w:rFonts w:ascii="Arial" w:hAnsi="Arial" w:cs="Arial"/>
          <w:bCs/>
          <w:sz w:val="22"/>
          <w:szCs w:val="22"/>
          <w:lang w:eastAsia="en-US"/>
        </w:rPr>
      </w:pPr>
    </w:p>
    <w:p w:rsidR="00461FC5" w:rsidRPr="003D6980" w:rsidRDefault="00EB2A85" w:rsidP="00461FC5">
      <w:pPr>
        <w:widowControl/>
        <w:overflowPunct w:val="0"/>
        <w:spacing w:line="276" w:lineRule="auto"/>
        <w:jc w:val="both"/>
        <w:textAlignment w:val="baseline"/>
        <w:rPr>
          <w:rFonts w:ascii="Arial" w:hAnsi="Arial" w:cs="Arial"/>
          <w:bCs/>
          <w:sz w:val="22"/>
          <w:szCs w:val="22"/>
          <w:lang w:eastAsia="en-US"/>
        </w:rPr>
      </w:pPr>
      <w:r>
        <w:rPr>
          <w:rFonts w:ascii="Arial" w:hAnsi="Arial" w:cs="Arial"/>
          <w:bCs/>
          <w:sz w:val="22"/>
          <w:szCs w:val="22"/>
          <w:lang w:eastAsia="en-US"/>
        </w:rPr>
        <w:t>Comitetele C</w:t>
      </w:r>
      <w:r w:rsidR="00461FC5" w:rsidRPr="0001076F">
        <w:rPr>
          <w:rFonts w:ascii="Arial" w:hAnsi="Arial" w:cs="Arial"/>
          <w:bCs/>
          <w:sz w:val="22"/>
          <w:szCs w:val="22"/>
          <w:lang w:eastAsia="en-US"/>
        </w:rPr>
        <w:t>onsultative au atribuții stabilite prin Regulamentul Intern pentru Organizar</w:t>
      </w:r>
      <w:r>
        <w:rPr>
          <w:rFonts w:ascii="Arial" w:hAnsi="Arial" w:cs="Arial"/>
          <w:bCs/>
          <w:sz w:val="22"/>
          <w:szCs w:val="22"/>
          <w:lang w:eastAsia="en-US"/>
        </w:rPr>
        <w:t>ea și Funcționarea Comitetelor C</w:t>
      </w:r>
      <w:r w:rsidR="00461FC5" w:rsidRPr="0001076F">
        <w:rPr>
          <w:rFonts w:ascii="Arial" w:hAnsi="Arial" w:cs="Arial"/>
          <w:bCs/>
          <w:sz w:val="22"/>
          <w:szCs w:val="22"/>
          <w:lang w:eastAsia="en-US"/>
        </w:rPr>
        <w:t>onsultative constituite la nivelul Consiliului de Administrație și sunt responsabile cu desfășurarea de analize și elaborarea de recomand</w:t>
      </w:r>
      <w:r w:rsidR="00461FC5">
        <w:rPr>
          <w:rFonts w:ascii="Arial" w:hAnsi="Arial" w:cs="Arial"/>
          <w:bCs/>
          <w:sz w:val="22"/>
          <w:szCs w:val="22"/>
          <w:lang w:eastAsia="en-US"/>
        </w:rPr>
        <w:t>ă</w:t>
      </w:r>
      <w:r w:rsidR="00461FC5" w:rsidRPr="0001076F">
        <w:rPr>
          <w:rFonts w:ascii="Arial" w:hAnsi="Arial" w:cs="Arial"/>
          <w:bCs/>
          <w:sz w:val="22"/>
          <w:szCs w:val="22"/>
          <w:lang w:eastAsia="en-US"/>
        </w:rPr>
        <w:t xml:space="preserve">ri pentru Consiliul de Administrație în domeniile specifice, înaintând acestuia rapoarte </w:t>
      </w:r>
      <w:r w:rsidR="001613B7">
        <w:rPr>
          <w:rFonts w:ascii="Arial" w:hAnsi="Arial" w:cs="Arial"/>
          <w:bCs/>
          <w:sz w:val="22"/>
          <w:szCs w:val="22"/>
          <w:lang w:eastAsia="en-US"/>
        </w:rPr>
        <w:t>cu privire la activitățile desfă</w:t>
      </w:r>
      <w:r w:rsidR="00461FC5" w:rsidRPr="0001076F">
        <w:rPr>
          <w:rFonts w:ascii="Arial" w:hAnsi="Arial" w:cs="Arial"/>
          <w:bCs/>
          <w:sz w:val="22"/>
          <w:szCs w:val="22"/>
          <w:lang w:eastAsia="en-US"/>
        </w:rPr>
        <w:t>șurate</w:t>
      </w:r>
      <w:r w:rsidR="00461FC5" w:rsidRPr="0001076F">
        <w:rPr>
          <w:rFonts w:ascii="Arial" w:hAnsi="Arial" w:cs="Arial"/>
          <w:b/>
          <w:bCs/>
          <w:sz w:val="22"/>
          <w:szCs w:val="22"/>
          <w:lang w:eastAsia="en-US"/>
        </w:rPr>
        <w:t>.</w:t>
      </w:r>
      <w:r w:rsidR="00461FC5" w:rsidRPr="003D6980">
        <w:rPr>
          <w:rFonts w:ascii="Arial" w:hAnsi="Arial" w:cs="Arial"/>
          <w:b/>
          <w:bCs/>
          <w:sz w:val="22"/>
          <w:szCs w:val="22"/>
          <w:lang w:eastAsia="en-US"/>
        </w:rPr>
        <w:t xml:space="preserve"> </w:t>
      </w:r>
    </w:p>
    <w:p w:rsidR="00461FC5" w:rsidRPr="003D6980" w:rsidRDefault="00461FC5" w:rsidP="00461FC5">
      <w:pPr>
        <w:widowControl/>
        <w:overflowPunct w:val="0"/>
        <w:spacing w:line="276" w:lineRule="auto"/>
        <w:jc w:val="both"/>
        <w:textAlignment w:val="baseline"/>
        <w:rPr>
          <w:rFonts w:ascii="Arial" w:hAnsi="Arial" w:cs="Arial"/>
          <w:sz w:val="22"/>
          <w:szCs w:val="22"/>
          <w:lang w:eastAsia="en-US"/>
        </w:rPr>
      </w:pPr>
    </w:p>
    <w:p w:rsidR="00461FC5" w:rsidRDefault="00EB2A85" w:rsidP="00FD4A06">
      <w:pPr>
        <w:widowControl/>
        <w:overflowPunct w:val="0"/>
        <w:spacing w:line="276" w:lineRule="auto"/>
        <w:jc w:val="both"/>
        <w:textAlignment w:val="baseline"/>
        <w:rPr>
          <w:rFonts w:ascii="Arial" w:hAnsi="Arial" w:cs="Arial"/>
          <w:sz w:val="22"/>
          <w:szCs w:val="22"/>
          <w:lang w:eastAsia="en-US"/>
        </w:rPr>
      </w:pPr>
      <w:r>
        <w:rPr>
          <w:rFonts w:ascii="Arial" w:hAnsi="Arial" w:cs="Arial"/>
          <w:sz w:val="22"/>
          <w:szCs w:val="22"/>
          <w:lang w:eastAsia="en-US"/>
        </w:rPr>
        <w:t>Comitetele C</w:t>
      </w:r>
      <w:r w:rsidR="00461FC5" w:rsidRPr="003D6980">
        <w:rPr>
          <w:rFonts w:ascii="Arial" w:hAnsi="Arial" w:cs="Arial"/>
          <w:sz w:val="22"/>
          <w:szCs w:val="22"/>
          <w:lang w:eastAsia="en-US"/>
        </w:rPr>
        <w:t>onsultative se întrunesc ori de câte ori este necesar, la convocarea preşedintelui, iar propunerile/ recomandările formulate către Consiliul de Administraţie (pentru fundamentarea luării deciziilor acestuia) se adoptă cu majoritate de voturi exprimate. Atr</w:t>
      </w:r>
      <w:r w:rsidR="00FD4A06">
        <w:rPr>
          <w:rFonts w:ascii="Arial" w:hAnsi="Arial" w:cs="Arial"/>
          <w:sz w:val="22"/>
          <w:szCs w:val="22"/>
          <w:lang w:eastAsia="en-US"/>
        </w:rPr>
        <w:t>ibuţiile şi responsabilitaţile Comitetelor C</w:t>
      </w:r>
      <w:r w:rsidR="00461FC5" w:rsidRPr="003D6980">
        <w:rPr>
          <w:rFonts w:ascii="Arial" w:hAnsi="Arial" w:cs="Arial"/>
          <w:sz w:val="22"/>
          <w:szCs w:val="22"/>
          <w:lang w:eastAsia="en-US"/>
        </w:rPr>
        <w:t>onsultative se stabilesc de că</w:t>
      </w:r>
      <w:r w:rsidR="00E03F71">
        <w:rPr>
          <w:rFonts w:ascii="Arial" w:hAnsi="Arial" w:cs="Arial"/>
          <w:sz w:val="22"/>
          <w:szCs w:val="22"/>
          <w:lang w:eastAsia="en-US"/>
        </w:rPr>
        <w:t>tre Consiliul de Administraţie.</w:t>
      </w:r>
    </w:p>
    <w:p w:rsidR="00E03F71" w:rsidRDefault="00E03F71" w:rsidP="00E03F71">
      <w:pPr>
        <w:widowControl/>
        <w:overflowPunct w:val="0"/>
        <w:spacing w:line="276" w:lineRule="auto"/>
        <w:jc w:val="both"/>
        <w:textAlignment w:val="baseline"/>
        <w:rPr>
          <w:rFonts w:ascii="Arial" w:hAnsi="Arial" w:cs="Arial"/>
          <w:sz w:val="22"/>
          <w:szCs w:val="22"/>
          <w:lang w:eastAsia="en-US"/>
        </w:rPr>
      </w:pPr>
    </w:p>
    <w:p w:rsidR="00E03F71" w:rsidRDefault="00461FC5" w:rsidP="00E03F71">
      <w:pPr>
        <w:widowControl/>
        <w:overflowPunct w:val="0"/>
        <w:spacing w:after="260"/>
        <w:jc w:val="both"/>
        <w:textAlignment w:val="baseline"/>
        <w:rPr>
          <w:rFonts w:ascii="Arial" w:hAnsi="Arial" w:cs="Arial"/>
          <w:sz w:val="22"/>
          <w:szCs w:val="22"/>
          <w:lang w:eastAsia="en-US"/>
        </w:rPr>
      </w:pPr>
      <w:r w:rsidRPr="003D6980">
        <w:rPr>
          <w:rFonts w:ascii="Arial" w:hAnsi="Arial" w:cs="Arial"/>
          <w:sz w:val="22"/>
          <w:szCs w:val="22"/>
          <w:lang w:eastAsia="en-US"/>
        </w:rPr>
        <w:t>Consiliul de Administraţie poate constitui, prin</w:t>
      </w:r>
      <w:r w:rsidR="0031396E">
        <w:rPr>
          <w:rFonts w:ascii="Arial" w:hAnsi="Arial" w:cs="Arial"/>
          <w:sz w:val="22"/>
          <w:szCs w:val="22"/>
          <w:lang w:eastAsia="en-US"/>
        </w:rPr>
        <w:t xml:space="preserve"> decizie, şi alte Comitete C</w:t>
      </w:r>
      <w:r w:rsidRPr="003D6980">
        <w:rPr>
          <w:rFonts w:ascii="Arial" w:hAnsi="Arial" w:cs="Arial"/>
          <w:sz w:val="22"/>
          <w:szCs w:val="22"/>
          <w:lang w:eastAsia="en-US"/>
        </w:rPr>
        <w:t>onsultative, în diverse domenii de activitate, în funcţie de necesităţile şi strategia managerială a societăţii. C</w:t>
      </w:r>
      <w:r w:rsidR="0031396E">
        <w:rPr>
          <w:rFonts w:ascii="Arial" w:hAnsi="Arial" w:cs="Arial"/>
          <w:sz w:val="22"/>
          <w:szCs w:val="22"/>
          <w:lang w:eastAsia="en-US"/>
        </w:rPr>
        <w:t>el puţin un membru al fiecărui Comitet C</w:t>
      </w:r>
      <w:r w:rsidRPr="003D6980">
        <w:rPr>
          <w:rFonts w:ascii="Arial" w:hAnsi="Arial" w:cs="Arial"/>
          <w:sz w:val="22"/>
          <w:szCs w:val="22"/>
          <w:lang w:eastAsia="en-US"/>
        </w:rPr>
        <w:t xml:space="preserve">onsultativ trebuie să fie administrator neexecutiv independent. </w:t>
      </w:r>
    </w:p>
    <w:p w:rsidR="00461FC5" w:rsidRPr="003D6980" w:rsidRDefault="00461FC5" w:rsidP="00E03F71">
      <w:pPr>
        <w:widowControl/>
        <w:overflowPunct w:val="0"/>
        <w:spacing w:after="260"/>
        <w:jc w:val="both"/>
        <w:textAlignment w:val="baseline"/>
        <w:rPr>
          <w:rFonts w:ascii="Arial" w:hAnsi="Arial" w:cs="Arial"/>
          <w:sz w:val="22"/>
          <w:szCs w:val="22"/>
          <w:lang w:eastAsia="en-US"/>
        </w:rPr>
      </w:pPr>
      <w:r w:rsidRPr="003D6980">
        <w:rPr>
          <w:rFonts w:ascii="Arial" w:hAnsi="Arial" w:cs="Arial"/>
          <w:sz w:val="22"/>
          <w:szCs w:val="22"/>
          <w:lang w:eastAsia="en-US"/>
        </w:rPr>
        <w:t>Comitetul</w:t>
      </w:r>
      <w:r w:rsidR="00CE2536">
        <w:rPr>
          <w:rFonts w:ascii="Arial" w:hAnsi="Arial" w:cs="Arial"/>
          <w:sz w:val="22"/>
          <w:szCs w:val="22"/>
          <w:lang w:eastAsia="en-US"/>
        </w:rPr>
        <w:t xml:space="preserve"> de Audit şi cel de R</w:t>
      </w:r>
      <w:r w:rsidRPr="003D6980">
        <w:rPr>
          <w:rFonts w:ascii="Arial" w:hAnsi="Arial" w:cs="Arial"/>
          <w:sz w:val="22"/>
          <w:szCs w:val="22"/>
          <w:lang w:eastAsia="en-US"/>
        </w:rPr>
        <w:t>emunerare sunt formate numai din administratori neexecutivi. Cel puţin un membru al comitetului de audit trebuie să deţină experienţă în aplicarea principiilor contabile sau în audit financiar.</w:t>
      </w:r>
    </w:p>
    <w:p w:rsidR="00461FC5" w:rsidRPr="003D6980" w:rsidRDefault="00CE2536" w:rsidP="00461FC5">
      <w:pPr>
        <w:spacing w:line="276" w:lineRule="auto"/>
        <w:jc w:val="both"/>
        <w:rPr>
          <w:rFonts w:ascii="Arial" w:eastAsia="Calibri" w:hAnsi="Arial" w:cs="Arial"/>
          <w:sz w:val="22"/>
          <w:szCs w:val="22"/>
        </w:rPr>
      </w:pPr>
      <w:r>
        <w:rPr>
          <w:rFonts w:ascii="Arial" w:eastAsia="Calibri" w:hAnsi="Arial" w:cs="Arial"/>
          <w:sz w:val="22"/>
          <w:szCs w:val="22"/>
        </w:rPr>
        <w:t>Termenii de referinţă ai Comitetelor C</w:t>
      </w:r>
      <w:r w:rsidR="00461FC5" w:rsidRPr="003D6980">
        <w:rPr>
          <w:rFonts w:ascii="Arial" w:eastAsia="Calibri" w:hAnsi="Arial" w:cs="Arial"/>
          <w:sz w:val="22"/>
          <w:szCs w:val="22"/>
        </w:rPr>
        <w:t>ons</w:t>
      </w:r>
      <w:r>
        <w:rPr>
          <w:rFonts w:ascii="Arial" w:eastAsia="Calibri" w:hAnsi="Arial" w:cs="Arial"/>
          <w:sz w:val="22"/>
          <w:szCs w:val="22"/>
        </w:rPr>
        <w:t>ultative</w:t>
      </w:r>
      <w:r w:rsidR="00461FC5" w:rsidRPr="003D6980">
        <w:rPr>
          <w:rFonts w:ascii="Arial" w:eastAsia="Calibri" w:hAnsi="Arial" w:cs="Arial"/>
          <w:sz w:val="22"/>
          <w:szCs w:val="22"/>
        </w:rPr>
        <w:t xml:space="preserve"> pot fi consultaţi la adresa</w:t>
      </w:r>
      <w:r>
        <w:rPr>
          <w:rFonts w:ascii="Arial" w:eastAsia="Calibri" w:hAnsi="Arial" w:cs="Arial"/>
          <w:sz w:val="22"/>
          <w:szCs w:val="22"/>
        </w:rPr>
        <w:t xml:space="preserve">: </w:t>
      </w:r>
      <w:hyperlink r:id="rId33" w:history="1">
        <w:r w:rsidR="00461FC5" w:rsidRPr="003D6980">
          <w:rPr>
            <w:rFonts w:ascii="Arial" w:eastAsia="Calibri" w:hAnsi="Arial" w:cs="Arial"/>
            <w:sz w:val="22"/>
            <w:szCs w:val="22"/>
            <w:u w:val="single"/>
            <w:lang w:val="fr-FR"/>
          </w:rPr>
          <w:t>www.CONPET.ro/ guvernanţă corporativă/ RIOF</w:t>
        </w:r>
      </w:hyperlink>
      <w:r w:rsidR="00461FC5" w:rsidRPr="003D6980">
        <w:rPr>
          <w:rFonts w:ascii="Arial" w:eastAsia="Calibri" w:hAnsi="Arial" w:cs="Arial"/>
          <w:sz w:val="22"/>
          <w:szCs w:val="22"/>
          <w:lang w:val="fr-FR"/>
        </w:rPr>
        <w:t xml:space="preserve"> pentru Comitete Consultative constituite la nivelul Consiliului de Administraţie. </w:t>
      </w:r>
    </w:p>
    <w:p w:rsidR="00461FC5" w:rsidRDefault="00461FC5" w:rsidP="00461FC5">
      <w:pPr>
        <w:widowControl/>
        <w:overflowPunct w:val="0"/>
        <w:spacing w:line="276" w:lineRule="auto"/>
        <w:jc w:val="both"/>
        <w:textAlignment w:val="baseline"/>
        <w:rPr>
          <w:rFonts w:ascii="Arial" w:hAnsi="Arial" w:cs="Arial"/>
          <w:sz w:val="22"/>
          <w:szCs w:val="22"/>
          <w:lang w:val="en-GB" w:eastAsia="en-US"/>
        </w:rPr>
      </w:pPr>
    </w:p>
    <w:p w:rsidR="00461FC5" w:rsidRPr="003D6980" w:rsidRDefault="00461FC5" w:rsidP="00461FC5">
      <w:pPr>
        <w:widowControl/>
        <w:overflowPunct w:val="0"/>
        <w:spacing w:line="276" w:lineRule="auto"/>
        <w:jc w:val="both"/>
        <w:textAlignment w:val="baseline"/>
        <w:rPr>
          <w:rFonts w:ascii="Arial" w:hAnsi="Arial" w:cs="Arial"/>
          <w:b/>
          <w:i/>
        </w:rPr>
      </w:pPr>
      <w:r w:rsidRPr="003D6980">
        <w:rPr>
          <w:rFonts w:ascii="Arial" w:hAnsi="Arial" w:cs="Arial"/>
          <w:sz w:val="22"/>
          <w:szCs w:val="22"/>
          <w:lang w:val="en-GB" w:eastAsia="en-US"/>
        </w:rPr>
        <w:t>În perioada ianuarie - iunie 2018</w:t>
      </w:r>
      <w:r w:rsidR="00CE2536">
        <w:rPr>
          <w:rFonts w:ascii="Arial" w:hAnsi="Arial" w:cs="Arial"/>
          <w:sz w:val="22"/>
          <w:szCs w:val="22"/>
          <w:lang w:val="en-GB" w:eastAsia="en-US"/>
        </w:rPr>
        <w:t>, Consiliul</w:t>
      </w:r>
      <w:r w:rsidR="00E03F71">
        <w:rPr>
          <w:rFonts w:ascii="Arial" w:hAnsi="Arial" w:cs="Arial"/>
          <w:sz w:val="22"/>
          <w:szCs w:val="22"/>
          <w:lang w:val="en-GB" w:eastAsia="en-US"/>
        </w:rPr>
        <w:t xml:space="preserve"> de A</w:t>
      </w:r>
      <w:r w:rsidRPr="003D6980">
        <w:rPr>
          <w:rFonts w:ascii="Arial" w:hAnsi="Arial" w:cs="Arial"/>
          <w:sz w:val="22"/>
          <w:szCs w:val="22"/>
          <w:lang w:val="en-GB" w:eastAsia="en-US"/>
        </w:rPr>
        <w:t>dministra</w:t>
      </w:r>
      <w:r w:rsidR="00CE2536">
        <w:rPr>
          <w:rFonts w:ascii="Arial" w:hAnsi="Arial" w:cs="Arial"/>
          <w:sz w:val="22"/>
          <w:szCs w:val="22"/>
          <w:lang w:val="en-GB" w:eastAsia="en-US"/>
        </w:rPr>
        <w:t>ție a organizat 9 sedințe, iar Comitetele  C</w:t>
      </w:r>
      <w:r w:rsidRPr="003D6980">
        <w:rPr>
          <w:rFonts w:ascii="Arial" w:hAnsi="Arial" w:cs="Arial"/>
          <w:sz w:val="22"/>
          <w:szCs w:val="22"/>
          <w:lang w:val="en-GB" w:eastAsia="en-US"/>
        </w:rPr>
        <w:t xml:space="preserve">onsultative s-au întrunit în 13 ședințe.  </w:t>
      </w:r>
    </w:p>
    <w:p w:rsidR="00461FC5" w:rsidRPr="003D6980" w:rsidRDefault="00461FC5" w:rsidP="00461FC5">
      <w:pPr>
        <w:spacing w:line="276" w:lineRule="auto"/>
        <w:jc w:val="both"/>
        <w:rPr>
          <w:rFonts w:ascii="Arial" w:hAnsi="Arial" w:cs="Arial"/>
          <w:b/>
          <w:i/>
          <w:sz w:val="22"/>
          <w:szCs w:val="22"/>
        </w:rPr>
      </w:pPr>
    </w:p>
    <w:p w:rsidR="00461FC5" w:rsidRPr="003D6980" w:rsidRDefault="00461FC5" w:rsidP="00461FC5">
      <w:pPr>
        <w:spacing w:line="276" w:lineRule="auto"/>
        <w:jc w:val="both"/>
        <w:rPr>
          <w:rFonts w:ascii="Arial" w:hAnsi="Arial" w:cs="Arial"/>
          <w:sz w:val="22"/>
          <w:szCs w:val="22"/>
        </w:rPr>
      </w:pPr>
      <w:r w:rsidRPr="003D6980">
        <w:rPr>
          <w:rFonts w:ascii="Arial" w:hAnsi="Arial" w:cs="Arial"/>
          <w:sz w:val="22"/>
          <w:szCs w:val="22"/>
        </w:rPr>
        <w:t xml:space="preserve">Ședinţele </w:t>
      </w:r>
      <w:r w:rsidRPr="003D6980">
        <w:rPr>
          <w:rFonts w:ascii="Arial" w:hAnsi="Arial" w:cs="Arial"/>
          <w:bCs/>
          <w:sz w:val="22"/>
          <w:szCs w:val="22"/>
        </w:rPr>
        <w:t>Consiliului de Administraţie</w:t>
      </w:r>
      <w:r>
        <w:rPr>
          <w:rFonts w:ascii="Arial" w:hAnsi="Arial" w:cs="Arial"/>
          <w:bCs/>
          <w:sz w:val="22"/>
          <w:szCs w:val="22"/>
        </w:rPr>
        <w:t xml:space="preserve"> </w:t>
      </w:r>
      <w:r w:rsidRPr="003D6980">
        <w:rPr>
          <w:rFonts w:ascii="Arial" w:hAnsi="Arial" w:cs="Arial"/>
          <w:sz w:val="22"/>
          <w:szCs w:val="22"/>
        </w:rPr>
        <w:t>s-au derulat conform ordinii de zi transmise administratorilor, principalele decizii luate avȃnd ca obiect următoarele:</w:t>
      </w:r>
    </w:p>
    <w:p w:rsidR="00461FC5" w:rsidRPr="003D6980" w:rsidRDefault="00461FC5" w:rsidP="00170D7E">
      <w:pPr>
        <w:widowControl/>
        <w:numPr>
          <w:ilvl w:val="0"/>
          <w:numId w:val="20"/>
        </w:numPr>
        <w:autoSpaceDE/>
        <w:autoSpaceDN/>
        <w:adjustRightInd/>
        <w:spacing w:after="160" w:line="276" w:lineRule="auto"/>
        <w:contextualSpacing/>
        <w:jc w:val="both"/>
        <w:rPr>
          <w:rFonts w:ascii="Arial" w:hAnsi="Arial" w:cs="Arial"/>
          <w:sz w:val="22"/>
          <w:szCs w:val="22"/>
        </w:rPr>
      </w:pPr>
      <w:r w:rsidRPr="003D6980">
        <w:rPr>
          <w:rFonts w:ascii="Arial" w:eastAsia="Calibri" w:hAnsi="Arial" w:cs="Arial"/>
          <w:sz w:val="22"/>
          <w:szCs w:val="22"/>
          <w:lang w:eastAsia="en-US"/>
        </w:rPr>
        <w:t>avizarea Bugetului de Venituri și Cheltuieli  pentru anul 2018;</w:t>
      </w:r>
    </w:p>
    <w:p w:rsidR="00461FC5" w:rsidRPr="003D6980" w:rsidRDefault="00461FC5" w:rsidP="00170D7E">
      <w:pPr>
        <w:widowControl/>
        <w:numPr>
          <w:ilvl w:val="0"/>
          <w:numId w:val="20"/>
        </w:numPr>
        <w:autoSpaceDE/>
        <w:autoSpaceDN/>
        <w:adjustRightInd/>
        <w:spacing w:after="160" w:line="276" w:lineRule="auto"/>
        <w:contextualSpacing/>
        <w:jc w:val="both"/>
        <w:rPr>
          <w:rFonts w:ascii="Arial" w:hAnsi="Arial" w:cs="Arial"/>
          <w:sz w:val="22"/>
          <w:szCs w:val="22"/>
        </w:rPr>
      </w:pPr>
      <w:r w:rsidRPr="003D6980">
        <w:rPr>
          <w:rFonts w:ascii="Arial" w:eastAsia="Calibri" w:hAnsi="Arial" w:cs="Arial"/>
          <w:sz w:val="22"/>
          <w:szCs w:val="22"/>
          <w:lang w:eastAsia="en-US"/>
        </w:rPr>
        <w:t xml:space="preserve">avizarea Programului de Investiții pentru anul 2018 ; </w:t>
      </w:r>
    </w:p>
    <w:p w:rsidR="00D60FCC" w:rsidRPr="00F54400" w:rsidRDefault="00461FC5" w:rsidP="00F54400">
      <w:pPr>
        <w:widowControl/>
        <w:numPr>
          <w:ilvl w:val="0"/>
          <w:numId w:val="20"/>
        </w:numPr>
        <w:autoSpaceDE/>
        <w:autoSpaceDN/>
        <w:adjustRightInd/>
        <w:spacing w:after="160" w:line="276" w:lineRule="auto"/>
        <w:contextualSpacing/>
        <w:jc w:val="both"/>
        <w:rPr>
          <w:rFonts w:ascii="Arial" w:hAnsi="Arial" w:cs="Arial"/>
          <w:sz w:val="22"/>
          <w:szCs w:val="22"/>
        </w:rPr>
      </w:pPr>
      <w:r w:rsidRPr="003D6980">
        <w:rPr>
          <w:rFonts w:ascii="Arial" w:eastAsia="Calibri" w:hAnsi="Arial" w:cs="Arial"/>
          <w:sz w:val="22"/>
          <w:szCs w:val="22"/>
          <w:lang w:val="it-IT" w:eastAsia="en-US"/>
        </w:rPr>
        <w:t>analiza activității societății prezentată de către conducerea executivă în</w:t>
      </w:r>
      <w:r w:rsidRPr="003D6980">
        <w:rPr>
          <w:rFonts w:ascii="Arial" w:eastAsia="Calibri" w:hAnsi="Arial" w:cs="Arial"/>
          <w:sz w:val="22"/>
          <w:szCs w:val="22"/>
          <w:lang w:eastAsia="en-US"/>
        </w:rPr>
        <w:t xml:space="preserve"> rapoartele lunare;</w:t>
      </w:r>
    </w:p>
    <w:p w:rsidR="00461FC5" w:rsidRPr="003D6980" w:rsidRDefault="00461FC5" w:rsidP="00170D7E">
      <w:pPr>
        <w:widowControl/>
        <w:numPr>
          <w:ilvl w:val="0"/>
          <w:numId w:val="20"/>
        </w:numPr>
        <w:autoSpaceDE/>
        <w:autoSpaceDN/>
        <w:adjustRightInd/>
        <w:spacing w:after="160" w:line="276" w:lineRule="auto"/>
        <w:contextualSpacing/>
        <w:jc w:val="both"/>
        <w:rPr>
          <w:rFonts w:ascii="Arial" w:hAnsi="Arial" w:cs="Arial"/>
          <w:sz w:val="22"/>
          <w:szCs w:val="22"/>
        </w:rPr>
      </w:pPr>
      <w:r w:rsidRPr="003D6980">
        <w:rPr>
          <w:rFonts w:ascii="Arial" w:hAnsi="Arial" w:cs="Arial"/>
          <w:sz w:val="22"/>
          <w:szCs w:val="22"/>
        </w:rPr>
        <w:lastRenderedPageBreak/>
        <w:t xml:space="preserve">analiza  periodică a </w:t>
      </w:r>
      <w:r w:rsidRPr="003D6980">
        <w:rPr>
          <w:rFonts w:ascii="Arial" w:hAnsi="Arial" w:cs="Arial"/>
          <w:sz w:val="22"/>
          <w:szCs w:val="22"/>
          <w:lang w:val="it-IT"/>
        </w:rPr>
        <w:t>modului de realizare fizic</w:t>
      </w:r>
      <w:r w:rsidR="00B40D22">
        <w:rPr>
          <w:rFonts w:ascii="Arial" w:hAnsi="Arial" w:cs="Arial"/>
          <w:sz w:val="22"/>
          <w:szCs w:val="22"/>
          <w:lang w:val="it-IT"/>
        </w:rPr>
        <w:t>ă și valorică a Programului de I</w:t>
      </w:r>
      <w:r w:rsidRPr="003D6980">
        <w:rPr>
          <w:rFonts w:ascii="Arial" w:hAnsi="Arial" w:cs="Arial"/>
          <w:sz w:val="22"/>
          <w:szCs w:val="22"/>
          <w:lang w:val="it-IT"/>
        </w:rPr>
        <w:t>nvestiţii al anului 2018;</w:t>
      </w:r>
    </w:p>
    <w:p w:rsidR="00461FC5" w:rsidRPr="003D6980" w:rsidRDefault="00461FC5" w:rsidP="00170D7E">
      <w:pPr>
        <w:widowControl/>
        <w:numPr>
          <w:ilvl w:val="0"/>
          <w:numId w:val="20"/>
        </w:numPr>
        <w:autoSpaceDE/>
        <w:autoSpaceDN/>
        <w:adjustRightInd/>
        <w:spacing w:after="160" w:line="276" w:lineRule="auto"/>
        <w:contextualSpacing/>
        <w:jc w:val="both"/>
        <w:rPr>
          <w:rFonts w:ascii="Arial" w:eastAsia="Calibri" w:hAnsi="Arial" w:cs="Arial"/>
          <w:sz w:val="22"/>
          <w:szCs w:val="22"/>
          <w:lang w:eastAsia="en-US"/>
        </w:rPr>
      </w:pPr>
      <w:r w:rsidRPr="003D6980">
        <w:rPr>
          <w:rFonts w:ascii="Arial" w:hAnsi="Arial" w:cs="Arial"/>
          <w:sz w:val="22"/>
          <w:szCs w:val="22"/>
        </w:rPr>
        <w:t>analiza și aprobarea Rapo</w:t>
      </w:r>
      <w:r w:rsidR="00E03F71">
        <w:rPr>
          <w:rFonts w:ascii="Arial" w:hAnsi="Arial" w:cs="Arial"/>
          <w:sz w:val="22"/>
          <w:szCs w:val="22"/>
        </w:rPr>
        <w:t>artelor lunare ale Comitetelor C</w:t>
      </w:r>
      <w:r w:rsidRPr="003D6980">
        <w:rPr>
          <w:rFonts w:ascii="Arial" w:hAnsi="Arial" w:cs="Arial"/>
          <w:sz w:val="22"/>
          <w:szCs w:val="22"/>
        </w:rPr>
        <w:t>onsultative;</w:t>
      </w:r>
    </w:p>
    <w:p w:rsidR="00461FC5" w:rsidRPr="00E03F71" w:rsidRDefault="00461FC5" w:rsidP="00170D7E">
      <w:pPr>
        <w:widowControl/>
        <w:numPr>
          <w:ilvl w:val="0"/>
          <w:numId w:val="20"/>
        </w:numPr>
        <w:autoSpaceDE/>
        <w:autoSpaceDN/>
        <w:adjustRightInd/>
        <w:spacing w:after="160" w:line="276" w:lineRule="auto"/>
        <w:contextualSpacing/>
        <w:jc w:val="both"/>
        <w:rPr>
          <w:rFonts w:ascii="Arial" w:eastAsia="Calibri" w:hAnsi="Arial" w:cs="Arial"/>
          <w:sz w:val="22"/>
          <w:szCs w:val="22"/>
          <w:lang w:eastAsia="en-US"/>
        </w:rPr>
      </w:pPr>
      <w:r w:rsidRPr="003D6980">
        <w:rPr>
          <w:rFonts w:ascii="Arial" w:eastAsia="Calibri" w:hAnsi="Arial" w:cs="Arial"/>
          <w:sz w:val="22"/>
          <w:szCs w:val="22"/>
          <w:lang w:eastAsia="en-US"/>
        </w:rPr>
        <w:t xml:space="preserve">aprobarea desființării unor puncte de lucru; </w:t>
      </w:r>
    </w:p>
    <w:p w:rsidR="00461FC5" w:rsidRPr="003D6980" w:rsidRDefault="00461FC5" w:rsidP="00170D7E">
      <w:pPr>
        <w:widowControl/>
        <w:numPr>
          <w:ilvl w:val="0"/>
          <w:numId w:val="20"/>
        </w:numPr>
        <w:autoSpaceDE/>
        <w:autoSpaceDN/>
        <w:adjustRightInd/>
        <w:spacing w:after="160" w:line="276" w:lineRule="auto"/>
        <w:contextualSpacing/>
        <w:jc w:val="both"/>
        <w:rPr>
          <w:rFonts w:ascii="Arial" w:hAnsi="Arial" w:cs="Arial"/>
          <w:sz w:val="22"/>
          <w:szCs w:val="22"/>
        </w:rPr>
      </w:pPr>
      <w:r w:rsidRPr="003D6980">
        <w:rPr>
          <w:rFonts w:ascii="Arial" w:hAnsi="Arial" w:cs="Arial"/>
          <w:sz w:val="22"/>
          <w:szCs w:val="22"/>
        </w:rPr>
        <w:t>aprobarea convocatoarelor A.G.A. şi avizarea materialelor aferente ordinii de zi a acestora;</w:t>
      </w:r>
    </w:p>
    <w:p w:rsidR="00461FC5" w:rsidRPr="003D6980" w:rsidRDefault="00461FC5" w:rsidP="00170D7E">
      <w:pPr>
        <w:widowControl/>
        <w:numPr>
          <w:ilvl w:val="0"/>
          <w:numId w:val="20"/>
        </w:numPr>
        <w:autoSpaceDE/>
        <w:autoSpaceDN/>
        <w:adjustRightInd/>
        <w:spacing w:after="160" w:line="276" w:lineRule="auto"/>
        <w:contextualSpacing/>
        <w:jc w:val="both"/>
        <w:rPr>
          <w:rFonts w:ascii="Arial" w:hAnsi="Arial" w:cs="Arial"/>
          <w:sz w:val="22"/>
          <w:szCs w:val="22"/>
        </w:rPr>
      </w:pPr>
      <w:r w:rsidRPr="003D6980">
        <w:rPr>
          <w:rFonts w:ascii="Arial" w:hAnsi="Arial" w:cs="Arial"/>
          <w:sz w:val="22"/>
          <w:szCs w:val="22"/>
        </w:rPr>
        <w:t>aprobarea unor solicitări de sponsorizare şi monitorizarea periodică a derulării contractelor de sponsorizare ȋncheiate de societate;</w:t>
      </w:r>
    </w:p>
    <w:p w:rsidR="00461FC5" w:rsidRPr="003D6980" w:rsidRDefault="00461FC5" w:rsidP="00170D7E">
      <w:pPr>
        <w:widowControl/>
        <w:numPr>
          <w:ilvl w:val="0"/>
          <w:numId w:val="20"/>
        </w:numPr>
        <w:autoSpaceDE/>
        <w:autoSpaceDN/>
        <w:adjustRightInd/>
        <w:spacing w:after="160" w:line="276" w:lineRule="auto"/>
        <w:contextualSpacing/>
        <w:jc w:val="both"/>
        <w:rPr>
          <w:rFonts w:ascii="Arial" w:hAnsi="Arial" w:cs="Arial"/>
          <w:sz w:val="22"/>
          <w:szCs w:val="22"/>
        </w:rPr>
      </w:pPr>
      <w:r w:rsidRPr="003D6980">
        <w:rPr>
          <w:rFonts w:ascii="Arial" w:hAnsi="Arial" w:cs="Arial"/>
          <w:sz w:val="22"/>
          <w:szCs w:val="22"/>
        </w:rPr>
        <w:t>aprobarea unor propuneri privind calitatea de membru a CONPET ȋn c</w:t>
      </w:r>
      <w:r>
        <w:rPr>
          <w:rFonts w:ascii="Arial" w:hAnsi="Arial" w:cs="Arial"/>
          <w:sz w:val="22"/>
          <w:szCs w:val="22"/>
        </w:rPr>
        <w:t>adrul unor organisme patronale/</w:t>
      </w:r>
      <w:r w:rsidRPr="003D6980">
        <w:rPr>
          <w:rFonts w:ascii="Arial" w:hAnsi="Arial" w:cs="Arial"/>
          <w:sz w:val="22"/>
          <w:szCs w:val="22"/>
        </w:rPr>
        <w:t>profesionale, asociaţiile non - guvernamentale şi plata taxelor de membru aferente, pentru anul 2018;</w:t>
      </w:r>
    </w:p>
    <w:p w:rsidR="00461FC5" w:rsidRPr="003D6980" w:rsidRDefault="00461FC5" w:rsidP="00170D7E">
      <w:pPr>
        <w:widowControl/>
        <w:numPr>
          <w:ilvl w:val="0"/>
          <w:numId w:val="20"/>
        </w:numPr>
        <w:autoSpaceDE/>
        <w:autoSpaceDN/>
        <w:adjustRightInd/>
        <w:spacing w:after="160" w:line="276" w:lineRule="auto"/>
        <w:contextualSpacing/>
        <w:jc w:val="both"/>
        <w:rPr>
          <w:rFonts w:ascii="Arial" w:hAnsi="Arial" w:cs="Arial"/>
          <w:sz w:val="22"/>
          <w:szCs w:val="22"/>
        </w:rPr>
      </w:pPr>
      <w:r w:rsidRPr="003D6980">
        <w:rPr>
          <w:rFonts w:ascii="Arial" w:hAnsi="Arial" w:cs="Arial"/>
          <w:sz w:val="22"/>
          <w:szCs w:val="22"/>
        </w:rPr>
        <w:t>aprob</w:t>
      </w:r>
      <w:r w:rsidRPr="003D6980">
        <w:rPr>
          <w:rFonts w:ascii="Arial" w:hAnsi="Arial" w:cs="Arial"/>
          <w:sz w:val="22"/>
          <w:szCs w:val="22"/>
          <w:lang w:val="it-IT"/>
        </w:rPr>
        <w:t>area</w:t>
      </w:r>
      <w:r w:rsidRPr="003D6980">
        <w:rPr>
          <w:rFonts w:ascii="Arial" w:hAnsi="Arial" w:cs="Arial"/>
          <w:sz w:val="22"/>
          <w:szCs w:val="22"/>
        </w:rPr>
        <w:t xml:space="preserve"> unei noi structur</w:t>
      </w:r>
      <w:r w:rsidRPr="003D6980">
        <w:rPr>
          <w:rFonts w:ascii="Arial" w:hAnsi="Arial" w:cs="Arial"/>
          <w:sz w:val="22"/>
          <w:szCs w:val="22"/>
          <w:lang w:val="it-IT"/>
        </w:rPr>
        <w:t>i</w:t>
      </w:r>
      <w:r w:rsidRPr="003D6980">
        <w:rPr>
          <w:rFonts w:ascii="Arial" w:hAnsi="Arial" w:cs="Arial"/>
          <w:sz w:val="22"/>
          <w:szCs w:val="22"/>
        </w:rPr>
        <w:t xml:space="preserve"> organizatoric</w:t>
      </w:r>
      <w:r w:rsidRPr="003D6980">
        <w:rPr>
          <w:rFonts w:ascii="Arial" w:hAnsi="Arial" w:cs="Arial"/>
          <w:sz w:val="22"/>
          <w:szCs w:val="22"/>
          <w:lang w:val="it-IT"/>
        </w:rPr>
        <w:t xml:space="preserve">e </w:t>
      </w:r>
      <w:r w:rsidRPr="003D6980">
        <w:rPr>
          <w:rFonts w:ascii="Arial" w:hAnsi="Arial" w:cs="Arial"/>
          <w:sz w:val="22"/>
          <w:szCs w:val="22"/>
        </w:rPr>
        <w:t xml:space="preserve">a CONPET şi a modificării Regulamentului de Organizare și Funcţionare </w:t>
      </w:r>
      <w:r>
        <w:rPr>
          <w:rFonts w:ascii="Arial" w:hAnsi="Arial" w:cs="Arial"/>
          <w:sz w:val="22"/>
          <w:szCs w:val="22"/>
        </w:rPr>
        <w:t>al CONPET și a ștatului de funcț</w:t>
      </w:r>
      <w:r w:rsidRPr="003D6980">
        <w:rPr>
          <w:rFonts w:ascii="Arial" w:hAnsi="Arial" w:cs="Arial"/>
          <w:sz w:val="22"/>
          <w:szCs w:val="22"/>
        </w:rPr>
        <w:t>ii, ȋn corelare cu noua structur</w:t>
      </w:r>
      <w:r w:rsidRPr="003D6980">
        <w:rPr>
          <w:rFonts w:ascii="Arial" w:hAnsi="Arial" w:cs="Arial"/>
          <w:sz w:val="22"/>
          <w:szCs w:val="22"/>
          <w:lang w:val="it-IT"/>
        </w:rPr>
        <w:t>ă</w:t>
      </w:r>
      <w:r w:rsidRPr="003D6980">
        <w:rPr>
          <w:rFonts w:ascii="Arial" w:hAnsi="Arial" w:cs="Arial"/>
          <w:sz w:val="22"/>
          <w:szCs w:val="22"/>
        </w:rPr>
        <w:t xml:space="preserve"> organizatoric</w:t>
      </w:r>
      <w:r w:rsidRPr="003D6980">
        <w:rPr>
          <w:rFonts w:ascii="Arial" w:hAnsi="Arial" w:cs="Arial"/>
          <w:sz w:val="22"/>
          <w:szCs w:val="22"/>
          <w:lang w:val="it-IT"/>
        </w:rPr>
        <w:t>ă;</w:t>
      </w:r>
    </w:p>
    <w:p w:rsidR="00461FC5" w:rsidRPr="003D6980" w:rsidRDefault="00461FC5" w:rsidP="00170D7E">
      <w:pPr>
        <w:widowControl/>
        <w:numPr>
          <w:ilvl w:val="0"/>
          <w:numId w:val="20"/>
        </w:numPr>
        <w:autoSpaceDE/>
        <w:autoSpaceDN/>
        <w:adjustRightInd/>
        <w:spacing w:after="160" w:line="276" w:lineRule="auto"/>
        <w:contextualSpacing/>
        <w:jc w:val="both"/>
        <w:rPr>
          <w:rFonts w:ascii="Arial" w:hAnsi="Arial" w:cs="Arial"/>
          <w:sz w:val="22"/>
          <w:szCs w:val="22"/>
        </w:rPr>
      </w:pPr>
      <w:r w:rsidRPr="003D6980">
        <w:rPr>
          <w:rFonts w:ascii="Arial" w:hAnsi="Arial" w:cs="Arial"/>
          <w:sz w:val="22"/>
          <w:szCs w:val="22"/>
        </w:rPr>
        <w:t>aprobarea Nomenclatorului de funcții al societății;</w:t>
      </w:r>
    </w:p>
    <w:p w:rsidR="00461FC5" w:rsidRPr="003D6980" w:rsidRDefault="00461FC5" w:rsidP="00170D7E">
      <w:pPr>
        <w:widowControl/>
        <w:numPr>
          <w:ilvl w:val="0"/>
          <w:numId w:val="20"/>
        </w:numPr>
        <w:autoSpaceDE/>
        <w:autoSpaceDN/>
        <w:adjustRightInd/>
        <w:spacing w:after="160" w:line="276" w:lineRule="auto"/>
        <w:contextualSpacing/>
        <w:jc w:val="both"/>
        <w:rPr>
          <w:rFonts w:ascii="Arial" w:eastAsia="Calibri" w:hAnsi="Arial" w:cs="Arial"/>
          <w:sz w:val="22"/>
          <w:szCs w:val="22"/>
          <w:lang w:eastAsia="en-US"/>
        </w:rPr>
      </w:pPr>
      <w:r w:rsidRPr="003D6980">
        <w:rPr>
          <w:rFonts w:ascii="Arial" w:eastAsia="Calibri" w:hAnsi="Arial" w:cs="Arial"/>
          <w:sz w:val="22"/>
          <w:szCs w:val="22"/>
          <w:lang w:eastAsia="en-US"/>
        </w:rPr>
        <w:t>aprobarea Raportului preliminar privind activitatea economico - financiară CONPET S.A. în perioada ianuarie - decembrie 2017, însoțit de Situaţiile financiare preliminare neauditate la data și pentru exercițiul financiar încheiat la 31 decembrie 2017;</w:t>
      </w:r>
    </w:p>
    <w:p w:rsidR="00461FC5" w:rsidRPr="003D6980" w:rsidRDefault="00461FC5" w:rsidP="00170D7E">
      <w:pPr>
        <w:widowControl/>
        <w:numPr>
          <w:ilvl w:val="0"/>
          <w:numId w:val="20"/>
        </w:numPr>
        <w:autoSpaceDE/>
        <w:autoSpaceDN/>
        <w:adjustRightInd/>
        <w:spacing w:after="160" w:line="276" w:lineRule="auto"/>
        <w:contextualSpacing/>
        <w:jc w:val="both"/>
        <w:rPr>
          <w:rFonts w:ascii="Arial" w:eastAsia="Calibri" w:hAnsi="Arial" w:cs="Arial"/>
          <w:sz w:val="22"/>
          <w:szCs w:val="22"/>
          <w:lang w:eastAsia="en-US"/>
        </w:rPr>
      </w:pPr>
      <w:r w:rsidRPr="003D6980">
        <w:rPr>
          <w:rFonts w:ascii="Arial" w:eastAsia="Calibri" w:hAnsi="Arial" w:cs="Arial"/>
          <w:sz w:val="22"/>
          <w:szCs w:val="22"/>
          <w:lang w:eastAsia="en-US"/>
        </w:rPr>
        <w:t>aprobarea rezultatele inventarierii anuale a elementelor de natura activelor, datoriilor și capitalurilor proprii, deținute de societate;</w:t>
      </w:r>
    </w:p>
    <w:p w:rsidR="00461FC5" w:rsidRPr="003D6980" w:rsidRDefault="00461FC5" w:rsidP="00170D7E">
      <w:pPr>
        <w:widowControl/>
        <w:numPr>
          <w:ilvl w:val="0"/>
          <w:numId w:val="20"/>
        </w:numPr>
        <w:autoSpaceDE/>
        <w:autoSpaceDN/>
        <w:adjustRightInd/>
        <w:spacing w:after="160" w:line="276" w:lineRule="auto"/>
        <w:contextualSpacing/>
        <w:jc w:val="both"/>
        <w:rPr>
          <w:rFonts w:ascii="Arial" w:eastAsia="Calibri" w:hAnsi="Arial" w:cs="Arial"/>
          <w:sz w:val="22"/>
          <w:szCs w:val="22"/>
          <w:lang w:eastAsia="en-US"/>
        </w:rPr>
      </w:pPr>
      <w:r w:rsidRPr="003D6980">
        <w:rPr>
          <w:rFonts w:ascii="Arial" w:eastAsia="Calibri" w:hAnsi="Arial" w:cs="Arial"/>
          <w:sz w:val="22"/>
          <w:szCs w:val="22"/>
          <w:lang w:eastAsia="en-US"/>
        </w:rPr>
        <w:t>aprobarea Programului anual al achizițiilor pe anul 2018;</w:t>
      </w:r>
    </w:p>
    <w:p w:rsidR="00461FC5" w:rsidRPr="003D6980" w:rsidRDefault="00461FC5" w:rsidP="00170D7E">
      <w:pPr>
        <w:widowControl/>
        <w:numPr>
          <w:ilvl w:val="0"/>
          <w:numId w:val="20"/>
        </w:numPr>
        <w:autoSpaceDE/>
        <w:autoSpaceDN/>
        <w:adjustRightInd/>
        <w:spacing w:after="160" w:line="276" w:lineRule="auto"/>
        <w:contextualSpacing/>
        <w:jc w:val="both"/>
        <w:rPr>
          <w:rFonts w:ascii="Arial" w:hAnsi="Arial" w:cs="Arial"/>
          <w:sz w:val="22"/>
          <w:szCs w:val="22"/>
        </w:rPr>
      </w:pPr>
      <w:r w:rsidRPr="003D6980">
        <w:rPr>
          <w:rFonts w:ascii="Arial" w:hAnsi="Arial" w:cs="Arial"/>
          <w:sz w:val="22"/>
          <w:szCs w:val="22"/>
        </w:rPr>
        <w:t>informarea periodică asupra stadiului ȋndeplinirii măsurilor dispuse prin deciziile Consiliului de Administrație;</w:t>
      </w:r>
    </w:p>
    <w:p w:rsidR="00461FC5" w:rsidRPr="003D6980" w:rsidRDefault="00461FC5" w:rsidP="00170D7E">
      <w:pPr>
        <w:widowControl/>
        <w:numPr>
          <w:ilvl w:val="0"/>
          <w:numId w:val="20"/>
        </w:numPr>
        <w:autoSpaceDE/>
        <w:autoSpaceDN/>
        <w:adjustRightInd/>
        <w:spacing w:after="160" w:line="276" w:lineRule="auto"/>
        <w:contextualSpacing/>
        <w:jc w:val="both"/>
        <w:rPr>
          <w:rFonts w:ascii="Arial" w:eastAsia="Calibri" w:hAnsi="Arial" w:cs="Arial"/>
          <w:sz w:val="22"/>
          <w:szCs w:val="22"/>
          <w:lang w:eastAsia="en-US"/>
        </w:rPr>
      </w:pPr>
      <w:r w:rsidRPr="003D6980">
        <w:rPr>
          <w:rFonts w:ascii="Arial" w:hAnsi="Arial" w:cs="Arial"/>
          <w:sz w:val="22"/>
          <w:szCs w:val="22"/>
        </w:rPr>
        <w:t xml:space="preserve">monitorizarea periodică a </w:t>
      </w:r>
      <w:r w:rsidRPr="003D6980">
        <w:rPr>
          <w:rFonts w:ascii="Arial" w:hAnsi="Arial" w:cs="Arial"/>
          <w:sz w:val="22"/>
          <w:szCs w:val="22"/>
          <w:lang w:val="it-IT"/>
        </w:rPr>
        <w:t>s</w:t>
      </w:r>
      <w:r w:rsidRPr="003D6980">
        <w:rPr>
          <w:rFonts w:ascii="Arial" w:hAnsi="Arial" w:cs="Arial"/>
          <w:sz w:val="22"/>
          <w:szCs w:val="22"/>
        </w:rPr>
        <w:t>tadiului achiziţilor ȋn curs a căror valoare depăseşte 100.000 lei, a situaţiei contractelor ȋncheiate/ finalizate cu valoare mai mare de 100.000 lei, a situaţiei contractelor finalizate cu valoare mai mare de 100.000 lei, a situaţiei contractelor de utilităţi aflate ȋn derulare in anul 2018;</w:t>
      </w:r>
    </w:p>
    <w:p w:rsidR="00461FC5" w:rsidRPr="003D6980" w:rsidRDefault="00461FC5" w:rsidP="00170D7E">
      <w:pPr>
        <w:widowControl/>
        <w:numPr>
          <w:ilvl w:val="0"/>
          <w:numId w:val="20"/>
        </w:numPr>
        <w:autoSpaceDE/>
        <w:autoSpaceDN/>
        <w:adjustRightInd/>
        <w:spacing w:after="160" w:line="276" w:lineRule="auto"/>
        <w:contextualSpacing/>
        <w:jc w:val="both"/>
        <w:rPr>
          <w:rFonts w:ascii="Arial" w:eastAsia="Calibri" w:hAnsi="Arial" w:cs="Arial"/>
          <w:sz w:val="22"/>
          <w:szCs w:val="22"/>
          <w:lang w:eastAsia="en-US"/>
        </w:rPr>
      </w:pPr>
      <w:r w:rsidRPr="003D6980">
        <w:rPr>
          <w:rFonts w:ascii="Arial" w:eastAsia="Calibri" w:hAnsi="Arial" w:cs="Arial"/>
          <w:sz w:val="22"/>
          <w:szCs w:val="22"/>
          <w:lang w:eastAsia="en-US"/>
        </w:rPr>
        <w:t>aprobarea componentei inițiale a planului de selecție a membrilor Consiliului de Administrație al Societății CONPET S.A.;</w:t>
      </w:r>
    </w:p>
    <w:p w:rsidR="00461FC5" w:rsidRPr="00D60FCC" w:rsidRDefault="00461FC5" w:rsidP="00170D7E">
      <w:pPr>
        <w:widowControl/>
        <w:numPr>
          <w:ilvl w:val="0"/>
          <w:numId w:val="20"/>
        </w:numPr>
        <w:autoSpaceDE/>
        <w:autoSpaceDN/>
        <w:adjustRightInd/>
        <w:spacing w:after="160" w:line="276" w:lineRule="auto"/>
        <w:contextualSpacing/>
        <w:jc w:val="both"/>
        <w:rPr>
          <w:rFonts w:ascii="Arial" w:eastAsia="Calibri" w:hAnsi="Arial" w:cs="Arial"/>
          <w:sz w:val="22"/>
          <w:szCs w:val="22"/>
          <w:lang w:eastAsia="en-US"/>
        </w:rPr>
      </w:pPr>
      <w:r w:rsidRPr="00D60FCC">
        <w:rPr>
          <w:rFonts w:ascii="Arial" w:eastAsia="Calibri" w:hAnsi="Arial" w:cs="Arial"/>
          <w:sz w:val="22"/>
          <w:szCs w:val="22"/>
          <w:lang w:eastAsia="en-US"/>
        </w:rPr>
        <w:t>aprobarea demarării de către societate a procedurii de selecție a expertului independent specializat în recrutarea resurselor umane, respectiv pentru desemnarea candidaților pentru pozițiile de membri în Consiliul de Administrație al CONPET S.A. și aprobarea criteriilor (termeniilor) de referință pentru selecția expertului independent, conducerea executivă urmând a derula achiziția conform prevederilor legale și normelor procedurale interne de achiziție;</w:t>
      </w:r>
    </w:p>
    <w:p w:rsidR="00461FC5" w:rsidRPr="003D6980" w:rsidRDefault="00461FC5" w:rsidP="00170D7E">
      <w:pPr>
        <w:widowControl/>
        <w:numPr>
          <w:ilvl w:val="0"/>
          <w:numId w:val="20"/>
        </w:numPr>
        <w:autoSpaceDE/>
        <w:autoSpaceDN/>
        <w:adjustRightInd/>
        <w:spacing w:after="160" w:line="276" w:lineRule="auto"/>
        <w:contextualSpacing/>
        <w:jc w:val="both"/>
        <w:rPr>
          <w:rFonts w:ascii="Arial" w:eastAsia="Calibri" w:hAnsi="Arial" w:cs="Arial"/>
          <w:sz w:val="22"/>
          <w:szCs w:val="22"/>
          <w:lang w:eastAsia="en-US"/>
        </w:rPr>
      </w:pPr>
      <w:r w:rsidRPr="003D6980">
        <w:rPr>
          <w:rFonts w:ascii="Arial" w:eastAsia="Calibri" w:hAnsi="Arial" w:cs="Arial"/>
          <w:sz w:val="22"/>
          <w:szCs w:val="22"/>
          <w:lang w:eastAsia="en-US"/>
        </w:rPr>
        <w:t xml:space="preserve">aprobarea Raportului anual al Directorului General pentru anul 2017; </w:t>
      </w:r>
    </w:p>
    <w:p w:rsidR="00461FC5" w:rsidRPr="003D6980" w:rsidRDefault="00461FC5" w:rsidP="00170D7E">
      <w:pPr>
        <w:widowControl/>
        <w:numPr>
          <w:ilvl w:val="0"/>
          <w:numId w:val="20"/>
        </w:numPr>
        <w:autoSpaceDE/>
        <w:autoSpaceDN/>
        <w:adjustRightInd/>
        <w:spacing w:after="160" w:line="276" w:lineRule="auto"/>
        <w:contextualSpacing/>
        <w:jc w:val="both"/>
        <w:rPr>
          <w:rFonts w:ascii="Arial" w:eastAsia="Calibri" w:hAnsi="Arial" w:cs="Arial"/>
          <w:sz w:val="22"/>
          <w:szCs w:val="22"/>
          <w:lang w:eastAsia="en-US"/>
        </w:rPr>
      </w:pPr>
      <w:r w:rsidRPr="003D6980">
        <w:rPr>
          <w:rFonts w:ascii="Arial" w:eastAsia="Calibri" w:hAnsi="Arial" w:cs="Arial"/>
          <w:sz w:val="22"/>
          <w:szCs w:val="22"/>
          <w:lang w:eastAsia="en-US"/>
        </w:rPr>
        <w:t>aprobarea Raportului anual al administratorilor privind exerciţiul financiar ȋncheiat la data de 31.12.2017;</w:t>
      </w:r>
    </w:p>
    <w:p w:rsidR="00461FC5" w:rsidRPr="003D6980" w:rsidRDefault="00461FC5" w:rsidP="00170D7E">
      <w:pPr>
        <w:widowControl/>
        <w:numPr>
          <w:ilvl w:val="0"/>
          <w:numId w:val="20"/>
        </w:numPr>
        <w:autoSpaceDE/>
        <w:autoSpaceDN/>
        <w:adjustRightInd/>
        <w:spacing w:after="160" w:line="276" w:lineRule="auto"/>
        <w:contextualSpacing/>
        <w:jc w:val="both"/>
        <w:rPr>
          <w:rFonts w:ascii="Arial" w:eastAsia="Calibri" w:hAnsi="Arial" w:cs="Arial"/>
          <w:sz w:val="22"/>
          <w:szCs w:val="22"/>
          <w:lang w:eastAsia="en-US"/>
        </w:rPr>
      </w:pPr>
      <w:r w:rsidRPr="003D6980">
        <w:rPr>
          <w:rFonts w:ascii="Arial" w:eastAsia="Calibri" w:hAnsi="Arial" w:cs="Arial"/>
          <w:sz w:val="22"/>
          <w:szCs w:val="22"/>
          <w:lang w:eastAsia="en-US"/>
        </w:rPr>
        <w:t>avizarea Situaţiilor financiare anuale la data și pentru exerciţiul financiar ȋncheiat la 31.12.2017;</w:t>
      </w:r>
    </w:p>
    <w:p w:rsidR="00461FC5" w:rsidRPr="003D6980" w:rsidRDefault="00461FC5" w:rsidP="00170D7E">
      <w:pPr>
        <w:widowControl/>
        <w:numPr>
          <w:ilvl w:val="0"/>
          <w:numId w:val="20"/>
        </w:numPr>
        <w:autoSpaceDE/>
        <w:autoSpaceDN/>
        <w:adjustRightInd/>
        <w:spacing w:after="160" w:line="276" w:lineRule="auto"/>
        <w:contextualSpacing/>
        <w:jc w:val="both"/>
        <w:rPr>
          <w:rFonts w:ascii="Arial" w:hAnsi="Arial" w:cs="Arial"/>
          <w:sz w:val="22"/>
          <w:szCs w:val="22"/>
        </w:rPr>
      </w:pPr>
      <w:r w:rsidRPr="003D6980">
        <w:rPr>
          <w:rFonts w:ascii="Arial" w:hAnsi="Arial" w:cs="Arial"/>
          <w:sz w:val="22"/>
          <w:szCs w:val="22"/>
        </w:rPr>
        <w:t>aprobarea scoaterii din funcţiune şi valorificării prin vȃnzare cu licitaţie a unor bunuri aflate ȋn patrimoniul societăţii;</w:t>
      </w:r>
    </w:p>
    <w:p w:rsidR="00461FC5" w:rsidRPr="003D6980" w:rsidRDefault="00461FC5" w:rsidP="00170D7E">
      <w:pPr>
        <w:widowControl/>
        <w:numPr>
          <w:ilvl w:val="0"/>
          <w:numId w:val="20"/>
        </w:numPr>
        <w:autoSpaceDE/>
        <w:autoSpaceDN/>
        <w:adjustRightInd/>
        <w:spacing w:after="160" w:line="276" w:lineRule="auto"/>
        <w:contextualSpacing/>
        <w:jc w:val="both"/>
        <w:rPr>
          <w:rFonts w:ascii="Arial" w:eastAsia="Calibri" w:hAnsi="Arial" w:cs="Arial"/>
          <w:sz w:val="22"/>
          <w:szCs w:val="22"/>
          <w:lang w:eastAsia="en-US"/>
        </w:rPr>
      </w:pPr>
      <w:r w:rsidRPr="003D6980">
        <w:rPr>
          <w:rFonts w:ascii="Arial" w:eastAsia="Calibri" w:hAnsi="Arial" w:cs="Arial"/>
          <w:sz w:val="22"/>
          <w:szCs w:val="22"/>
          <w:lang w:eastAsia="en-US"/>
        </w:rPr>
        <w:t>aprobarea Raportului Directorului General privind activitatea CONPET S.A. pentru trimestrul I 2018;</w:t>
      </w:r>
    </w:p>
    <w:p w:rsidR="00D60FCC" w:rsidRPr="00D60FCC" w:rsidRDefault="00461FC5" w:rsidP="00170D7E">
      <w:pPr>
        <w:widowControl/>
        <w:numPr>
          <w:ilvl w:val="0"/>
          <w:numId w:val="20"/>
        </w:numPr>
        <w:autoSpaceDE/>
        <w:autoSpaceDN/>
        <w:adjustRightInd/>
        <w:spacing w:after="160" w:line="276" w:lineRule="auto"/>
        <w:contextualSpacing/>
        <w:jc w:val="both"/>
        <w:rPr>
          <w:rFonts w:ascii="Arial" w:eastAsia="Calibri" w:hAnsi="Arial" w:cs="Arial"/>
          <w:sz w:val="22"/>
          <w:szCs w:val="22"/>
          <w:lang w:eastAsia="en-US"/>
        </w:rPr>
      </w:pPr>
      <w:r w:rsidRPr="003D6980">
        <w:rPr>
          <w:rFonts w:ascii="Arial" w:eastAsia="Calibri" w:hAnsi="Arial" w:cs="Arial"/>
          <w:sz w:val="22"/>
          <w:szCs w:val="22"/>
          <w:lang w:eastAsia="en-US"/>
        </w:rPr>
        <w:t xml:space="preserve">aprobarea </w:t>
      </w:r>
      <w:r w:rsidRPr="003D6980">
        <w:rPr>
          <w:rFonts w:ascii="Arial" w:eastAsia="Calibri" w:hAnsi="Arial" w:cs="Arial"/>
          <w:sz w:val="22"/>
          <w:szCs w:val="22"/>
          <w:lang w:val="fr-FR" w:eastAsia="en-US"/>
        </w:rPr>
        <w:t xml:space="preserve">Raportului trimestrial privind activitatea economico – financiară a CONPET S.A. pentru perioada încheiată la data de 31.03.2018, însoţit de Situaţiile financiare </w:t>
      </w:r>
    </w:p>
    <w:p w:rsidR="00D60FCC" w:rsidRPr="00D60FCC" w:rsidRDefault="00D60FCC" w:rsidP="00D60FCC">
      <w:pPr>
        <w:widowControl/>
        <w:autoSpaceDE/>
        <w:autoSpaceDN/>
        <w:adjustRightInd/>
        <w:spacing w:after="160" w:line="276" w:lineRule="auto"/>
        <w:ind w:left="720"/>
        <w:contextualSpacing/>
        <w:jc w:val="both"/>
        <w:rPr>
          <w:rFonts w:ascii="Arial" w:eastAsia="Calibri" w:hAnsi="Arial" w:cs="Arial"/>
          <w:sz w:val="22"/>
          <w:szCs w:val="22"/>
          <w:lang w:eastAsia="en-US"/>
        </w:rPr>
      </w:pPr>
    </w:p>
    <w:p w:rsidR="00D60FCC" w:rsidRDefault="00D60FCC" w:rsidP="00D60FCC">
      <w:pPr>
        <w:widowControl/>
        <w:autoSpaceDE/>
        <w:autoSpaceDN/>
        <w:adjustRightInd/>
        <w:spacing w:after="160" w:line="276" w:lineRule="auto"/>
        <w:ind w:left="720"/>
        <w:contextualSpacing/>
        <w:jc w:val="both"/>
        <w:rPr>
          <w:rFonts w:ascii="Arial" w:eastAsia="Calibri" w:hAnsi="Arial" w:cs="Arial"/>
          <w:sz w:val="22"/>
          <w:szCs w:val="22"/>
          <w:lang w:val="fr-FR" w:eastAsia="en-US"/>
        </w:rPr>
      </w:pPr>
    </w:p>
    <w:p w:rsidR="00D60FCC" w:rsidRDefault="00D60FCC" w:rsidP="00D60FCC">
      <w:pPr>
        <w:widowControl/>
        <w:autoSpaceDE/>
        <w:autoSpaceDN/>
        <w:adjustRightInd/>
        <w:spacing w:after="160" w:line="276" w:lineRule="auto"/>
        <w:ind w:left="720"/>
        <w:contextualSpacing/>
        <w:jc w:val="both"/>
        <w:rPr>
          <w:rFonts w:ascii="Arial" w:eastAsia="Calibri" w:hAnsi="Arial" w:cs="Arial"/>
          <w:sz w:val="22"/>
          <w:szCs w:val="22"/>
          <w:lang w:val="fr-FR" w:eastAsia="en-US"/>
        </w:rPr>
      </w:pPr>
    </w:p>
    <w:p w:rsidR="00461FC5" w:rsidRPr="003D6980" w:rsidRDefault="00461FC5" w:rsidP="00D60FCC">
      <w:pPr>
        <w:widowControl/>
        <w:autoSpaceDE/>
        <w:autoSpaceDN/>
        <w:adjustRightInd/>
        <w:spacing w:after="160" w:line="276" w:lineRule="auto"/>
        <w:ind w:left="720"/>
        <w:contextualSpacing/>
        <w:jc w:val="both"/>
        <w:rPr>
          <w:rFonts w:ascii="Arial" w:eastAsia="Calibri" w:hAnsi="Arial" w:cs="Arial"/>
          <w:sz w:val="22"/>
          <w:szCs w:val="22"/>
          <w:lang w:eastAsia="en-US"/>
        </w:rPr>
      </w:pPr>
      <w:r w:rsidRPr="003D6980">
        <w:rPr>
          <w:rFonts w:ascii="Arial" w:eastAsia="Calibri" w:hAnsi="Arial" w:cs="Arial"/>
          <w:sz w:val="22"/>
          <w:szCs w:val="22"/>
          <w:lang w:val="fr-FR" w:eastAsia="en-US"/>
        </w:rPr>
        <w:lastRenderedPageBreak/>
        <w:t xml:space="preserve">interimare la data şi pentru perioada de 3 luni încheiată la 31.03.2018, </w:t>
      </w:r>
      <w:r w:rsidRPr="003D6980">
        <w:rPr>
          <w:rFonts w:ascii="Arial" w:eastAsia="Calibri" w:hAnsi="Arial" w:cs="Arial"/>
          <w:sz w:val="22"/>
          <w:szCs w:val="22"/>
          <w:lang w:eastAsia="en-US"/>
        </w:rPr>
        <w:t>î</w:t>
      </w:r>
      <w:r w:rsidRPr="003D6980">
        <w:rPr>
          <w:rFonts w:ascii="Arial" w:eastAsia="Calibri" w:hAnsi="Arial" w:cs="Arial"/>
          <w:sz w:val="22"/>
          <w:szCs w:val="22"/>
          <w:lang w:val="fr-FR" w:eastAsia="en-US"/>
        </w:rPr>
        <w:t>nto</w:t>
      </w:r>
      <w:r w:rsidR="00E03F71">
        <w:rPr>
          <w:rFonts w:ascii="Arial" w:eastAsia="Calibri" w:hAnsi="Arial" w:cs="Arial"/>
          <w:sz w:val="22"/>
          <w:szCs w:val="22"/>
          <w:lang w:val="fr-FR" w:eastAsia="en-US"/>
        </w:rPr>
        <w:t>cmite în conformitate cu IAS 34</w:t>
      </w:r>
      <w:r w:rsidRPr="003D6980">
        <w:rPr>
          <w:rFonts w:ascii="Arial" w:eastAsia="Calibri" w:hAnsi="Arial" w:cs="Arial"/>
          <w:sz w:val="22"/>
          <w:szCs w:val="22"/>
          <w:lang w:val="fr-FR" w:eastAsia="en-US"/>
        </w:rPr>
        <w:t>;</w:t>
      </w:r>
    </w:p>
    <w:p w:rsidR="00461FC5" w:rsidRPr="003D6980" w:rsidRDefault="00461FC5" w:rsidP="00170D7E">
      <w:pPr>
        <w:widowControl/>
        <w:numPr>
          <w:ilvl w:val="0"/>
          <w:numId w:val="20"/>
        </w:numPr>
        <w:autoSpaceDE/>
        <w:autoSpaceDN/>
        <w:adjustRightInd/>
        <w:spacing w:after="160" w:line="276" w:lineRule="auto"/>
        <w:contextualSpacing/>
        <w:jc w:val="both"/>
        <w:rPr>
          <w:rFonts w:ascii="Arial" w:hAnsi="Arial" w:cs="Arial"/>
          <w:sz w:val="22"/>
          <w:szCs w:val="22"/>
        </w:rPr>
      </w:pPr>
      <w:r w:rsidRPr="003D6980">
        <w:rPr>
          <w:rFonts w:ascii="Arial" w:hAnsi="Arial" w:cs="Arial"/>
          <w:sz w:val="22"/>
          <w:szCs w:val="22"/>
          <w:lang w:val="it-IT"/>
        </w:rPr>
        <w:t>aprobarea</w:t>
      </w:r>
      <w:r w:rsidRPr="003D6980">
        <w:rPr>
          <w:rFonts w:ascii="Arial" w:hAnsi="Arial" w:cs="Arial"/>
          <w:b/>
          <w:bCs/>
          <w:sz w:val="22"/>
          <w:szCs w:val="22"/>
          <w:lang w:val="it-IT"/>
        </w:rPr>
        <w:t xml:space="preserve"> </w:t>
      </w:r>
      <w:r w:rsidRPr="003D6980">
        <w:rPr>
          <w:rFonts w:ascii="Arial" w:hAnsi="Arial" w:cs="Arial"/>
          <w:sz w:val="22"/>
          <w:szCs w:val="22"/>
          <w:lang w:val="it-IT"/>
        </w:rPr>
        <w:t>ȋncheierii unor</w:t>
      </w:r>
      <w:r w:rsidRPr="003D6980">
        <w:rPr>
          <w:rFonts w:ascii="Arial" w:hAnsi="Arial" w:cs="Arial"/>
          <w:b/>
          <w:bCs/>
          <w:sz w:val="22"/>
          <w:szCs w:val="22"/>
          <w:lang w:val="it-IT"/>
        </w:rPr>
        <w:t xml:space="preserve"> </w:t>
      </w:r>
      <w:r w:rsidRPr="003D6980">
        <w:rPr>
          <w:rFonts w:ascii="Arial" w:hAnsi="Arial" w:cs="Arial"/>
          <w:sz w:val="22"/>
          <w:szCs w:val="22"/>
          <w:lang w:val="fr-FR"/>
        </w:rPr>
        <w:t>Acte Adiţionale la Contract</w:t>
      </w:r>
      <w:r w:rsidR="00E03F71">
        <w:rPr>
          <w:rFonts w:ascii="Arial" w:hAnsi="Arial" w:cs="Arial"/>
          <w:sz w:val="22"/>
          <w:szCs w:val="22"/>
          <w:lang w:val="fr-FR"/>
        </w:rPr>
        <w:t>ul Colectiv de Muncă al CONPET.</w:t>
      </w:r>
    </w:p>
    <w:p w:rsidR="00461FC5" w:rsidRDefault="00461FC5" w:rsidP="00461FC5">
      <w:pPr>
        <w:spacing w:line="276" w:lineRule="auto"/>
        <w:jc w:val="both"/>
        <w:rPr>
          <w:rFonts w:ascii="Arial" w:hAnsi="Arial" w:cs="Arial"/>
          <w:b/>
          <w:bCs/>
          <w:color w:val="0070C0"/>
          <w:spacing w:val="-2"/>
          <w:sz w:val="22"/>
          <w:szCs w:val="22"/>
        </w:rPr>
      </w:pPr>
    </w:p>
    <w:p w:rsidR="00461FC5" w:rsidRPr="007F5D81" w:rsidRDefault="00461FC5" w:rsidP="00461FC5">
      <w:pPr>
        <w:widowControl/>
        <w:overflowPunct w:val="0"/>
        <w:spacing w:line="276" w:lineRule="auto"/>
        <w:jc w:val="both"/>
        <w:textAlignment w:val="baseline"/>
        <w:rPr>
          <w:rFonts w:ascii="Arial" w:hAnsi="Arial" w:cs="Arial"/>
          <w:b/>
          <w:bCs/>
          <w:color w:val="1F4E79" w:themeColor="accent1" w:themeShade="80"/>
          <w:sz w:val="22"/>
          <w:szCs w:val="22"/>
          <w:lang w:eastAsia="en-US"/>
        </w:rPr>
      </w:pPr>
      <w:r w:rsidRPr="007F5D81">
        <w:rPr>
          <w:rFonts w:ascii="Arial" w:hAnsi="Arial" w:cs="Arial"/>
          <w:b/>
          <w:bCs/>
          <w:color w:val="1F4E79" w:themeColor="accent1" w:themeShade="80"/>
          <w:sz w:val="22"/>
          <w:szCs w:val="22"/>
          <w:lang w:eastAsia="en-US"/>
        </w:rPr>
        <w:t>Directorul General</w:t>
      </w:r>
    </w:p>
    <w:p w:rsidR="00461FC5" w:rsidRDefault="00461FC5" w:rsidP="00461FC5">
      <w:pPr>
        <w:widowControl/>
        <w:overflowPunct w:val="0"/>
        <w:spacing w:line="276" w:lineRule="auto"/>
        <w:jc w:val="both"/>
        <w:textAlignment w:val="baseline"/>
        <w:rPr>
          <w:rFonts w:ascii="Arial" w:hAnsi="Arial" w:cs="Arial"/>
          <w:b/>
          <w:bCs/>
          <w:sz w:val="22"/>
          <w:szCs w:val="22"/>
          <w:lang w:eastAsia="en-US"/>
        </w:rPr>
      </w:pPr>
    </w:p>
    <w:p w:rsidR="00461FC5" w:rsidRDefault="00461FC5" w:rsidP="00461FC5">
      <w:pPr>
        <w:widowControl/>
        <w:overflowPunct w:val="0"/>
        <w:spacing w:line="276" w:lineRule="auto"/>
        <w:jc w:val="both"/>
        <w:textAlignment w:val="baseline"/>
        <w:rPr>
          <w:rFonts w:ascii="Arial" w:hAnsi="Arial" w:cs="Arial"/>
          <w:sz w:val="22"/>
          <w:szCs w:val="22"/>
          <w:lang w:val="fr-BE" w:eastAsia="en-US"/>
        </w:rPr>
      </w:pPr>
      <w:r w:rsidRPr="008F7E9A">
        <w:rPr>
          <w:rFonts w:ascii="Arial" w:hAnsi="Arial" w:cs="Arial"/>
          <w:sz w:val="22"/>
          <w:szCs w:val="22"/>
          <w:lang w:val="fr-BE" w:eastAsia="en-US"/>
        </w:rPr>
        <w:t>Începând cu data de 06.12.2017, prin Decizia nr.20/05.12.2017 a</w:t>
      </w:r>
      <w:r w:rsidRPr="008F7E9A">
        <w:rPr>
          <w:rFonts w:ascii="Arial" w:hAnsi="Arial" w:cs="Arial"/>
          <w:sz w:val="22"/>
          <w:szCs w:val="22"/>
          <w:lang w:val="en-GB" w:eastAsia="en-US"/>
        </w:rPr>
        <w:t xml:space="preserve"> Consiliului de Administrație</w:t>
      </w:r>
      <w:r w:rsidRPr="008F7E9A">
        <w:rPr>
          <w:rFonts w:ascii="Arial" w:hAnsi="Arial" w:cs="Arial"/>
          <w:sz w:val="22"/>
          <w:szCs w:val="22"/>
          <w:lang w:val="fr-BE" w:eastAsia="en-US"/>
        </w:rPr>
        <w:t xml:space="preserve"> în funcția de Director General a fost numit dl.Dan-Silviu Baciu.</w:t>
      </w:r>
    </w:p>
    <w:p w:rsidR="00F61930" w:rsidRPr="008F7E9A" w:rsidRDefault="00F61930" w:rsidP="00461FC5">
      <w:pPr>
        <w:widowControl/>
        <w:overflowPunct w:val="0"/>
        <w:spacing w:line="276" w:lineRule="auto"/>
        <w:jc w:val="both"/>
        <w:textAlignment w:val="baseline"/>
        <w:rPr>
          <w:rFonts w:ascii="Arial" w:hAnsi="Arial" w:cs="Arial"/>
          <w:sz w:val="22"/>
          <w:szCs w:val="22"/>
          <w:lang w:eastAsia="en-US"/>
        </w:rPr>
      </w:pPr>
    </w:p>
    <w:p w:rsidR="00461FC5" w:rsidRPr="008F7E9A" w:rsidRDefault="00461FC5" w:rsidP="00461FC5">
      <w:pPr>
        <w:widowControl/>
        <w:overflowPunct w:val="0"/>
        <w:spacing w:line="276" w:lineRule="auto"/>
        <w:jc w:val="both"/>
        <w:textAlignment w:val="baseline"/>
        <w:rPr>
          <w:rFonts w:ascii="Arial" w:hAnsi="Arial" w:cs="Arial"/>
          <w:sz w:val="22"/>
          <w:szCs w:val="22"/>
          <w:lang w:eastAsia="en-US"/>
        </w:rPr>
      </w:pPr>
      <w:r w:rsidRPr="008F7E9A">
        <w:rPr>
          <w:rFonts w:ascii="Arial" w:hAnsi="Arial" w:cs="Arial"/>
          <w:sz w:val="22"/>
          <w:szCs w:val="22"/>
          <w:lang w:eastAsia="en-US"/>
        </w:rPr>
        <w:t>Directorul General al societăţii are atribuţiile prevăzute în Actul Constitutiv, completate cu prevederile legale aplicabile.</w:t>
      </w:r>
    </w:p>
    <w:p w:rsidR="00461FC5" w:rsidRPr="008F7E9A" w:rsidRDefault="00461FC5" w:rsidP="00461FC5">
      <w:pPr>
        <w:widowControl/>
        <w:overflowPunct w:val="0"/>
        <w:spacing w:line="276" w:lineRule="auto"/>
        <w:jc w:val="both"/>
        <w:textAlignment w:val="baseline"/>
        <w:rPr>
          <w:rFonts w:ascii="Arial" w:hAnsi="Arial" w:cs="Arial"/>
          <w:sz w:val="22"/>
          <w:szCs w:val="22"/>
          <w:lang w:eastAsia="en-US"/>
        </w:rPr>
      </w:pPr>
    </w:p>
    <w:p w:rsidR="00461FC5" w:rsidRPr="008F7E9A" w:rsidRDefault="00461FC5" w:rsidP="00461FC5">
      <w:pPr>
        <w:widowControl/>
        <w:overflowPunct w:val="0"/>
        <w:spacing w:line="276" w:lineRule="auto"/>
        <w:jc w:val="both"/>
        <w:textAlignment w:val="baseline"/>
        <w:rPr>
          <w:rFonts w:ascii="Arial" w:hAnsi="Arial" w:cs="Arial"/>
          <w:sz w:val="22"/>
          <w:szCs w:val="22"/>
          <w:lang w:eastAsia="en-US"/>
        </w:rPr>
      </w:pPr>
      <w:r w:rsidRPr="008F7E9A">
        <w:rPr>
          <w:rFonts w:ascii="Arial" w:hAnsi="Arial" w:cs="Arial"/>
          <w:sz w:val="22"/>
          <w:szCs w:val="22"/>
          <w:lang w:eastAsia="en-US"/>
        </w:rPr>
        <w:t>Directorul General furnizează Consiliului de Administraţie, în mod regulat şi cuprinzător, informaţii detaliate cu privire la toate aspectele importante ale activităţii societăţii. Ȋn plus, orice eveniment de importanţă majoră este comunicat imediat Consiliului de Administraţie.</w:t>
      </w:r>
    </w:p>
    <w:p w:rsidR="00461FC5" w:rsidRPr="008F7E9A" w:rsidRDefault="00461FC5" w:rsidP="00461FC5">
      <w:pPr>
        <w:widowControl/>
        <w:overflowPunct w:val="0"/>
        <w:spacing w:line="276" w:lineRule="auto"/>
        <w:jc w:val="both"/>
        <w:textAlignment w:val="baseline"/>
        <w:rPr>
          <w:rFonts w:ascii="Arial" w:hAnsi="Arial" w:cs="Arial"/>
          <w:sz w:val="22"/>
          <w:szCs w:val="22"/>
          <w:lang w:eastAsia="en-US"/>
        </w:rPr>
      </w:pPr>
    </w:p>
    <w:p w:rsidR="00461FC5" w:rsidRPr="008F7E9A" w:rsidRDefault="00461FC5" w:rsidP="00461FC5">
      <w:pPr>
        <w:widowControl/>
        <w:overflowPunct w:val="0"/>
        <w:spacing w:line="276" w:lineRule="auto"/>
        <w:jc w:val="both"/>
        <w:textAlignment w:val="baseline"/>
        <w:rPr>
          <w:rFonts w:ascii="Arial" w:hAnsi="Arial" w:cs="Arial"/>
          <w:sz w:val="22"/>
          <w:szCs w:val="22"/>
          <w:lang w:eastAsia="en-US"/>
        </w:rPr>
      </w:pPr>
      <w:r w:rsidRPr="008F7E9A">
        <w:rPr>
          <w:rFonts w:ascii="Arial" w:hAnsi="Arial" w:cs="Arial"/>
          <w:sz w:val="22"/>
          <w:szCs w:val="22"/>
          <w:lang w:eastAsia="en-US"/>
        </w:rPr>
        <w:t>De asemenea, orice membru al Consiliului de Administraţie poate solicita Directorului General informaţii cu privire la conducerea operativă a societăţii.</w:t>
      </w:r>
    </w:p>
    <w:p w:rsidR="00461FC5" w:rsidRDefault="00461FC5" w:rsidP="00461FC5">
      <w:pPr>
        <w:spacing w:line="276" w:lineRule="auto"/>
        <w:jc w:val="both"/>
        <w:rPr>
          <w:rFonts w:ascii="Arial" w:hAnsi="Arial" w:cs="Arial"/>
          <w:sz w:val="22"/>
          <w:szCs w:val="22"/>
        </w:rPr>
      </w:pPr>
    </w:p>
    <w:p w:rsidR="00461FC5" w:rsidRPr="00EE6C1F" w:rsidRDefault="00461FC5" w:rsidP="00461FC5">
      <w:pPr>
        <w:spacing w:line="276" w:lineRule="auto"/>
        <w:jc w:val="both"/>
        <w:rPr>
          <w:rFonts w:ascii="Arial" w:hAnsi="Arial" w:cs="Arial"/>
          <w:sz w:val="22"/>
          <w:szCs w:val="22"/>
          <w:lang w:val="en-US"/>
        </w:rPr>
      </w:pPr>
      <w:r>
        <w:rPr>
          <w:rFonts w:ascii="Arial" w:hAnsi="Arial" w:cs="Arial"/>
          <w:sz w:val="22"/>
          <w:szCs w:val="22"/>
        </w:rPr>
        <w:t xml:space="preserve">Consiliul de Administrație a delegat conducerea societății către Directorul </w:t>
      </w:r>
      <w:r w:rsidR="004B4468">
        <w:rPr>
          <w:rFonts w:ascii="Arial" w:hAnsi="Arial" w:cs="Arial"/>
          <w:sz w:val="22"/>
          <w:szCs w:val="22"/>
        </w:rPr>
        <w:t>G</w:t>
      </w:r>
      <w:r>
        <w:rPr>
          <w:rFonts w:ascii="Arial" w:hAnsi="Arial" w:cs="Arial"/>
          <w:sz w:val="22"/>
          <w:szCs w:val="22"/>
        </w:rPr>
        <w:t xml:space="preserve">eneral al CONPET, iar acesta reprezintă societatea în relațiile cu terții. </w:t>
      </w:r>
    </w:p>
    <w:p w:rsidR="00461FC5" w:rsidRDefault="00461FC5" w:rsidP="00461FC5">
      <w:pPr>
        <w:spacing w:line="276" w:lineRule="auto"/>
        <w:jc w:val="both"/>
        <w:rPr>
          <w:rFonts w:ascii="Arial" w:hAnsi="Arial" w:cs="Arial"/>
          <w:sz w:val="22"/>
          <w:szCs w:val="22"/>
        </w:rPr>
      </w:pPr>
    </w:p>
    <w:p w:rsidR="00461FC5" w:rsidRDefault="00461FC5" w:rsidP="00461FC5">
      <w:pPr>
        <w:spacing w:line="276" w:lineRule="auto"/>
        <w:jc w:val="both"/>
        <w:rPr>
          <w:rFonts w:ascii="Arial" w:hAnsi="Arial" w:cs="Arial"/>
          <w:sz w:val="22"/>
          <w:szCs w:val="22"/>
        </w:rPr>
      </w:pPr>
      <w:r>
        <w:rPr>
          <w:rFonts w:ascii="Arial" w:hAnsi="Arial" w:cs="Arial"/>
          <w:sz w:val="22"/>
          <w:szCs w:val="22"/>
        </w:rPr>
        <w:t>Atribuțiile d</w:t>
      </w:r>
      <w:r w:rsidRPr="008F7E9A">
        <w:rPr>
          <w:rFonts w:ascii="Arial" w:hAnsi="Arial" w:cs="Arial"/>
          <w:sz w:val="22"/>
          <w:szCs w:val="22"/>
        </w:rPr>
        <w:t>irectorul</w:t>
      </w:r>
      <w:r>
        <w:rPr>
          <w:rFonts w:ascii="Arial" w:hAnsi="Arial" w:cs="Arial"/>
          <w:sz w:val="22"/>
          <w:szCs w:val="22"/>
        </w:rPr>
        <w:t>ui</w:t>
      </w:r>
      <w:r w:rsidRPr="008F7E9A">
        <w:rPr>
          <w:rFonts w:ascii="Arial" w:hAnsi="Arial" w:cs="Arial"/>
          <w:sz w:val="22"/>
          <w:szCs w:val="22"/>
        </w:rPr>
        <w:t xml:space="preserve"> general </w:t>
      </w:r>
      <w:r>
        <w:rPr>
          <w:rFonts w:ascii="Arial" w:hAnsi="Arial" w:cs="Arial"/>
          <w:sz w:val="22"/>
          <w:szCs w:val="22"/>
        </w:rPr>
        <w:t>sunt stabilite prin Regulamentul de Organizare și Funcționare al societății (ROF) și cuprind în general</w:t>
      </w:r>
      <w:r w:rsidRPr="008F7E9A">
        <w:rPr>
          <w:rFonts w:ascii="Arial" w:hAnsi="Arial" w:cs="Arial"/>
          <w:sz w:val="22"/>
          <w:szCs w:val="22"/>
        </w:rPr>
        <w:t>:</w:t>
      </w:r>
    </w:p>
    <w:p w:rsidR="00461FC5" w:rsidRDefault="00461FC5" w:rsidP="00170D7E">
      <w:pPr>
        <w:pStyle w:val="ListParagraph"/>
        <w:numPr>
          <w:ilvl w:val="0"/>
          <w:numId w:val="42"/>
        </w:numPr>
        <w:overflowPunct w:val="0"/>
        <w:ind w:left="720"/>
        <w:jc w:val="both"/>
        <w:textAlignment w:val="baseline"/>
        <w:rPr>
          <w:rFonts w:ascii="Arial" w:hAnsi="Arial" w:cs="Arial"/>
        </w:rPr>
      </w:pPr>
      <w:r w:rsidRPr="00D60FCC">
        <w:rPr>
          <w:rFonts w:ascii="Arial" w:hAnsi="Arial" w:cs="Arial"/>
        </w:rPr>
        <w:t xml:space="preserve">aplicarea strategiei și politicilor de dezvoltare şi de marketing ale societăţii, stabilite de </w:t>
      </w:r>
      <w:r w:rsidR="00F61930" w:rsidRPr="00D60FCC">
        <w:rPr>
          <w:rFonts w:ascii="Arial" w:hAnsi="Arial" w:cs="Arial"/>
        </w:rPr>
        <w:t xml:space="preserve">       </w:t>
      </w:r>
      <w:r w:rsidR="00D60FCC" w:rsidRPr="00D60FCC">
        <w:rPr>
          <w:rFonts w:ascii="Arial" w:hAnsi="Arial" w:cs="Arial"/>
        </w:rPr>
        <w:t xml:space="preserve">   </w:t>
      </w:r>
      <w:r w:rsidRPr="00D60FCC">
        <w:rPr>
          <w:rFonts w:ascii="Arial" w:hAnsi="Arial" w:cs="Arial"/>
        </w:rPr>
        <w:t>Consiliul de Administraţie;</w:t>
      </w:r>
    </w:p>
    <w:p w:rsidR="00D60FCC" w:rsidRDefault="00D60FCC" w:rsidP="00170D7E">
      <w:pPr>
        <w:pStyle w:val="ListParagraph"/>
        <w:numPr>
          <w:ilvl w:val="0"/>
          <w:numId w:val="42"/>
        </w:numPr>
        <w:overflowPunct w:val="0"/>
        <w:ind w:left="720"/>
        <w:jc w:val="both"/>
        <w:textAlignment w:val="baseline"/>
        <w:rPr>
          <w:rFonts w:ascii="Arial" w:hAnsi="Arial" w:cs="Arial"/>
        </w:rPr>
      </w:pPr>
      <w:r w:rsidRPr="008F7E9A">
        <w:rPr>
          <w:rFonts w:ascii="Arial" w:hAnsi="Arial" w:cs="Arial"/>
        </w:rPr>
        <w:t>asigur</w:t>
      </w:r>
      <w:r>
        <w:rPr>
          <w:rFonts w:ascii="Arial" w:hAnsi="Arial" w:cs="Arial"/>
        </w:rPr>
        <w:t>area</w:t>
      </w:r>
      <w:r w:rsidRPr="008F7E9A">
        <w:rPr>
          <w:rFonts w:ascii="Arial" w:hAnsi="Arial" w:cs="Arial"/>
        </w:rPr>
        <w:t xml:space="preserve"> conducer</w:t>
      </w:r>
      <w:r>
        <w:rPr>
          <w:rFonts w:ascii="Arial" w:hAnsi="Arial" w:cs="Arial"/>
        </w:rPr>
        <w:t>ii</w:t>
      </w:r>
      <w:r w:rsidRPr="008F7E9A">
        <w:rPr>
          <w:rFonts w:ascii="Arial" w:hAnsi="Arial" w:cs="Arial"/>
        </w:rPr>
        <w:t xml:space="preserve"> şi gestionarea afacerilor societăţii;</w:t>
      </w:r>
    </w:p>
    <w:p w:rsidR="00D60FCC" w:rsidRPr="00D60FCC" w:rsidRDefault="00D60FCC" w:rsidP="00170D7E">
      <w:pPr>
        <w:pStyle w:val="ListParagraph"/>
        <w:numPr>
          <w:ilvl w:val="0"/>
          <w:numId w:val="42"/>
        </w:numPr>
        <w:overflowPunct w:val="0"/>
        <w:ind w:left="720"/>
        <w:jc w:val="both"/>
        <w:textAlignment w:val="baseline"/>
        <w:rPr>
          <w:rFonts w:ascii="Arial" w:hAnsi="Arial" w:cs="Arial"/>
        </w:rPr>
      </w:pPr>
      <w:r w:rsidRPr="00D60FCC">
        <w:rPr>
          <w:rFonts w:ascii="Arial" w:hAnsi="Arial" w:cs="Arial"/>
        </w:rPr>
        <w:t>asigurarea respectării obligaţiilor de raportare stabilite prin reglementările în vigoare privind piaţa de capital şi în  O.U.G. nr. 109 / 2011 privind guvernanţa corporativă a întreprinderilor publice, precum şi cu celelalte prevederi legale aplicabile;</w:t>
      </w:r>
    </w:p>
    <w:p w:rsidR="00D60FCC" w:rsidRPr="00D60FCC" w:rsidRDefault="00D60FCC" w:rsidP="00170D7E">
      <w:pPr>
        <w:pStyle w:val="ListParagraph"/>
        <w:numPr>
          <w:ilvl w:val="0"/>
          <w:numId w:val="42"/>
        </w:numPr>
        <w:overflowPunct w:val="0"/>
        <w:ind w:left="720"/>
        <w:jc w:val="both"/>
        <w:textAlignment w:val="baseline"/>
        <w:rPr>
          <w:rFonts w:ascii="Arial" w:hAnsi="Arial" w:cs="Arial"/>
        </w:rPr>
      </w:pPr>
      <w:r w:rsidRPr="00D60FCC">
        <w:rPr>
          <w:rFonts w:ascii="Arial" w:hAnsi="Arial" w:cs="Arial"/>
        </w:rPr>
        <w:t>elaborarea de proiecte şi planuri de afaceri pe care le prezintă Consiliului de Administraţie spre aprobare;</w:t>
      </w:r>
    </w:p>
    <w:p w:rsidR="00D60FCC" w:rsidRPr="00D60FCC" w:rsidRDefault="00D60FCC" w:rsidP="00170D7E">
      <w:pPr>
        <w:pStyle w:val="ListParagraph"/>
        <w:numPr>
          <w:ilvl w:val="0"/>
          <w:numId w:val="42"/>
        </w:numPr>
        <w:overflowPunct w:val="0"/>
        <w:ind w:left="720"/>
        <w:jc w:val="both"/>
        <w:textAlignment w:val="baseline"/>
        <w:rPr>
          <w:rFonts w:ascii="Arial" w:hAnsi="Arial" w:cs="Arial"/>
        </w:rPr>
      </w:pPr>
      <w:r w:rsidRPr="00D60FCC">
        <w:rPr>
          <w:rFonts w:ascii="Arial" w:hAnsi="Arial" w:cs="Arial"/>
        </w:rPr>
        <w:t>elaborarea regulamentului de organizare şi funcţionare al societăţii, proiectul de structură organizatorică şi structura de personal a societăţii şi le prezintă consiliului de administraţie spre aprobare;</w:t>
      </w:r>
    </w:p>
    <w:p w:rsidR="00D60FCC" w:rsidRDefault="00D60FCC" w:rsidP="00170D7E">
      <w:pPr>
        <w:pStyle w:val="ListParagraph"/>
        <w:numPr>
          <w:ilvl w:val="0"/>
          <w:numId w:val="42"/>
        </w:numPr>
        <w:overflowPunct w:val="0"/>
        <w:ind w:left="720"/>
        <w:jc w:val="both"/>
        <w:textAlignment w:val="baseline"/>
        <w:rPr>
          <w:rFonts w:ascii="Arial" w:hAnsi="Arial" w:cs="Arial"/>
        </w:rPr>
      </w:pPr>
      <w:r w:rsidRPr="008F7E9A">
        <w:rPr>
          <w:rFonts w:ascii="Arial" w:hAnsi="Arial" w:cs="Arial"/>
        </w:rPr>
        <w:t>organiz</w:t>
      </w:r>
      <w:r>
        <w:rPr>
          <w:rFonts w:ascii="Arial" w:hAnsi="Arial" w:cs="Arial"/>
        </w:rPr>
        <w:t>area și</w:t>
      </w:r>
      <w:r w:rsidRPr="008F7E9A">
        <w:rPr>
          <w:rFonts w:ascii="Arial" w:hAnsi="Arial" w:cs="Arial"/>
        </w:rPr>
        <w:t xml:space="preserve"> coordon</w:t>
      </w:r>
      <w:r>
        <w:rPr>
          <w:rFonts w:ascii="Arial" w:hAnsi="Arial" w:cs="Arial"/>
        </w:rPr>
        <w:t>area activităților necesare</w:t>
      </w:r>
      <w:r w:rsidRPr="008F7E9A">
        <w:rPr>
          <w:rFonts w:ascii="Arial" w:hAnsi="Arial" w:cs="Arial"/>
        </w:rPr>
        <w:t xml:space="preserve"> pentru punerea în practică a strategiilor şi politicilor aprobate de către consiliul de administraţie;</w:t>
      </w:r>
    </w:p>
    <w:p w:rsidR="00D60FCC" w:rsidRPr="00D60FCC" w:rsidRDefault="00D60FCC" w:rsidP="00170D7E">
      <w:pPr>
        <w:pStyle w:val="ListParagraph"/>
        <w:numPr>
          <w:ilvl w:val="0"/>
          <w:numId w:val="42"/>
        </w:numPr>
        <w:tabs>
          <w:tab w:val="left" w:pos="720"/>
        </w:tabs>
        <w:overflowPunct w:val="0"/>
        <w:ind w:left="720"/>
        <w:jc w:val="both"/>
        <w:textAlignment w:val="baseline"/>
        <w:rPr>
          <w:rFonts w:ascii="Arial" w:hAnsi="Arial" w:cs="Arial"/>
        </w:rPr>
      </w:pPr>
      <w:r w:rsidRPr="00D60FCC">
        <w:rPr>
          <w:rFonts w:ascii="Arial" w:hAnsi="Arial" w:cs="Arial"/>
        </w:rPr>
        <w:t>angajarea/ numirea/ destituirea/ promovarea/ suspendarea/ concedierea, în condiţiile   legii, a personalului societăţii;</w:t>
      </w:r>
    </w:p>
    <w:p w:rsidR="00D60FCC" w:rsidRPr="00D60FCC" w:rsidRDefault="00D60FCC" w:rsidP="00170D7E">
      <w:pPr>
        <w:pStyle w:val="ListParagraph"/>
        <w:numPr>
          <w:ilvl w:val="0"/>
          <w:numId w:val="42"/>
        </w:numPr>
        <w:overflowPunct w:val="0"/>
        <w:ind w:left="720"/>
        <w:jc w:val="both"/>
        <w:textAlignment w:val="baseline"/>
        <w:rPr>
          <w:rFonts w:ascii="Arial" w:hAnsi="Arial" w:cs="Arial"/>
        </w:rPr>
      </w:pPr>
      <w:r w:rsidRPr="00D60FCC">
        <w:rPr>
          <w:rFonts w:ascii="Arial" w:hAnsi="Arial" w:cs="Arial"/>
        </w:rPr>
        <w:t xml:space="preserve">negocierea contractelor individuale de muncă ale salariaţilor; </w:t>
      </w:r>
    </w:p>
    <w:p w:rsidR="00D60FCC" w:rsidRPr="00D60FCC" w:rsidRDefault="00D60FCC" w:rsidP="00170D7E">
      <w:pPr>
        <w:pStyle w:val="ListParagraph"/>
        <w:numPr>
          <w:ilvl w:val="0"/>
          <w:numId w:val="42"/>
        </w:numPr>
        <w:overflowPunct w:val="0"/>
        <w:ind w:left="720"/>
        <w:jc w:val="both"/>
        <w:textAlignment w:val="baseline"/>
        <w:rPr>
          <w:rFonts w:ascii="Arial" w:hAnsi="Arial" w:cs="Arial"/>
        </w:rPr>
      </w:pPr>
      <w:r w:rsidRPr="00D60FCC">
        <w:rPr>
          <w:rFonts w:ascii="Arial" w:hAnsi="Arial" w:cs="Arial"/>
        </w:rPr>
        <w:t xml:space="preserve">stabilirea de obiective şi criterii de performanţă pentru directorii executivi, urmărirea gradul de îndeplinire a acestora şi evaluarea activitații directorilor executivi privind îndeplinirea atribuţiilor prevăzute în fişa postului; </w:t>
      </w:r>
    </w:p>
    <w:p w:rsidR="00D60FCC" w:rsidRPr="00D60FCC" w:rsidRDefault="00D60FCC" w:rsidP="00170D7E">
      <w:pPr>
        <w:pStyle w:val="ListParagraph"/>
        <w:numPr>
          <w:ilvl w:val="0"/>
          <w:numId w:val="42"/>
        </w:numPr>
        <w:overflowPunct w:val="0"/>
        <w:ind w:left="720"/>
        <w:jc w:val="both"/>
        <w:textAlignment w:val="baseline"/>
        <w:rPr>
          <w:rFonts w:ascii="Arial" w:hAnsi="Arial" w:cs="Arial"/>
        </w:rPr>
      </w:pPr>
      <w:r w:rsidRPr="00D60FCC">
        <w:rPr>
          <w:rFonts w:ascii="Arial" w:hAnsi="Arial" w:cs="Arial"/>
        </w:rPr>
        <w:t>negociere şi încheiere pentru şi în numele societăţii a Contractul Colectiv de Muncă, în forma aprobată de către Consiliul de Administraţie;</w:t>
      </w:r>
    </w:p>
    <w:p w:rsidR="00D60FCC" w:rsidRDefault="00D60FCC" w:rsidP="00170D7E">
      <w:pPr>
        <w:pStyle w:val="ListParagraph"/>
        <w:numPr>
          <w:ilvl w:val="0"/>
          <w:numId w:val="42"/>
        </w:numPr>
        <w:overflowPunct w:val="0"/>
        <w:ind w:left="720"/>
        <w:jc w:val="both"/>
        <w:textAlignment w:val="baseline"/>
        <w:rPr>
          <w:rFonts w:ascii="Arial" w:hAnsi="Arial" w:cs="Arial"/>
        </w:rPr>
      </w:pPr>
      <w:r w:rsidRPr="00D60FCC">
        <w:rPr>
          <w:rFonts w:ascii="Arial" w:hAnsi="Arial" w:cs="Arial"/>
        </w:rPr>
        <w:t>încheiere a actelor juridice, în numele şi pe seama “CONPET” S.A., în condiţiile legii şi în conformitate cu prevederile contractului de mandat şi ale împutern</w:t>
      </w:r>
      <w:r w:rsidR="004B4468">
        <w:rPr>
          <w:rFonts w:ascii="Arial" w:hAnsi="Arial" w:cs="Arial"/>
        </w:rPr>
        <w:t>icirilor acordate prin decizia Consiliului de A</w:t>
      </w:r>
      <w:r w:rsidRPr="00D60FCC">
        <w:rPr>
          <w:rFonts w:ascii="Arial" w:hAnsi="Arial" w:cs="Arial"/>
        </w:rPr>
        <w:t>dministraţie;</w:t>
      </w:r>
    </w:p>
    <w:p w:rsidR="00D60FCC" w:rsidRPr="00D60FCC" w:rsidRDefault="00D60FCC" w:rsidP="00D60FCC">
      <w:pPr>
        <w:pStyle w:val="ListParagraph"/>
        <w:overflowPunct w:val="0"/>
        <w:jc w:val="both"/>
        <w:textAlignment w:val="baseline"/>
        <w:rPr>
          <w:rFonts w:ascii="Arial" w:hAnsi="Arial" w:cs="Arial"/>
        </w:rPr>
      </w:pPr>
    </w:p>
    <w:p w:rsidR="00D60FCC" w:rsidRPr="00D60FCC" w:rsidRDefault="00D60FCC" w:rsidP="00170D7E">
      <w:pPr>
        <w:pStyle w:val="ListParagraph"/>
        <w:numPr>
          <w:ilvl w:val="0"/>
          <w:numId w:val="42"/>
        </w:numPr>
        <w:overflowPunct w:val="0"/>
        <w:ind w:left="720"/>
        <w:jc w:val="both"/>
        <w:textAlignment w:val="baseline"/>
        <w:rPr>
          <w:rFonts w:ascii="Arial" w:hAnsi="Arial" w:cs="Arial"/>
        </w:rPr>
      </w:pPr>
      <w:r w:rsidRPr="008F7E9A">
        <w:rPr>
          <w:rFonts w:ascii="Arial" w:hAnsi="Arial" w:cs="Arial"/>
        </w:rPr>
        <w:lastRenderedPageBreak/>
        <w:t>încheie</w:t>
      </w:r>
      <w:r>
        <w:rPr>
          <w:rFonts w:ascii="Arial" w:hAnsi="Arial" w:cs="Arial"/>
        </w:rPr>
        <w:t>re a</w:t>
      </w:r>
      <w:r w:rsidRPr="008F7E9A">
        <w:rPr>
          <w:rFonts w:ascii="Arial" w:hAnsi="Arial" w:cs="Arial"/>
        </w:rPr>
        <w:t xml:space="preserve"> contracte</w:t>
      </w:r>
      <w:r>
        <w:rPr>
          <w:rFonts w:ascii="Arial" w:hAnsi="Arial" w:cs="Arial"/>
        </w:rPr>
        <w:t>lor</w:t>
      </w:r>
      <w:r w:rsidRPr="008F7E9A">
        <w:rPr>
          <w:rFonts w:ascii="Arial" w:hAnsi="Arial" w:cs="Arial"/>
        </w:rPr>
        <w:t xml:space="preserve"> de vânzare şi cumparare de bunuri, în condiţiile legii şi în conformitate cu prevederile contractului de mandat şi ale împuternicirilor acordate prin decizia consiliului de administraţie;</w:t>
      </w:r>
    </w:p>
    <w:p w:rsidR="00F64817" w:rsidRPr="00F64817" w:rsidRDefault="00F64817" w:rsidP="00170D7E">
      <w:pPr>
        <w:pStyle w:val="ListParagraph"/>
        <w:numPr>
          <w:ilvl w:val="0"/>
          <w:numId w:val="42"/>
        </w:numPr>
        <w:overflowPunct w:val="0"/>
        <w:ind w:left="720"/>
        <w:jc w:val="both"/>
        <w:textAlignment w:val="baseline"/>
        <w:rPr>
          <w:rFonts w:ascii="Arial" w:hAnsi="Arial" w:cs="Arial"/>
        </w:rPr>
      </w:pPr>
      <w:r w:rsidRPr="00F64817">
        <w:rPr>
          <w:rFonts w:ascii="Arial" w:hAnsi="Arial" w:cs="Arial"/>
        </w:rPr>
        <w:t>organizează şi conduce Comitetul Director Executiv format din directorii executivi. Directorul general poate convoca la şedinţe salariaţi cu funcţii de conducere sau de execuţie din cadrul societăţii, şi, după caz, atunci când se discută probleme de interes profesional, economic şi social, poate invi</w:t>
      </w:r>
      <w:r>
        <w:rPr>
          <w:rFonts w:ascii="Arial" w:hAnsi="Arial" w:cs="Arial"/>
        </w:rPr>
        <w:t>ta şi Preşedintele sindicatului;</w:t>
      </w:r>
    </w:p>
    <w:p w:rsidR="00461FC5" w:rsidRPr="00C3064D" w:rsidRDefault="00F64817" w:rsidP="00170D7E">
      <w:pPr>
        <w:pStyle w:val="ListParagraph"/>
        <w:numPr>
          <w:ilvl w:val="0"/>
          <w:numId w:val="42"/>
        </w:numPr>
        <w:overflowPunct w:val="0"/>
        <w:ind w:left="720"/>
        <w:jc w:val="both"/>
        <w:textAlignment w:val="baseline"/>
        <w:rPr>
          <w:rFonts w:ascii="Arial" w:hAnsi="Arial" w:cs="Arial"/>
        </w:rPr>
      </w:pPr>
      <w:r w:rsidRPr="00F64817">
        <w:rPr>
          <w:rFonts w:ascii="Arial" w:hAnsi="Arial" w:cs="Arial"/>
        </w:rPr>
        <w:t>informeză Consiliul de Administraţie în mod regulat şi cuprinzător asupra operaţiunilor întreprinse şi asupra celor avute în vedere</w:t>
      </w:r>
      <w:r w:rsidR="009B7FD1">
        <w:rPr>
          <w:rFonts w:ascii="Arial" w:hAnsi="Arial" w:cs="Arial"/>
        </w:rPr>
        <w:t>.</w:t>
      </w:r>
    </w:p>
    <w:p w:rsidR="00461FC5" w:rsidRPr="008F7E9A" w:rsidRDefault="004B4468" w:rsidP="00461FC5">
      <w:pPr>
        <w:widowControl/>
        <w:overflowPunct w:val="0"/>
        <w:spacing w:line="276" w:lineRule="auto"/>
        <w:jc w:val="both"/>
        <w:textAlignment w:val="baseline"/>
        <w:rPr>
          <w:rFonts w:ascii="Arial" w:hAnsi="Arial" w:cs="Arial"/>
          <w:sz w:val="22"/>
          <w:szCs w:val="22"/>
          <w:lang w:eastAsia="en-US"/>
        </w:rPr>
      </w:pPr>
      <w:r>
        <w:rPr>
          <w:rFonts w:ascii="Arial" w:hAnsi="Arial" w:cs="Arial"/>
          <w:sz w:val="22"/>
          <w:szCs w:val="22"/>
          <w:lang w:eastAsia="en-US"/>
        </w:rPr>
        <w:t>Directorul G</w:t>
      </w:r>
      <w:r w:rsidR="00461FC5">
        <w:rPr>
          <w:rFonts w:ascii="Arial" w:hAnsi="Arial" w:cs="Arial"/>
          <w:sz w:val="22"/>
          <w:szCs w:val="22"/>
          <w:lang w:eastAsia="en-US"/>
        </w:rPr>
        <w:t xml:space="preserve">eneral </w:t>
      </w:r>
      <w:r w:rsidR="00461FC5" w:rsidRPr="008F7E9A">
        <w:rPr>
          <w:rFonts w:ascii="Arial" w:hAnsi="Arial" w:cs="Arial"/>
          <w:sz w:val="22"/>
          <w:szCs w:val="22"/>
          <w:lang w:eastAsia="en-US"/>
        </w:rPr>
        <w:t>nu are voie să divulge datele şi informaţiile la care are acces privind societatea şi activitatea acesteia. Aceasta obligaţie îi revine şi după încetarea mandatului, pe o perioadă de 5 ani. De asemenea</w:t>
      </w:r>
      <w:r w:rsidR="00461FC5">
        <w:rPr>
          <w:rFonts w:ascii="Arial" w:hAnsi="Arial" w:cs="Arial"/>
          <w:sz w:val="22"/>
          <w:szCs w:val="22"/>
          <w:lang w:eastAsia="en-US"/>
        </w:rPr>
        <w:t>,</w:t>
      </w:r>
      <w:r w:rsidR="00461FC5" w:rsidRPr="008F7E9A">
        <w:rPr>
          <w:rFonts w:ascii="Arial" w:hAnsi="Arial" w:cs="Arial"/>
          <w:sz w:val="22"/>
          <w:szCs w:val="22"/>
          <w:lang w:eastAsia="en-US"/>
        </w:rPr>
        <w:t xml:space="preserve"> trebuie să respecte şi regimul informaţiilor privilegiate prevăzut în Legea nr. 297/ 2004 privind piaţa de capital şi în reglementările incidente.</w:t>
      </w:r>
    </w:p>
    <w:p w:rsidR="00461FC5" w:rsidRPr="008F7E9A" w:rsidRDefault="00461FC5" w:rsidP="00461FC5">
      <w:pPr>
        <w:widowControl/>
        <w:overflowPunct w:val="0"/>
        <w:spacing w:line="276" w:lineRule="auto"/>
        <w:jc w:val="both"/>
        <w:textAlignment w:val="baseline"/>
        <w:rPr>
          <w:rFonts w:ascii="Arial" w:hAnsi="Arial" w:cs="Arial"/>
          <w:b/>
          <w:bCs/>
          <w:i/>
          <w:sz w:val="22"/>
          <w:szCs w:val="22"/>
          <w:lang w:eastAsia="en-US"/>
        </w:rPr>
      </w:pPr>
    </w:p>
    <w:p w:rsidR="00461FC5" w:rsidRPr="007F5D81" w:rsidRDefault="00461FC5" w:rsidP="00461FC5">
      <w:pPr>
        <w:widowControl/>
        <w:overflowPunct w:val="0"/>
        <w:spacing w:line="276" w:lineRule="auto"/>
        <w:jc w:val="both"/>
        <w:textAlignment w:val="baseline"/>
        <w:rPr>
          <w:rFonts w:ascii="Arial" w:hAnsi="Arial" w:cs="Arial"/>
          <w:b/>
          <w:bCs/>
          <w:color w:val="1F4E79" w:themeColor="accent1" w:themeShade="80"/>
          <w:sz w:val="22"/>
          <w:szCs w:val="22"/>
          <w:lang w:eastAsia="en-US"/>
        </w:rPr>
      </w:pPr>
      <w:r w:rsidRPr="007F5D81">
        <w:rPr>
          <w:rFonts w:ascii="Arial" w:hAnsi="Arial" w:cs="Arial"/>
          <w:b/>
          <w:bCs/>
          <w:color w:val="1F4E79" w:themeColor="accent1" w:themeShade="80"/>
          <w:sz w:val="22"/>
          <w:szCs w:val="22"/>
          <w:lang w:eastAsia="en-US"/>
        </w:rPr>
        <w:t>Politica de remunerare</w:t>
      </w:r>
    </w:p>
    <w:p w:rsidR="00461FC5" w:rsidRDefault="00461FC5" w:rsidP="00461FC5">
      <w:pPr>
        <w:widowControl/>
        <w:overflowPunct w:val="0"/>
        <w:spacing w:line="276" w:lineRule="auto"/>
        <w:jc w:val="both"/>
        <w:textAlignment w:val="baseline"/>
        <w:rPr>
          <w:rFonts w:ascii="Arial" w:hAnsi="Arial" w:cs="Arial"/>
          <w:b/>
          <w:bCs/>
          <w:sz w:val="22"/>
          <w:szCs w:val="22"/>
          <w:lang w:eastAsia="en-US"/>
        </w:rPr>
      </w:pPr>
    </w:p>
    <w:p w:rsidR="00461FC5" w:rsidRPr="008F7E9A" w:rsidRDefault="00461FC5" w:rsidP="00461FC5">
      <w:pPr>
        <w:widowControl/>
        <w:overflowPunct w:val="0"/>
        <w:spacing w:after="260" w:line="276" w:lineRule="auto"/>
        <w:jc w:val="both"/>
        <w:textAlignment w:val="baseline"/>
        <w:rPr>
          <w:rFonts w:ascii="Arial" w:hAnsi="Arial" w:cs="Arial"/>
          <w:sz w:val="22"/>
          <w:szCs w:val="22"/>
          <w:lang w:eastAsia="en-US"/>
        </w:rPr>
      </w:pPr>
      <w:r w:rsidRPr="008F7E9A">
        <w:rPr>
          <w:rFonts w:ascii="Arial" w:hAnsi="Arial" w:cs="Arial"/>
          <w:sz w:val="22"/>
          <w:szCs w:val="22"/>
          <w:lang w:eastAsia="en-US"/>
        </w:rPr>
        <w:t xml:space="preserve">Ȋn conformitate cu dispoziţiile art. 37 alin. (1) şi (2) şi respectiv art.38 alin. (2) din Ordonanţa de Urgenţă a Guvernului nr. 109/2011 privind guvernanţa corporativă a întreprinderilor publice, cu modificările şi completările </w:t>
      </w:r>
      <w:r w:rsidR="004B4468">
        <w:rPr>
          <w:rFonts w:ascii="Arial" w:hAnsi="Arial" w:cs="Arial"/>
          <w:sz w:val="22"/>
          <w:szCs w:val="22"/>
          <w:lang w:eastAsia="en-US"/>
        </w:rPr>
        <w:t>ulterioare, administratorii şi Directorul G</w:t>
      </w:r>
      <w:r w:rsidRPr="008F7E9A">
        <w:rPr>
          <w:rFonts w:ascii="Arial" w:hAnsi="Arial" w:cs="Arial"/>
          <w:sz w:val="22"/>
          <w:szCs w:val="22"/>
          <w:lang w:eastAsia="en-US"/>
        </w:rPr>
        <w:t>eneral primesc pentru activitatea desfăşurată o indemnizaţie fixă lunară.</w:t>
      </w:r>
    </w:p>
    <w:p w:rsidR="00461FC5" w:rsidRPr="00847616" w:rsidRDefault="00461FC5" w:rsidP="00461FC5">
      <w:pPr>
        <w:widowControl/>
        <w:overflowPunct w:val="0"/>
        <w:spacing w:after="260" w:line="276" w:lineRule="auto"/>
        <w:jc w:val="both"/>
        <w:textAlignment w:val="baseline"/>
        <w:rPr>
          <w:rFonts w:ascii="Arial" w:hAnsi="Arial" w:cs="Arial"/>
          <w:iCs/>
          <w:sz w:val="22"/>
          <w:szCs w:val="22"/>
          <w:lang w:val="en-US"/>
        </w:rPr>
      </w:pPr>
      <w:r w:rsidRPr="00847616">
        <w:rPr>
          <w:rFonts w:ascii="Arial" w:hAnsi="Arial" w:cs="Arial"/>
          <w:sz w:val="22"/>
          <w:szCs w:val="22"/>
          <w:lang w:eastAsia="en-US"/>
        </w:rPr>
        <w:t xml:space="preserve">Indemnizaţia fixă </w:t>
      </w:r>
      <w:r>
        <w:rPr>
          <w:rFonts w:ascii="Arial" w:hAnsi="Arial" w:cs="Arial"/>
          <w:sz w:val="22"/>
          <w:szCs w:val="22"/>
          <w:lang w:eastAsia="en-US"/>
        </w:rPr>
        <w:t xml:space="preserve">brută </w:t>
      </w:r>
      <w:r w:rsidRPr="00847616">
        <w:rPr>
          <w:rFonts w:ascii="Arial" w:hAnsi="Arial" w:cs="Arial"/>
          <w:sz w:val="22"/>
          <w:szCs w:val="22"/>
          <w:lang w:eastAsia="en-US"/>
        </w:rPr>
        <w:t xml:space="preserve">lunară a membrilor Consiliului de Administraţie este plafonată și nu poate depăşi </w:t>
      </w:r>
      <w:r>
        <w:rPr>
          <w:rFonts w:ascii="Arial" w:hAnsi="Arial" w:cs="Arial"/>
          <w:sz w:val="22"/>
          <w:szCs w:val="22"/>
          <w:lang w:eastAsia="en-US"/>
        </w:rPr>
        <w:t xml:space="preserve">de două ori </w:t>
      </w:r>
      <w:r w:rsidRPr="00847616">
        <w:rPr>
          <w:rFonts w:ascii="Arial" w:hAnsi="Arial" w:cs="Arial"/>
          <w:sz w:val="22"/>
          <w:szCs w:val="22"/>
          <w:lang w:eastAsia="en-US"/>
        </w:rPr>
        <w:t xml:space="preserve">media pe ultimele 12 luni a câştigului salarial mediu brut lunar </w:t>
      </w:r>
      <w:r w:rsidRPr="00847616">
        <w:rPr>
          <w:rFonts w:ascii="Arial" w:hAnsi="Arial" w:cs="Arial"/>
          <w:iCs/>
          <w:sz w:val="22"/>
          <w:szCs w:val="22"/>
          <w:lang w:val="en-US"/>
        </w:rPr>
        <w:t>pentru activitatea desfăşurată conform obi</w:t>
      </w:r>
      <w:r>
        <w:rPr>
          <w:rFonts w:ascii="Arial" w:hAnsi="Arial" w:cs="Arial"/>
          <w:iCs/>
          <w:sz w:val="22"/>
          <w:szCs w:val="22"/>
          <w:lang w:val="en-US"/>
        </w:rPr>
        <w:t xml:space="preserve">ectului principal de activitate, </w:t>
      </w:r>
      <w:r w:rsidRPr="00847616">
        <w:rPr>
          <w:rFonts w:ascii="Arial" w:hAnsi="Arial" w:cs="Arial"/>
          <w:iCs/>
          <w:sz w:val="22"/>
          <w:szCs w:val="22"/>
          <w:lang w:val="en-US"/>
        </w:rPr>
        <w:t>comunicat de Institutul Naţional de Statistică anterior numirii.</w:t>
      </w:r>
    </w:p>
    <w:p w:rsidR="0046571D" w:rsidRPr="00F71538" w:rsidRDefault="00461FC5" w:rsidP="005E24E0">
      <w:pPr>
        <w:widowControl/>
        <w:autoSpaceDE/>
        <w:autoSpaceDN/>
        <w:adjustRightInd/>
        <w:spacing w:after="160" w:line="259" w:lineRule="auto"/>
        <w:jc w:val="both"/>
        <w:rPr>
          <w:rFonts w:ascii="Arial" w:eastAsiaTheme="minorHAnsi" w:hAnsi="Arial" w:cs="Arial"/>
          <w:sz w:val="22"/>
          <w:szCs w:val="22"/>
          <w:lang w:val="en-US" w:eastAsia="en-US"/>
        </w:rPr>
      </w:pPr>
      <w:r w:rsidRPr="00F71538">
        <w:rPr>
          <w:rFonts w:ascii="Arial" w:hAnsi="Arial" w:cs="Arial"/>
          <w:sz w:val="22"/>
          <w:szCs w:val="22"/>
          <w:lang w:val="en-US" w:eastAsia="en-US"/>
        </w:rPr>
        <w:t>Indemnizația fixă brută lunară acordată m</w:t>
      </w:r>
      <w:r w:rsidRPr="00F71538">
        <w:rPr>
          <w:rFonts w:ascii="Arial" w:hAnsi="Arial" w:cs="Arial"/>
          <w:sz w:val="22"/>
          <w:szCs w:val="22"/>
          <w:lang w:val="fr-BE" w:eastAsia="en-US"/>
        </w:rPr>
        <w:t>embrilor Consiliului de Administrație</w:t>
      </w:r>
      <w:r w:rsidRPr="00F71538">
        <w:rPr>
          <w:rFonts w:ascii="Arial" w:eastAsiaTheme="minorHAnsi" w:hAnsi="Arial" w:cs="Arial"/>
          <w:sz w:val="22"/>
          <w:szCs w:val="22"/>
          <w:lang w:val="en-US" w:eastAsia="en-US"/>
        </w:rPr>
        <w:t>, egală cu de 2 ori media pe ultimele 12 luni a câștigului salarial mediu brut lunar pentru activitatea desfășurată conform obiectului principal de activitate înregistrat de societate, la nivel de clasa conform clasificației activităților din economia națion</w:t>
      </w:r>
      <w:r w:rsidR="004B4468">
        <w:rPr>
          <w:rFonts w:ascii="Arial" w:eastAsiaTheme="minorHAnsi" w:hAnsi="Arial" w:cs="Arial"/>
          <w:sz w:val="22"/>
          <w:szCs w:val="22"/>
          <w:lang w:val="en-US" w:eastAsia="en-US"/>
        </w:rPr>
        <w:t>ală, comunicat de Institutul Naț</w:t>
      </w:r>
      <w:r w:rsidRPr="00F71538">
        <w:rPr>
          <w:rFonts w:ascii="Arial" w:eastAsiaTheme="minorHAnsi" w:hAnsi="Arial" w:cs="Arial"/>
          <w:sz w:val="22"/>
          <w:szCs w:val="22"/>
          <w:lang w:val="en-US" w:eastAsia="en-US"/>
        </w:rPr>
        <w:t>ional de Statistică anterior numirii, a fost recalculată în conformitate cu prevederile O.U.G. nr. 79/ 2017 pentru modificarea și completarea Le</w:t>
      </w:r>
      <w:r w:rsidR="004B4468">
        <w:rPr>
          <w:rFonts w:ascii="Arial" w:eastAsiaTheme="minorHAnsi" w:hAnsi="Arial" w:cs="Arial"/>
          <w:sz w:val="22"/>
          <w:szCs w:val="22"/>
          <w:lang w:val="en-US" w:eastAsia="en-US"/>
        </w:rPr>
        <w:t>gii nr.227/ 2015 privind Codul F</w:t>
      </w:r>
      <w:r w:rsidRPr="00F71538">
        <w:rPr>
          <w:rFonts w:ascii="Arial" w:eastAsiaTheme="minorHAnsi" w:hAnsi="Arial" w:cs="Arial"/>
          <w:sz w:val="22"/>
          <w:szCs w:val="22"/>
          <w:lang w:val="en-US" w:eastAsia="en-US"/>
        </w:rPr>
        <w:t>iscal.</w:t>
      </w:r>
    </w:p>
    <w:p w:rsidR="00461FC5" w:rsidRPr="00F71538" w:rsidRDefault="00461FC5" w:rsidP="00AF795D">
      <w:pPr>
        <w:widowControl/>
        <w:autoSpaceDE/>
        <w:autoSpaceDN/>
        <w:adjustRightInd/>
        <w:spacing w:after="160" w:line="259" w:lineRule="auto"/>
        <w:jc w:val="both"/>
        <w:rPr>
          <w:rFonts w:ascii="Arial" w:eastAsiaTheme="minorHAnsi" w:hAnsi="Arial" w:cs="Arial"/>
          <w:sz w:val="22"/>
          <w:szCs w:val="22"/>
          <w:lang w:val="en-US" w:eastAsia="en-US"/>
        </w:rPr>
      </w:pPr>
      <w:r w:rsidRPr="00F71538">
        <w:rPr>
          <w:rFonts w:ascii="Arial" w:eastAsiaTheme="minorHAnsi" w:hAnsi="Arial" w:cs="Arial"/>
          <w:sz w:val="22"/>
          <w:szCs w:val="22"/>
          <w:lang w:val="en-US" w:eastAsia="en-US"/>
        </w:rPr>
        <w:t xml:space="preserve">Indemnizația fixă brută lunară recalculată în cuantum de 12.314 lei, a fost aprobată de către AGA în data de 05.03.2018 în baza prevederile art. 18 din OUG nr. 90/ 2017 și s-a acordat începând cu luna ianuarie 2018. </w:t>
      </w:r>
    </w:p>
    <w:p w:rsidR="00461FC5" w:rsidRPr="00F71538" w:rsidRDefault="00461FC5" w:rsidP="00AF795D">
      <w:pPr>
        <w:widowControl/>
        <w:autoSpaceDE/>
        <w:autoSpaceDN/>
        <w:adjustRightInd/>
        <w:spacing w:after="160" w:line="259" w:lineRule="auto"/>
        <w:jc w:val="both"/>
        <w:rPr>
          <w:rFonts w:ascii="Arial" w:eastAsiaTheme="minorHAnsi" w:hAnsi="Arial" w:cs="Arial"/>
          <w:sz w:val="22"/>
          <w:szCs w:val="22"/>
          <w:lang w:val="en-US" w:eastAsia="en-US"/>
        </w:rPr>
      </w:pPr>
      <w:r w:rsidRPr="00F71538">
        <w:rPr>
          <w:rFonts w:ascii="Arial" w:eastAsiaTheme="minorHAnsi" w:hAnsi="Arial" w:cs="Arial"/>
          <w:sz w:val="22"/>
          <w:szCs w:val="22"/>
          <w:lang w:val="en-US" w:eastAsia="en-US"/>
        </w:rPr>
        <w:t>În data de 17 mai 2018 AGA a aprobat alegerea unui nou Consiliu de Administrație și a stabilit indemnizația fixă lunară pentru administratorii aleși în cuantum de 12.754 lei, egală cu de 2 ori media pe ultimele 12 luni a caștigului salarial mediu brut lunar pentru activitatea desfășurată conform obiectului principal de activitate înregistrat de societate, la nivel de clasa conform clasificației activităților din economia națion</w:t>
      </w:r>
      <w:r w:rsidR="008D638A">
        <w:rPr>
          <w:rFonts w:ascii="Arial" w:eastAsiaTheme="minorHAnsi" w:hAnsi="Arial" w:cs="Arial"/>
          <w:sz w:val="22"/>
          <w:szCs w:val="22"/>
          <w:lang w:val="en-US" w:eastAsia="en-US"/>
        </w:rPr>
        <w:t>ală, comunicat de Institutul Naț</w:t>
      </w:r>
      <w:r w:rsidRPr="00F71538">
        <w:rPr>
          <w:rFonts w:ascii="Arial" w:eastAsiaTheme="minorHAnsi" w:hAnsi="Arial" w:cs="Arial"/>
          <w:sz w:val="22"/>
          <w:szCs w:val="22"/>
          <w:lang w:val="en-US" w:eastAsia="en-US"/>
        </w:rPr>
        <w:t>ional de Statistică anterior numirii, recalculată având la bază prevederile art. 18 din OUG nr. 90/2017.</w:t>
      </w:r>
    </w:p>
    <w:p w:rsidR="00461FC5" w:rsidRPr="00F71538" w:rsidRDefault="00461FC5" w:rsidP="00461FC5">
      <w:pPr>
        <w:widowControl/>
        <w:spacing w:line="276" w:lineRule="auto"/>
        <w:jc w:val="both"/>
        <w:rPr>
          <w:rFonts w:ascii="Arial" w:hAnsi="Arial" w:cs="Arial"/>
          <w:sz w:val="22"/>
          <w:szCs w:val="22"/>
        </w:rPr>
      </w:pPr>
      <w:r w:rsidRPr="00F71538">
        <w:rPr>
          <w:rFonts w:ascii="Arial" w:hAnsi="Arial" w:cs="Arial"/>
          <w:sz w:val="22"/>
          <w:szCs w:val="22"/>
        </w:rPr>
        <w:t>Remuneraţia fixă brută totală plătită în perioada 01.01.2018 – 30.06.2018 membrilor Consiliului de Administraţie a fost de 519.648 lei.</w:t>
      </w:r>
    </w:p>
    <w:p w:rsidR="00461FC5" w:rsidRPr="00F71538" w:rsidRDefault="00461FC5" w:rsidP="00461FC5">
      <w:pPr>
        <w:widowControl/>
        <w:shd w:val="clear" w:color="auto" w:fill="FFFFFF"/>
        <w:autoSpaceDE/>
        <w:autoSpaceDN/>
        <w:adjustRightInd/>
        <w:spacing w:line="276" w:lineRule="auto"/>
        <w:jc w:val="both"/>
        <w:rPr>
          <w:rFonts w:ascii="Arial" w:hAnsi="Arial" w:cs="Arial"/>
          <w:sz w:val="22"/>
          <w:szCs w:val="22"/>
          <w:lang w:val="fr-BE" w:eastAsia="en-US"/>
        </w:rPr>
      </w:pPr>
    </w:p>
    <w:p w:rsidR="00AF795D" w:rsidRDefault="00461FC5" w:rsidP="00461FC5">
      <w:pPr>
        <w:widowControl/>
        <w:shd w:val="clear" w:color="auto" w:fill="FFFFFF"/>
        <w:autoSpaceDE/>
        <w:autoSpaceDN/>
        <w:adjustRightInd/>
        <w:spacing w:line="276" w:lineRule="auto"/>
        <w:jc w:val="both"/>
        <w:rPr>
          <w:rFonts w:ascii="Arial" w:hAnsi="Arial" w:cs="Arial"/>
          <w:sz w:val="22"/>
          <w:szCs w:val="22"/>
          <w:lang w:eastAsia="en-US"/>
        </w:rPr>
      </w:pPr>
      <w:r w:rsidRPr="00F71538">
        <w:rPr>
          <w:rFonts w:ascii="Arial" w:hAnsi="Arial" w:cs="Arial"/>
          <w:sz w:val="22"/>
          <w:szCs w:val="22"/>
          <w:lang w:val="en-US" w:eastAsia="en-US"/>
        </w:rPr>
        <w:t xml:space="preserve">Prin Decizia nr. 22/ 15.12.2017, Consiliul de Administrație a stabilit </w:t>
      </w:r>
      <w:r w:rsidRPr="00F71538">
        <w:rPr>
          <w:rFonts w:ascii="Arial" w:hAnsi="Arial" w:cs="Arial"/>
          <w:sz w:val="22"/>
          <w:szCs w:val="22"/>
          <w:lang w:val="it-IT" w:eastAsia="en-US"/>
        </w:rPr>
        <w:t>i</w:t>
      </w:r>
      <w:r w:rsidRPr="00F71538">
        <w:rPr>
          <w:rFonts w:ascii="Arial" w:hAnsi="Arial" w:cs="Arial"/>
          <w:sz w:val="22"/>
          <w:szCs w:val="22"/>
        </w:rPr>
        <w:t xml:space="preserve">ndemnizația fixă lunară brută </w:t>
      </w:r>
      <w:r w:rsidRPr="00F71538">
        <w:rPr>
          <w:rFonts w:ascii="Arial" w:hAnsi="Arial" w:cs="Arial"/>
          <w:sz w:val="22"/>
          <w:szCs w:val="22"/>
          <w:lang w:val="it-IT" w:eastAsia="en-US"/>
        </w:rPr>
        <w:t>a Directorului General</w:t>
      </w:r>
      <w:r w:rsidRPr="00F71538">
        <w:rPr>
          <w:rFonts w:ascii="Arial" w:hAnsi="Arial" w:cs="Arial"/>
          <w:sz w:val="22"/>
          <w:szCs w:val="22"/>
        </w:rPr>
        <w:t xml:space="preserve"> pentru executarea mandatului încredinţat, </w:t>
      </w:r>
      <w:r w:rsidRPr="00F71538">
        <w:rPr>
          <w:rFonts w:ascii="Arial" w:hAnsi="Arial" w:cs="Arial"/>
          <w:sz w:val="22"/>
          <w:szCs w:val="22"/>
          <w:lang w:val="en-US" w:eastAsia="en-US"/>
        </w:rPr>
        <w:t xml:space="preserve">în cuantum de 36.884 lei. Indemnizația fixă brută lunară a directorului general este stabilită la nivelul de </w:t>
      </w:r>
      <w:r w:rsidRPr="00F71538">
        <w:rPr>
          <w:rFonts w:ascii="Arial" w:hAnsi="Arial" w:cs="Arial"/>
          <w:sz w:val="22"/>
          <w:szCs w:val="22"/>
          <w:lang w:eastAsia="en-US"/>
        </w:rPr>
        <w:t xml:space="preserve">6 ori media pe </w:t>
      </w:r>
    </w:p>
    <w:p w:rsidR="00AF795D" w:rsidRDefault="00AF795D" w:rsidP="00461FC5">
      <w:pPr>
        <w:widowControl/>
        <w:shd w:val="clear" w:color="auto" w:fill="FFFFFF"/>
        <w:autoSpaceDE/>
        <w:autoSpaceDN/>
        <w:adjustRightInd/>
        <w:spacing w:line="276" w:lineRule="auto"/>
        <w:jc w:val="both"/>
        <w:rPr>
          <w:rFonts w:ascii="Arial" w:hAnsi="Arial" w:cs="Arial"/>
          <w:sz w:val="22"/>
          <w:szCs w:val="22"/>
          <w:lang w:eastAsia="en-US"/>
        </w:rPr>
      </w:pPr>
    </w:p>
    <w:p w:rsidR="00461FC5" w:rsidRDefault="00461FC5" w:rsidP="00461FC5">
      <w:pPr>
        <w:widowControl/>
        <w:shd w:val="clear" w:color="auto" w:fill="FFFFFF"/>
        <w:autoSpaceDE/>
        <w:autoSpaceDN/>
        <w:adjustRightInd/>
        <w:spacing w:line="276" w:lineRule="auto"/>
        <w:jc w:val="both"/>
        <w:rPr>
          <w:rFonts w:ascii="Arial" w:hAnsi="Arial" w:cs="Arial"/>
          <w:sz w:val="22"/>
          <w:szCs w:val="22"/>
          <w:lang w:eastAsia="en-US"/>
        </w:rPr>
      </w:pPr>
      <w:r w:rsidRPr="00F71538">
        <w:rPr>
          <w:rFonts w:ascii="Arial" w:hAnsi="Arial" w:cs="Arial"/>
          <w:sz w:val="22"/>
          <w:szCs w:val="22"/>
          <w:lang w:eastAsia="en-US"/>
        </w:rPr>
        <w:lastRenderedPageBreak/>
        <w:t xml:space="preserve">ultimele 12 luni a câştigului salarial mediu brut pentru activitatea desfășurată conform obiectului principal de activitate întregistrat de societate, la nivel de clasă conform clasificației activităților din economia națională, comunicat de Institutul Naţional de Statistică, anterior numirii. </w:t>
      </w:r>
    </w:p>
    <w:p w:rsidR="00461FC5" w:rsidRDefault="00461FC5" w:rsidP="00461FC5">
      <w:pPr>
        <w:widowControl/>
        <w:shd w:val="clear" w:color="auto" w:fill="FFFFFF"/>
        <w:autoSpaceDE/>
        <w:autoSpaceDN/>
        <w:adjustRightInd/>
        <w:spacing w:line="276" w:lineRule="auto"/>
        <w:jc w:val="both"/>
        <w:rPr>
          <w:rFonts w:ascii="Arial" w:hAnsi="Arial" w:cs="Arial"/>
          <w:sz w:val="22"/>
          <w:szCs w:val="22"/>
          <w:lang w:eastAsia="en-US"/>
        </w:rPr>
      </w:pPr>
    </w:p>
    <w:p w:rsidR="00461FC5" w:rsidRPr="00F71538" w:rsidRDefault="00461FC5" w:rsidP="00461FC5">
      <w:pPr>
        <w:widowControl/>
        <w:shd w:val="clear" w:color="auto" w:fill="FFFFFF"/>
        <w:autoSpaceDE/>
        <w:autoSpaceDN/>
        <w:adjustRightInd/>
        <w:spacing w:line="276" w:lineRule="auto"/>
        <w:jc w:val="both"/>
        <w:rPr>
          <w:rFonts w:ascii="Arial" w:hAnsi="Arial" w:cs="Arial"/>
          <w:sz w:val="22"/>
          <w:szCs w:val="22"/>
        </w:rPr>
      </w:pPr>
      <w:r w:rsidRPr="00F71538">
        <w:rPr>
          <w:rFonts w:ascii="Arial" w:hAnsi="Arial" w:cs="Arial"/>
          <w:sz w:val="22"/>
          <w:szCs w:val="22"/>
          <w:lang w:eastAsia="en-US"/>
        </w:rPr>
        <w:t>Indemnizația a fost re</w:t>
      </w:r>
      <w:r w:rsidRPr="00F71538">
        <w:rPr>
          <w:rFonts w:ascii="Arial" w:hAnsi="Arial" w:cs="Arial"/>
          <w:sz w:val="22"/>
          <w:szCs w:val="22"/>
          <w:lang w:val="en-US" w:eastAsia="en-US"/>
        </w:rPr>
        <w:t>calculată în conformitate cu prevederile  OUG nr. 79/ 2017 pentru modificarea si completarea Le</w:t>
      </w:r>
      <w:r w:rsidR="0046571D">
        <w:rPr>
          <w:rFonts w:ascii="Arial" w:hAnsi="Arial" w:cs="Arial"/>
          <w:sz w:val="22"/>
          <w:szCs w:val="22"/>
          <w:lang w:val="en-US" w:eastAsia="en-US"/>
        </w:rPr>
        <w:t>gii nr.227/ 2015 privind Codul F</w:t>
      </w:r>
      <w:r w:rsidRPr="00F71538">
        <w:rPr>
          <w:rFonts w:ascii="Arial" w:hAnsi="Arial" w:cs="Arial"/>
          <w:sz w:val="22"/>
          <w:szCs w:val="22"/>
          <w:lang w:val="en-US" w:eastAsia="en-US"/>
        </w:rPr>
        <w:t>iscal și aprobată</w:t>
      </w:r>
      <w:r w:rsidR="0032009C">
        <w:rPr>
          <w:rFonts w:ascii="Arial" w:hAnsi="Arial" w:cs="Arial"/>
          <w:sz w:val="22"/>
          <w:szCs w:val="22"/>
          <w:lang w:val="en-US" w:eastAsia="en-US"/>
        </w:rPr>
        <w:t xml:space="preserve"> de Consiliul de Administrație</w:t>
      </w:r>
      <w:r w:rsidRPr="00F71538">
        <w:rPr>
          <w:rFonts w:ascii="Arial" w:hAnsi="Arial" w:cs="Arial"/>
          <w:sz w:val="22"/>
          <w:szCs w:val="22"/>
          <w:lang w:val="en-US" w:eastAsia="en-US"/>
        </w:rPr>
        <w:t xml:space="preserve">. </w:t>
      </w:r>
    </w:p>
    <w:p w:rsidR="00461FC5" w:rsidRPr="00F71538" w:rsidRDefault="00461FC5" w:rsidP="00461FC5">
      <w:pPr>
        <w:widowControl/>
        <w:spacing w:line="276" w:lineRule="auto"/>
        <w:jc w:val="both"/>
        <w:rPr>
          <w:rFonts w:ascii="Arial" w:hAnsi="Arial" w:cs="Arial"/>
          <w:sz w:val="22"/>
          <w:szCs w:val="22"/>
          <w:lang w:eastAsia="en-US"/>
        </w:rPr>
      </w:pPr>
    </w:p>
    <w:p w:rsidR="00461FC5" w:rsidRPr="00F71538" w:rsidRDefault="00461FC5" w:rsidP="00461FC5">
      <w:pPr>
        <w:widowControl/>
        <w:spacing w:line="276" w:lineRule="auto"/>
        <w:jc w:val="both"/>
        <w:rPr>
          <w:rFonts w:ascii="Arial" w:hAnsi="Arial" w:cs="Arial"/>
          <w:sz w:val="22"/>
          <w:szCs w:val="22"/>
        </w:rPr>
      </w:pPr>
      <w:r w:rsidRPr="00F71538">
        <w:rPr>
          <w:rFonts w:ascii="Arial" w:hAnsi="Arial" w:cs="Arial"/>
          <w:sz w:val="22"/>
          <w:szCs w:val="22"/>
        </w:rPr>
        <w:t>Remuneraţia fixă brută totală pentru perioada 01</w:t>
      </w:r>
      <w:r w:rsidR="00364F98">
        <w:rPr>
          <w:rFonts w:ascii="Arial" w:hAnsi="Arial" w:cs="Arial"/>
          <w:sz w:val="22"/>
          <w:szCs w:val="22"/>
        </w:rPr>
        <w:t xml:space="preserve">.01.2018 – 30.06.2018 cuvenită Directorului General a fost de </w:t>
      </w:r>
      <w:r w:rsidRPr="00F71538">
        <w:rPr>
          <w:rFonts w:ascii="Arial" w:hAnsi="Arial" w:cs="Arial"/>
          <w:sz w:val="22"/>
          <w:szCs w:val="22"/>
        </w:rPr>
        <w:t>221.304 lei.</w:t>
      </w:r>
    </w:p>
    <w:p w:rsidR="00461FC5" w:rsidRPr="00F71538" w:rsidRDefault="00461FC5" w:rsidP="00461FC5">
      <w:pPr>
        <w:widowControl/>
        <w:overflowPunct w:val="0"/>
        <w:spacing w:line="276" w:lineRule="auto"/>
        <w:jc w:val="both"/>
        <w:textAlignment w:val="baseline"/>
        <w:rPr>
          <w:rFonts w:ascii="Arial" w:hAnsi="Arial" w:cs="Arial"/>
          <w:b/>
          <w:bCs/>
          <w:sz w:val="22"/>
          <w:szCs w:val="22"/>
          <w:lang w:eastAsia="en-US"/>
        </w:rPr>
      </w:pPr>
    </w:p>
    <w:p w:rsidR="00461FC5" w:rsidRPr="007F5D81" w:rsidRDefault="00461FC5" w:rsidP="00461FC5">
      <w:pPr>
        <w:overflowPunct w:val="0"/>
        <w:spacing w:line="276" w:lineRule="auto"/>
        <w:jc w:val="both"/>
        <w:textAlignment w:val="baseline"/>
        <w:rPr>
          <w:rFonts w:ascii="Arial" w:hAnsi="Arial" w:cs="Arial"/>
          <w:b/>
          <w:bCs/>
          <w:iCs/>
          <w:color w:val="1F4E79" w:themeColor="accent1" w:themeShade="80"/>
          <w:sz w:val="22"/>
          <w:szCs w:val="22"/>
        </w:rPr>
      </w:pPr>
      <w:r w:rsidRPr="007F5D81">
        <w:rPr>
          <w:rFonts w:ascii="Arial" w:hAnsi="Arial" w:cs="Arial"/>
          <w:b/>
          <w:bCs/>
          <w:iCs/>
          <w:color w:val="1F4E79" w:themeColor="accent1" w:themeShade="80"/>
          <w:sz w:val="22"/>
          <w:szCs w:val="22"/>
        </w:rPr>
        <w:t>Gestionarea conflictelor de interese</w:t>
      </w:r>
    </w:p>
    <w:p w:rsidR="00461FC5" w:rsidRPr="00BA5AA1" w:rsidRDefault="00461FC5" w:rsidP="00461FC5">
      <w:pPr>
        <w:overflowPunct w:val="0"/>
        <w:spacing w:line="276" w:lineRule="auto"/>
        <w:jc w:val="both"/>
        <w:textAlignment w:val="baseline"/>
        <w:rPr>
          <w:rFonts w:ascii="Arial" w:hAnsi="Arial" w:cs="Arial"/>
          <w:color w:val="FF0000"/>
          <w:sz w:val="18"/>
          <w:szCs w:val="18"/>
        </w:rPr>
      </w:pPr>
    </w:p>
    <w:p w:rsidR="00461FC5" w:rsidRPr="00014836" w:rsidRDefault="00461FC5" w:rsidP="00461FC5">
      <w:pPr>
        <w:spacing w:line="276" w:lineRule="auto"/>
        <w:jc w:val="both"/>
        <w:rPr>
          <w:rFonts w:ascii="Arial" w:hAnsi="Arial" w:cs="Arial"/>
          <w:sz w:val="22"/>
          <w:szCs w:val="22"/>
        </w:rPr>
      </w:pPr>
      <w:r w:rsidRPr="00014836">
        <w:rPr>
          <w:rFonts w:ascii="Arial" w:hAnsi="Arial" w:cs="Arial"/>
          <w:sz w:val="22"/>
          <w:szCs w:val="22"/>
        </w:rPr>
        <w:t>În decur</w:t>
      </w:r>
      <w:r w:rsidR="0032009C">
        <w:rPr>
          <w:rFonts w:ascii="Arial" w:hAnsi="Arial" w:cs="Arial"/>
          <w:sz w:val="22"/>
          <w:szCs w:val="22"/>
        </w:rPr>
        <w:t>sul semestrului I al anului 2018</w:t>
      </w:r>
      <w:r w:rsidRPr="00014836">
        <w:rPr>
          <w:rFonts w:ascii="Arial" w:hAnsi="Arial" w:cs="Arial"/>
          <w:sz w:val="22"/>
          <w:szCs w:val="22"/>
        </w:rPr>
        <w:t>, la nivelul CONPET</w:t>
      </w:r>
      <w:r>
        <w:rPr>
          <w:rFonts w:ascii="Arial" w:hAnsi="Arial" w:cs="Arial"/>
          <w:sz w:val="22"/>
          <w:szCs w:val="22"/>
        </w:rPr>
        <w:t xml:space="preserve"> S.A. </w:t>
      </w:r>
      <w:r w:rsidRPr="00014836">
        <w:rPr>
          <w:rFonts w:ascii="Arial" w:hAnsi="Arial" w:cs="Arial"/>
          <w:sz w:val="22"/>
          <w:szCs w:val="22"/>
        </w:rPr>
        <w:t>nu au fost înregistrate conflicte de interese, așa cum rezultă din declarațiile de interese depuse de către personalul de conducere și membrii C.A., în aplicarea Legii 176/ 2010 privind integritatea în exercitarea funcțiilor și demnităților publice, pentru modificarea și completarea Legii 144/ 2007 privind înființarea, organizarea și funcționarea Agenției Naționale de Integritate, precum și pentru modificarea și com</w:t>
      </w:r>
      <w:r w:rsidR="00165EE5">
        <w:rPr>
          <w:rFonts w:ascii="Arial" w:hAnsi="Arial" w:cs="Arial"/>
          <w:sz w:val="22"/>
          <w:szCs w:val="22"/>
        </w:rPr>
        <w:t>pletarea altor acte normative.</w:t>
      </w:r>
    </w:p>
    <w:p w:rsidR="00461FC5" w:rsidRPr="00BA5AA1" w:rsidRDefault="00461FC5" w:rsidP="00461FC5">
      <w:pPr>
        <w:spacing w:line="276" w:lineRule="auto"/>
        <w:jc w:val="both"/>
        <w:rPr>
          <w:rFonts w:ascii="Arial" w:hAnsi="Arial" w:cs="Arial"/>
          <w:sz w:val="18"/>
          <w:szCs w:val="18"/>
        </w:rPr>
      </w:pPr>
    </w:p>
    <w:p w:rsidR="00461FC5" w:rsidRPr="00014836" w:rsidRDefault="00461FC5" w:rsidP="00461FC5">
      <w:pPr>
        <w:spacing w:line="276" w:lineRule="auto"/>
        <w:jc w:val="both"/>
        <w:rPr>
          <w:rFonts w:ascii="Arial" w:hAnsi="Arial" w:cs="Arial"/>
          <w:sz w:val="22"/>
          <w:szCs w:val="22"/>
        </w:rPr>
      </w:pPr>
      <w:r w:rsidRPr="00014836">
        <w:rPr>
          <w:rFonts w:ascii="Arial" w:hAnsi="Arial" w:cs="Arial"/>
          <w:sz w:val="22"/>
          <w:szCs w:val="22"/>
        </w:rPr>
        <w:t>În scopul aderării la Strategia Națională Anticorupție 2016</w:t>
      </w:r>
      <w:r w:rsidR="00165EE5">
        <w:rPr>
          <w:rFonts w:ascii="Arial" w:hAnsi="Arial" w:cs="Arial"/>
          <w:sz w:val="22"/>
          <w:szCs w:val="22"/>
        </w:rPr>
        <w:t xml:space="preserve"> – 2020, Directorul G</w:t>
      </w:r>
      <w:r w:rsidRPr="00014836">
        <w:rPr>
          <w:rFonts w:ascii="Arial" w:hAnsi="Arial" w:cs="Arial"/>
          <w:sz w:val="22"/>
          <w:szCs w:val="22"/>
        </w:rPr>
        <w:t>eneral al CONPET S.A. a formulat, în data de 24.11.2016, Declarația de aderare, document prin care se exprimă adeziunea angajaților societății față de valorile, principiile, obiectivele, măsuril</w:t>
      </w:r>
      <w:r w:rsidR="00165EE5">
        <w:rPr>
          <w:rFonts w:ascii="Arial" w:hAnsi="Arial" w:cs="Arial"/>
          <w:sz w:val="22"/>
          <w:szCs w:val="22"/>
        </w:rPr>
        <w:t>e și termenele prevăzute de SNA.</w:t>
      </w:r>
    </w:p>
    <w:p w:rsidR="00461FC5" w:rsidRDefault="00461FC5" w:rsidP="00461FC5">
      <w:pPr>
        <w:spacing w:line="276" w:lineRule="auto"/>
        <w:jc w:val="both"/>
        <w:rPr>
          <w:rFonts w:ascii="Arial" w:hAnsi="Arial" w:cs="Arial"/>
          <w:sz w:val="22"/>
          <w:szCs w:val="22"/>
        </w:rPr>
      </w:pPr>
    </w:p>
    <w:p w:rsidR="00461FC5" w:rsidRPr="00014836" w:rsidRDefault="00461FC5" w:rsidP="00461FC5">
      <w:pPr>
        <w:spacing w:line="276" w:lineRule="auto"/>
        <w:jc w:val="both"/>
        <w:rPr>
          <w:rFonts w:ascii="Arial" w:hAnsi="Arial" w:cs="Arial"/>
          <w:sz w:val="22"/>
          <w:szCs w:val="22"/>
        </w:rPr>
      </w:pPr>
      <w:r w:rsidRPr="00014836">
        <w:rPr>
          <w:rFonts w:ascii="Arial" w:hAnsi="Arial" w:cs="Arial"/>
          <w:sz w:val="22"/>
          <w:szCs w:val="22"/>
        </w:rPr>
        <w:t>În vederea implementării Strategiei Naționale Anticorupție 2016 - 2020, în data de 08.02.2</w:t>
      </w:r>
      <w:r w:rsidR="00165EE5">
        <w:rPr>
          <w:rFonts w:ascii="Arial" w:hAnsi="Arial" w:cs="Arial"/>
          <w:sz w:val="22"/>
          <w:szCs w:val="22"/>
        </w:rPr>
        <w:t>017, prin Decizia Directorului G</w:t>
      </w:r>
      <w:r w:rsidRPr="00014836">
        <w:rPr>
          <w:rFonts w:ascii="Arial" w:hAnsi="Arial" w:cs="Arial"/>
          <w:sz w:val="22"/>
          <w:szCs w:val="22"/>
        </w:rPr>
        <w:t>eneral nr. 38, a fost aprobat Planul de Integritate, document actualizat prin Decizia nr. 649/ 15.09.2017 - care detaliază, în mod particularizat, măsurile aplicabile CONPET S.A., subsumat obiectivelor generale și specifice prevăzute în SNA, în scopul identificării riscurilor, vulnerabilităților și nevoilor de intervenție specifice</w:t>
      </w:r>
      <w:r w:rsidR="00165EE5">
        <w:rPr>
          <w:rFonts w:ascii="Arial" w:hAnsi="Arial" w:cs="Arial"/>
          <w:sz w:val="22"/>
          <w:szCs w:val="22"/>
        </w:rPr>
        <w:t>.</w:t>
      </w:r>
    </w:p>
    <w:p w:rsidR="00461FC5" w:rsidRDefault="00461FC5" w:rsidP="00461FC5">
      <w:pPr>
        <w:spacing w:line="276" w:lineRule="auto"/>
        <w:jc w:val="both"/>
        <w:rPr>
          <w:rFonts w:ascii="Arial" w:hAnsi="Arial" w:cs="Arial"/>
          <w:sz w:val="22"/>
          <w:szCs w:val="22"/>
        </w:rPr>
      </w:pPr>
    </w:p>
    <w:p w:rsidR="00461FC5" w:rsidRPr="00014836" w:rsidRDefault="00165EE5" w:rsidP="00461FC5">
      <w:pPr>
        <w:spacing w:line="276" w:lineRule="auto"/>
        <w:jc w:val="both"/>
        <w:rPr>
          <w:rFonts w:ascii="Arial" w:hAnsi="Arial" w:cs="Arial"/>
          <w:sz w:val="22"/>
          <w:szCs w:val="22"/>
        </w:rPr>
      </w:pPr>
      <w:r>
        <w:rPr>
          <w:rFonts w:ascii="Arial" w:hAnsi="Arial" w:cs="Arial"/>
          <w:sz w:val="22"/>
          <w:szCs w:val="22"/>
        </w:rPr>
        <w:t>Administratorul sau Directorul G</w:t>
      </w:r>
      <w:r w:rsidR="00461FC5" w:rsidRPr="00014836">
        <w:rPr>
          <w:rFonts w:ascii="Arial" w:hAnsi="Arial" w:cs="Arial"/>
          <w:sz w:val="22"/>
          <w:szCs w:val="22"/>
        </w:rPr>
        <w:t>eneral care are într-o anumită operaţiune, direct sau indirect, interese contrare intereselor societăţii trebuie să îi înştiinţeze despre aceasta pe ceilalţi administratori şi pe auditorul intern şi să nu ia parte la nicio deliberare privitoare la aceasta operaţiune. Aceeaşi obligaţie</w:t>
      </w:r>
      <w:r>
        <w:rPr>
          <w:rFonts w:ascii="Arial" w:hAnsi="Arial" w:cs="Arial"/>
          <w:sz w:val="22"/>
          <w:szCs w:val="22"/>
        </w:rPr>
        <w:t xml:space="preserve"> o are Administratorul sau Directorul G</w:t>
      </w:r>
      <w:r w:rsidR="00461FC5" w:rsidRPr="00014836">
        <w:rPr>
          <w:rFonts w:ascii="Arial" w:hAnsi="Arial" w:cs="Arial"/>
          <w:sz w:val="22"/>
          <w:szCs w:val="22"/>
        </w:rPr>
        <w:t>eneral în cazul în care, într-o anumită operaţiune, ştie că sunt interesate soţul sau soţia sa, rudele ori afinii săi până la gradul al IV-lea inclusiv.</w:t>
      </w:r>
    </w:p>
    <w:p w:rsidR="00461FC5" w:rsidRPr="00014836" w:rsidRDefault="00461FC5" w:rsidP="00461FC5">
      <w:pPr>
        <w:spacing w:line="276" w:lineRule="auto"/>
        <w:jc w:val="both"/>
        <w:rPr>
          <w:rFonts w:ascii="Arial" w:hAnsi="Arial" w:cs="Arial"/>
          <w:sz w:val="22"/>
          <w:szCs w:val="22"/>
        </w:rPr>
      </w:pPr>
    </w:p>
    <w:p w:rsidR="00461FC5" w:rsidRPr="00014836" w:rsidRDefault="00461FC5" w:rsidP="00461FC5">
      <w:pPr>
        <w:overflowPunct w:val="0"/>
        <w:spacing w:line="276" w:lineRule="auto"/>
        <w:jc w:val="both"/>
        <w:textAlignment w:val="baseline"/>
        <w:rPr>
          <w:rFonts w:ascii="Arial" w:hAnsi="Arial" w:cs="Arial"/>
          <w:sz w:val="22"/>
          <w:szCs w:val="22"/>
          <w:lang w:eastAsia="en-US"/>
        </w:rPr>
      </w:pPr>
      <w:r w:rsidRPr="00014836">
        <w:rPr>
          <w:rFonts w:ascii="Arial" w:hAnsi="Arial" w:cs="Arial"/>
          <w:sz w:val="22"/>
          <w:szCs w:val="22"/>
        </w:rPr>
        <w:t>Membrii Consiliului de Administraţie păstrează confidenţialitatea asupra oricăror fapte, date sau informaţii de care au luat cunostinţă în cursul exercitării responsabilităţilor şi înţeleg că nu au dreptul de a le folosi sau de a le dezvălui nici în timpul activităţii şi nici după încetarea acesteia.</w:t>
      </w:r>
    </w:p>
    <w:p w:rsidR="00461FC5" w:rsidRPr="00014836" w:rsidRDefault="00461FC5" w:rsidP="00461FC5">
      <w:pPr>
        <w:overflowPunct w:val="0"/>
        <w:spacing w:line="276" w:lineRule="auto"/>
        <w:jc w:val="both"/>
        <w:textAlignment w:val="baseline"/>
        <w:rPr>
          <w:rFonts w:ascii="Arial" w:hAnsi="Arial" w:cs="Arial"/>
          <w:sz w:val="22"/>
          <w:szCs w:val="22"/>
        </w:rPr>
      </w:pPr>
    </w:p>
    <w:p w:rsidR="00461FC5" w:rsidRPr="00014836" w:rsidRDefault="00461FC5" w:rsidP="00461FC5">
      <w:pPr>
        <w:overflowPunct w:val="0"/>
        <w:spacing w:line="276" w:lineRule="auto"/>
        <w:jc w:val="both"/>
        <w:textAlignment w:val="baseline"/>
        <w:rPr>
          <w:rFonts w:ascii="Arial" w:hAnsi="Arial" w:cs="Arial"/>
          <w:sz w:val="22"/>
          <w:szCs w:val="22"/>
        </w:rPr>
      </w:pPr>
      <w:r w:rsidRPr="00014836">
        <w:rPr>
          <w:rFonts w:ascii="Arial" w:hAnsi="Arial" w:cs="Arial"/>
          <w:sz w:val="22"/>
          <w:szCs w:val="22"/>
        </w:rPr>
        <w:t>Pentru evitarea apariţiei conflictelor de interese, societatea a stabilit o serie de reguli deontologice ce trebuie respectate atât de membrii Consiliului de Administraţie, cât şi de Directorul General şi de angajaţii societăţii, în corelare cu prevederile legale aplicabile.</w:t>
      </w:r>
    </w:p>
    <w:p w:rsidR="00461FC5" w:rsidRPr="00014836" w:rsidRDefault="00461FC5" w:rsidP="00461FC5">
      <w:pPr>
        <w:overflowPunct w:val="0"/>
        <w:spacing w:line="276" w:lineRule="auto"/>
        <w:jc w:val="both"/>
        <w:textAlignment w:val="baseline"/>
        <w:rPr>
          <w:rFonts w:ascii="Arial" w:hAnsi="Arial" w:cs="Arial"/>
          <w:sz w:val="22"/>
          <w:szCs w:val="22"/>
        </w:rPr>
      </w:pPr>
    </w:p>
    <w:p w:rsidR="00461FC5" w:rsidRDefault="00461FC5" w:rsidP="00461FC5">
      <w:pPr>
        <w:spacing w:line="276" w:lineRule="auto"/>
        <w:jc w:val="both"/>
        <w:rPr>
          <w:rFonts w:ascii="Arial" w:hAnsi="Arial" w:cs="Arial"/>
          <w:sz w:val="22"/>
          <w:szCs w:val="22"/>
        </w:rPr>
      </w:pPr>
      <w:r w:rsidRPr="00BA5AA1">
        <w:rPr>
          <w:rFonts w:ascii="Arial" w:hAnsi="Arial" w:cs="Arial"/>
          <w:sz w:val="22"/>
          <w:szCs w:val="22"/>
        </w:rPr>
        <w:t>Atât în Regulamentul de Organizare şi Funcţionare al Consiliului de Administraţie al societăţii CONPET, cât și în Regulamentul de Guvernanță Corporativă, există dispoziţii cu privire la</w:t>
      </w:r>
      <w:r w:rsidR="00165EE5">
        <w:rPr>
          <w:rFonts w:ascii="Arial" w:hAnsi="Arial" w:cs="Arial"/>
          <w:sz w:val="22"/>
          <w:szCs w:val="22"/>
        </w:rPr>
        <w:t xml:space="preserve"> </w:t>
      </w:r>
      <w:r w:rsidRPr="00BA5AA1">
        <w:rPr>
          <w:rFonts w:ascii="Arial" w:hAnsi="Arial" w:cs="Arial"/>
          <w:sz w:val="22"/>
          <w:szCs w:val="22"/>
        </w:rPr>
        <w:t xml:space="preserve">gestionarea conflictelor de interese şi tranzacţiile cu persoane implicate. Ȋn practică, membrii </w:t>
      </w:r>
      <w:r w:rsidRPr="00BA5AA1">
        <w:rPr>
          <w:rFonts w:ascii="Arial" w:hAnsi="Arial" w:cs="Arial"/>
          <w:sz w:val="22"/>
          <w:szCs w:val="22"/>
        </w:rPr>
        <w:lastRenderedPageBreak/>
        <w:t>Consiliului de Administrație informează Consiliul de Administrație cu privire la orice conflicte de interese care au survenit sau pot surveni și se abțin de la participarea la discuții și de la votul pentru adoptarea unei hotărâri privind chestiunea care dă naștere conflictului de interese</w:t>
      </w:r>
      <w:r w:rsidRPr="00014836">
        <w:rPr>
          <w:rFonts w:ascii="Arial" w:hAnsi="Arial" w:cs="Arial"/>
          <w:sz w:val="22"/>
          <w:szCs w:val="22"/>
        </w:rPr>
        <w:t xml:space="preserve"> respectiv.</w:t>
      </w:r>
    </w:p>
    <w:p w:rsidR="009E3447" w:rsidRDefault="009E3447" w:rsidP="009E3447">
      <w:pPr>
        <w:overflowPunct w:val="0"/>
        <w:spacing w:line="276" w:lineRule="auto"/>
        <w:jc w:val="both"/>
        <w:textAlignment w:val="baseline"/>
        <w:rPr>
          <w:rFonts w:ascii="Arial" w:hAnsi="Arial" w:cs="Arial"/>
          <w:color w:val="FF0000"/>
          <w:sz w:val="22"/>
          <w:szCs w:val="22"/>
        </w:rPr>
      </w:pPr>
    </w:p>
    <w:p w:rsidR="009E3447" w:rsidRDefault="009E3447" w:rsidP="009E3447">
      <w:pPr>
        <w:pStyle w:val="ListParagraph"/>
        <w:ind w:left="0"/>
        <w:jc w:val="both"/>
        <w:rPr>
          <w:rFonts w:ascii="Arial" w:hAnsi="Arial" w:cs="Arial"/>
          <w:b/>
          <w:bCs/>
          <w:iCs/>
          <w:color w:val="5B9BD5" w:themeColor="accent1"/>
          <w:sz w:val="24"/>
          <w:szCs w:val="24"/>
          <w:lang w:val="it-IT"/>
        </w:rPr>
      </w:pPr>
      <w:r w:rsidRPr="007F5D81">
        <w:rPr>
          <w:rFonts w:ascii="Arial" w:hAnsi="Arial" w:cs="Arial"/>
          <w:b/>
          <w:bCs/>
          <w:iCs/>
          <w:color w:val="1F4E79" w:themeColor="accent1" w:themeShade="80"/>
          <w:sz w:val="24"/>
          <w:szCs w:val="24"/>
          <w:lang w:val="it-IT"/>
        </w:rPr>
        <w:t>3.5.3</w:t>
      </w:r>
      <w:r w:rsidRPr="007F5D81">
        <w:rPr>
          <w:rFonts w:ascii="Arial" w:hAnsi="Arial" w:cs="Arial"/>
          <w:b/>
          <w:bCs/>
          <w:iCs/>
          <w:color w:val="1F4E79" w:themeColor="accent1" w:themeShade="80"/>
          <w:sz w:val="24"/>
          <w:szCs w:val="24"/>
          <w:lang w:val="it-IT"/>
        </w:rPr>
        <w:tab/>
        <w:t>Conducerea executivă</w:t>
      </w:r>
    </w:p>
    <w:p w:rsidR="009E3447" w:rsidRPr="00014836" w:rsidRDefault="009E3447" w:rsidP="009E3447">
      <w:pPr>
        <w:spacing w:line="276" w:lineRule="auto"/>
        <w:jc w:val="both"/>
        <w:rPr>
          <w:rFonts w:ascii="Arial" w:hAnsi="Arial" w:cs="Arial"/>
          <w:sz w:val="22"/>
          <w:szCs w:val="22"/>
        </w:rPr>
      </w:pPr>
      <w:r w:rsidRPr="00014836">
        <w:rPr>
          <w:rFonts w:ascii="Arial" w:hAnsi="Arial" w:cs="Arial"/>
          <w:sz w:val="22"/>
          <w:szCs w:val="22"/>
        </w:rPr>
        <w:t>În perioada 01.01.2018 -30.06.2018 conducerea executivă a avut următoarea componență:</w:t>
      </w:r>
    </w:p>
    <w:p w:rsidR="009E3447" w:rsidRPr="00014836" w:rsidRDefault="009E3447" w:rsidP="009E3447">
      <w:pPr>
        <w:spacing w:line="276" w:lineRule="auto"/>
        <w:jc w:val="both"/>
        <w:rPr>
          <w:rFonts w:ascii="Arial" w:hAnsi="Arial" w:cs="Arial"/>
          <w:sz w:val="22"/>
          <w:szCs w:val="22"/>
        </w:rPr>
      </w:pPr>
    </w:p>
    <w:tbl>
      <w:tblPr>
        <w:tblW w:w="0" w:type="auto"/>
        <w:tblInd w:w="180" w:type="dxa"/>
        <w:tblCellMar>
          <w:left w:w="0" w:type="dxa"/>
          <w:right w:w="0" w:type="dxa"/>
        </w:tblCellMar>
        <w:tblLook w:val="04A0" w:firstRow="1" w:lastRow="0" w:firstColumn="1" w:lastColumn="0" w:noHBand="0" w:noVBand="1"/>
      </w:tblPr>
      <w:tblGrid>
        <w:gridCol w:w="3870"/>
        <w:gridCol w:w="5130"/>
      </w:tblGrid>
      <w:tr w:rsidR="009E3447" w:rsidRPr="00014836" w:rsidTr="00EF0FAE">
        <w:trPr>
          <w:trHeight w:val="380"/>
        </w:trPr>
        <w:tc>
          <w:tcPr>
            <w:tcW w:w="9000" w:type="dxa"/>
            <w:gridSpan w:val="2"/>
            <w:tcBorders>
              <w:top w:val="nil"/>
              <w:left w:val="nil"/>
              <w:right w:val="nil"/>
            </w:tcBorders>
            <w:tcMar>
              <w:top w:w="0" w:type="dxa"/>
              <w:left w:w="108" w:type="dxa"/>
              <w:bottom w:w="0" w:type="dxa"/>
              <w:right w:w="108" w:type="dxa"/>
            </w:tcMar>
            <w:vAlign w:val="center"/>
            <w:hideMark/>
          </w:tcPr>
          <w:p w:rsidR="009E3447" w:rsidRPr="001D78A7" w:rsidRDefault="009E3447" w:rsidP="006F1AEC">
            <w:pPr>
              <w:spacing w:line="276" w:lineRule="auto"/>
              <w:rPr>
                <w:rFonts w:ascii="Arial" w:hAnsi="Arial" w:cs="Arial"/>
                <w:b/>
                <w:bCs/>
                <w:sz w:val="22"/>
                <w:szCs w:val="22"/>
              </w:rPr>
            </w:pPr>
            <w:r w:rsidRPr="00014836">
              <w:rPr>
                <w:rFonts w:ascii="Arial" w:hAnsi="Arial" w:cs="Arial"/>
                <w:b/>
                <w:bCs/>
                <w:sz w:val="22"/>
                <w:szCs w:val="22"/>
              </w:rPr>
              <w:t>Structură organizatorică valabilă de la 01.01.2018 până la 31.01.2018</w:t>
            </w:r>
          </w:p>
        </w:tc>
      </w:tr>
      <w:tr w:rsidR="009E3447" w:rsidRPr="00014836" w:rsidTr="00EF0FAE">
        <w:trPr>
          <w:trHeight w:val="224"/>
        </w:trPr>
        <w:tc>
          <w:tcPr>
            <w:tcW w:w="3870" w:type="dxa"/>
            <w:tcBorders>
              <w:top w:val="nil"/>
            </w:tcBorders>
            <w:tcMar>
              <w:top w:w="0" w:type="dxa"/>
              <w:left w:w="108" w:type="dxa"/>
              <w:bottom w:w="0" w:type="dxa"/>
              <w:right w:w="108" w:type="dxa"/>
            </w:tcMar>
            <w:hideMark/>
          </w:tcPr>
          <w:p w:rsidR="009E3447" w:rsidRPr="00014836" w:rsidRDefault="009E3447" w:rsidP="006F1AEC">
            <w:pPr>
              <w:spacing w:line="276" w:lineRule="auto"/>
              <w:rPr>
                <w:rFonts w:ascii="Arial" w:hAnsi="Arial" w:cs="Arial"/>
                <w:sz w:val="22"/>
                <w:szCs w:val="22"/>
              </w:rPr>
            </w:pPr>
            <w:r w:rsidRPr="00014836">
              <w:rPr>
                <w:rFonts w:ascii="Arial" w:hAnsi="Arial" w:cs="Arial"/>
                <w:sz w:val="22"/>
                <w:szCs w:val="22"/>
              </w:rPr>
              <w:t>BACIU Dan - Silviu</w:t>
            </w:r>
          </w:p>
        </w:tc>
        <w:tc>
          <w:tcPr>
            <w:tcW w:w="5130" w:type="dxa"/>
            <w:tcBorders>
              <w:top w:val="nil"/>
            </w:tcBorders>
            <w:tcMar>
              <w:top w:w="0" w:type="dxa"/>
              <w:left w:w="108" w:type="dxa"/>
              <w:bottom w:w="0" w:type="dxa"/>
              <w:right w:w="108" w:type="dxa"/>
            </w:tcMar>
            <w:hideMark/>
          </w:tcPr>
          <w:p w:rsidR="009E3447" w:rsidRPr="00014836" w:rsidRDefault="009E3447" w:rsidP="006F1AEC">
            <w:pPr>
              <w:spacing w:line="276" w:lineRule="auto"/>
              <w:rPr>
                <w:rFonts w:ascii="Arial" w:hAnsi="Arial" w:cs="Arial"/>
                <w:sz w:val="22"/>
                <w:szCs w:val="22"/>
              </w:rPr>
            </w:pPr>
            <w:r w:rsidRPr="00014836">
              <w:rPr>
                <w:rFonts w:ascii="Arial" w:hAnsi="Arial" w:cs="Arial"/>
                <w:sz w:val="22"/>
                <w:szCs w:val="22"/>
              </w:rPr>
              <w:t>Director General</w:t>
            </w:r>
          </w:p>
        </w:tc>
      </w:tr>
      <w:tr w:rsidR="009E3447" w:rsidRPr="00014836" w:rsidTr="00EF0FAE">
        <w:trPr>
          <w:trHeight w:val="224"/>
        </w:trPr>
        <w:tc>
          <w:tcPr>
            <w:tcW w:w="3870" w:type="dxa"/>
            <w:tcBorders>
              <w:top w:val="nil"/>
            </w:tcBorders>
            <w:tcMar>
              <w:top w:w="0" w:type="dxa"/>
              <w:left w:w="108" w:type="dxa"/>
              <w:bottom w:w="0" w:type="dxa"/>
              <w:right w:w="108" w:type="dxa"/>
            </w:tcMar>
            <w:hideMark/>
          </w:tcPr>
          <w:p w:rsidR="009E3447" w:rsidRPr="00014836" w:rsidRDefault="009E3447" w:rsidP="006F1AEC">
            <w:pPr>
              <w:spacing w:line="276" w:lineRule="auto"/>
              <w:rPr>
                <w:rFonts w:ascii="Arial" w:hAnsi="Arial" w:cs="Arial"/>
                <w:sz w:val="22"/>
                <w:szCs w:val="22"/>
              </w:rPr>
            </w:pPr>
            <w:r w:rsidRPr="00014836">
              <w:rPr>
                <w:rFonts w:ascii="Arial" w:hAnsi="Arial" w:cs="Arial"/>
                <w:sz w:val="22"/>
                <w:szCs w:val="22"/>
              </w:rPr>
              <w:t>TOADER Sanda</w:t>
            </w:r>
          </w:p>
        </w:tc>
        <w:tc>
          <w:tcPr>
            <w:tcW w:w="5130" w:type="dxa"/>
            <w:tcBorders>
              <w:top w:val="nil"/>
            </w:tcBorders>
            <w:tcMar>
              <w:top w:w="0" w:type="dxa"/>
              <w:left w:w="108" w:type="dxa"/>
              <w:bottom w:w="0" w:type="dxa"/>
              <w:right w:w="108" w:type="dxa"/>
            </w:tcMar>
            <w:hideMark/>
          </w:tcPr>
          <w:p w:rsidR="009E3447" w:rsidRPr="00014836" w:rsidRDefault="009E3447" w:rsidP="006F1AEC">
            <w:pPr>
              <w:spacing w:line="276" w:lineRule="auto"/>
              <w:rPr>
                <w:rFonts w:ascii="Arial" w:hAnsi="Arial" w:cs="Arial"/>
                <w:sz w:val="22"/>
                <w:szCs w:val="22"/>
              </w:rPr>
            </w:pPr>
            <w:r w:rsidRPr="00014836">
              <w:rPr>
                <w:rFonts w:ascii="Arial" w:hAnsi="Arial" w:cs="Arial"/>
                <w:sz w:val="22"/>
                <w:szCs w:val="22"/>
              </w:rPr>
              <w:t>Director Direcţia Economică</w:t>
            </w:r>
          </w:p>
        </w:tc>
      </w:tr>
      <w:tr w:rsidR="009E3447" w:rsidRPr="00014836" w:rsidTr="00EF0FAE">
        <w:trPr>
          <w:trHeight w:val="224"/>
        </w:trPr>
        <w:tc>
          <w:tcPr>
            <w:tcW w:w="3870" w:type="dxa"/>
            <w:tcBorders>
              <w:top w:val="nil"/>
            </w:tcBorders>
            <w:tcMar>
              <w:top w:w="0" w:type="dxa"/>
              <w:left w:w="108" w:type="dxa"/>
              <w:bottom w:w="0" w:type="dxa"/>
              <w:right w:w="108" w:type="dxa"/>
            </w:tcMar>
            <w:hideMark/>
          </w:tcPr>
          <w:p w:rsidR="009E3447" w:rsidRPr="00014836" w:rsidRDefault="009E3447" w:rsidP="006F1AEC">
            <w:pPr>
              <w:spacing w:line="276" w:lineRule="auto"/>
              <w:rPr>
                <w:rFonts w:ascii="Arial" w:hAnsi="Arial" w:cs="Arial"/>
                <w:sz w:val="22"/>
                <w:szCs w:val="22"/>
              </w:rPr>
            </w:pPr>
            <w:r w:rsidRPr="00014836">
              <w:rPr>
                <w:rFonts w:ascii="Arial" w:hAnsi="Arial" w:cs="Arial"/>
                <w:sz w:val="22"/>
                <w:szCs w:val="22"/>
              </w:rPr>
              <w:t>DUMITRACHE Mihaela -  Anamaria</w:t>
            </w:r>
          </w:p>
        </w:tc>
        <w:tc>
          <w:tcPr>
            <w:tcW w:w="5130" w:type="dxa"/>
            <w:tcBorders>
              <w:top w:val="nil"/>
            </w:tcBorders>
            <w:tcMar>
              <w:top w:w="0" w:type="dxa"/>
              <w:left w:w="108" w:type="dxa"/>
              <w:bottom w:w="0" w:type="dxa"/>
              <w:right w:w="108" w:type="dxa"/>
            </w:tcMar>
            <w:hideMark/>
          </w:tcPr>
          <w:p w:rsidR="009E3447" w:rsidRPr="00014836" w:rsidRDefault="009E3447" w:rsidP="006F1AEC">
            <w:pPr>
              <w:spacing w:line="276" w:lineRule="auto"/>
              <w:rPr>
                <w:rFonts w:ascii="Arial" w:hAnsi="Arial" w:cs="Arial"/>
                <w:sz w:val="22"/>
                <w:szCs w:val="22"/>
              </w:rPr>
            </w:pPr>
            <w:r w:rsidRPr="00014836">
              <w:rPr>
                <w:rFonts w:ascii="Arial" w:hAnsi="Arial" w:cs="Arial"/>
                <w:sz w:val="22"/>
                <w:szCs w:val="22"/>
              </w:rPr>
              <w:t xml:space="preserve">Director Direcția Comercială și Activități Reglementate </w:t>
            </w:r>
          </w:p>
        </w:tc>
      </w:tr>
    </w:tbl>
    <w:p w:rsidR="009E3447" w:rsidRPr="00014836" w:rsidRDefault="009E3447" w:rsidP="009E3447">
      <w:pPr>
        <w:spacing w:line="276" w:lineRule="auto"/>
        <w:rPr>
          <w:rFonts w:ascii="Arial" w:hAnsi="Arial" w:cs="Arial"/>
          <w:sz w:val="22"/>
          <w:szCs w:val="22"/>
        </w:rPr>
      </w:pPr>
    </w:p>
    <w:tbl>
      <w:tblPr>
        <w:tblW w:w="0" w:type="auto"/>
        <w:jc w:val="center"/>
        <w:tblCellMar>
          <w:left w:w="0" w:type="dxa"/>
          <w:right w:w="0" w:type="dxa"/>
        </w:tblCellMar>
        <w:tblLook w:val="04A0" w:firstRow="1" w:lastRow="0" w:firstColumn="1" w:lastColumn="0" w:noHBand="0" w:noVBand="1"/>
      </w:tblPr>
      <w:tblGrid>
        <w:gridCol w:w="4050"/>
        <w:gridCol w:w="4981"/>
      </w:tblGrid>
      <w:tr w:rsidR="009E3447" w:rsidRPr="00014836" w:rsidTr="002117DC">
        <w:trPr>
          <w:trHeight w:val="425"/>
          <w:jc w:val="center"/>
        </w:trPr>
        <w:tc>
          <w:tcPr>
            <w:tcW w:w="9031" w:type="dxa"/>
            <w:gridSpan w:val="2"/>
            <w:tcBorders>
              <w:top w:val="nil"/>
              <w:left w:val="nil"/>
              <w:right w:val="nil"/>
            </w:tcBorders>
            <w:tcMar>
              <w:top w:w="0" w:type="dxa"/>
              <w:left w:w="108" w:type="dxa"/>
              <w:bottom w:w="0" w:type="dxa"/>
              <w:right w:w="108" w:type="dxa"/>
            </w:tcMar>
            <w:hideMark/>
          </w:tcPr>
          <w:p w:rsidR="009E3447" w:rsidRPr="001D78A7" w:rsidRDefault="009E3447" w:rsidP="006F1AEC">
            <w:pPr>
              <w:spacing w:line="276" w:lineRule="auto"/>
              <w:rPr>
                <w:rFonts w:ascii="Arial" w:hAnsi="Arial" w:cs="Arial"/>
                <w:b/>
                <w:bCs/>
                <w:sz w:val="22"/>
                <w:szCs w:val="22"/>
              </w:rPr>
            </w:pPr>
            <w:r w:rsidRPr="00014836">
              <w:rPr>
                <w:rFonts w:ascii="Arial" w:hAnsi="Arial" w:cs="Arial"/>
                <w:b/>
                <w:bCs/>
                <w:sz w:val="22"/>
                <w:szCs w:val="22"/>
              </w:rPr>
              <w:t>Structură organizatorică valabilă de la 01.02.2018 până la 30.06.2018</w:t>
            </w:r>
          </w:p>
        </w:tc>
      </w:tr>
      <w:tr w:rsidR="009E3447" w:rsidRPr="00014836" w:rsidTr="002117DC">
        <w:trPr>
          <w:trHeight w:val="224"/>
          <w:jc w:val="center"/>
        </w:trPr>
        <w:tc>
          <w:tcPr>
            <w:tcW w:w="4050" w:type="dxa"/>
            <w:tcBorders>
              <w:top w:val="nil"/>
            </w:tcBorders>
            <w:tcMar>
              <w:top w:w="0" w:type="dxa"/>
              <w:left w:w="108" w:type="dxa"/>
              <w:bottom w:w="0" w:type="dxa"/>
              <w:right w:w="108" w:type="dxa"/>
            </w:tcMar>
            <w:hideMark/>
          </w:tcPr>
          <w:p w:rsidR="009E3447" w:rsidRPr="00014836" w:rsidRDefault="009E3447" w:rsidP="006F1AEC">
            <w:pPr>
              <w:spacing w:line="276" w:lineRule="auto"/>
              <w:rPr>
                <w:rFonts w:ascii="Arial" w:hAnsi="Arial" w:cs="Arial"/>
                <w:sz w:val="22"/>
                <w:szCs w:val="22"/>
              </w:rPr>
            </w:pPr>
            <w:r w:rsidRPr="00014836">
              <w:rPr>
                <w:rFonts w:ascii="Arial" w:hAnsi="Arial" w:cs="Arial"/>
                <w:sz w:val="22"/>
                <w:szCs w:val="22"/>
              </w:rPr>
              <w:t>BACIU Dan - Silviu</w:t>
            </w:r>
          </w:p>
        </w:tc>
        <w:tc>
          <w:tcPr>
            <w:tcW w:w="4981" w:type="dxa"/>
            <w:tcBorders>
              <w:top w:val="nil"/>
            </w:tcBorders>
            <w:tcMar>
              <w:top w:w="0" w:type="dxa"/>
              <w:left w:w="108" w:type="dxa"/>
              <w:bottom w:w="0" w:type="dxa"/>
              <w:right w:w="108" w:type="dxa"/>
            </w:tcMar>
            <w:hideMark/>
          </w:tcPr>
          <w:p w:rsidR="009E3447" w:rsidRPr="00014836" w:rsidRDefault="009E3447" w:rsidP="006F1AEC">
            <w:pPr>
              <w:spacing w:line="276" w:lineRule="auto"/>
              <w:rPr>
                <w:rFonts w:ascii="Arial" w:hAnsi="Arial" w:cs="Arial"/>
                <w:sz w:val="22"/>
                <w:szCs w:val="22"/>
              </w:rPr>
            </w:pPr>
            <w:r w:rsidRPr="00014836">
              <w:rPr>
                <w:rFonts w:ascii="Arial" w:hAnsi="Arial" w:cs="Arial"/>
                <w:sz w:val="22"/>
                <w:szCs w:val="22"/>
              </w:rPr>
              <w:t>Director General</w:t>
            </w:r>
          </w:p>
        </w:tc>
      </w:tr>
      <w:tr w:rsidR="009E3447" w:rsidRPr="00014836" w:rsidTr="002117DC">
        <w:trPr>
          <w:trHeight w:val="224"/>
          <w:jc w:val="center"/>
        </w:trPr>
        <w:tc>
          <w:tcPr>
            <w:tcW w:w="4050" w:type="dxa"/>
            <w:tcBorders>
              <w:top w:val="nil"/>
            </w:tcBorders>
            <w:tcMar>
              <w:top w:w="0" w:type="dxa"/>
              <w:left w:w="108" w:type="dxa"/>
              <w:bottom w:w="0" w:type="dxa"/>
              <w:right w:w="108" w:type="dxa"/>
            </w:tcMar>
            <w:hideMark/>
          </w:tcPr>
          <w:p w:rsidR="009E3447" w:rsidRPr="00014836" w:rsidRDefault="009E3447" w:rsidP="006F1AEC">
            <w:pPr>
              <w:spacing w:line="276" w:lineRule="auto"/>
              <w:rPr>
                <w:rFonts w:ascii="Arial" w:hAnsi="Arial" w:cs="Arial"/>
                <w:sz w:val="22"/>
                <w:szCs w:val="22"/>
              </w:rPr>
            </w:pPr>
            <w:r w:rsidRPr="00014836">
              <w:rPr>
                <w:rFonts w:ascii="Arial" w:hAnsi="Arial" w:cs="Arial"/>
                <w:sz w:val="22"/>
                <w:szCs w:val="22"/>
              </w:rPr>
              <w:t>DUMITRACHE Mihaela -  Anamaria</w:t>
            </w:r>
          </w:p>
        </w:tc>
        <w:tc>
          <w:tcPr>
            <w:tcW w:w="4981" w:type="dxa"/>
            <w:tcBorders>
              <w:top w:val="nil"/>
            </w:tcBorders>
            <w:tcMar>
              <w:top w:w="0" w:type="dxa"/>
              <w:left w:w="108" w:type="dxa"/>
              <w:bottom w:w="0" w:type="dxa"/>
              <w:right w:w="108" w:type="dxa"/>
            </w:tcMar>
            <w:hideMark/>
          </w:tcPr>
          <w:p w:rsidR="009E3447" w:rsidRPr="00014836" w:rsidRDefault="009E3447" w:rsidP="006F1AEC">
            <w:pPr>
              <w:spacing w:line="276" w:lineRule="auto"/>
              <w:rPr>
                <w:rFonts w:ascii="Arial" w:hAnsi="Arial" w:cs="Arial"/>
                <w:sz w:val="22"/>
                <w:szCs w:val="22"/>
              </w:rPr>
            </w:pPr>
            <w:r w:rsidRPr="00014836">
              <w:rPr>
                <w:rFonts w:ascii="Arial" w:hAnsi="Arial" w:cs="Arial"/>
                <w:sz w:val="22"/>
                <w:szCs w:val="22"/>
              </w:rPr>
              <w:t>Director General Adjunct 1</w:t>
            </w:r>
          </w:p>
        </w:tc>
      </w:tr>
      <w:tr w:rsidR="009E3447" w:rsidRPr="00014836" w:rsidTr="002117DC">
        <w:trPr>
          <w:trHeight w:val="224"/>
          <w:jc w:val="center"/>
        </w:trPr>
        <w:tc>
          <w:tcPr>
            <w:tcW w:w="4050" w:type="dxa"/>
            <w:tcBorders>
              <w:top w:val="nil"/>
            </w:tcBorders>
            <w:tcMar>
              <w:top w:w="0" w:type="dxa"/>
              <w:left w:w="108" w:type="dxa"/>
              <w:bottom w:w="0" w:type="dxa"/>
              <w:right w:w="108" w:type="dxa"/>
            </w:tcMar>
            <w:hideMark/>
          </w:tcPr>
          <w:p w:rsidR="009E3447" w:rsidRPr="00014836" w:rsidRDefault="009E3447" w:rsidP="006F1AEC">
            <w:pPr>
              <w:spacing w:line="276" w:lineRule="auto"/>
              <w:rPr>
                <w:rFonts w:ascii="Arial" w:hAnsi="Arial" w:cs="Arial"/>
                <w:sz w:val="22"/>
                <w:szCs w:val="22"/>
              </w:rPr>
            </w:pPr>
            <w:r w:rsidRPr="00014836">
              <w:rPr>
                <w:rFonts w:ascii="Arial" w:hAnsi="Arial" w:cs="Arial"/>
                <w:sz w:val="22"/>
                <w:szCs w:val="22"/>
              </w:rPr>
              <w:t>Vacant - până la data de 03.04.2018</w:t>
            </w:r>
          </w:p>
          <w:p w:rsidR="009E3447" w:rsidRPr="00014836" w:rsidRDefault="009E3447" w:rsidP="006F1AEC">
            <w:pPr>
              <w:spacing w:line="276" w:lineRule="auto"/>
              <w:rPr>
                <w:rFonts w:ascii="Arial" w:hAnsi="Arial" w:cs="Arial"/>
                <w:sz w:val="22"/>
                <w:szCs w:val="22"/>
              </w:rPr>
            </w:pPr>
            <w:r w:rsidRPr="00014836">
              <w:rPr>
                <w:rFonts w:ascii="Arial" w:hAnsi="Arial" w:cs="Arial"/>
                <w:sz w:val="22"/>
                <w:szCs w:val="22"/>
              </w:rPr>
              <w:t>VOICU Ioan – de la 03.04.2018</w:t>
            </w:r>
          </w:p>
        </w:tc>
        <w:tc>
          <w:tcPr>
            <w:tcW w:w="4981" w:type="dxa"/>
            <w:tcBorders>
              <w:top w:val="nil"/>
            </w:tcBorders>
            <w:tcMar>
              <w:top w:w="0" w:type="dxa"/>
              <w:left w:w="108" w:type="dxa"/>
              <w:bottom w:w="0" w:type="dxa"/>
              <w:right w:w="108" w:type="dxa"/>
            </w:tcMar>
            <w:vAlign w:val="center"/>
            <w:hideMark/>
          </w:tcPr>
          <w:p w:rsidR="009E3447" w:rsidRPr="00014836" w:rsidRDefault="009E3447" w:rsidP="006F1AEC">
            <w:pPr>
              <w:spacing w:line="276" w:lineRule="auto"/>
              <w:rPr>
                <w:rFonts w:ascii="Arial" w:hAnsi="Arial" w:cs="Arial"/>
                <w:sz w:val="22"/>
                <w:szCs w:val="22"/>
              </w:rPr>
            </w:pPr>
            <w:r w:rsidRPr="00014836">
              <w:rPr>
                <w:rFonts w:ascii="Arial" w:hAnsi="Arial" w:cs="Arial"/>
                <w:sz w:val="22"/>
                <w:szCs w:val="22"/>
              </w:rPr>
              <w:t xml:space="preserve">Director General Adjunct 2 </w:t>
            </w:r>
          </w:p>
        </w:tc>
      </w:tr>
      <w:tr w:rsidR="009E3447" w:rsidRPr="00014836" w:rsidTr="002117DC">
        <w:trPr>
          <w:trHeight w:val="224"/>
          <w:jc w:val="center"/>
        </w:trPr>
        <w:tc>
          <w:tcPr>
            <w:tcW w:w="4050" w:type="dxa"/>
            <w:tcBorders>
              <w:top w:val="nil"/>
            </w:tcBorders>
            <w:tcMar>
              <w:top w:w="0" w:type="dxa"/>
              <w:left w:w="108" w:type="dxa"/>
              <w:bottom w:w="0" w:type="dxa"/>
              <w:right w:w="108" w:type="dxa"/>
            </w:tcMar>
            <w:hideMark/>
          </w:tcPr>
          <w:p w:rsidR="009E3447" w:rsidRPr="00014836" w:rsidRDefault="009E3447" w:rsidP="006F1AEC">
            <w:pPr>
              <w:spacing w:line="276" w:lineRule="auto"/>
              <w:rPr>
                <w:rFonts w:ascii="Arial" w:hAnsi="Arial" w:cs="Arial"/>
                <w:sz w:val="22"/>
                <w:szCs w:val="22"/>
              </w:rPr>
            </w:pPr>
            <w:r w:rsidRPr="00014836">
              <w:rPr>
                <w:rFonts w:ascii="Arial" w:hAnsi="Arial" w:cs="Arial"/>
                <w:sz w:val="22"/>
                <w:szCs w:val="22"/>
              </w:rPr>
              <w:t>TOADER Sanda</w:t>
            </w:r>
          </w:p>
        </w:tc>
        <w:tc>
          <w:tcPr>
            <w:tcW w:w="4981" w:type="dxa"/>
            <w:tcBorders>
              <w:top w:val="nil"/>
            </w:tcBorders>
            <w:tcMar>
              <w:top w:w="0" w:type="dxa"/>
              <w:left w:w="108" w:type="dxa"/>
              <w:bottom w:w="0" w:type="dxa"/>
              <w:right w:w="108" w:type="dxa"/>
            </w:tcMar>
            <w:hideMark/>
          </w:tcPr>
          <w:p w:rsidR="009E3447" w:rsidRPr="00014836" w:rsidRDefault="009E3447" w:rsidP="006F1AEC">
            <w:pPr>
              <w:spacing w:line="276" w:lineRule="auto"/>
              <w:rPr>
                <w:rFonts w:ascii="Arial" w:hAnsi="Arial" w:cs="Arial"/>
                <w:sz w:val="22"/>
                <w:szCs w:val="22"/>
              </w:rPr>
            </w:pPr>
            <w:r w:rsidRPr="00014836">
              <w:rPr>
                <w:rFonts w:ascii="Arial" w:hAnsi="Arial" w:cs="Arial"/>
                <w:sz w:val="22"/>
                <w:szCs w:val="22"/>
              </w:rPr>
              <w:t>Director Direcţia Economică</w:t>
            </w:r>
          </w:p>
        </w:tc>
      </w:tr>
      <w:tr w:rsidR="009E3447" w:rsidRPr="00014836" w:rsidTr="002117DC">
        <w:trPr>
          <w:trHeight w:val="224"/>
          <w:jc w:val="center"/>
        </w:trPr>
        <w:tc>
          <w:tcPr>
            <w:tcW w:w="4050" w:type="dxa"/>
            <w:tcBorders>
              <w:top w:val="nil"/>
            </w:tcBorders>
            <w:tcMar>
              <w:top w:w="0" w:type="dxa"/>
              <w:left w:w="108" w:type="dxa"/>
              <w:bottom w:w="0" w:type="dxa"/>
              <w:right w:w="108" w:type="dxa"/>
            </w:tcMar>
            <w:hideMark/>
          </w:tcPr>
          <w:p w:rsidR="009E3447" w:rsidRPr="00014836" w:rsidRDefault="009E3447" w:rsidP="006F1AEC">
            <w:pPr>
              <w:spacing w:line="276" w:lineRule="auto"/>
              <w:rPr>
                <w:rFonts w:ascii="Arial" w:hAnsi="Arial" w:cs="Arial"/>
                <w:sz w:val="22"/>
                <w:szCs w:val="22"/>
              </w:rPr>
            </w:pPr>
            <w:r w:rsidRPr="00014836">
              <w:rPr>
                <w:rFonts w:ascii="Arial" w:hAnsi="Arial" w:cs="Arial"/>
                <w:sz w:val="22"/>
                <w:szCs w:val="22"/>
              </w:rPr>
              <w:t>STOICA Narcis - Florin</w:t>
            </w:r>
          </w:p>
        </w:tc>
        <w:tc>
          <w:tcPr>
            <w:tcW w:w="4981" w:type="dxa"/>
            <w:tcBorders>
              <w:top w:val="nil"/>
            </w:tcBorders>
            <w:tcMar>
              <w:top w:w="0" w:type="dxa"/>
              <w:left w:w="108" w:type="dxa"/>
              <w:bottom w:w="0" w:type="dxa"/>
              <w:right w:w="108" w:type="dxa"/>
            </w:tcMar>
            <w:hideMark/>
          </w:tcPr>
          <w:p w:rsidR="009E3447" w:rsidRPr="00014836" w:rsidRDefault="009E3447" w:rsidP="006F1AEC">
            <w:pPr>
              <w:spacing w:line="276" w:lineRule="auto"/>
              <w:rPr>
                <w:rFonts w:ascii="Arial" w:hAnsi="Arial" w:cs="Arial"/>
                <w:sz w:val="22"/>
                <w:szCs w:val="22"/>
              </w:rPr>
            </w:pPr>
            <w:r w:rsidRPr="00014836">
              <w:rPr>
                <w:rFonts w:ascii="Arial" w:hAnsi="Arial" w:cs="Arial"/>
                <w:sz w:val="22"/>
                <w:szCs w:val="22"/>
              </w:rPr>
              <w:t xml:space="preserve">Director Direcția Operațiuni Transport </w:t>
            </w:r>
          </w:p>
        </w:tc>
      </w:tr>
      <w:tr w:rsidR="009E3447" w:rsidRPr="00014836" w:rsidTr="002117DC">
        <w:trPr>
          <w:trHeight w:val="224"/>
          <w:jc w:val="center"/>
        </w:trPr>
        <w:tc>
          <w:tcPr>
            <w:tcW w:w="4050" w:type="dxa"/>
            <w:tcBorders>
              <w:top w:val="nil"/>
            </w:tcBorders>
            <w:tcMar>
              <w:top w:w="0" w:type="dxa"/>
              <w:left w:w="108" w:type="dxa"/>
              <w:bottom w:w="0" w:type="dxa"/>
              <w:right w:w="108" w:type="dxa"/>
            </w:tcMar>
            <w:hideMark/>
          </w:tcPr>
          <w:p w:rsidR="009E3447" w:rsidRPr="00014836" w:rsidRDefault="009E3447" w:rsidP="006F1AEC">
            <w:pPr>
              <w:spacing w:line="276" w:lineRule="auto"/>
              <w:rPr>
                <w:rFonts w:ascii="Arial" w:hAnsi="Arial" w:cs="Arial"/>
                <w:sz w:val="22"/>
                <w:szCs w:val="22"/>
              </w:rPr>
            </w:pPr>
            <w:r w:rsidRPr="00014836">
              <w:rPr>
                <w:rFonts w:ascii="Arial" w:hAnsi="Arial" w:cs="Arial"/>
                <w:sz w:val="22"/>
                <w:szCs w:val="22"/>
              </w:rPr>
              <w:t>BUZATU Dan</w:t>
            </w:r>
          </w:p>
        </w:tc>
        <w:tc>
          <w:tcPr>
            <w:tcW w:w="4981" w:type="dxa"/>
            <w:tcBorders>
              <w:top w:val="nil"/>
            </w:tcBorders>
            <w:tcMar>
              <w:top w:w="0" w:type="dxa"/>
              <w:left w:w="108" w:type="dxa"/>
              <w:bottom w:w="0" w:type="dxa"/>
              <w:right w:w="108" w:type="dxa"/>
            </w:tcMar>
            <w:hideMark/>
          </w:tcPr>
          <w:p w:rsidR="009E3447" w:rsidRPr="00014836" w:rsidRDefault="009E3447" w:rsidP="006F1AEC">
            <w:pPr>
              <w:spacing w:line="276" w:lineRule="auto"/>
              <w:rPr>
                <w:rFonts w:ascii="Arial" w:hAnsi="Arial" w:cs="Arial"/>
                <w:sz w:val="22"/>
                <w:szCs w:val="22"/>
              </w:rPr>
            </w:pPr>
            <w:r w:rsidRPr="00014836">
              <w:rPr>
                <w:rFonts w:ascii="Arial" w:hAnsi="Arial" w:cs="Arial"/>
                <w:sz w:val="22"/>
                <w:szCs w:val="22"/>
              </w:rPr>
              <w:t>Dir</w:t>
            </w:r>
            <w:r w:rsidR="0074467A">
              <w:rPr>
                <w:rFonts w:ascii="Arial" w:hAnsi="Arial" w:cs="Arial"/>
                <w:sz w:val="22"/>
                <w:szCs w:val="22"/>
              </w:rPr>
              <w:t>ector Direcția Dezvoltare Mente</w:t>
            </w:r>
            <w:r w:rsidRPr="00014836">
              <w:rPr>
                <w:rFonts w:ascii="Arial" w:hAnsi="Arial" w:cs="Arial"/>
                <w:sz w:val="22"/>
                <w:szCs w:val="22"/>
              </w:rPr>
              <w:t>nanță</w:t>
            </w:r>
          </w:p>
        </w:tc>
      </w:tr>
      <w:tr w:rsidR="009E3447" w:rsidRPr="00014836" w:rsidTr="002117DC">
        <w:trPr>
          <w:trHeight w:val="224"/>
          <w:jc w:val="center"/>
        </w:trPr>
        <w:tc>
          <w:tcPr>
            <w:tcW w:w="4050" w:type="dxa"/>
            <w:tcBorders>
              <w:top w:val="nil"/>
            </w:tcBorders>
            <w:tcMar>
              <w:top w:w="0" w:type="dxa"/>
              <w:left w:w="108" w:type="dxa"/>
              <w:bottom w:w="0" w:type="dxa"/>
              <w:right w:w="108" w:type="dxa"/>
            </w:tcMar>
          </w:tcPr>
          <w:p w:rsidR="009E3447" w:rsidRPr="00014836" w:rsidRDefault="009E3447" w:rsidP="006F1AEC">
            <w:pPr>
              <w:spacing w:line="252" w:lineRule="auto"/>
              <w:rPr>
                <w:rFonts w:ascii="Arial" w:hAnsi="Arial" w:cs="Arial"/>
                <w:sz w:val="22"/>
                <w:szCs w:val="22"/>
                <w:highlight w:val="yellow"/>
              </w:rPr>
            </w:pPr>
          </w:p>
        </w:tc>
        <w:tc>
          <w:tcPr>
            <w:tcW w:w="4981" w:type="dxa"/>
            <w:tcBorders>
              <w:top w:val="nil"/>
            </w:tcBorders>
            <w:tcMar>
              <w:top w:w="0" w:type="dxa"/>
              <w:left w:w="108" w:type="dxa"/>
              <w:bottom w:w="0" w:type="dxa"/>
              <w:right w:w="108" w:type="dxa"/>
            </w:tcMar>
          </w:tcPr>
          <w:p w:rsidR="009E3447" w:rsidRPr="00014836" w:rsidRDefault="009E3447" w:rsidP="006F1AEC">
            <w:pPr>
              <w:spacing w:line="252" w:lineRule="auto"/>
              <w:rPr>
                <w:rFonts w:ascii="Arial" w:hAnsi="Arial" w:cs="Arial"/>
                <w:sz w:val="22"/>
                <w:szCs w:val="22"/>
              </w:rPr>
            </w:pPr>
          </w:p>
        </w:tc>
      </w:tr>
    </w:tbl>
    <w:p w:rsidR="009E3447" w:rsidRDefault="009E3447" w:rsidP="009E3447">
      <w:pPr>
        <w:pStyle w:val="ListParagraph"/>
        <w:ind w:left="0"/>
        <w:jc w:val="both"/>
        <w:rPr>
          <w:rFonts w:ascii="Arial" w:hAnsi="Arial" w:cs="Arial"/>
          <w:b/>
          <w:bCs/>
          <w:iCs/>
          <w:color w:val="5B9BD5" w:themeColor="accent1"/>
          <w:sz w:val="24"/>
          <w:szCs w:val="24"/>
          <w:lang w:val="it-IT"/>
        </w:rPr>
      </w:pPr>
    </w:p>
    <w:p w:rsidR="009E3447" w:rsidRPr="007F5D81" w:rsidRDefault="001D78A7" w:rsidP="00170D7E">
      <w:pPr>
        <w:pStyle w:val="ListParagraph"/>
        <w:numPr>
          <w:ilvl w:val="2"/>
          <w:numId w:val="43"/>
        </w:numPr>
        <w:ind w:left="720"/>
        <w:rPr>
          <w:rFonts w:ascii="Arial" w:eastAsiaTheme="minorHAnsi" w:hAnsi="Arial" w:cs="Arial"/>
          <w:b/>
          <w:color w:val="1F4E79" w:themeColor="accent1" w:themeShade="80"/>
          <w:sz w:val="24"/>
          <w:szCs w:val="24"/>
          <w:lang w:val="en-US"/>
        </w:rPr>
      </w:pPr>
      <w:r w:rsidRPr="007F5D81">
        <w:rPr>
          <w:rFonts w:ascii="Arial" w:eastAsiaTheme="minorHAnsi" w:hAnsi="Arial" w:cs="Arial"/>
          <w:b/>
          <w:color w:val="1F4E79" w:themeColor="accent1" w:themeShade="80"/>
          <w:sz w:val="24"/>
          <w:szCs w:val="24"/>
          <w:lang w:val="en-US"/>
        </w:rPr>
        <w:t>Activitatea privind sponsoriză</w:t>
      </w:r>
      <w:r w:rsidR="009E3447" w:rsidRPr="007F5D81">
        <w:rPr>
          <w:rFonts w:ascii="Arial" w:eastAsiaTheme="minorHAnsi" w:hAnsi="Arial" w:cs="Arial"/>
          <w:b/>
          <w:color w:val="1F4E79" w:themeColor="accent1" w:themeShade="80"/>
          <w:sz w:val="24"/>
          <w:szCs w:val="24"/>
          <w:lang w:val="en-US"/>
        </w:rPr>
        <w:t>rile încheiate în semestrul I 2018</w:t>
      </w:r>
    </w:p>
    <w:p w:rsidR="009E3447" w:rsidRPr="0018562F" w:rsidRDefault="009E3447" w:rsidP="009E3447">
      <w:pPr>
        <w:spacing w:line="276" w:lineRule="auto"/>
        <w:jc w:val="both"/>
        <w:rPr>
          <w:rFonts w:ascii="Arial" w:hAnsi="Arial" w:cs="Arial"/>
          <w:sz w:val="22"/>
          <w:szCs w:val="22"/>
        </w:rPr>
      </w:pPr>
      <w:r w:rsidRPr="0018562F">
        <w:rPr>
          <w:rFonts w:ascii="Arial" w:hAnsi="Arial" w:cs="Arial"/>
          <w:sz w:val="22"/>
          <w:szCs w:val="22"/>
        </w:rPr>
        <w:t>CONPET S.A. a sprijinit, prin acțiuni de sponsorizare, proiecte cu tradiție sau cu un impact important și de durată asupra comunității, dar și solicitări de mai mică anvergură care vizează idei, acțiuni sau performanțe individuale.</w:t>
      </w:r>
      <w:r w:rsidRPr="0018562F">
        <w:rPr>
          <w:rFonts w:ascii="Arial" w:hAnsi="Arial" w:cs="Arial"/>
          <w:sz w:val="22"/>
          <w:szCs w:val="22"/>
        </w:rPr>
        <w:tab/>
      </w:r>
    </w:p>
    <w:p w:rsidR="001D78A7" w:rsidRDefault="001D78A7" w:rsidP="009E3447">
      <w:pPr>
        <w:spacing w:line="276" w:lineRule="auto"/>
        <w:jc w:val="both"/>
        <w:rPr>
          <w:rFonts w:ascii="Arial" w:eastAsia="Calibri" w:hAnsi="Arial" w:cs="Arial"/>
          <w:color w:val="333333"/>
          <w:sz w:val="22"/>
          <w:szCs w:val="22"/>
          <w:shd w:val="clear" w:color="auto" w:fill="FFFFFF"/>
        </w:rPr>
      </w:pPr>
    </w:p>
    <w:p w:rsidR="009E3447" w:rsidRPr="0018562F" w:rsidRDefault="009E3447" w:rsidP="009E3447">
      <w:pPr>
        <w:spacing w:line="276" w:lineRule="auto"/>
        <w:jc w:val="both"/>
        <w:rPr>
          <w:rFonts w:ascii="Arial" w:hAnsi="Arial" w:cs="Arial"/>
          <w:sz w:val="22"/>
          <w:szCs w:val="22"/>
        </w:rPr>
      </w:pPr>
      <w:r w:rsidRPr="0018562F">
        <w:rPr>
          <w:rFonts w:ascii="Arial" w:eastAsia="Calibri" w:hAnsi="Arial" w:cs="Arial"/>
          <w:color w:val="333333"/>
          <w:sz w:val="22"/>
          <w:szCs w:val="22"/>
          <w:shd w:val="clear" w:color="auto" w:fill="FFFFFF"/>
        </w:rPr>
        <w:t>Societatea noastră a urmărit ca sponsorizările destinate susținerii unor proiecte și evenimente derulate de organizații non-profit să fie cât mai eficiente din punct de vedere social, iar ajutorul financiar acordat să constituie un sprijin decisiv pentru oameni.</w:t>
      </w:r>
      <w:r w:rsidRPr="0018562F">
        <w:rPr>
          <w:rFonts w:ascii="Arial" w:hAnsi="Arial" w:cs="Arial"/>
          <w:sz w:val="22"/>
          <w:szCs w:val="22"/>
        </w:rPr>
        <w:tab/>
        <w:t xml:space="preserve">          </w:t>
      </w:r>
    </w:p>
    <w:p w:rsidR="009E3447" w:rsidRPr="0018562F" w:rsidRDefault="009E3447" w:rsidP="009E3447">
      <w:pPr>
        <w:shd w:val="clear" w:color="auto" w:fill="FFFFFF"/>
        <w:spacing w:before="100" w:beforeAutospacing="1" w:after="100" w:afterAutospacing="1" w:line="276" w:lineRule="auto"/>
        <w:ind w:left="90"/>
        <w:jc w:val="both"/>
        <w:rPr>
          <w:rFonts w:ascii="Arial" w:hAnsi="Arial" w:cs="Arial"/>
          <w:sz w:val="22"/>
          <w:szCs w:val="22"/>
        </w:rPr>
      </w:pPr>
      <w:r w:rsidRPr="0018562F">
        <w:rPr>
          <w:rFonts w:ascii="Arial" w:hAnsi="Arial" w:cs="Arial"/>
          <w:sz w:val="22"/>
          <w:szCs w:val="22"/>
        </w:rPr>
        <w:t xml:space="preserve">Pentru anul 2018, în Bugetul de Venituri şi Cheltuieli al Societății CONPET S.A. au fost prevăzute cheltuieli cu sponsorizarea în valoare de </w:t>
      </w:r>
      <w:r w:rsidRPr="0018562F">
        <w:rPr>
          <w:rFonts w:ascii="Arial" w:hAnsi="Arial" w:cs="Arial"/>
          <w:b/>
          <w:sz w:val="22"/>
          <w:szCs w:val="22"/>
        </w:rPr>
        <w:t>600.000</w:t>
      </w:r>
      <w:r w:rsidRPr="0018562F">
        <w:rPr>
          <w:rFonts w:ascii="Arial" w:hAnsi="Arial" w:cs="Arial"/>
          <w:sz w:val="22"/>
          <w:szCs w:val="22"/>
        </w:rPr>
        <w:t xml:space="preserve"> lei. </w:t>
      </w:r>
    </w:p>
    <w:p w:rsidR="001D78A7" w:rsidRDefault="009E3447" w:rsidP="001D78A7">
      <w:pPr>
        <w:shd w:val="clear" w:color="auto" w:fill="FFFFFF"/>
        <w:spacing w:before="100" w:beforeAutospacing="1" w:after="100" w:afterAutospacing="1"/>
        <w:ind w:left="90"/>
        <w:jc w:val="both"/>
        <w:rPr>
          <w:rFonts w:ascii="Arial" w:hAnsi="Arial" w:cs="Arial"/>
          <w:sz w:val="22"/>
          <w:szCs w:val="22"/>
        </w:rPr>
      </w:pPr>
      <w:r w:rsidRPr="0018562F">
        <w:rPr>
          <w:rFonts w:ascii="Arial" w:hAnsi="Arial" w:cs="Arial"/>
          <w:sz w:val="22"/>
          <w:szCs w:val="22"/>
        </w:rPr>
        <w:t>În cadrul ședințelor Consiliului de Administrație al CONPET S.A. au fost aprobate, până în prezent, sponsorizări în valoare de 51.865 lei</w:t>
      </w:r>
      <w:r w:rsidRPr="0018562F">
        <w:rPr>
          <w:rFonts w:ascii="Arial" w:hAnsi="Arial" w:cs="Arial"/>
          <w:b/>
          <w:sz w:val="22"/>
          <w:szCs w:val="22"/>
        </w:rPr>
        <w:t xml:space="preserve">, </w:t>
      </w:r>
      <w:r w:rsidRPr="0018562F">
        <w:rPr>
          <w:rFonts w:ascii="Arial" w:hAnsi="Arial" w:cs="Arial"/>
          <w:sz w:val="22"/>
          <w:szCs w:val="22"/>
        </w:rPr>
        <w:t>astfel:</w:t>
      </w:r>
    </w:p>
    <w:p w:rsidR="009E3447" w:rsidRPr="001D78A7" w:rsidRDefault="009E3447" w:rsidP="00170D7E">
      <w:pPr>
        <w:pStyle w:val="ListParagraph"/>
        <w:numPr>
          <w:ilvl w:val="0"/>
          <w:numId w:val="40"/>
        </w:numPr>
        <w:shd w:val="clear" w:color="auto" w:fill="FFFFFF"/>
        <w:spacing w:before="100" w:beforeAutospacing="1" w:after="100" w:afterAutospacing="1"/>
        <w:ind w:left="630" w:hanging="270"/>
        <w:jc w:val="both"/>
        <w:rPr>
          <w:rFonts w:ascii="Arial" w:hAnsi="Arial" w:cs="Arial"/>
        </w:rPr>
      </w:pPr>
      <w:r w:rsidRPr="001D78A7">
        <w:rPr>
          <w:rFonts w:ascii="Arial" w:hAnsi="Arial" w:cs="Arial"/>
          <w:lang w:eastAsia="ro-RO"/>
        </w:rPr>
        <w:t>12.865</w:t>
      </w:r>
      <w:r w:rsidRPr="001D78A7">
        <w:rPr>
          <w:rFonts w:ascii="Arial" w:hAnsi="Arial" w:cs="Arial"/>
          <w:b/>
          <w:lang w:eastAsia="ro-RO"/>
        </w:rPr>
        <w:t xml:space="preserve"> </w:t>
      </w:r>
      <w:r w:rsidRPr="001D78A7">
        <w:rPr>
          <w:rFonts w:ascii="Arial" w:hAnsi="Arial" w:cs="Arial"/>
          <w:lang w:eastAsia="ro-RO"/>
        </w:rPr>
        <w:t>lei</w:t>
      </w:r>
      <w:r w:rsidRPr="001D78A7">
        <w:rPr>
          <w:rFonts w:ascii="Arial" w:hAnsi="Arial" w:cs="Arial"/>
        </w:rPr>
        <w:t xml:space="preserve"> „Educație, învățământ, social și sport”</w:t>
      </w:r>
    </w:p>
    <w:p w:rsidR="009E3447" w:rsidRPr="00646D9B" w:rsidRDefault="009E3447" w:rsidP="00170D7E">
      <w:pPr>
        <w:pStyle w:val="ListParagraph"/>
        <w:numPr>
          <w:ilvl w:val="0"/>
          <w:numId w:val="40"/>
        </w:numPr>
        <w:shd w:val="clear" w:color="auto" w:fill="FFFFFF"/>
        <w:spacing w:before="100" w:beforeAutospacing="1" w:after="100" w:afterAutospacing="1" w:line="240" w:lineRule="auto"/>
        <w:ind w:left="630" w:hanging="270"/>
        <w:jc w:val="both"/>
        <w:rPr>
          <w:rFonts w:ascii="Arial" w:hAnsi="Arial" w:cs="Arial"/>
        </w:rPr>
      </w:pPr>
      <w:r w:rsidRPr="0018562F">
        <w:rPr>
          <w:rFonts w:ascii="Arial" w:eastAsia="Times New Roman" w:hAnsi="Arial" w:cs="Arial"/>
          <w:lang w:eastAsia="ro-RO"/>
        </w:rPr>
        <w:t>39.000</w:t>
      </w:r>
      <w:r w:rsidRPr="0018562F">
        <w:rPr>
          <w:rFonts w:ascii="Arial" w:eastAsia="Times New Roman" w:hAnsi="Arial" w:cs="Arial"/>
          <w:b/>
          <w:lang w:eastAsia="ro-RO"/>
        </w:rPr>
        <w:t xml:space="preserve"> </w:t>
      </w:r>
      <w:r w:rsidRPr="0018562F">
        <w:rPr>
          <w:rFonts w:ascii="Arial" w:eastAsia="Times New Roman" w:hAnsi="Arial" w:cs="Arial"/>
          <w:lang w:eastAsia="ro-RO"/>
        </w:rPr>
        <w:t>lei</w:t>
      </w:r>
      <w:r>
        <w:rPr>
          <w:rFonts w:ascii="Arial" w:eastAsia="Times New Roman" w:hAnsi="Arial" w:cs="Arial"/>
          <w:lang w:eastAsia="ro-RO"/>
        </w:rPr>
        <w:t xml:space="preserve"> </w:t>
      </w:r>
      <w:r w:rsidRPr="0018562F">
        <w:rPr>
          <w:rFonts w:ascii="Arial" w:eastAsia="Times New Roman" w:hAnsi="Arial" w:cs="Arial"/>
          <w:lang w:eastAsia="ro-RO"/>
        </w:rPr>
        <w:t>„Alte acțiuni și activități</w:t>
      </w:r>
      <w:r w:rsidR="003B7135">
        <w:rPr>
          <w:rFonts w:ascii="Arial" w:eastAsia="Times New Roman" w:hAnsi="Arial" w:cs="Arial"/>
          <w:lang w:val="en-US" w:eastAsia="ro-RO"/>
        </w:rPr>
        <w:t>”</w:t>
      </w:r>
    </w:p>
    <w:p w:rsidR="00646D9B" w:rsidRDefault="00646D9B" w:rsidP="00646D9B">
      <w:pPr>
        <w:pStyle w:val="ListParagraph"/>
        <w:shd w:val="clear" w:color="auto" w:fill="FFFFFF"/>
        <w:spacing w:before="100" w:beforeAutospacing="1" w:after="100" w:afterAutospacing="1" w:line="240" w:lineRule="auto"/>
        <w:ind w:left="630"/>
        <w:jc w:val="both"/>
        <w:rPr>
          <w:rFonts w:ascii="Arial" w:hAnsi="Arial" w:cs="Arial"/>
        </w:rPr>
      </w:pPr>
    </w:p>
    <w:p w:rsidR="007F7618" w:rsidRDefault="007F7618" w:rsidP="00646D9B">
      <w:pPr>
        <w:pStyle w:val="ListParagraph"/>
        <w:shd w:val="clear" w:color="auto" w:fill="FFFFFF"/>
        <w:spacing w:before="100" w:beforeAutospacing="1" w:after="100" w:afterAutospacing="1" w:line="240" w:lineRule="auto"/>
        <w:ind w:left="630"/>
        <w:jc w:val="both"/>
        <w:rPr>
          <w:rFonts w:ascii="Arial" w:hAnsi="Arial" w:cs="Arial"/>
        </w:rPr>
      </w:pPr>
    </w:p>
    <w:p w:rsidR="007F7618" w:rsidRDefault="007F7618" w:rsidP="00646D9B">
      <w:pPr>
        <w:pStyle w:val="ListParagraph"/>
        <w:shd w:val="clear" w:color="auto" w:fill="FFFFFF"/>
        <w:spacing w:before="100" w:beforeAutospacing="1" w:after="100" w:afterAutospacing="1" w:line="240" w:lineRule="auto"/>
        <w:ind w:left="630"/>
        <w:jc w:val="both"/>
        <w:rPr>
          <w:rFonts w:ascii="Arial" w:hAnsi="Arial" w:cs="Arial"/>
        </w:rPr>
      </w:pPr>
    </w:p>
    <w:p w:rsidR="007F5D81" w:rsidRDefault="007F5D81" w:rsidP="007F5D81">
      <w:pPr>
        <w:shd w:val="clear" w:color="auto" w:fill="FFFFFF"/>
        <w:spacing w:before="100" w:beforeAutospacing="1" w:after="100" w:afterAutospacing="1"/>
        <w:jc w:val="both"/>
        <w:rPr>
          <w:rFonts w:ascii="Arial" w:eastAsia="Calibri" w:hAnsi="Arial" w:cs="Arial"/>
          <w:sz w:val="22"/>
          <w:szCs w:val="22"/>
          <w:lang w:eastAsia="en-US"/>
        </w:rPr>
      </w:pPr>
    </w:p>
    <w:p w:rsidR="007F5D81" w:rsidRDefault="007F5D81" w:rsidP="009E3447">
      <w:pPr>
        <w:jc w:val="both"/>
        <w:rPr>
          <w:rFonts w:ascii="Arial" w:hAnsi="Arial" w:cs="Arial"/>
          <w:b/>
          <w:color w:val="1F4E79" w:themeColor="accent1" w:themeShade="80"/>
          <w:sz w:val="28"/>
          <w:szCs w:val="28"/>
        </w:rPr>
      </w:pPr>
    </w:p>
    <w:p w:rsidR="009E3447" w:rsidRPr="007F5D81" w:rsidRDefault="009E3447" w:rsidP="009E3447">
      <w:pPr>
        <w:jc w:val="both"/>
        <w:rPr>
          <w:rFonts w:ascii="Arial" w:hAnsi="Arial" w:cs="Arial"/>
          <w:color w:val="1F4E79" w:themeColor="accent1" w:themeShade="80"/>
          <w:sz w:val="24"/>
          <w:szCs w:val="24"/>
          <w:lang w:val="fr-FR"/>
        </w:rPr>
      </w:pPr>
      <w:r w:rsidRPr="007F5D81">
        <w:rPr>
          <w:rFonts w:ascii="Arial" w:hAnsi="Arial" w:cs="Arial"/>
          <w:b/>
          <w:color w:val="1F4E79" w:themeColor="accent1" w:themeShade="80"/>
          <w:sz w:val="28"/>
          <w:szCs w:val="28"/>
        </w:rPr>
        <w:t>4.</w:t>
      </w:r>
      <w:r w:rsidRPr="007F5D81">
        <w:rPr>
          <w:rFonts w:ascii="Arial" w:hAnsi="Arial" w:cs="Arial"/>
          <w:b/>
          <w:color w:val="1F4E79" w:themeColor="accent1" w:themeShade="80"/>
          <w:sz w:val="24"/>
          <w:szCs w:val="24"/>
        </w:rPr>
        <w:t xml:space="preserve"> </w:t>
      </w:r>
      <w:r w:rsidRPr="007F5D81">
        <w:rPr>
          <w:rFonts w:ascii="Arial" w:hAnsi="Arial" w:cs="Arial"/>
          <w:b/>
          <w:color w:val="1F4E79" w:themeColor="accent1" w:themeShade="80"/>
          <w:sz w:val="28"/>
          <w:szCs w:val="28"/>
        </w:rPr>
        <w:t xml:space="preserve">EVENIMENTE </w:t>
      </w:r>
      <w:r w:rsidRPr="007F5D81">
        <w:rPr>
          <w:rFonts w:ascii="Arial" w:hAnsi="Arial" w:cs="Arial"/>
          <w:b/>
          <w:color w:val="1F4E79" w:themeColor="accent1" w:themeShade="80"/>
          <w:spacing w:val="-10"/>
          <w:sz w:val="28"/>
          <w:szCs w:val="28"/>
        </w:rPr>
        <w:t xml:space="preserve">CORPORATIVE RELEVANTE ÎN SEMESTRUL I 2018 </w:t>
      </w:r>
    </w:p>
    <w:p w:rsidR="00646D9B" w:rsidRDefault="00646D9B" w:rsidP="009E3447">
      <w:pPr>
        <w:jc w:val="both"/>
        <w:rPr>
          <w:rFonts w:ascii="Arial" w:hAnsi="Arial" w:cs="Arial"/>
          <w:b/>
          <w:bCs/>
          <w:sz w:val="22"/>
          <w:szCs w:val="22"/>
        </w:rPr>
      </w:pPr>
    </w:p>
    <w:p w:rsidR="009E3447" w:rsidRPr="007F5D81" w:rsidRDefault="009E3447" w:rsidP="009E3447">
      <w:pPr>
        <w:jc w:val="both"/>
        <w:rPr>
          <w:rFonts w:ascii="Arial" w:hAnsi="Arial" w:cs="Arial"/>
          <w:b/>
          <w:bCs/>
          <w:color w:val="1F4E79" w:themeColor="accent1" w:themeShade="80"/>
          <w:sz w:val="22"/>
          <w:szCs w:val="22"/>
        </w:rPr>
      </w:pPr>
      <w:r w:rsidRPr="007F5D81">
        <w:rPr>
          <w:rFonts w:ascii="Arial" w:hAnsi="Arial" w:cs="Arial"/>
          <w:b/>
          <w:bCs/>
          <w:color w:val="1F4E79" w:themeColor="accent1" w:themeShade="80"/>
          <w:sz w:val="22"/>
          <w:szCs w:val="22"/>
        </w:rPr>
        <w:t>05 martie 2018</w:t>
      </w:r>
    </w:p>
    <w:p w:rsidR="009E3447" w:rsidRPr="00014836" w:rsidRDefault="009E3447" w:rsidP="009E3447">
      <w:pPr>
        <w:jc w:val="both"/>
        <w:rPr>
          <w:rFonts w:ascii="Arial" w:hAnsi="Arial" w:cs="Arial"/>
          <w:sz w:val="22"/>
          <w:szCs w:val="22"/>
          <w:lang w:val="fr-FR" w:eastAsia="en-US"/>
        </w:rPr>
      </w:pPr>
    </w:p>
    <w:p w:rsidR="009E3447" w:rsidRPr="00014836" w:rsidRDefault="009E3447" w:rsidP="009E3447">
      <w:pPr>
        <w:spacing w:line="276" w:lineRule="auto"/>
        <w:jc w:val="both"/>
        <w:rPr>
          <w:rFonts w:ascii="Arial" w:hAnsi="Arial" w:cs="Arial"/>
          <w:bCs/>
          <w:sz w:val="22"/>
          <w:szCs w:val="22"/>
        </w:rPr>
      </w:pPr>
      <w:r w:rsidRPr="00014836">
        <w:rPr>
          <w:rFonts w:ascii="Arial" w:hAnsi="Arial" w:cs="Arial"/>
          <w:bCs/>
          <w:sz w:val="22"/>
          <w:szCs w:val="22"/>
        </w:rPr>
        <w:t>Adunarea Generală a Acționarilor a aprobat:</w:t>
      </w:r>
    </w:p>
    <w:p w:rsidR="009E3447" w:rsidRPr="00014836" w:rsidRDefault="009E3447" w:rsidP="009E3447">
      <w:pPr>
        <w:pStyle w:val="ListParagraph"/>
        <w:numPr>
          <w:ilvl w:val="0"/>
          <w:numId w:val="6"/>
        </w:numPr>
        <w:jc w:val="both"/>
        <w:rPr>
          <w:rFonts w:ascii="Arial" w:hAnsi="Arial" w:cs="Arial"/>
          <w:bCs/>
        </w:rPr>
      </w:pPr>
      <w:r w:rsidRPr="00014836">
        <w:rPr>
          <w:rFonts w:ascii="Arial" w:hAnsi="Arial" w:cs="Arial"/>
          <w:bCs/>
        </w:rPr>
        <w:t>Bugetul de Venituri și Cheltuieli și Programul de Investiții pentru anul 2018;</w:t>
      </w:r>
    </w:p>
    <w:p w:rsidR="009E3447" w:rsidRPr="00014836" w:rsidRDefault="009E3447" w:rsidP="009E3447">
      <w:pPr>
        <w:pStyle w:val="ListParagraph"/>
        <w:numPr>
          <w:ilvl w:val="0"/>
          <w:numId w:val="6"/>
        </w:numPr>
        <w:jc w:val="both"/>
        <w:rPr>
          <w:rFonts w:ascii="Arial" w:hAnsi="Arial" w:cs="Arial"/>
          <w:bCs/>
        </w:rPr>
      </w:pPr>
      <w:r w:rsidRPr="00014836">
        <w:rPr>
          <w:rFonts w:ascii="Arial" w:hAnsi="Arial" w:cs="Arial"/>
          <w:bCs/>
        </w:rPr>
        <w:t>Declanșarea procedurii de selecție a administratorilor Societății CONPET și mandatarea Consiliului de Administratie pentru declanșarea și derularea procedurii de selecție a administratorilor Societății;</w:t>
      </w:r>
    </w:p>
    <w:p w:rsidR="009E3447" w:rsidRPr="00014836" w:rsidRDefault="009E3447" w:rsidP="009E3447">
      <w:pPr>
        <w:pStyle w:val="ListParagraph"/>
        <w:numPr>
          <w:ilvl w:val="0"/>
          <w:numId w:val="6"/>
        </w:numPr>
        <w:jc w:val="both"/>
        <w:rPr>
          <w:rFonts w:ascii="Arial" w:hAnsi="Arial" w:cs="Arial"/>
          <w:bCs/>
        </w:rPr>
      </w:pPr>
      <w:r w:rsidRPr="00014836">
        <w:rPr>
          <w:rFonts w:ascii="Arial" w:hAnsi="Arial" w:cs="Arial"/>
          <w:bCs/>
        </w:rPr>
        <w:t>Prelungirea, în baza prevederilor art.64^1 alin (5) din OUG 109/2011 a mandatului administratorilor aflați în funcție la data de 28.03.2018 cu o perioadă de 2 luni, re</w:t>
      </w:r>
      <w:r w:rsidR="00646D9B">
        <w:rPr>
          <w:rFonts w:ascii="Arial" w:hAnsi="Arial" w:cs="Arial"/>
          <w:bCs/>
        </w:rPr>
        <w:t>spectiv până la data 28.05.2018.</w:t>
      </w:r>
    </w:p>
    <w:p w:rsidR="009E3447" w:rsidRPr="007F5D81" w:rsidRDefault="009E3447" w:rsidP="009E3447">
      <w:pPr>
        <w:jc w:val="both"/>
        <w:rPr>
          <w:rFonts w:ascii="Arial" w:hAnsi="Arial" w:cs="Arial"/>
          <w:b/>
          <w:bCs/>
          <w:color w:val="1F4E79" w:themeColor="accent1" w:themeShade="80"/>
          <w:sz w:val="22"/>
          <w:szCs w:val="22"/>
        </w:rPr>
      </w:pPr>
      <w:r w:rsidRPr="007F5D81">
        <w:rPr>
          <w:rFonts w:ascii="Arial" w:hAnsi="Arial" w:cs="Arial"/>
          <w:b/>
          <w:bCs/>
          <w:color w:val="1F4E79" w:themeColor="accent1" w:themeShade="80"/>
          <w:sz w:val="22"/>
          <w:szCs w:val="22"/>
        </w:rPr>
        <w:t>17 aprilie 2018</w:t>
      </w:r>
    </w:p>
    <w:p w:rsidR="009E3447" w:rsidRPr="00014836" w:rsidRDefault="009E3447" w:rsidP="009E3447">
      <w:pPr>
        <w:jc w:val="both"/>
        <w:rPr>
          <w:rFonts w:ascii="Arial" w:hAnsi="Arial" w:cs="Arial"/>
          <w:b/>
          <w:bCs/>
          <w:sz w:val="22"/>
          <w:szCs w:val="22"/>
        </w:rPr>
      </w:pPr>
    </w:p>
    <w:p w:rsidR="009E3447" w:rsidRPr="00014836" w:rsidRDefault="009E3447" w:rsidP="009E3447">
      <w:pPr>
        <w:jc w:val="both"/>
        <w:rPr>
          <w:rFonts w:ascii="Arial" w:hAnsi="Arial" w:cs="Arial"/>
          <w:bCs/>
          <w:sz w:val="22"/>
          <w:szCs w:val="22"/>
        </w:rPr>
      </w:pPr>
      <w:r w:rsidRPr="00014836">
        <w:rPr>
          <w:rFonts w:ascii="Arial" w:hAnsi="Arial" w:cs="Arial"/>
          <w:bCs/>
          <w:sz w:val="22"/>
          <w:szCs w:val="22"/>
        </w:rPr>
        <w:t>Societatea DEDEMAN SRL raportează acțiuni deținute în capitalul social al CONPET S</w:t>
      </w:r>
      <w:r w:rsidR="00646D9B">
        <w:rPr>
          <w:rFonts w:ascii="Arial" w:hAnsi="Arial" w:cs="Arial"/>
          <w:bCs/>
          <w:sz w:val="22"/>
          <w:szCs w:val="22"/>
        </w:rPr>
        <w:t>.</w:t>
      </w:r>
      <w:r w:rsidRPr="00014836">
        <w:rPr>
          <w:rFonts w:ascii="Arial" w:hAnsi="Arial" w:cs="Arial"/>
          <w:bCs/>
          <w:sz w:val="22"/>
          <w:szCs w:val="22"/>
        </w:rPr>
        <w:t>A</w:t>
      </w:r>
      <w:r w:rsidR="00646D9B">
        <w:rPr>
          <w:rFonts w:ascii="Arial" w:hAnsi="Arial" w:cs="Arial"/>
          <w:bCs/>
          <w:sz w:val="22"/>
          <w:szCs w:val="22"/>
        </w:rPr>
        <w:t>.</w:t>
      </w:r>
      <w:r w:rsidRPr="00014836">
        <w:rPr>
          <w:rFonts w:ascii="Arial" w:hAnsi="Arial" w:cs="Arial"/>
          <w:bCs/>
          <w:sz w:val="22"/>
          <w:szCs w:val="22"/>
        </w:rPr>
        <w:t xml:space="preserve">  de 7,413%.</w:t>
      </w:r>
    </w:p>
    <w:p w:rsidR="009E3447" w:rsidRPr="00014836" w:rsidRDefault="009E3447" w:rsidP="009E3447">
      <w:pPr>
        <w:tabs>
          <w:tab w:val="left" w:pos="450"/>
        </w:tabs>
        <w:spacing w:line="276" w:lineRule="auto"/>
        <w:jc w:val="both"/>
        <w:rPr>
          <w:rFonts w:ascii="Arial" w:hAnsi="Arial" w:cs="Arial"/>
          <w:b/>
          <w:sz w:val="22"/>
          <w:szCs w:val="22"/>
          <w:lang w:val="en-US"/>
        </w:rPr>
      </w:pPr>
    </w:p>
    <w:p w:rsidR="009E3447" w:rsidRPr="007F5D81" w:rsidRDefault="009E3447" w:rsidP="009E3447">
      <w:pPr>
        <w:tabs>
          <w:tab w:val="left" w:pos="450"/>
        </w:tabs>
        <w:spacing w:line="276" w:lineRule="auto"/>
        <w:jc w:val="both"/>
        <w:rPr>
          <w:rFonts w:ascii="Arial" w:hAnsi="Arial" w:cs="Arial"/>
          <w:b/>
          <w:color w:val="1F4E79" w:themeColor="accent1" w:themeShade="80"/>
          <w:sz w:val="22"/>
          <w:szCs w:val="22"/>
          <w:lang w:val="en-US"/>
        </w:rPr>
      </w:pPr>
      <w:r w:rsidRPr="007F5D81">
        <w:rPr>
          <w:rFonts w:ascii="Arial" w:hAnsi="Arial" w:cs="Arial"/>
          <w:b/>
          <w:color w:val="1F4E79" w:themeColor="accent1" w:themeShade="80"/>
          <w:sz w:val="22"/>
          <w:szCs w:val="22"/>
          <w:lang w:val="en-US"/>
        </w:rPr>
        <w:t>26 aprilie 2018</w:t>
      </w:r>
    </w:p>
    <w:p w:rsidR="009E3447" w:rsidRPr="00014836" w:rsidRDefault="009E3447" w:rsidP="009E3447">
      <w:pPr>
        <w:tabs>
          <w:tab w:val="left" w:pos="450"/>
        </w:tabs>
        <w:spacing w:line="276" w:lineRule="auto"/>
        <w:jc w:val="both"/>
        <w:rPr>
          <w:rFonts w:ascii="Arial" w:hAnsi="Arial" w:cs="Arial"/>
          <w:b/>
          <w:sz w:val="22"/>
          <w:szCs w:val="22"/>
          <w:lang w:val="en-US"/>
        </w:rPr>
      </w:pPr>
    </w:p>
    <w:p w:rsidR="009E3447" w:rsidRPr="00014836" w:rsidRDefault="009E3447" w:rsidP="009E3447">
      <w:pPr>
        <w:widowControl/>
        <w:autoSpaceDE/>
        <w:autoSpaceDN/>
        <w:adjustRightInd/>
        <w:spacing w:before="240" w:line="276" w:lineRule="auto"/>
        <w:contextualSpacing/>
        <w:jc w:val="both"/>
        <w:rPr>
          <w:rFonts w:ascii="Arial" w:hAnsi="Arial" w:cs="Arial"/>
          <w:b/>
          <w:sz w:val="22"/>
          <w:szCs w:val="22"/>
          <w:lang w:eastAsia="en-US"/>
        </w:rPr>
      </w:pPr>
      <w:r w:rsidRPr="00014836">
        <w:rPr>
          <w:rFonts w:ascii="Arial" w:hAnsi="Arial" w:cs="Arial"/>
          <w:sz w:val="22"/>
          <w:szCs w:val="22"/>
        </w:rPr>
        <w:t>Adunarea Generală Ordinară a Acționarilor a aprobat situațiile financiare anuale pentru exercițiul financiar 2017 și repartizarea profitului net aferent exercițiului financiar 2017</w:t>
      </w:r>
      <w:r w:rsidR="00646D9B">
        <w:rPr>
          <w:rFonts w:ascii="Arial" w:hAnsi="Arial" w:cs="Arial"/>
          <w:sz w:val="22"/>
          <w:szCs w:val="22"/>
        </w:rPr>
        <w:t>.</w:t>
      </w:r>
    </w:p>
    <w:p w:rsidR="009E3447" w:rsidRPr="00014836" w:rsidRDefault="009E3447" w:rsidP="009E3447">
      <w:pPr>
        <w:jc w:val="both"/>
        <w:rPr>
          <w:rFonts w:ascii="Arial" w:hAnsi="Arial" w:cs="Arial"/>
          <w:b/>
          <w:sz w:val="22"/>
          <w:szCs w:val="22"/>
          <w:lang w:eastAsia="en-US"/>
        </w:rPr>
      </w:pPr>
    </w:p>
    <w:p w:rsidR="009E3447" w:rsidRPr="007F5D81" w:rsidRDefault="009E3447" w:rsidP="009E3447">
      <w:pPr>
        <w:jc w:val="both"/>
        <w:rPr>
          <w:rFonts w:ascii="Arial" w:hAnsi="Arial" w:cs="Arial"/>
          <w:b/>
          <w:color w:val="1F4E79" w:themeColor="accent1" w:themeShade="80"/>
          <w:sz w:val="22"/>
          <w:szCs w:val="22"/>
          <w:lang w:eastAsia="en-US"/>
        </w:rPr>
      </w:pPr>
      <w:r w:rsidRPr="007F5D81">
        <w:rPr>
          <w:rFonts w:ascii="Arial" w:hAnsi="Arial" w:cs="Arial"/>
          <w:b/>
          <w:color w:val="1F4E79" w:themeColor="accent1" w:themeShade="80"/>
          <w:sz w:val="22"/>
          <w:szCs w:val="22"/>
          <w:lang w:eastAsia="en-US"/>
        </w:rPr>
        <w:t>17 mai 2018</w:t>
      </w:r>
    </w:p>
    <w:p w:rsidR="009E3447" w:rsidRPr="00014836" w:rsidRDefault="009E3447" w:rsidP="009E3447">
      <w:pPr>
        <w:jc w:val="both"/>
        <w:rPr>
          <w:rFonts w:ascii="Arial" w:hAnsi="Arial" w:cs="Arial"/>
          <w:b/>
          <w:sz w:val="22"/>
          <w:szCs w:val="22"/>
          <w:lang w:eastAsia="en-US"/>
        </w:rPr>
      </w:pPr>
    </w:p>
    <w:p w:rsidR="009E3447" w:rsidRPr="00014836" w:rsidRDefault="009E3447" w:rsidP="009E3447">
      <w:pPr>
        <w:jc w:val="both"/>
        <w:rPr>
          <w:rFonts w:ascii="Arial" w:hAnsi="Arial" w:cs="Arial"/>
          <w:sz w:val="22"/>
          <w:szCs w:val="22"/>
        </w:rPr>
      </w:pPr>
      <w:r w:rsidRPr="00014836">
        <w:rPr>
          <w:rFonts w:ascii="Arial" w:hAnsi="Arial" w:cs="Arial"/>
          <w:sz w:val="22"/>
          <w:szCs w:val="22"/>
        </w:rPr>
        <w:t>Adunarea Generală Ordinară a Acționarilor convocată de</w:t>
      </w:r>
      <w:r w:rsidRPr="00014836">
        <w:rPr>
          <w:rFonts w:ascii="Arial" w:hAnsi="Arial" w:cs="Arial"/>
          <w:sz w:val="22"/>
          <w:szCs w:val="22"/>
          <w:lang w:eastAsia="en-US"/>
        </w:rPr>
        <w:t xml:space="preserve"> Consiliul de Administrație al CONPET</w:t>
      </w:r>
      <w:r w:rsidRPr="00014836">
        <w:rPr>
          <w:rFonts w:ascii="Arial" w:hAnsi="Arial" w:cs="Arial"/>
          <w:sz w:val="22"/>
          <w:szCs w:val="22"/>
        </w:rPr>
        <w:t xml:space="preserve"> SA având pe ordinea de zi aprobarea profilului Consiliului de Administrație și al candidatului</w:t>
      </w:r>
      <w:r w:rsidR="00646D9B">
        <w:rPr>
          <w:rFonts w:ascii="Arial" w:hAnsi="Arial" w:cs="Arial"/>
          <w:sz w:val="22"/>
          <w:szCs w:val="22"/>
        </w:rPr>
        <w:t>.</w:t>
      </w:r>
    </w:p>
    <w:p w:rsidR="009E3447" w:rsidRPr="00014836" w:rsidRDefault="009E3447" w:rsidP="009E3447">
      <w:pPr>
        <w:jc w:val="both"/>
        <w:rPr>
          <w:rFonts w:ascii="Arial" w:hAnsi="Arial" w:cs="Arial"/>
          <w:sz w:val="22"/>
          <w:szCs w:val="22"/>
        </w:rPr>
      </w:pPr>
    </w:p>
    <w:p w:rsidR="009E3447" w:rsidRPr="00014836" w:rsidRDefault="009E3447" w:rsidP="009E3447">
      <w:pPr>
        <w:jc w:val="both"/>
        <w:rPr>
          <w:rFonts w:ascii="Arial" w:hAnsi="Arial" w:cs="Arial"/>
          <w:sz w:val="22"/>
          <w:szCs w:val="22"/>
        </w:rPr>
      </w:pPr>
      <w:r w:rsidRPr="00014836">
        <w:rPr>
          <w:rFonts w:ascii="Arial" w:hAnsi="Arial" w:cs="Arial"/>
          <w:sz w:val="22"/>
          <w:szCs w:val="22"/>
        </w:rPr>
        <w:t>În data de 23.04.2018, acționarul Societatea de Investiții Financiare Banat – Crișana SA a solicitat</w:t>
      </w:r>
    </w:p>
    <w:p w:rsidR="009E3447" w:rsidRDefault="009E3447" w:rsidP="009E3447">
      <w:pPr>
        <w:jc w:val="both"/>
        <w:rPr>
          <w:rFonts w:ascii="Arial" w:hAnsi="Arial" w:cs="Arial"/>
          <w:sz w:val="22"/>
          <w:szCs w:val="22"/>
        </w:rPr>
      </w:pPr>
      <w:r w:rsidRPr="00014836">
        <w:rPr>
          <w:rFonts w:ascii="Arial" w:hAnsi="Arial" w:cs="Arial"/>
          <w:sz w:val="22"/>
          <w:szCs w:val="22"/>
        </w:rPr>
        <w:t>suplimentarea ordinii de zi cu 6 puncte noi, dintre care menționăm :</w:t>
      </w:r>
    </w:p>
    <w:p w:rsidR="00743995" w:rsidRPr="00014836" w:rsidRDefault="00743995" w:rsidP="009E3447">
      <w:pPr>
        <w:jc w:val="both"/>
        <w:rPr>
          <w:rFonts w:ascii="Arial" w:hAnsi="Arial" w:cs="Arial"/>
          <w:sz w:val="22"/>
          <w:szCs w:val="22"/>
        </w:rPr>
      </w:pPr>
    </w:p>
    <w:p w:rsidR="009E3447" w:rsidRPr="00014836" w:rsidRDefault="00646D9B" w:rsidP="009E3447">
      <w:pPr>
        <w:pStyle w:val="ListParagraph"/>
        <w:numPr>
          <w:ilvl w:val="0"/>
          <w:numId w:val="7"/>
        </w:numPr>
        <w:jc w:val="both"/>
        <w:rPr>
          <w:rFonts w:ascii="Arial" w:hAnsi="Arial" w:cs="Arial"/>
        </w:rPr>
      </w:pPr>
      <w:r>
        <w:rPr>
          <w:rFonts w:ascii="Arial" w:hAnsi="Arial" w:cs="Arial"/>
        </w:rPr>
        <w:t>r</w:t>
      </w:r>
      <w:r w:rsidR="009E3447" w:rsidRPr="00014836">
        <w:rPr>
          <w:rFonts w:ascii="Arial" w:hAnsi="Arial" w:cs="Arial"/>
        </w:rPr>
        <w:t>evocarea membrilor Consiliului de Administrație și</w:t>
      </w:r>
    </w:p>
    <w:p w:rsidR="00646D9B" w:rsidRPr="00793A91" w:rsidRDefault="00646D9B" w:rsidP="00793A91">
      <w:pPr>
        <w:pStyle w:val="ListParagraph"/>
        <w:numPr>
          <w:ilvl w:val="0"/>
          <w:numId w:val="7"/>
        </w:numPr>
        <w:jc w:val="both"/>
        <w:rPr>
          <w:rFonts w:ascii="Arial" w:hAnsi="Arial" w:cs="Arial"/>
        </w:rPr>
      </w:pPr>
      <w:r>
        <w:rPr>
          <w:rFonts w:ascii="Arial" w:hAnsi="Arial" w:cs="Arial"/>
        </w:rPr>
        <w:t>a</w:t>
      </w:r>
      <w:r w:rsidR="009E3447" w:rsidRPr="00014836">
        <w:rPr>
          <w:rFonts w:ascii="Arial" w:hAnsi="Arial" w:cs="Arial"/>
        </w:rPr>
        <w:t>legerea unui nou Consiliu de Administratie din 7 membri prin aplicarea metodei votului cumulativ și stabilirea duratei mandatului administratorilor aleși la 4 luni sau până la finalizarea procedurii de selectie prevazută în OUG nr.109/2011, dacă aceasta va avea loc mai devreme de data expirari</w:t>
      </w:r>
      <w:r>
        <w:rPr>
          <w:rFonts w:ascii="Arial" w:hAnsi="Arial" w:cs="Arial"/>
        </w:rPr>
        <w:t>i mandatelor administratorilor.</w:t>
      </w:r>
    </w:p>
    <w:p w:rsidR="009E3447" w:rsidRPr="007F5D81" w:rsidRDefault="009E3447" w:rsidP="009E3447">
      <w:pPr>
        <w:jc w:val="both"/>
        <w:rPr>
          <w:rFonts w:ascii="Arial" w:hAnsi="Arial" w:cs="Arial"/>
          <w:b/>
          <w:bCs/>
          <w:color w:val="1F4E79" w:themeColor="accent1" w:themeShade="80"/>
          <w:sz w:val="22"/>
          <w:szCs w:val="22"/>
          <w:lang w:val="fr-FR"/>
        </w:rPr>
      </w:pPr>
      <w:r w:rsidRPr="007F5D81">
        <w:rPr>
          <w:rFonts w:ascii="Arial" w:hAnsi="Arial" w:cs="Arial"/>
          <w:b/>
          <w:bCs/>
          <w:color w:val="1F4E79" w:themeColor="accent1" w:themeShade="80"/>
          <w:sz w:val="22"/>
          <w:szCs w:val="22"/>
          <w:lang w:val="fr-FR"/>
        </w:rPr>
        <w:t>19 iunie 2018</w:t>
      </w:r>
    </w:p>
    <w:p w:rsidR="009E3447" w:rsidRPr="00014836" w:rsidRDefault="009E3447" w:rsidP="009E3447">
      <w:pPr>
        <w:jc w:val="both"/>
        <w:rPr>
          <w:rFonts w:ascii="Arial" w:hAnsi="Arial" w:cs="Arial"/>
          <w:b/>
          <w:bCs/>
          <w:sz w:val="22"/>
          <w:szCs w:val="22"/>
          <w:lang w:val="fr-FR"/>
        </w:rPr>
      </w:pPr>
    </w:p>
    <w:p w:rsidR="009E3447" w:rsidRDefault="009E3447" w:rsidP="009E3447">
      <w:pPr>
        <w:jc w:val="both"/>
        <w:rPr>
          <w:rFonts w:ascii="Arial" w:hAnsi="Arial" w:cs="Arial"/>
          <w:sz w:val="22"/>
          <w:szCs w:val="22"/>
          <w:lang w:val="fr-FR"/>
        </w:rPr>
      </w:pPr>
      <w:r w:rsidRPr="00014836">
        <w:rPr>
          <w:rFonts w:ascii="Arial" w:hAnsi="Arial" w:cs="Arial"/>
          <w:sz w:val="22"/>
          <w:szCs w:val="22"/>
          <w:lang w:val="fr-FR"/>
        </w:rPr>
        <w:t>Agenția Națională de Resurse Minerale a emis Ordinul nr.117/15.06.2018 privind aprobarea tarifelor de transport prin Sistemul Național de Transport a țițeiului, gazolinei, condensatului și etanului, publicat în Monitorul Oficial nr. 500 din data de 19.06.2018.</w:t>
      </w:r>
    </w:p>
    <w:p w:rsidR="00793A91" w:rsidRDefault="00793A91" w:rsidP="009E3447">
      <w:pPr>
        <w:jc w:val="both"/>
        <w:rPr>
          <w:rFonts w:ascii="Arial" w:hAnsi="Arial" w:cs="Arial"/>
          <w:sz w:val="22"/>
          <w:szCs w:val="22"/>
          <w:lang w:val="fr-FR"/>
        </w:rPr>
      </w:pPr>
    </w:p>
    <w:p w:rsidR="00793A91" w:rsidRDefault="00793A91" w:rsidP="009E3447">
      <w:pPr>
        <w:jc w:val="both"/>
        <w:rPr>
          <w:rFonts w:ascii="Arial" w:hAnsi="Arial" w:cs="Arial"/>
          <w:sz w:val="22"/>
          <w:szCs w:val="22"/>
          <w:lang w:val="fr-FR"/>
        </w:rPr>
      </w:pPr>
    </w:p>
    <w:p w:rsidR="00793A91" w:rsidRDefault="00793A91" w:rsidP="009E3447">
      <w:pPr>
        <w:jc w:val="both"/>
        <w:rPr>
          <w:rFonts w:ascii="Arial" w:hAnsi="Arial" w:cs="Arial"/>
          <w:sz w:val="22"/>
          <w:szCs w:val="22"/>
          <w:lang w:val="fr-FR"/>
        </w:rPr>
      </w:pPr>
    </w:p>
    <w:p w:rsidR="00793A91" w:rsidRDefault="00793A91" w:rsidP="009E3447">
      <w:pPr>
        <w:jc w:val="both"/>
        <w:rPr>
          <w:rFonts w:ascii="Arial" w:hAnsi="Arial" w:cs="Arial"/>
          <w:sz w:val="22"/>
          <w:szCs w:val="22"/>
          <w:lang w:val="fr-FR"/>
        </w:rPr>
      </w:pPr>
    </w:p>
    <w:p w:rsidR="00793A91" w:rsidRDefault="00793A91" w:rsidP="009E3447">
      <w:pPr>
        <w:jc w:val="both"/>
        <w:rPr>
          <w:rFonts w:ascii="Arial" w:hAnsi="Arial" w:cs="Arial"/>
          <w:sz w:val="22"/>
          <w:szCs w:val="22"/>
          <w:lang w:val="fr-FR"/>
        </w:rPr>
      </w:pPr>
    </w:p>
    <w:p w:rsidR="00793A91" w:rsidRDefault="00793A91" w:rsidP="009E3447">
      <w:pPr>
        <w:jc w:val="both"/>
        <w:rPr>
          <w:rFonts w:ascii="Arial" w:hAnsi="Arial" w:cs="Arial"/>
          <w:sz w:val="22"/>
          <w:szCs w:val="22"/>
          <w:lang w:val="fr-FR"/>
        </w:rPr>
      </w:pPr>
    </w:p>
    <w:p w:rsidR="00793A91" w:rsidRDefault="00793A91" w:rsidP="009E3447">
      <w:pPr>
        <w:jc w:val="both"/>
        <w:rPr>
          <w:rFonts w:ascii="Arial" w:hAnsi="Arial" w:cs="Arial"/>
          <w:sz w:val="22"/>
          <w:szCs w:val="22"/>
          <w:lang w:val="fr-FR"/>
        </w:rPr>
      </w:pPr>
    </w:p>
    <w:p w:rsidR="00793A91" w:rsidRDefault="00793A91" w:rsidP="009E3447">
      <w:pPr>
        <w:jc w:val="both"/>
        <w:rPr>
          <w:rFonts w:ascii="Arial" w:hAnsi="Arial" w:cs="Arial"/>
          <w:sz w:val="22"/>
          <w:szCs w:val="22"/>
          <w:lang w:val="fr-FR"/>
        </w:rPr>
      </w:pPr>
    </w:p>
    <w:p w:rsidR="00793A91" w:rsidRDefault="00793A91" w:rsidP="009E3447">
      <w:pPr>
        <w:jc w:val="both"/>
        <w:rPr>
          <w:rFonts w:ascii="Arial" w:hAnsi="Arial" w:cs="Arial"/>
          <w:sz w:val="22"/>
          <w:szCs w:val="22"/>
          <w:lang w:val="fr-FR"/>
        </w:rPr>
      </w:pPr>
    </w:p>
    <w:p w:rsidR="00793A91" w:rsidRDefault="00793A91" w:rsidP="009E3447">
      <w:pPr>
        <w:jc w:val="both"/>
        <w:rPr>
          <w:rFonts w:ascii="Arial" w:hAnsi="Arial" w:cs="Arial"/>
          <w:sz w:val="22"/>
          <w:szCs w:val="22"/>
          <w:lang w:val="fr-FR"/>
        </w:rPr>
      </w:pPr>
    </w:p>
    <w:p w:rsidR="00A25AB2" w:rsidRDefault="00A25AB2" w:rsidP="009E3447">
      <w:pPr>
        <w:jc w:val="both"/>
        <w:rPr>
          <w:rFonts w:ascii="Arial" w:hAnsi="Arial" w:cs="Arial"/>
          <w:sz w:val="22"/>
          <w:szCs w:val="22"/>
          <w:lang w:val="fr-FR"/>
        </w:rPr>
      </w:pPr>
    </w:p>
    <w:p w:rsidR="00A25AB2" w:rsidRPr="00A25AB2" w:rsidRDefault="00A25AB2" w:rsidP="00A25AB2">
      <w:pPr>
        <w:widowControl/>
        <w:autoSpaceDE/>
        <w:autoSpaceDN/>
        <w:adjustRightInd/>
        <w:spacing w:before="240" w:line="276" w:lineRule="auto"/>
        <w:contextualSpacing/>
        <w:jc w:val="both"/>
        <w:rPr>
          <w:rFonts w:ascii="Arial" w:eastAsia="Calibri" w:hAnsi="Arial" w:cs="Arial"/>
          <w:b/>
          <w:color w:val="5B9BD5" w:themeColor="accent1"/>
          <w:sz w:val="28"/>
          <w:szCs w:val="28"/>
          <w:lang w:eastAsia="en-US"/>
        </w:rPr>
      </w:pPr>
      <w:r w:rsidRPr="007F5D81">
        <w:rPr>
          <w:rFonts w:ascii="Arial" w:eastAsia="Calibri" w:hAnsi="Arial" w:cs="Arial"/>
          <w:b/>
          <w:color w:val="1F4E79" w:themeColor="accent1" w:themeShade="80"/>
          <w:sz w:val="28"/>
          <w:szCs w:val="28"/>
          <w:lang w:eastAsia="en-US"/>
        </w:rPr>
        <w:t>5. PREZENTAREA SITUAȚIILOR FINANCIARE INTERIMARE</w:t>
      </w:r>
    </w:p>
    <w:p w:rsidR="00A25AB2" w:rsidRPr="00AC629B" w:rsidRDefault="00A25AB2" w:rsidP="00A25AB2">
      <w:pPr>
        <w:widowControl/>
        <w:autoSpaceDE/>
        <w:autoSpaceDN/>
        <w:adjustRightInd/>
        <w:spacing w:before="240" w:line="276" w:lineRule="auto"/>
        <w:contextualSpacing/>
        <w:jc w:val="both"/>
        <w:rPr>
          <w:rFonts w:ascii="Arial" w:eastAsia="Calibri" w:hAnsi="Arial" w:cs="Arial"/>
          <w:b/>
          <w:color w:val="5B9BD5" w:themeColor="accent1"/>
          <w:sz w:val="22"/>
          <w:szCs w:val="22"/>
          <w:lang w:eastAsia="en-US"/>
        </w:rPr>
      </w:pPr>
    </w:p>
    <w:p w:rsidR="00A25AB2" w:rsidRPr="00AC629B" w:rsidRDefault="00A25AB2" w:rsidP="00A25AB2">
      <w:pPr>
        <w:spacing w:before="240" w:line="276" w:lineRule="auto"/>
        <w:ind w:right="57"/>
        <w:contextualSpacing/>
        <w:jc w:val="both"/>
        <w:rPr>
          <w:rFonts w:ascii="Arial" w:hAnsi="Arial" w:cs="Arial"/>
          <w:sz w:val="22"/>
          <w:szCs w:val="22"/>
        </w:rPr>
      </w:pPr>
      <w:r w:rsidRPr="00AC629B">
        <w:rPr>
          <w:rFonts w:ascii="Arial" w:hAnsi="Arial" w:cs="Arial"/>
          <w:sz w:val="22"/>
          <w:szCs w:val="22"/>
        </w:rPr>
        <w:t>Situațiile financiare interimare la data de 30.06.201</w:t>
      </w:r>
      <w:r>
        <w:rPr>
          <w:rFonts w:ascii="Arial" w:hAnsi="Arial" w:cs="Arial"/>
          <w:sz w:val="22"/>
          <w:szCs w:val="22"/>
        </w:rPr>
        <w:t>8</w:t>
      </w:r>
      <w:r w:rsidRPr="00AC629B">
        <w:rPr>
          <w:rFonts w:ascii="Arial" w:hAnsi="Arial" w:cs="Arial"/>
          <w:sz w:val="22"/>
          <w:szCs w:val="22"/>
        </w:rPr>
        <w:t xml:space="preserve"> și pentru perioada 6 luni încheiată la 30 iunie 201</w:t>
      </w:r>
      <w:r>
        <w:rPr>
          <w:rFonts w:ascii="Arial" w:hAnsi="Arial" w:cs="Arial"/>
          <w:sz w:val="22"/>
          <w:szCs w:val="22"/>
        </w:rPr>
        <w:t>8</w:t>
      </w:r>
      <w:r w:rsidRPr="00AC629B">
        <w:rPr>
          <w:rFonts w:ascii="Arial" w:hAnsi="Arial" w:cs="Arial"/>
          <w:sz w:val="22"/>
          <w:szCs w:val="22"/>
        </w:rPr>
        <w:t xml:space="preserve"> au fost întocmite în conformitate cu IAS 34 Raportarea Financiară Interimară.</w:t>
      </w:r>
    </w:p>
    <w:p w:rsidR="00A25AB2" w:rsidRPr="00AC629B" w:rsidRDefault="00A25AB2" w:rsidP="00A25AB2">
      <w:pPr>
        <w:spacing w:line="276" w:lineRule="auto"/>
        <w:ind w:right="57"/>
        <w:contextualSpacing/>
        <w:jc w:val="both"/>
        <w:rPr>
          <w:rFonts w:ascii="Arial" w:hAnsi="Arial" w:cs="Arial"/>
          <w:sz w:val="22"/>
          <w:szCs w:val="22"/>
        </w:rPr>
      </w:pPr>
    </w:p>
    <w:p w:rsidR="00A25AB2" w:rsidRPr="00AC629B" w:rsidRDefault="00A25AB2" w:rsidP="00A25AB2">
      <w:pPr>
        <w:spacing w:line="276" w:lineRule="auto"/>
        <w:ind w:right="57"/>
        <w:contextualSpacing/>
        <w:jc w:val="both"/>
        <w:rPr>
          <w:rFonts w:ascii="Arial" w:hAnsi="Arial" w:cs="Arial"/>
          <w:sz w:val="22"/>
          <w:szCs w:val="22"/>
        </w:rPr>
      </w:pPr>
      <w:r w:rsidRPr="00AC629B">
        <w:rPr>
          <w:rFonts w:ascii="Arial" w:hAnsi="Arial" w:cs="Arial"/>
          <w:sz w:val="22"/>
          <w:szCs w:val="22"/>
        </w:rPr>
        <w:t>Si</w:t>
      </w:r>
      <w:r>
        <w:rPr>
          <w:rFonts w:ascii="Arial" w:hAnsi="Arial" w:cs="Arial"/>
          <w:sz w:val="22"/>
          <w:szCs w:val="22"/>
        </w:rPr>
        <w:t xml:space="preserve">tuațiile financiare interimare </w:t>
      </w:r>
      <w:r w:rsidRPr="00AC629B">
        <w:rPr>
          <w:rFonts w:ascii="Arial" w:hAnsi="Arial" w:cs="Arial"/>
          <w:sz w:val="22"/>
          <w:szCs w:val="22"/>
        </w:rPr>
        <w:t>nu cuprind toate informațiile și elementele publicate în situațiile financiare anuale, și trebuie să fie citite în coroborare cu situațiile financiare anuale, întocmite la 31 decembrie 201</w:t>
      </w:r>
      <w:r>
        <w:rPr>
          <w:rFonts w:ascii="Arial" w:hAnsi="Arial" w:cs="Arial"/>
          <w:sz w:val="22"/>
          <w:szCs w:val="22"/>
        </w:rPr>
        <w:t>7</w:t>
      </w:r>
      <w:r w:rsidRPr="00AC629B">
        <w:rPr>
          <w:rFonts w:ascii="Arial" w:hAnsi="Arial" w:cs="Arial"/>
          <w:sz w:val="22"/>
          <w:szCs w:val="22"/>
        </w:rPr>
        <w:t>.</w:t>
      </w:r>
    </w:p>
    <w:p w:rsidR="00A25AB2" w:rsidRPr="00AC629B" w:rsidRDefault="00A25AB2" w:rsidP="00A25AB2">
      <w:pPr>
        <w:spacing w:line="276" w:lineRule="auto"/>
        <w:ind w:right="57"/>
        <w:contextualSpacing/>
        <w:jc w:val="both"/>
        <w:rPr>
          <w:rFonts w:ascii="Arial" w:hAnsi="Arial" w:cs="Arial"/>
          <w:sz w:val="22"/>
          <w:szCs w:val="22"/>
        </w:rPr>
      </w:pPr>
    </w:p>
    <w:p w:rsidR="00A25AB2" w:rsidRPr="00AC629B" w:rsidRDefault="00A25AB2" w:rsidP="00A25AB2">
      <w:pPr>
        <w:spacing w:line="276" w:lineRule="auto"/>
        <w:ind w:right="57"/>
        <w:contextualSpacing/>
        <w:jc w:val="both"/>
        <w:rPr>
          <w:rFonts w:ascii="Arial" w:hAnsi="Arial" w:cs="Arial"/>
          <w:sz w:val="22"/>
          <w:szCs w:val="22"/>
        </w:rPr>
      </w:pPr>
      <w:r w:rsidRPr="00AC629B">
        <w:rPr>
          <w:rFonts w:ascii="Arial" w:hAnsi="Arial" w:cs="Arial"/>
          <w:sz w:val="22"/>
          <w:szCs w:val="22"/>
        </w:rPr>
        <w:t>Situațiile financiare interimare simplificate la data de și pentru perioada de 6 luni încheiată la 30 iunie 201</w:t>
      </w:r>
      <w:r>
        <w:rPr>
          <w:rFonts w:ascii="Arial" w:hAnsi="Arial" w:cs="Arial"/>
          <w:sz w:val="22"/>
          <w:szCs w:val="22"/>
        </w:rPr>
        <w:t>8</w:t>
      </w:r>
      <w:r w:rsidRPr="00AC629B">
        <w:rPr>
          <w:rFonts w:ascii="Arial" w:hAnsi="Arial" w:cs="Arial"/>
          <w:sz w:val="22"/>
          <w:szCs w:val="22"/>
        </w:rPr>
        <w:t xml:space="preserve"> incluse în acest raport</w:t>
      </w:r>
      <w:r w:rsidRPr="00AC629B">
        <w:rPr>
          <w:rFonts w:ascii="Arial" w:hAnsi="Arial" w:cs="Arial"/>
          <w:color w:val="FF0000"/>
          <w:sz w:val="22"/>
          <w:szCs w:val="22"/>
        </w:rPr>
        <w:t xml:space="preserve"> </w:t>
      </w:r>
      <w:r w:rsidRPr="00AC629B">
        <w:rPr>
          <w:rFonts w:ascii="Arial" w:hAnsi="Arial" w:cs="Arial"/>
          <w:sz w:val="22"/>
          <w:szCs w:val="22"/>
        </w:rPr>
        <w:t>au fost revizuite de către auditorul extern BDO Audit SRL.</w:t>
      </w:r>
    </w:p>
    <w:p w:rsidR="00A25AB2" w:rsidRPr="00AC629B" w:rsidRDefault="00A25AB2" w:rsidP="00A25AB2">
      <w:pPr>
        <w:spacing w:line="276" w:lineRule="auto"/>
        <w:ind w:right="57"/>
        <w:contextualSpacing/>
        <w:jc w:val="both"/>
        <w:rPr>
          <w:rFonts w:ascii="Arial" w:hAnsi="Arial" w:cs="Arial"/>
          <w:b/>
          <w:color w:val="FF0000"/>
          <w:sz w:val="22"/>
          <w:szCs w:val="22"/>
        </w:rPr>
      </w:pPr>
    </w:p>
    <w:p w:rsidR="00A25AB2" w:rsidRDefault="00A25AB2" w:rsidP="00A25AB2">
      <w:pPr>
        <w:spacing w:line="276" w:lineRule="auto"/>
        <w:ind w:right="57"/>
        <w:contextualSpacing/>
        <w:jc w:val="both"/>
        <w:rPr>
          <w:rFonts w:ascii="Arial" w:hAnsi="Arial" w:cs="Arial"/>
          <w:b/>
          <w:color w:val="1F4E79" w:themeColor="accent1" w:themeShade="80"/>
          <w:sz w:val="22"/>
          <w:szCs w:val="22"/>
        </w:rPr>
      </w:pPr>
      <w:r w:rsidRPr="00027BE5">
        <w:rPr>
          <w:rFonts w:ascii="Arial" w:hAnsi="Arial" w:cs="Arial"/>
          <w:b/>
          <w:color w:val="1F4E79" w:themeColor="accent1" w:themeShade="80"/>
          <w:sz w:val="22"/>
          <w:szCs w:val="22"/>
        </w:rPr>
        <w:t>Politici contabile</w:t>
      </w:r>
    </w:p>
    <w:p w:rsidR="00027BE5" w:rsidRPr="00027BE5" w:rsidRDefault="00027BE5" w:rsidP="00A25AB2">
      <w:pPr>
        <w:spacing w:line="276" w:lineRule="auto"/>
        <w:ind w:right="57"/>
        <w:contextualSpacing/>
        <w:jc w:val="both"/>
        <w:rPr>
          <w:rFonts w:ascii="Arial" w:hAnsi="Arial" w:cs="Arial"/>
          <w:b/>
          <w:color w:val="1F4E79" w:themeColor="accent1" w:themeShade="80"/>
          <w:sz w:val="22"/>
          <w:szCs w:val="22"/>
        </w:rPr>
      </w:pPr>
    </w:p>
    <w:p w:rsidR="00A25AB2" w:rsidRPr="00AC629B" w:rsidRDefault="00A25AB2" w:rsidP="00A25AB2">
      <w:pPr>
        <w:widowControl/>
        <w:autoSpaceDE/>
        <w:autoSpaceDN/>
        <w:adjustRightInd/>
        <w:spacing w:line="276" w:lineRule="auto"/>
        <w:contextualSpacing/>
        <w:jc w:val="both"/>
        <w:rPr>
          <w:rFonts w:ascii="Arial" w:eastAsia="Calibri" w:hAnsi="Arial" w:cs="Arial"/>
          <w:b/>
          <w:sz w:val="22"/>
          <w:szCs w:val="22"/>
          <w:lang w:eastAsia="en-US"/>
        </w:rPr>
      </w:pPr>
      <w:r w:rsidRPr="00AC629B">
        <w:rPr>
          <w:rFonts w:ascii="Arial" w:hAnsi="Arial" w:cs="Arial"/>
          <w:sz w:val="22"/>
          <w:szCs w:val="22"/>
        </w:rPr>
        <w:t>Politicile contabile și metodele de evaluare adoptate în vederea întocmirii situațiilor financiare interimare sunt aceleași cu cele folosite la întocmirea situațiilor financiare pentru anul încheiat la 31 decembrie 201</w:t>
      </w:r>
      <w:r>
        <w:rPr>
          <w:rFonts w:ascii="Arial" w:hAnsi="Arial" w:cs="Arial"/>
          <w:sz w:val="22"/>
          <w:szCs w:val="22"/>
        </w:rPr>
        <w:t>7</w:t>
      </w:r>
      <w:r w:rsidRPr="00AC629B">
        <w:rPr>
          <w:rFonts w:ascii="Arial" w:hAnsi="Arial" w:cs="Arial"/>
          <w:sz w:val="22"/>
          <w:szCs w:val="22"/>
        </w:rPr>
        <w:t>.</w:t>
      </w:r>
    </w:p>
    <w:p w:rsidR="00A25AB2" w:rsidRPr="00014836" w:rsidRDefault="00A25AB2" w:rsidP="009E3447">
      <w:pPr>
        <w:jc w:val="both"/>
        <w:rPr>
          <w:rFonts w:ascii="Arial" w:hAnsi="Arial" w:cs="Arial"/>
          <w:sz w:val="22"/>
          <w:szCs w:val="22"/>
          <w:lang w:val="fr-FR"/>
        </w:rPr>
      </w:pPr>
    </w:p>
    <w:p w:rsidR="009E3447" w:rsidRDefault="009E3447" w:rsidP="009E3447">
      <w:pPr>
        <w:jc w:val="both"/>
        <w:rPr>
          <w:rFonts w:ascii="Arial" w:hAnsi="Arial" w:cs="Arial"/>
          <w:b/>
          <w:sz w:val="22"/>
          <w:szCs w:val="22"/>
          <w:lang w:eastAsia="en-US"/>
        </w:rPr>
      </w:pPr>
    </w:p>
    <w:p w:rsidR="009E3447" w:rsidRPr="007F5D81" w:rsidRDefault="009E3447" w:rsidP="009E3447">
      <w:pPr>
        <w:jc w:val="both"/>
        <w:rPr>
          <w:rFonts w:ascii="Arial" w:hAnsi="Arial" w:cs="Arial"/>
          <w:b/>
          <w:color w:val="1F4E79" w:themeColor="accent1" w:themeShade="80"/>
          <w:sz w:val="22"/>
          <w:szCs w:val="22"/>
          <w:lang w:eastAsia="en-US"/>
        </w:rPr>
      </w:pPr>
      <w:r w:rsidRPr="007F5D81">
        <w:rPr>
          <w:rFonts w:ascii="Arial" w:hAnsi="Arial" w:cs="Arial"/>
          <w:b/>
          <w:color w:val="1F4E79" w:themeColor="accent1" w:themeShade="80"/>
          <w:sz w:val="22"/>
          <w:szCs w:val="22"/>
          <w:lang w:eastAsia="en-US"/>
        </w:rPr>
        <w:t>Anexe:</w:t>
      </w:r>
    </w:p>
    <w:p w:rsidR="009E3447" w:rsidRPr="00014836" w:rsidRDefault="009E3447" w:rsidP="009E3447">
      <w:pPr>
        <w:jc w:val="both"/>
        <w:rPr>
          <w:rFonts w:ascii="Arial" w:hAnsi="Arial" w:cs="Arial"/>
          <w:b/>
          <w:sz w:val="22"/>
          <w:szCs w:val="22"/>
          <w:lang w:eastAsia="en-US"/>
        </w:rPr>
      </w:pPr>
    </w:p>
    <w:p w:rsidR="009E3447" w:rsidRPr="00014836" w:rsidRDefault="00545E47" w:rsidP="009E3447">
      <w:pPr>
        <w:spacing w:line="276" w:lineRule="auto"/>
        <w:jc w:val="both"/>
        <w:rPr>
          <w:rFonts w:ascii="Arial" w:hAnsi="Arial" w:cs="Arial"/>
          <w:sz w:val="22"/>
          <w:szCs w:val="22"/>
          <w:lang w:eastAsia="en-US"/>
        </w:rPr>
      </w:pPr>
      <w:r>
        <w:rPr>
          <w:rFonts w:ascii="Arial" w:hAnsi="Arial" w:cs="Arial"/>
          <w:b/>
          <w:sz w:val="22"/>
          <w:szCs w:val="22"/>
          <w:lang w:eastAsia="en-US"/>
        </w:rPr>
        <w:t>Anexa nr.</w:t>
      </w:r>
      <w:r w:rsidR="009E3447" w:rsidRPr="00014836">
        <w:rPr>
          <w:rFonts w:ascii="Arial" w:hAnsi="Arial" w:cs="Arial"/>
          <w:b/>
          <w:sz w:val="22"/>
          <w:szCs w:val="22"/>
          <w:lang w:eastAsia="en-US"/>
        </w:rPr>
        <w:t>1</w:t>
      </w:r>
      <w:r w:rsidR="009E3447" w:rsidRPr="00014836">
        <w:rPr>
          <w:rFonts w:ascii="Arial" w:hAnsi="Arial" w:cs="Arial"/>
          <w:sz w:val="22"/>
          <w:szCs w:val="22"/>
          <w:lang w:eastAsia="en-US"/>
        </w:rPr>
        <w:t xml:space="preserve">  Situația interimară a poziției financiare la 30 iunie 2018;</w:t>
      </w:r>
    </w:p>
    <w:p w:rsidR="009E3447" w:rsidRPr="00014836" w:rsidRDefault="00545E47" w:rsidP="009E3447">
      <w:pPr>
        <w:pStyle w:val="Heading1"/>
        <w:tabs>
          <w:tab w:val="num" w:pos="0"/>
        </w:tabs>
        <w:spacing w:before="0" w:after="0"/>
        <w:jc w:val="both"/>
        <w:rPr>
          <w:rFonts w:ascii="Arial" w:hAnsi="Arial" w:cs="Arial"/>
          <w:sz w:val="22"/>
          <w:szCs w:val="22"/>
        </w:rPr>
      </w:pPr>
      <w:r>
        <w:rPr>
          <w:rFonts w:ascii="Arial" w:hAnsi="Arial" w:cs="Arial"/>
          <w:sz w:val="22"/>
          <w:szCs w:val="22"/>
          <w:lang w:eastAsia="en-US"/>
        </w:rPr>
        <w:t>Anexa nr.</w:t>
      </w:r>
      <w:r w:rsidR="009E3447" w:rsidRPr="00014836">
        <w:rPr>
          <w:rFonts w:ascii="Arial" w:hAnsi="Arial" w:cs="Arial"/>
          <w:sz w:val="22"/>
          <w:szCs w:val="22"/>
          <w:lang w:eastAsia="en-US"/>
        </w:rPr>
        <w:t xml:space="preserve">2  </w:t>
      </w:r>
      <w:r w:rsidR="009E3447" w:rsidRPr="00014836">
        <w:rPr>
          <w:rFonts w:ascii="Arial" w:hAnsi="Arial" w:cs="Arial"/>
          <w:b w:val="0"/>
          <w:sz w:val="22"/>
          <w:szCs w:val="22"/>
          <w:lang w:eastAsia="en-US"/>
        </w:rPr>
        <w:t>S</w:t>
      </w:r>
      <w:r w:rsidR="009E3447" w:rsidRPr="00014836">
        <w:rPr>
          <w:rFonts w:ascii="Arial" w:hAnsi="Arial" w:cs="Arial"/>
          <w:b w:val="0"/>
          <w:sz w:val="22"/>
          <w:szCs w:val="22"/>
        </w:rPr>
        <w:t>ituația interimară a profitului sau pierderii și altor elemente ale rezultatului global pentru perioada de șase luni încheiată la 30 iunie 2018;</w:t>
      </w:r>
    </w:p>
    <w:p w:rsidR="009E3447" w:rsidRDefault="00545E47" w:rsidP="009E3447">
      <w:pPr>
        <w:tabs>
          <w:tab w:val="left" w:pos="450"/>
        </w:tabs>
        <w:rPr>
          <w:rFonts w:ascii="Arial" w:hAnsi="Arial" w:cs="Arial"/>
          <w:spacing w:val="3"/>
          <w:sz w:val="22"/>
          <w:szCs w:val="22"/>
        </w:rPr>
      </w:pPr>
      <w:r>
        <w:rPr>
          <w:rFonts w:ascii="Arial" w:hAnsi="Arial" w:cs="Arial"/>
          <w:b/>
          <w:sz w:val="22"/>
          <w:szCs w:val="22"/>
          <w:lang w:eastAsia="en-US"/>
        </w:rPr>
        <w:t>Anexa nr.</w:t>
      </w:r>
      <w:r w:rsidR="009E3447" w:rsidRPr="00014836">
        <w:rPr>
          <w:rFonts w:ascii="Arial" w:hAnsi="Arial" w:cs="Arial"/>
          <w:b/>
          <w:sz w:val="22"/>
          <w:szCs w:val="22"/>
          <w:lang w:eastAsia="en-US"/>
        </w:rPr>
        <w:t>3</w:t>
      </w:r>
      <w:r w:rsidR="009E3447" w:rsidRPr="00014836">
        <w:rPr>
          <w:rFonts w:ascii="Arial" w:hAnsi="Arial" w:cs="Arial"/>
          <w:sz w:val="22"/>
          <w:szCs w:val="22"/>
          <w:lang w:eastAsia="en-US"/>
        </w:rPr>
        <w:t xml:space="preserve">  </w:t>
      </w:r>
      <w:r w:rsidR="009E3447" w:rsidRPr="00014836">
        <w:rPr>
          <w:rFonts w:ascii="Arial" w:hAnsi="Arial" w:cs="Arial"/>
          <w:spacing w:val="3"/>
          <w:sz w:val="22"/>
          <w:szCs w:val="22"/>
        </w:rPr>
        <w:t xml:space="preserve">Situația </w:t>
      </w:r>
      <w:r w:rsidR="009E3447">
        <w:rPr>
          <w:rFonts w:ascii="Arial" w:hAnsi="Arial" w:cs="Arial"/>
          <w:spacing w:val="3"/>
          <w:sz w:val="22"/>
          <w:szCs w:val="22"/>
        </w:rPr>
        <w:t>interimară a</w:t>
      </w:r>
      <w:r w:rsidR="009E3447" w:rsidRPr="00014836">
        <w:rPr>
          <w:rFonts w:ascii="Arial" w:hAnsi="Arial" w:cs="Arial"/>
          <w:spacing w:val="3"/>
          <w:sz w:val="22"/>
          <w:szCs w:val="22"/>
        </w:rPr>
        <w:t xml:space="preserve"> fluxurilor de trezorerie pentru perioada de 6 luni încheiată la 30 iunie 2018 </w:t>
      </w:r>
    </w:p>
    <w:p w:rsidR="00545E47" w:rsidRPr="00014836" w:rsidRDefault="00545E47" w:rsidP="009E3447">
      <w:pPr>
        <w:tabs>
          <w:tab w:val="left" w:pos="450"/>
        </w:tabs>
        <w:rPr>
          <w:rFonts w:ascii="Arial" w:hAnsi="Arial" w:cs="Arial"/>
          <w:spacing w:val="3"/>
          <w:sz w:val="22"/>
          <w:szCs w:val="22"/>
        </w:rPr>
      </w:pPr>
      <w:r>
        <w:rPr>
          <w:rFonts w:ascii="Arial" w:hAnsi="Arial" w:cs="Arial"/>
          <w:b/>
          <w:spacing w:val="3"/>
          <w:sz w:val="22"/>
          <w:szCs w:val="22"/>
        </w:rPr>
        <w:t>Anexa nr.</w:t>
      </w:r>
      <w:r w:rsidRPr="00545E47">
        <w:rPr>
          <w:rFonts w:ascii="Arial" w:hAnsi="Arial" w:cs="Arial"/>
          <w:b/>
          <w:spacing w:val="3"/>
          <w:sz w:val="22"/>
          <w:szCs w:val="22"/>
        </w:rPr>
        <w:t>4</w:t>
      </w:r>
      <w:r>
        <w:rPr>
          <w:rFonts w:ascii="Arial" w:hAnsi="Arial" w:cs="Arial"/>
          <w:spacing w:val="3"/>
          <w:sz w:val="22"/>
          <w:szCs w:val="22"/>
        </w:rPr>
        <w:t xml:space="preserve">  Execuția Bugetului de Venituri și Cheltuieli la data de 30 iunie 2018</w:t>
      </w:r>
    </w:p>
    <w:p w:rsidR="009E3447" w:rsidRPr="00014836" w:rsidRDefault="00545E47" w:rsidP="009E3447">
      <w:pPr>
        <w:spacing w:line="276" w:lineRule="auto"/>
        <w:rPr>
          <w:rFonts w:ascii="Arial" w:hAnsi="Arial" w:cs="Arial"/>
          <w:sz w:val="22"/>
          <w:szCs w:val="22"/>
          <w:lang w:val="fr-FR" w:eastAsia="en-US"/>
        </w:rPr>
      </w:pPr>
      <w:r>
        <w:rPr>
          <w:rFonts w:ascii="Arial" w:hAnsi="Arial" w:cs="Arial"/>
          <w:b/>
          <w:sz w:val="22"/>
          <w:szCs w:val="22"/>
          <w:lang w:val="fr-FR" w:eastAsia="en-US"/>
        </w:rPr>
        <w:t>Anexa nr.5</w:t>
      </w:r>
      <w:r w:rsidR="009E3447" w:rsidRPr="00014836">
        <w:rPr>
          <w:rFonts w:ascii="Arial" w:hAnsi="Arial" w:cs="Arial"/>
          <w:sz w:val="22"/>
          <w:szCs w:val="22"/>
          <w:lang w:val="fr-FR" w:eastAsia="en-US"/>
        </w:rPr>
        <w:t xml:space="preserve">  Situație contracte de achiziție lucrări și produse cu valori mai mari de 500.000 euro, încheiate în perioada 01.01.2018-30.06.2018 ;</w:t>
      </w:r>
    </w:p>
    <w:p w:rsidR="009E3447" w:rsidRDefault="00545E47" w:rsidP="009E3447">
      <w:pPr>
        <w:spacing w:line="276" w:lineRule="auto"/>
        <w:rPr>
          <w:rFonts w:ascii="Arial" w:hAnsi="Arial" w:cs="Arial"/>
          <w:sz w:val="22"/>
          <w:szCs w:val="22"/>
          <w:lang w:val="fr-FR" w:eastAsia="en-US"/>
        </w:rPr>
      </w:pPr>
      <w:r>
        <w:rPr>
          <w:rFonts w:ascii="Arial" w:hAnsi="Arial" w:cs="Arial"/>
          <w:b/>
          <w:sz w:val="22"/>
          <w:szCs w:val="22"/>
          <w:lang w:val="fr-FR" w:eastAsia="en-US"/>
        </w:rPr>
        <w:t>Anexa nr.6</w:t>
      </w:r>
      <w:r w:rsidR="009E3447" w:rsidRPr="00014836">
        <w:rPr>
          <w:rFonts w:ascii="Arial" w:hAnsi="Arial" w:cs="Arial"/>
          <w:sz w:val="22"/>
          <w:szCs w:val="22"/>
          <w:lang w:val="fr-FR" w:eastAsia="en-US"/>
        </w:rPr>
        <w:t xml:space="preserve">  Situație contracte de achiziție servicii cu valori mai mari de 100.000 euro, încheiate în</w:t>
      </w:r>
      <w:r w:rsidR="0081051B">
        <w:rPr>
          <w:rFonts w:ascii="Arial" w:hAnsi="Arial" w:cs="Arial"/>
          <w:sz w:val="22"/>
          <w:szCs w:val="22"/>
          <w:lang w:val="fr-FR" w:eastAsia="en-US"/>
        </w:rPr>
        <w:t xml:space="preserve"> perioada 01.01.2018-30.06.2018</w:t>
      </w:r>
    </w:p>
    <w:p w:rsidR="00AF2869" w:rsidRPr="00014836" w:rsidRDefault="00545E47" w:rsidP="009E3447">
      <w:pPr>
        <w:spacing w:line="276" w:lineRule="auto"/>
        <w:rPr>
          <w:rFonts w:ascii="Arial" w:hAnsi="Arial" w:cs="Arial"/>
          <w:sz w:val="22"/>
          <w:szCs w:val="22"/>
          <w:lang w:val="fr-FR" w:eastAsia="en-US"/>
        </w:rPr>
      </w:pPr>
      <w:r>
        <w:rPr>
          <w:rFonts w:ascii="Arial" w:hAnsi="Arial" w:cs="Arial"/>
          <w:b/>
          <w:sz w:val="22"/>
          <w:szCs w:val="22"/>
          <w:lang w:val="fr-FR" w:eastAsia="en-US"/>
        </w:rPr>
        <w:t>Anexa nr.7</w:t>
      </w:r>
      <w:r w:rsidR="00AF2869">
        <w:rPr>
          <w:rFonts w:ascii="Arial" w:hAnsi="Arial" w:cs="Arial"/>
          <w:sz w:val="22"/>
          <w:szCs w:val="22"/>
          <w:lang w:val="fr-FR" w:eastAsia="en-US"/>
        </w:rPr>
        <w:t xml:space="preserve"> </w:t>
      </w:r>
      <w:r w:rsidR="008C6165">
        <w:rPr>
          <w:rFonts w:ascii="Arial" w:hAnsi="Arial" w:cs="Arial"/>
          <w:sz w:val="22"/>
          <w:szCs w:val="22"/>
          <w:lang w:val="fr-FR" w:eastAsia="en-US"/>
        </w:rPr>
        <w:t xml:space="preserve">Situația </w:t>
      </w:r>
      <w:r w:rsidR="00474B20">
        <w:rPr>
          <w:rFonts w:ascii="Arial" w:hAnsi="Arial" w:cs="Arial"/>
          <w:sz w:val="22"/>
          <w:szCs w:val="22"/>
          <w:lang w:val="fr-FR" w:eastAsia="en-US"/>
        </w:rPr>
        <w:t>litigiilor la data de 30.06.2018</w:t>
      </w:r>
    </w:p>
    <w:p w:rsidR="009E3447" w:rsidRDefault="009E3447" w:rsidP="009E3447">
      <w:pPr>
        <w:rPr>
          <w:rFonts w:ascii="Arial" w:hAnsi="Arial" w:cs="Arial"/>
          <w:b/>
          <w:sz w:val="22"/>
          <w:szCs w:val="22"/>
        </w:rPr>
      </w:pPr>
    </w:p>
    <w:p w:rsidR="009E3447" w:rsidRDefault="009E3447" w:rsidP="009E3447">
      <w:pPr>
        <w:rPr>
          <w:rFonts w:ascii="Arial" w:hAnsi="Arial" w:cs="Arial"/>
          <w:b/>
          <w:sz w:val="22"/>
          <w:szCs w:val="22"/>
        </w:rPr>
      </w:pPr>
    </w:p>
    <w:p w:rsidR="009E3447" w:rsidRPr="00A74CF5" w:rsidRDefault="009E3447" w:rsidP="009E3447">
      <w:pPr>
        <w:rPr>
          <w:rFonts w:ascii="Arial" w:hAnsi="Arial" w:cs="Arial"/>
          <w:b/>
          <w:sz w:val="22"/>
          <w:szCs w:val="22"/>
        </w:rPr>
      </w:pPr>
    </w:p>
    <w:p w:rsidR="009E3447" w:rsidRPr="007368E3" w:rsidRDefault="009E3447" w:rsidP="009E3447">
      <w:pPr>
        <w:jc w:val="center"/>
        <w:rPr>
          <w:rFonts w:ascii="Arial" w:hAnsi="Arial" w:cs="Arial"/>
          <w:b/>
          <w:sz w:val="22"/>
          <w:szCs w:val="22"/>
        </w:rPr>
      </w:pPr>
      <w:r w:rsidRPr="007368E3">
        <w:rPr>
          <w:rFonts w:ascii="Arial" w:hAnsi="Arial" w:cs="Arial"/>
          <w:b/>
          <w:sz w:val="22"/>
          <w:szCs w:val="22"/>
        </w:rPr>
        <w:t>Președinte</w:t>
      </w:r>
      <w:r w:rsidR="003B6AFB">
        <w:rPr>
          <w:rFonts w:ascii="Arial" w:hAnsi="Arial" w:cs="Arial"/>
          <w:b/>
          <w:sz w:val="22"/>
          <w:szCs w:val="22"/>
        </w:rPr>
        <w:t>le</w:t>
      </w:r>
      <w:r w:rsidRPr="007368E3">
        <w:rPr>
          <w:rFonts w:ascii="Arial" w:hAnsi="Arial" w:cs="Arial"/>
          <w:b/>
          <w:sz w:val="22"/>
          <w:szCs w:val="22"/>
        </w:rPr>
        <w:t xml:space="preserve"> Consiliu</w:t>
      </w:r>
      <w:r w:rsidR="003B6AFB">
        <w:rPr>
          <w:rFonts w:ascii="Arial" w:hAnsi="Arial" w:cs="Arial"/>
          <w:b/>
          <w:sz w:val="22"/>
          <w:szCs w:val="22"/>
        </w:rPr>
        <w:t>lui</w:t>
      </w:r>
      <w:r w:rsidRPr="007368E3">
        <w:rPr>
          <w:rFonts w:ascii="Arial" w:hAnsi="Arial" w:cs="Arial"/>
          <w:b/>
          <w:sz w:val="22"/>
          <w:szCs w:val="22"/>
        </w:rPr>
        <w:t xml:space="preserve"> de Administrație</w:t>
      </w:r>
    </w:p>
    <w:p w:rsidR="009E3447" w:rsidRPr="007368E3" w:rsidRDefault="009E3447" w:rsidP="009E3447">
      <w:pPr>
        <w:jc w:val="center"/>
        <w:rPr>
          <w:rFonts w:ascii="Arial" w:hAnsi="Arial" w:cs="Arial"/>
          <w:b/>
          <w:sz w:val="22"/>
          <w:szCs w:val="22"/>
        </w:rPr>
      </w:pPr>
      <w:r w:rsidRPr="007368E3">
        <w:rPr>
          <w:rFonts w:ascii="Arial" w:hAnsi="Arial" w:cs="Arial"/>
          <w:b/>
          <w:sz w:val="22"/>
          <w:szCs w:val="22"/>
        </w:rPr>
        <w:t>CONPET S.A.</w:t>
      </w:r>
    </w:p>
    <w:p w:rsidR="009E3447" w:rsidRPr="007368E3" w:rsidRDefault="009E3447" w:rsidP="009E3447">
      <w:pPr>
        <w:jc w:val="center"/>
        <w:rPr>
          <w:rFonts w:ascii="Arial" w:hAnsi="Arial" w:cs="Arial"/>
          <w:b/>
          <w:color w:val="FF0000"/>
          <w:sz w:val="22"/>
          <w:szCs w:val="22"/>
        </w:rPr>
      </w:pPr>
    </w:p>
    <w:p w:rsidR="009E3447" w:rsidRPr="007368E3" w:rsidRDefault="009E3447" w:rsidP="009E3447">
      <w:pPr>
        <w:jc w:val="center"/>
        <w:rPr>
          <w:rFonts w:ascii="Arial" w:hAnsi="Arial" w:cs="Arial"/>
          <w:b/>
          <w:sz w:val="22"/>
          <w:szCs w:val="22"/>
        </w:rPr>
      </w:pPr>
      <w:r w:rsidRPr="007368E3">
        <w:rPr>
          <w:rFonts w:ascii="Arial" w:hAnsi="Arial" w:cs="Arial"/>
          <w:b/>
          <w:sz w:val="22"/>
          <w:szCs w:val="22"/>
        </w:rPr>
        <w:t xml:space="preserve"> Manuela-Petronela STAN-OLTEANU</w:t>
      </w:r>
    </w:p>
    <w:p w:rsidR="009E3447" w:rsidRPr="007368E3" w:rsidRDefault="009E3447" w:rsidP="009E3447">
      <w:pPr>
        <w:autoSpaceDE/>
        <w:jc w:val="both"/>
        <w:rPr>
          <w:rFonts w:ascii="Arial" w:hAnsi="Arial" w:cs="Arial"/>
          <w:b/>
          <w:i/>
          <w:iCs/>
          <w:color w:val="FF0000"/>
          <w:sz w:val="22"/>
          <w:szCs w:val="22"/>
          <w:lang w:val="fr-FR"/>
        </w:rPr>
      </w:pPr>
    </w:p>
    <w:p w:rsidR="009E3447" w:rsidRDefault="009E3447" w:rsidP="009E3447">
      <w:pPr>
        <w:jc w:val="center"/>
        <w:rPr>
          <w:rFonts w:ascii="Arial" w:hAnsi="Arial" w:cs="Arial"/>
          <w:b/>
          <w:sz w:val="22"/>
          <w:szCs w:val="22"/>
        </w:rPr>
      </w:pPr>
    </w:p>
    <w:p w:rsidR="009E3447" w:rsidRDefault="009E3447" w:rsidP="00461FC5">
      <w:pPr>
        <w:spacing w:line="276" w:lineRule="auto"/>
        <w:jc w:val="both"/>
        <w:rPr>
          <w:rFonts w:ascii="Arial" w:hAnsi="Arial" w:cs="Arial"/>
          <w:sz w:val="22"/>
          <w:szCs w:val="22"/>
        </w:rPr>
      </w:pPr>
    </w:p>
    <w:p w:rsidR="00461FC5" w:rsidRDefault="00461FC5" w:rsidP="00461FC5">
      <w:pPr>
        <w:spacing w:line="276" w:lineRule="auto"/>
        <w:jc w:val="both"/>
        <w:rPr>
          <w:rFonts w:ascii="Arial" w:hAnsi="Arial" w:cs="Arial"/>
          <w:sz w:val="22"/>
          <w:szCs w:val="22"/>
        </w:rPr>
      </w:pPr>
    </w:p>
    <w:p w:rsidR="00461FC5" w:rsidRDefault="00461FC5" w:rsidP="00461FC5">
      <w:pPr>
        <w:spacing w:line="276" w:lineRule="auto"/>
        <w:jc w:val="both"/>
        <w:rPr>
          <w:rFonts w:ascii="Arial" w:hAnsi="Arial" w:cs="Arial"/>
          <w:sz w:val="22"/>
          <w:szCs w:val="22"/>
        </w:rPr>
      </w:pPr>
    </w:p>
    <w:p w:rsidR="00461FC5" w:rsidRDefault="00461FC5" w:rsidP="00461FC5">
      <w:pPr>
        <w:spacing w:line="276" w:lineRule="auto"/>
        <w:jc w:val="both"/>
        <w:rPr>
          <w:rFonts w:ascii="Arial" w:hAnsi="Arial" w:cs="Arial"/>
          <w:sz w:val="22"/>
          <w:szCs w:val="22"/>
        </w:rPr>
      </w:pPr>
    </w:p>
    <w:p w:rsidR="00793A91" w:rsidRDefault="00793A91" w:rsidP="00461FC5">
      <w:pPr>
        <w:spacing w:line="276" w:lineRule="auto"/>
        <w:jc w:val="both"/>
        <w:rPr>
          <w:rFonts w:ascii="Arial" w:hAnsi="Arial" w:cs="Arial"/>
          <w:sz w:val="22"/>
          <w:szCs w:val="22"/>
        </w:rPr>
      </w:pPr>
    </w:p>
    <w:p w:rsidR="00793A91" w:rsidRDefault="00793A91" w:rsidP="00461FC5">
      <w:pPr>
        <w:spacing w:line="276" w:lineRule="auto"/>
        <w:jc w:val="both"/>
        <w:rPr>
          <w:rFonts w:ascii="Arial" w:hAnsi="Arial" w:cs="Arial"/>
          <w:sz w:val="22"/>
          <w:szCs w:val="22"/>
        </w:rPr>
      </w:pPr>
    </w:p>
    <w:p w:rsidR="00793A91" w:rsidRDefault="00793A91" w:rsidP="00461FC5">
      <w:pPr>
        <w:spacing w:line="276" w:lineRule="auto"/>
        <w:jc w:val="both"/>
        <w:rPr>
          <w:rFonts w:ascii="Arial" w:hAnsi="Arial" w:cs="Arial"/>
          <w:sz w:val="22"/>
          <w:szCs w:val="22"/>
        </w:rPr>
      </w:pPr>
    </w:p>
    <w:p w:rsidR="00793A91" w:rsidRDefault="00793A91" w:rsidP="00461FC5">
      <w:pPr>
        <w:spacing w:line="276" w:lineRule="auto"/>
        <w:jc w:val="both"/>
        <w:rPr>
          <w:rFonts w:ascii="Arial" w:hAnsi="Arial" w:cs="Arial"/>
          <w:sz w:val="22"/>
          <w:szCs w:val="22"/>
        </w:rPr>
      </w:pPr>
    </w:p>
    <w:p w:rsidR="00793A91" w:rsidRDefault="00793A91" w:rsidP="00461FC5">
      <w:pPr>
        <w:spacing w:line="276" w:lineRule="auto"/>
        <w:jc w:val="both"/>
        <w:rPr>
          <w:rFonts w:ascii="Arial" w:hAnsi="Arial" w:cs="Arial"/>
          <w:sz w:val="22"/>
          <w:szCs w:val="22"/>
        </w:rPr>
      </w:pPr>
    </w:p>
    <w:p w:rsidR="00E31579" w:rsidRDefault="00E31579" w:rsidP="00DD6E8F">
      <w:pPr>
        <w:rPr>
          <w:rFonts w:ascii="Arial" w:hAnsi="Arial" w:cs="Arial"/>
          <w:b/>
          <w:sz w:val="22"/>
          <w:szCs w:val="22"/>
        </w:rPr>
      </w:pPr>
    </w:p>
    <w:p w:rsidR="00DD6E8F" w:rsidRPr="00CA3CF8" w:rsidRDefault="00DD6E8F" w:rsidP="00DD6E8F">
      <w:pPr>
        <w:rPr>
          <w:rFonts w:ascii="Arial" w:hAnsi="Arial" w:cs="Arial"/>
          <w:b/>
          <w:color w:val="1F4E79" w:themeColor="accent1" w:themeShade="80"/>
          <w:sz w:val="22"/>
          <w:szCs w:val="22"/>
        </w:rPr>
      </w:pPr>
      <w:r w:rsidRPr="00CA3CF8">
        <w:rPr>
          <w:rFonts w:ascii="Arial" w:hAnsi="Arial" w:cs="Arial"/>
          <w:b/>
          <w:color w:val="1F4E79" w:themeColor="accent1" w:themeShade="80"/>
          <w:sz w:val="22"/>
          <w:szCs w:val="22"/>
        </w:rPr>
        <w:t>Anexa nr. 1</w:t>
      </w:r>
    </w:p>
    <w:p w:rsidR="00F72F65" w:rsidRPr="00CA3CF8" w:rsidRDefault="00F72F65" w:rsidP="00DD6E8F">
      <w:pPr>
        <w:rPr>
          <w:rFonts w:ascii="Arial" w:hAnsi="Arial" w:cs="Arial"/>
          <w:b/>
          <w:color w:val="1F4E79" w:themeColor="accent1" w:themeShade="80"/>
          <w:sz w:val="22"/>
          <w:szCs w:val="22"/>
        </w:rPr>
      </w:pPr>
    </w:p>
    <w:p w:rsidR="00E31579" w:rsidRPr="00CA3CF8" w:rsidRDefault="00E31579" w:rsidP="00E31579">
      <w:pPr>
        <w:pStyle w:val="Heading1"/>
        <w:spacing w:before="0" w:after="0"/>
        <w:jc w:val="center"/>
        <w:rPr>
          <w:rFonts w:ascii="Arial" w:hAnsi="Arial" w:cs="Arial"/>
          <w:color w:val="1F4E79" w:themeColor="accent1" w:themeShade="80"/>
          <w:sz w:val="22"/>
          <w:szCs w:val="22"/>
        </w:rPr>
      </w:pPr>
      <w:r w:rsidRPr="00CA3CF8">
        <w:rPr>
          <w:rFonts w:ascii="Arial" w:hAnsi="Arial" w:cs="Arial"/>
          <w:color w:val="1F4E79" w:themeColor="accent1" w:themeShade="80"/>
          <w:sz w:val="22"/>
          <w:szCs w:val="22"/>
        </w:rPr>
        <w:t>SITUAȚIA INTERIMARĂ A POZIȚIEI FINANCIARE LA 30 IUNIE 2018</w:t>
      </w:r>
    </w:p>
    <w:p w:rsidR="00E31579" w:rsidRPr="00CA3CF8" w:rsidRDefault="00E31579" w:rsidP="00E31579">
      <w:pPr>
        <w:rPr>
          <w:color w:val="1F4E79" w:themeColor="accent1" w:themeShade="80"/>
        </w:rPr>
      </w:pPr>
    </w:p>
    <w:p w:rsidR="00E31579" w:rsidRPr="001F3D8A" w:rsidRDefault="00E31579" w:rsidP="00E31579"/>
    <w:tbl>
      <w:tblPr>
        <w:tblW w:w="8747" w:type="dxa"/>
        <w:tblLook w:val="04A0" w:firstRow="1" w:lastRow="0" w:firstColumn="1" w:lastColumn="0" w:noHBand="0" w:noVBand="1"/>
      </w:tblPr>
      <w:tblGrid>
        <w:gridCol w:w="4399"/>
        <w:gridCol w:w="1973"/>
        <w:gridCol w:w="2375"/>
      </w:tblGrid>
      <w:tr w:rsidR="00E31579" w:rsidRPr="001F3D8A" w:rsidTr="00E31579">
        <w:trPr>
          <w:trHeight w:val="45"/>
          <w:tblHeader/>
        </w:trPr>
        <w:tc>
          <w:tcPr>
            <w:tcW w:w="4399" w:type="dxa"/>
            <w:tcBorders>
              <w:top w:val="nil"/>
              <w:left w:val="nil"/>
              <w:bottom w:val="nil"/>
              <w:right w:val="nil"/>
            </w:tcBorders>
            <w:shd w:val="clear" w:color="auto" w:fill="auto"/>
            <w:vAlign w:val="center"/>
            <w:hideMark/>
          </w:tcPr>
          <w:p w:rsidR="00E31579" w:rsidRPr="001F3D8A" w:rsidRDefault="00E31579" w:rsidP="00DF06F0">
            <w:pPr>
              <w:jc w:val="center"/>
              <w:rPr>
                <w:rFonts w:ascii="Arial" w:hAnsi="Arial" w:cs="Arial"/>
                <w:b/>
                <w:bCs/>
                <w:i/>
                <w:iCs/>
                <w:sz w:val="22"/>
                <w:szCs w:val="22"/>
                <w:lang w:val="en-US"/>
              </w:rPr>
            </w:pPr>
          </w:p>
        </w:tc>
        <w:tc>
          <w:tcPr>
            <w:tcW w:w="1973" w:type="dxa"/>
            <w:tcBorders>
              <w:top w:val="single" w:sz="4" w:space="0" w:color="auto"/>
              <w:left w:val="nil"/>
              <w:right w:val="nil"/>
            </w:tcBorders>
            <w:shd w:val="clear" w:color="auto" w:fill="DEEAF6" w:themeFill="accent1" w:themeFillTint="33"/>
            <w:vAlign w:val="center"/>
            <w:hideMark/>
          </w:tcPr>
          <w:p w:rsidR="00E31579" w:rsidRPr="001F3D8A" w:rsidRDefault="00E31579" w:rsidP="00397121">
            <w:pPr>
              <w:jc w:val="center"/>
              <w:rPr>
                <w:rFonts w:ascii="Arial" w:hAnsi="Arial" w:cs="Arial"/>
                <w:b/>
                <w:bCs/>
                <w:sz w:val="22"/>
                <w:szCs w:val="22"/>
                <w:lang w:val="en-US"/>
              </w:rPr>
            </w:pPr>
            <w:r w:rsidRPr="001F3D8A">
              <w:rPr>
                <w:rFonts w:ascii="Arial" w:hAnsi="Arial" w:cs="Arial"/>
                <w:b/>
                <w:bCs/>
                <w:sz w:val="22"/>
                <w:szCs w:val="22"/>
                <w:lang w:val="en-US"/>
              </w:rPr>
              <w:t>30 iunie 2018</w:t>
            </w:r>
          </w:p>
          <w:p w:rsidR="00E31579" w:rsidRPr="001F3D8A" w:rsidRDefault="00E31579" w:rsidP="00397121">
            <w:pPr>
              <w:jc w:val="center"/>
              <w:rPr>
                <w:rFonts w:ascii="Arial" w:hAnsi="Arial" w:cs="Arial"/>
                <w:b/>
                <w:bCs/>
                <w:sz w:val="22"/>
                <w:szCs w:val="22"/>
                <w:lang w:val="en-US"/>
              </w:rPr>
            </w:pPr>
            <w:r w:rsidRPr="001F3D8A">
              <w:rPr>
                <w:rFonts w:ascii="Arial" w:hAnsi="Arial" w:cs="Arial"/>
                <w:b/>
                <w:bCs/>
                <w:sz w:val="22"/>
                <w:szCs w:val="22"/>
                <w:lang w:val="en-US"/>
              </w:rPr>
              <w:t>(revizuită)</w:t>
            </w:r>
          </w:p>
        </w:tc>
        <w:tc>
          <w:tcPr>
            <w:tcW w:w="2375" w:type="dxa"/>
            <w:tcBorders>
              <w:top w:val="single" w:sz="4" w:space="0" w:color="auto"/>
              <w:left w:val="nil"/>
              <w:right w:val="nil"/>
            </w:tcBorders>
            <w:shd w:val="clear" w:color="auto" w:fill="DEEAF6" w:themeFill="accent1" w:themeFillTint="33"/>
            <w:vAlign w:val="center"/>
            <w:hideMark/>
          </w:tcPr>
          <w:p w:rsidR="00E31579" w:rsidRPr="001F3D8A" w:rsidRDefault="00E31579" w:rsidP="00397121">
            <w:pPr>
              <w:jc w:val="center"/>
              <w:rPr>
                <w:rFonts w:ascii="Arial" w:hAnsi="Arial" w:cs="Arial"/>
                <w:b/>
                <w:bCs/>
                <w:sz w:val="22"/>
                <w:szCs w:val="22"/>
                <w:lang w:val="en-US"/>
              </w:rPr>
            </w:pPr>
            <w:r w:rsidRPr="001F3D8A">
              <w:rPr>
                <w:rFonts w:ascii="Arial" w:hAnsi="Arial" w:cs="Arial"/>
                <w:b/>
                <w:bCs/>
                <w:sz w:val="22"/>
                <w:szCs w:val="22"/>
                <w:lang w:val="en-US"/>
              </w:rPr>
              <w:t>31 decembrie 2017</w:t>
            </w:r>
          </w:p>
          <w:p w:rsidR="00E31579" w:rsidRPr="001F3D8A" w:rsidRDefault="00E31579" w:rsidP="00397121">
            <w:pPr>
              <w:jc w:val="center"/>
              <w:rPr>
                <w:rFonts w:ascii="Arial" w:hAnsi="Arial" w:cs="Arial"/>
                <w:b/>
                <w:bCs/>
                <w:sz w:val="22"/>
                <w:szCs w:val="22"/>
                <w:lang w:val="en-US"/>
              </w:rPr>
            </w:pPr>
            <w:r w:rsidRPr="001F3D8A">
              <w:rPr>
                <w:rFonts w:ascii="Arial" w:hAnsi="Arial" w:cs="Arial"/>
                <w:b/>
                <w:bCs/>
                <w:sz w:val="22"/>
                <w:szCs w:val="22"/>
                <w:lang w:val="en-US"/>
              </w:rPr>
              <w:t>(auditată)</w:t>
            </w:r>
          </w:p>
        </w:tc>
      </w:tr>
      <w:tr w:rsidR="00E31579" w:rsidRPr="001F3D8A" w:rsidTr="00E31579">
        <w:trPr>
          <w:trHeight w:val="264"/>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ACTIVE</w:t>
            </w:r>
          </w:p>
        </w:tc>
        <w:tc>
          <w:tcPr>
            <w:tcW w:w="1973" w:type="dxa"/>
            <w:tcBorders>
              <w:top w:val="single" w:sz="4" w:space="0" w:color="auto"/>
              <w:left w:val="nil"/>
              <w:bottom w:val="nil"/>
              <w:right w:val="nil"/>
            </w:tcBorders>
            <w:shd w:val="clear" w:color="auto" w:fill="auto"/>
            <w:noWrap/>
            <w:vAlign w:val="bottom"/>
            <w:hideMark/>
          </w:tcPr>
          <w:p w:rsidR="00E31579" w:rsidRPr="001F3D8A" w:rsidRDefault="00E31579" w:rsidP="00DF06F0">
            <w:pPr>
              <w:rPr>
                <w:lang w:val="en-US"/>
              </w:rPr>
            </w:pPr>
          </w:p>
        </w:tc>
        <w:tc>
          <w:tcPr>
            <w:tcW w:w="2375" w:type="dxa"/>
            <w:tcBorders>
              <w:top w:val="single" w:sz="4" w:space="0" w:color="auto"/>
              <w:left w:val="nil"/>
              <w:bottom w:val="nil"/>
              <w:right w:val="nil"/>
            </w:tcBorders>
            <w:shd w:val="clear" w:color="auto" w:fill="auto"/>
            <w:noWrap/>
            <w:hideMark/>
          </w:tcPr>
          <w:p w:rsidR="00E31579" w:rsidRPr="001F3D8A" w:rsidRDefault="00E31579" w:rsidP="00DF06F0">
            <w:pPr>
              <w:rPr>
                <w:lang w:val="en-US"/>
              </w:rPr>
            </w:pPr>
          </w:p>
        </w:tc>
      </w:tr>
      <w:tr w:rsidR="00E31579" w:rsidRPr="001F3D8A" w:rsidTr="00E31579">
        <w:trPr>
          <w:trHeight w:val="264"/>
        </w:trPr>
        <w:tc>
          <w:tcPr>
            <w:tcW w:w="4399" w:type="dxa"/>
            <w:tcBorders>
              <w:top w:val="nil"/>
              <w:left w:val="nil"/>
              <w:bottom w:val="nil"/>
              <w:right w:val="nil"/>
            </w:tcBorders>
            <w:shd w:val="clear" w:color="auto" w:fill="auto"/>
            <w:vAlign w:val="center"/>
          </w:tcPr>
          <w:p w:rsidR="00E31579" w:rsidRPr="001F3D8A" w:rsidRDefault="00E31579" w:rsidP="00DF06F0">
            <w:pPr>
              <w:rPr>
                <w:rFonts w:ascii="Arial" w:hAnsi="Arial" w:cs="Arial"/>
                <w:b/>
                <w:sz w:val="22"/>
                <w:szCs w:val="22"/>
                <w:lang w:val="en-US"/>
              </w:rPr>
            </w:pPr>
            <w:r w:rsidRPr="001F3D8A">
              <w:rPr>
                <w:rFonts w:ascii="Arial" w:hAnsi="Arial" w:cs="Arial"/>
                <w:b/>
                <w:sz w:val="22"/>
                <w:szCs w:val="22"/>
                <w:lang w:val="en-US"/>
              </w:rPr>
              <w:t>Active imobilizate</w:t>
            </w:r>
          </w:p>
        </w:tc>
        <w:tc>
          <w:tcPr>
            <w:tcW w:w="1973" w:type="dxa"/>
            <w:tcBorders>
              <w:top w:val="nil"/>
              <w:left w:val="nil"/>
              <w:bottom w:val="nil"/>
              <w:right w:val="nil"/>
            </w:tcBorders>
            <w:shd w:val="clear" w:color="auto" w:fill="auto"/>
            <w:noWrap/>
            <w:vAlign w:val="center"/>
          </w:tcPr>
          <w:p w:rsidR="00E31579" w:rsidRPr="001F3D8A" w:rsidRDefault="00E31579" w:rsidP="00DF06F0">
            <w:pPr>
              <w:jc w:val="right"/>
              <w:rPr>
                <w:rFonts w:ascii="Arial" w:hAnsi="Arial" w:cs="Arial"/>
                <w:sz w:val="22"/>
                <w:szCs w:val="22"/>
                <w:lang w:val="en-US"/>
              </w:rPr>
            </w:pPr>
          </w:p>
        </w:tc>
        <w:tc>
          <w:tcPr>
            <w:tcW w:w="2375" w:type="dxa"/>
            <w:tcBorders>
              <w:top w:val="nil"/>
              <w:left w:val="nil"/>
              <w:bottom w:val="nil"/>
              <w:right w:val="nil"/>
            </w:tcBorders>
            <w:shd w:val="clear" w:color="auto" w:fill="auto"/>
            <w:noWrap/>
            <w:vAlign w:val="center"/>
          </w:tcPr>
          <w:p w:rsidR="00E31579" w:rsidRPr="001F3D8A" w:rsidRDefault="00E31579" w:rsidP="00DF06F0">
            <w:pPr>
              <w:jc w:val="right"/>
              <w:rPr>
                <w:rFonts w:ascii="Arial" w:hAnsi="Arial" w:cs="Arial"/>
                <w:sz w:val="22"/>
                <w:szCs w:val="22"/>
                <w:lang w:val="en-US"/>
              </w:rPr>
            </w:pPr>
          </w:p>
        </w:tc>
      </w:tr>
      <w:tr w:rsidR="00E31579" w:rsidRPr="001F3D8A" w:rsidTr="00E31579">
        <w:trPr>
          <w:trHeight w:val="264"/>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Imobilizări corporale</w:t>
            </w:r>
          </w:p>
        </w:tc>
        <w:tc>
          <w:tcPr>
            <w:tcW w:w="1973" w:type="dxa"/>
            <w:tcBorders>
              <w:top w:val="nil"/>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lang w:val="en-US"/>
              </w:rPr>
              <w:t>417.776.146</w:t>
            </w:r>
          </w:p>
        </w:tc>
        <w:tc>
          <w:tcPr>
            <w:tcW w:w="2375" w:type="dxa"/>
            <w:tcBorders>
              <w:top w:val="nil"/>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lang w:val="en-US"/>
              </w:rPr>
              <w:t>407.275.686</w:t>
            </w:r>
          </w:p>
        </w:tc>
      </w:tr>
      <w:tr w:rsidR="00E31579" w:rsidRPr="001F3D8A" w:rsidTr="00E31579">
        <w:trPr>
          <w:trHeight w:val="264"/>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Imobilizări necorporale</w:t>
            </w:r>
          </w:p>
        </w:tc>
        <w:tc>
          <w:tcPr>
            <w:tcW w:w="1973" w:type="dxa"/>
            <w:tcBorders>
              <w:top w:val="nil"/>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lang w:val="en-US"/>
              </w:rPr>
              <w:t>980.061</w:t>
            </w:r>
          </w:p>
        </w:tc>
        <w:tc>
          <w:tcPr>
            <w:tcW w:w="2375" w:type="dxa"/>
            <w:tcBorders>
              <w:top w:val="nil"/>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lang w:val="en-US"/>
              </w:rPr>
              <w:t>1.462.672</w:t>
            </w:r>
          </w:p>
        </w:tc>
      </w:tr>
      <w:tr w:rsidR="00E31579" w:rsidRPr="001F3D8A" w:rsidTr="00E31579">
        <w:trPr>
          <w:trHeight w:val="275"/>
        </w:trPr>
        <w:tc>
          <w:tcPr>
            <w:tcW w:w="4399" w:type="dxa"/>
            <w:tcBorders>
              <w:top w:val="nil"/>
              <w:left w:val="nil"/>
              <w:bottom w:val="nil"/>
              <w:right w:val="nil"/>
            </w:tcBorders>
            <w:shd w:val="clear" w:color="auto" w:fill="auto"/>
            <w:vAlign w:val="center"/>
          </w:tcPr>
          <w:p w:rsidR="00E31579" w:rsidRPr="001F3D8A" w:rsidRDefault="00E31579" w:rsidP="00DF06F0">
            <w:pPr>
              <w:ind w:left="-19"/>
              <w:rPr>
                <w:rFonts w:ascii="Arial" w:hAnsi="Arial" w:cs="Arial"/>
                <w:sz w:val="22"/>
                <w:szCs w:val="22"/>
                <w:lang w:val="en-US"/>
              </w:rPr>
            </w:pPr>
            <w:r w:rsidRPr="001F3D8A">
              <w:rPr>
                <w:rFonts w:ascii="Arial" w:hAnsi="Arial" w:cs="Arial"/>
                <w:sz w:val="22"/>
                <w:szCs w:val="22"/>
                <w:lang w:val="en-US"/>
              </w:rPr>
              <w:t>Imobilizări financiare</w:t>
            </w:r>
          </w:p>
        </w:tc>
        <w:tc>
          <w:tcPr>
            <w:tcW w:w="1973" w:type="dxa"/>
            <w:tcBorders>
              <w:top w:val="nil"/>
              <w:left w:val="nil"/>
              <w:bottom w:val="nil"/>
              <w:right w:val="nil"/>
            </w:tcBorders>
            <w:shd w:val="clear" w:color="auto" w:fill="auto"/>
            <w:noWrap/>
            <w:vAlign w:val="center"/>
          </w:tcPr>
          <w:p w:rsidR="00E31579" w:rsidRPr="001F3D8A" w:rsidRDefault="00E31579" w:rsidP="00DF06F0">
            <w:pPr>
              <w:jc w:val="right"/>
              <w:rPr>
                <w:rFonts w:ascii="Arial" w:hAnsi="Arial" w:cs="Arial"/>
                <w:sz w:val="22"/>
                <w:szCs w:val="22"/>
              </w:rPr>
            </w:pPr>
            <w:r w:rsidRPr="001F3D8A">
              <w:rPr>
                <w:rFonts w:ascii="Arial" w:hAnsi="Arial" w:cs="Arial"/>
                <w:sz w:val="22"/>
                <w:szCs w:val="22"/>
              </w:rPr>
              <w:t>903.712</w:t>
            </w:r>
          </w:p>
        </w:tc>
        <w:tc>
          <w:tcPr>
            <w:tcW w:w="2375" w:type="dxa"/>
            <w:tcBorders>
              <w:top w:val="nil"/>
              <w:left w:val="nil"/>
              <w:bottom w:val="nil"/>
              <w:right w:val="nil"/>
            </w:tcBorders>
            <w:shd w:val="clear" w:color="auto" w:fill="auto"/>
            <w:noWrap/>
            <w:vAlign w:val="center"/>
          </w:tcPr>
          <w:p w:rsidR="00E31579" w:rsidRPr="001F3D8A" w:rsidRDefault="00E31579" w:rsidP="00DF06F0">
            <w:pPr>
              <w:jc w:val="right"/>
              <w:rPr>
                <w:rFonts w:ascii="Arial" w:hAnsi="Arial" w:cs="Arial"/>
                <w:sz w:val="22"/>
                <w:szCs w:val="22"/>
              </w:rPr>
            </w:pPr>
            <w:r w:rsidRPr="001F3D8A">
              <w:rPr>
                <w:rFonts w:ascii="Arial" w:hAnsi="Arial" w:cs="Arial"/>
                <w:sz w:val="22"/>
                <w:szCs w:val="22"/>
              </w:rPr>
              <w:t>973.782</w:t>
            </w:r>
          </w:p>
        </w:tc>
      </w:tr>
      <w:tr w:rsidR="00E31579" w:rsidRPr="001F3D8A" w:rsidTr="00E31579">
        <w:trPr>
          <w:trHeight w:val="275"/>
        </w:trPr>
        <w:tc>
          <w:tcPr>
            <w:tcW w:w="4399" w:type="dxa"/>
            <w:tcBorders>
              <w:top w:val="nil"/>
              <w:left w:val="nil"/>
              <w:bottom w:val="nil"/>
              <w:right w:val="nil"/>
            </w:tcBorders>
            <w:shd w:val="clear" w:color="auto" w:fill="auto"/>
            <w:vAlign w:val="center"/>
          </w:tcPr>
          <w:p w:rsidR="00E31579" w:rsidRPr="001F3D8A" w:rsidRDefault="00E31579" w:rsidP="00DF06F0">
            <w:pPr>
              <w:rPr>
                <w:rFonts w:ascii="Arial" w:hAnsi="Arial" w:cs="Arial"/>
                <w:b/>
                <w:sz w:val="22"/>
                <w:szCs w:val="22"/>
                <w:lang w:val="en-US"/>
              </w:rPr>
            </w:pPr>
            <w:r w:rsidRPr="001F3D8A">
              <w:rPr>
                <w:rFonts w:ascii="Arial" w:hAnsi="Arial" w:cs="Arial"/>
                <w:sz w:val="22"/>
                <w:szCs w:val="22"/>
                <w:lang w:val="en-US"/>
              </w:rPr>
              <w:t>Creanţe privind impozitul pe profit amânat</w:t>
            </w:r>
          </w:p>
        </w:tc>
        <w:tc>
          <w:tcPr>
            <w:tcW w:w="1973" w:type="dxa"/>
            <w:tcBorders>
              <w:top w:val="nil"/>
              <w:left w:val="nil"/>
              <w:bottom w:val="single" w:sz="4" w:space="0" w:color="auto"/>
              <w:right w:val="nil"/>
            </w:tcBorders>
            <w:shd w:val="clear" w:color="auto" w:fill="auto"/>
            <w:noWrap/>
            <w:vAlign w:val="center"/>
          </w:tcPr>
          <w:p w:rsidR="00E31579" w:rsidRPr="001F3D8A" w:rsidRDefault="00E31579" w:rsidP="00DF06F0">
            <w:pPr>
              <w:jc w:val="right"/>
              <w:rPr>
                <w:rFonts w:ascii="Arial" w:hAnsi="Arial" w:cs="Arial"/>
                <w:b/>
                <w:sz w:val="22"/>
                <w:szCs w:val="22"/>
              </w:rPr>
            </w:pPr>
            <w:r w:rsidRPr="001F3D8A">
              <w:rPr>
                <w:rFonts w:ascii="Arial" w:hAnsi="Arial" w:cs="Arial"/>
                <w:sz w:val="22"/>
                <w:szCs w:val="22"/>
              </w:rPr>
              <w:t>2.118.485</w:t>
            </w:r>
          </w:p>
        </w:tc>
        <w:tc>
          <w:tcPr>
            <w:tcW w:w="2375" w:type="dxa"/>
            <w:tcBorders>
              <w:top w:val="nil"/>
              <w:left w:val="nil"/>
              <w:bottom w:val="single" w:sz="4" w:space="0" w:color="auto"/>
              <w:right w:val="nil"/>
            </w:tcBorders>
            <w:shd w:val="clear" w:color="auto" w:fill="auto"/>
            <w:noWrap/>
            <w:vAlign w:val="center"/>
          </w:tcPr>
          <w:p w:rsidR="00E31579" w:rsidRPr="001F3D8A" w:rsidRDefault="00E31579" w:rsidP="00DF06F0">
            <w:pPr>
              <w:jc w:val="right"/>
              <w:rPr>
                <w:rFonts w:ascii="Arial" w:hAnsi="Arial" w:cs="Arial"/>
                <w:b/>
                <w:sz w:val="22"/>
                <w:szCs w:val="22"/>
              </w:rPr>
            </w:pPr>
            <w:r w:rsidRPr="001F3D8A">
              <w:rPr>
                <w:rFonts w:ascii="Arial" w:hAnsi="Arial" w:cs="Arial"/>
                <w:sz w:val="22"/>
                <w:szCs w:val="22"/>
              </w:rPr>
              <w:t>970.394</w:t>
            </w:r>
          </w:p>
        </w:tc>
      </w:tr>
      <w:tr w:rsidR="00E31579" w:rsidRPr="001F3D8A" w:rsidTr="00E31579">
        <w:trPr>
          <w:trHeight w:val="275"/>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Total active imobilizate</w:t>
            </w:r>
          </w:p>
        </w:tc>
        <w:tc>
          <w:tcPr>
            <w:tcW w:w="1973" w:type="dxa"/>
            <w:tcBorders>
              <w:top w:val="single" w:sz="4" w:space="0" w:color="auto"/>
              <w:left w:val="nil"/>
              <w:bottom w:val="single" w:sz="4" w:space="0" w:color="auto"/>
              <w:right w:val="nil"/>
            </w:tcBorders>
            <w:shd w:val="clear" w:color="auto" w:fill="auto"/>
            <w:noWrap/>
            <w:vAlign w:val="center"/>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 xml:space="preserve">421.778.404 </w:t>
            </w:r>
          </w:p>
        </w:tc>
        <w:tc>
          <w:tcPr>
            <w:tcW w:w="2375" w:type="dxa"/>
            <w:tcBorders>
              <w:top w:val="single" w:sz="4" w:space="0" w:color="auto"/>
              <w:left w:val="nil"/>
              <w:bottom w:val="single" w:sz="4" w:space="0" w:color="auto"/>
              <w:right w:val="nil"/>
            </w:tcBorders>
            <w:shd w:val="clear" w:color="auto" w:fill="auto"/>
            <w:noWrap/>
            <w:vAlign w:val="center"/>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410.682.534</w:t>
            </w:r>
          </w:p>
        </w:tc>
      </w:tr>
      <w:tr w:rsidR="00E31579" w:rsidRPr="001F3D8A" w:rsidTr="00E31579">
        <w:trPr>
          <w:trHeight w:val="264"/>
        </w:trPr>
        <w:tc>
          <w:tcPr>
            <w:tcW w:w="4399" w:type="dxa"/>
            <w:tcBorders>
              <w:top w:val="nil"/>
              <w:left w:val="nil"/>
              <w:bottom w:val="nil"/>
              <w:right w:val="nil"/>
            </w:tcBorders>
            <w:shd w:val="clear" w:color="auto" w:fill="auto"/>
            <w:vAlign w:val="bottom"/>
            <w:hideMark/>
          </w:tcPr>
          <w:p w:rsidR="00E31579" w:rsidRPr="001F3D8A" w:rsidRDefault="00E31579" w:rsidP="00DF06F0">
            <w:pPr>
              <w:jc w:val="right"/>
              <w:rPr>
                <w:rFonts w:ascii="Arial" w:hAnsi="Arial" w:cs="Arial"/>
                <w:b/>
                <w:bCs/>
                <w:sz w:val="22"/>
                <w:szCs w:val="22"/>
                <w:lang w:val="en-US"/>
              </w:rPr>
            </w:pPr>
          </w:p>
        </w:tc>
        <w:tc>
          <w:tcPr>
            <w:tcW w:w="1973" w:type="dxa"/>
            <w:tcBorders>
              <w:top w:val="single" w:sz="4" w:space="0" w:color="auto"/>
              <w:left w:val="nil"/>
              <w:bottom w:val="nil"/>
              <w:right w:val="nil"/>
            </w:tcBorders>
            <w:shd w:val="clear" w:color="auto" w:fill="auto"/>
            <w:noWrap/>
            <w:vAlign w:val="bottom"/>
            <w:hideMark/>
          </w:tcPr>
          <w:p w:rsidR="00E31579" w:rsidRPr="001F3D8A" w:rsidRDefault="00E31579" w:rsidP="00DF06F0">
            <w:pPr>
              <w:rPr>
                <w:lang w:val="en-US"/>
              </w:rPr>
            </w:pPr>
          </w:p>
        </w:tc>
        <w:tc>
          <w:tcPr>
            <w:tcW w:w="2375" w:type="dxa"/>
            <w:tcBorders>
              <w:top w:val="single" w:sz="4" w:space="0" w:color="auto"/>
              <w:left w:val="nil"/>
              <w:bottom w:val="nil"/>
              <w:right w:val="nil"/>
            </w:tcBorders>
            <w:shd w:val="clear" w:color="auto" w:fill="auto"/>
            <w:noWrap/>
            <w:vAlign w:val="bottom"/>
            <w:hideMark/>
          </w:tcPr>
          <w:p w:rsidR="00E31579" w:rsidRPr="001F3D8A" w:rsidRDefault="00E31579" w:rsidP="00DF06F0">
            <w:pPr>
              <w:rPr>
                <w:lang w:val="en-US"/>
              </w:rPr>
            </w:pPr>
          </w:p>
        </w:tc>
      </w:tr>
      <w:tr w:rsidR="00E31579" w:rsidRPr="001F3D8A" w:rsidTr="00E31579">
        <w:trPr>
          <w:trHeight w:val="264"/>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Active curente</w:t>
            </w:r>
          </w:p>
        </w:tc>
        <w:tc>
          <w:tcPr>
            <w:tcW w:w="1973" w:type="dxa"/>
            <w:tcBorders>
              <w:top w:val="nil"/>
              <w:left w:val="nil"/>
              <w:bottom w:val="nil"/>
              <w:right w:val="nil"/>
            </w:tcBorders>
            <w:shd w:val="clear" w:color="auto" w:fill="auto"/>
            <w:noWrap/>
            <w:vAlign w:val="bottom"/>
            <w:hideMark/>
          </w:tcPr>
          <w:p w:rsidR="00E31579" w:rsidRPr="001F3D8A" w:rsidRDefault="00E31579" w:rsidP="00DF06F0">
            <w:pPr>
              <w:rPr>
                <w:lang w:val="en-US"/>
              </w:rPr>
            </w:pPr>
          </w:p>
        </w:tc>
        <w:tc>
          <w:tcPr>
            <w:tcW w:w="2375" w:type="dxa"/>
            <w:tcBorders>
              <w:top w:val="nil"/>
              <w:left w:val="nil"/>
              <w:bottom w:val="nil"/>
              <w:right w:val="nil"/>
            </w:tcBorders>
            <w:shd w:val="clear" w:color="auto" w:fill="auto"/>
            <w:noWrap/>
            <w:vAlign w:val="bottom"/>
            <w:hideMark/>
          </w:tcPr>
          <w:p w:rsidR="00E31579" w:rsidRPr="001F3D8A" w:rsidRDefault="00E31579" w:rsidP="00DF06F0">
            <w:pPr>
              <w:rPr>
                <w:lang w:val="en-US"/>
              </w:rPr>
            </w:pPr>
          </w:p>
        </w:tc>
      </w:tr>
      <w:tr w:rsidR="00E31579" w:rsidRPr="001F3D8A" w:rsidTr="00E31579">
        <w:trPr>
          <w:trHeight w:val="264"/>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Stocuri</w:t>
            </w:r>
          </w:p>
        </w:tc>
        <w:tc>
          <w:tcPr>
            <w:tcW w:w="1973" w:type="dxa"/>
            <w:tcBorders>
              <w:top w:val="nil"/>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rPr>
              <w:t xml:space="preserve">9.020.482 </w:t>
            </w:r>
          </w:p>
        </w:tc>
        <w:tc>
          <w:tcPr>
            <w:tcW w:w="2375" w:type="dxa"/>
            <w:tcBorders>
              <w:top w:val="nil"/>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rPr>
              <w:t xml:space="preserve">9.024.205 </w:t>
            </w:r>
          </w:p>
        </w:tc>
      </w:tr>
      <w:tr w:rsidR="00E31579" w:rsidRPr="001F3D8A" w:rsidTr="00E31579">
        <w:trPr>
          <w:trHeight w:val="264"/>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Creanțe comerciale și alte creanțe</w:t>
            </w:r>
          </w:p>
        </w:tc>
        <w:tc>
          <w:tcPr>
            <w:tcW w:w="1973" w:type="dxa"/>
            <w:tcBorders>
              <w:top w:val="nil"/>
              <w:left w:val="nil"/>
              <w:bottom w:val="nil"/>
              <w:right w:val="nil"/>
            </w:tcBorders>
            <w:shd w:val="clear" w:color="auto" w:fill="auto"/>
            <w:noWrap/>
            <w:vAlign w:val="center"/>
            <w:hideMark/>
          </w:tcPr>
          <w:p w:rsidR="00E31579" w:rsidRPr="001F3D8A" w:rsidRDefault="003B6AFB" w:rsidP="00DF06F0">
            <w:pPr>
              <w:jc w:val="right"/>
              <w:rPr>
                <w:rFonts w:ascii="Arial" w:hAnsi="Arial" w:cs="Arial"/>
                <w:sz w:val="22"/>
                <w:szCs w:val="22"/>
              </w:rPr>
            </w:pPr>
            <w:r>
              <w:rPr>
                <w:rFonts w:ascii="Arial" w:hAnsi="Arial" w:cs="Arial"/>
                <w:sz w:val="22"/>
                <w:szCs w:val="22"/>
              </w:rPr>
              <w:t>47.351.293</w:t>
            </w:r>
            <w:r w:rsidR="00E31579" w:rsidRPr="001F3D8A">
              <w:rPr>
                <w:rFonts w:ascii="Arial" w:hAnsi="Arial" w:cs="Arial"/>
                <w:sz w:val="22"/>
                <w:szCs w:val="22"/>
              </w:rPr>
              <w:t xml:space="preserve"> </w:t>
            </w:r>
          </w:p>
        </w:tc>
        <w:tc>
          <w:tcPr>
            <w:tcW w:w="2375" w:type="dxa"/>
            <w:tcBorders>
              <w:top w:val="nil"/>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46.753.071 </w:t>
            </w:r>
          </w:p>
        </w:tc>
      </w:tr>
      <w:tr w:rsidR="00E31579" w:rsidRPr="001F3D8A" w:rsidTr="00E31579">
        <w:trPr>
          <w:trHeight w:val="264"/>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Investiții pe termen scurt</w:t>
            </w:r>
          </w:p>
        </w:tc>
        <w:tc>
          <w:tcPr>
            <w:tcW w:w="1973" w:type="dxa"/>
            <w:tcBorders>
              <w:top w:val="nil"/>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70.953.628 </w:t>
            </w:r>
          </w:p>
        </w:tc>
        <w:tc>
          <w:tcPr>
            <w:tcW w:w="2375" w:type="dxa"/>
            <w:tcBorders>
              <w:top w:val="nil"/>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70.623.518 </w:t>
            </w:r>
          </w:p>
        </w:tc>
      </w:tr>
      <w:tr w:rsidR="00E31579" w:rsidRPr="001F3D8A" w:rsidTr="00E31579">
        <w:trPr>
          <w:trHeight w:val="177"/>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Numerar și echivalente de numerar</w:t>
            </w:r>
          </w:p>
        </w:tc>
        <w:tc>
          <w:tcPr>
            <w:tcW w:w="1973" w:type="dxa"/>
            <w:tcBorders>
              <w:top w:val="nil"/>
              <w:left w:val="nil"/>
              <w:right w:val="nil"/>
            </w:tcBorders>
            <w:shd w:val="clear" w:color="auto" w:fill="auto"/>
            <w:noWrap/>
            <w:vAlign w:val="center"/>
            <w:hideMark/>
          </w:tcPr>
          <w:p w:rsidR="00E31579" w:rsidRPr="001F3D8A" w:rsidRDefault="003B6AFB" w:rsidP="00DF06F0">
            <w:pPr>
              <w:jc w:val="right"/>
              <w:rPr>
                <w:rFonts w:ascii="Arial" w:hAnsi="Arial" w:cs="Arial"/>
                <w:sz w:val="22"/>
                <w:szCs w:val="22"/>
              </w:rPr>
            </w:pPr>
            <w:r>
              <w:rPr>
                <w:rFonts w:ascii="Arial" w:hAnsi="Arial" w:cs="Arial"/>
                <w:sz w:val="22"/>
                <w:szCs w:val="22"/>
              </w:rPr>
              <w:t>166.451.048</w:t>
            </w:r>
            <w:r w:rsidR="00E31579" w:rsidRPr="001F3D8A">
              <w:rPr>
                <w:rFonts w:ascii="Arial" w:hAnsi="Arial" w:cs="Arial"/>
                <w:sz w:val="22"/>
                <w:szCs w:val="22"/>
              </w:rPr>
              <w:t xml:space="preserve"> </w:t>
            </w:r>
          </w:p>
        </w:tc>
        <w:tc>
          <w:tcPr>
            <w:tcW w:w="2375" w:type="dxa"/>
            <w:tcBorders>
              <w:top w:val="nil"/>
              <w:left w:val="nil"/>
              <w:right w:val="nil"/>
            </w:tcBorders>
            <w:shd w:val="clear" w:color="auto" w:fill="auto"/>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209.847.265 </w:t>
            </w:r>
          </w:p>
        </w:tc>
      </w:tr>
      <w:tr w:rsidR="00E31579" w:rsidRPr="001F3D8A" w:rsidTr="00E31579">
        <w:trPr>
          <w:trHeight w:val="52"/>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Cheltuieli în avans</w:t>
            </w:r>
          </w:p>
        </w:tc>
        <w:tc>
          <w:tcPr>
            <w:tcW w:w="1973" w:type="dxa"/>
            <w:tcBorders>
              <w:top w:val="nil"/>
              <w:left w:val="nil"/>
              <w:bottom w:val="single" w:sz="4" w:space="0" w:color="auto"/>
              <w:right w:val="nil"/>
            </w:tcBorders>
            <w:shd w:val="clear" w:color="auto" w:fill="auto"/>
            <w:noWrap/>
            <w:vAlign w:val="center"/>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rPr>
              <w:t xml:space="preserve">1.584.055 </w:t>
            </w:r>
          </w:p>
        </w:tc>
        <w:tc>
          <w:tcPr>
            <w:tcW w:w="2375" w:type="dxa"/>
            <w:tcBorders>
              <w:top w:val="nil"/>
              <w:left w:val="nil"/>
              <w:bottom w:val="single" w:sz="4" w:space="0" w:color="auto"/>
              <w:right w:val="nil"/>
            </w:tcBorders>
            <w:shd w:val="clear" w:color="auto" w:fill="auto"/>
            <w:noWrap/>
            <w:vAlign w:val="center"/>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rPr>
              <w:t xml:space="preserve">1.842.877 </w:t>
            </w:r>
          </w:p>
        </w:tc>
      </w:tr>
      <w:tr w:rsidR="00E31579" w:rsidRPr="001F3D8A" w:rsidTr="00E31579">
        <w:trPr>
          <w:trHeight w:val="275"/>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Total active curente</w:t>
            </w:r>
          </w:p>
        </w:tc>
        <w:tc>
          <w:tcPr>
            <w:tcW w:w="1973" w:type="dxa"/>
            <w:tcBorders>
              <w:top w:val="single" w:sz="4" w:space="0" w:color="auto"/>
              <w:left w:val="nil"/>
              <w:bottom w:val="single" w:sz="4" w:space="0" w:color="auto"/>
              <w:right w:val="nil"/>
            </w:tcBorders>
            <w:shd w:val="clear" w:color="auto" w:fill="auto"/>
            <w:noWrap/>
            <w:vAlign w:val="center"/>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 xml:space="preserve">295.360.506 </w:t>
            </w:r>
          </w:p>
        </w:tc>
        <w:tc>
          <w:tcPr>
            <w:tcW w:w="2375" w:type="dxa"/>
            <w:tcBorders>
              <w:top w:val="single" w:sz="4" w:space="0" w:color="auto"/>
              <w:left w:val="nil"/>
              <w:bottom w:val="single" w:sz="4" w:space="0" w:color="auto"/>
              <w:right w:val="nil"/>
            </w:tcBorders>
            <w:shd w:val="clear" w:color="auto" w:fill="auto"/>
            <w:noWrap/>
            <w:vAlign w:val="center"/>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338.090.936</w:t>
            </w:r>
          </w:p>
        </w:tc>
      </w:tr>
      <w:tr w:rsidR="00E31579" w:rsidRPr="001F3D8A" w:rsidTr="00E31579">
        <w:trPr>
          <w:trHeight w:val="275"/>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TOTAL ACTIVE</w:t>
            </w:r>
          </w:p>
        </w:tc>
        <w:tc>
          <w:tcPr>
            <w:tcW w:w="1973" w:type="dxa"/>
            <w:tcBorders>
              <w:top w:val="single" w:sz="4" w:space="0" w:color="auto"/>
              <w:left w:val="nil"/>
              <w:bottom w:val="double" w:sz="6" w:space="0" w:color="auto"/>
              <w:right w:val="nil"/>
            </w:tcBorders>
            <w:shd w:val="clear" w:color="auto" w:fill="auto"/>
            <w:noWrap/>
            <w:vAlign w:val="center"/>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 xml:space="preserve">717.138.910 </w:t>
            </w:r>
          </w:p>
        </w:tc>
        <w:tc>
          <w:tcPr>
            <w:tcW w:w="2375" w:type="dxa"/>
            <w:tcBorders>
              <w:top w:val="single" w:sz="4" w:space="0" w:color="auto"/>
              <w:left w:val="nil"/>
              <w:bottom w:val="double" w:sz="6" w:space="0" w:color="auto"/>
              <w:right w:val="nil"/>
            </w:tcBorders>
            <w:shd w:val="clear" w:color="auto" w:fill="auto"/>
            <w:noWrap/>
            <w:vAlign w:val="center"/>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748.773.470</w:t>
            </w:r>
          </w:p>
        </w:tc>
      </w:tr>
      <w:tr w:rsidR="00E31579" w:rsidRPr="001F3D8A" w:rsidTr="00E31579">
        <w:trPr>
          <w:trHeight w:val="275"/>
        </w:trPr>
        <w:tc>
          <w:tcPr>
            <w:tcW w:w="4399" w:type="dxa"/>
            <w:tcBorders>
              <w:top w:val="nil"/>
              <w:left w:val="nil"/>
              <w:bottom w:val="nil"/>
              <w:right w:val="nil"/>
            </w:tcBorders>
            <w:shd w:val="clear" w:color="auto" w:fill="auto"/>
            <w:vAlign w:val="bottom"/>
            <w:hideMark/>
          </w:tcPr>
          <w:p w:rsidR="00E31579" w:rsidRPr="001F3D8A" w:rsidRDefault="00E31579" w:rsidP="00DF06F0">
            <w:pPr>
              <w:jc w:val="right"/>
              <w:rPr>
                <w:rFonts w:ascii="Arial" w:hAnsi="Arial" w:cs="Arial"/>
                <w:b/>
                <w:bCs/>
                <w:sz w:val="22"/>
                <w:szCs w:val="22"/>
                <w:lang w:val="en-US"/>
              </w:rPr>
            </w:pPr>
          </w:p>
        </w:tc>
        <w:tc>
          <w:tcPr>
            <w:tcW w:w="1973" w:type="dxa"/>
            <w:tcBorders>
              <w:top w:val="nil"/>
              <w:left w:val="nil"/>
              <w:bottom w:val="nil"/>
              <w:right w:val="nil"/>
            </w:tcBorders>
            <w:shd w:val="clear" w:color="auto" w:fill="auto"/>
            <w:noWrap/>
            <w:vAlign w:val="bottom"/>
            <w:hideMark/>
          </w:tcPr>
          <w:p w:rsidR="00E31579" w:rsidRPr="001F3D8A" w:rsidRDefault="00E31579" w:rsidP="00DF06F0">
            <w:pPr>
              <w:rPr>
                <w:lang w:val="en-US"/>
              </w:rPr>
            </w:pPr>
          </w:p>
        </w:tc>
        <w:tc>
          <w:tcPr>
            <w:tcW w:w="2375" w:type="dxa"/>
            <w:tcBorders>
              <w:top w:val="nil"/>
              <w:left w:val="nil"/>
              <w:bottom w:val="nil"/>
              <w:right w:val="nil"/>
            </w:tcBorders>
            <w:shd w:val="clear" w:color="auto" w:fill="auto"/>
            <w:noWrap/>
            <w:vAlign w:val="bottom"/>
            <w:hideMark/>
          </w:tcPr>
          <w:p w:rsidR="00E31579" w:rsidRPr="001F3D8A" w:rsidRDefault="00E31579" w:rsidP="00DF06F0">
            <w:pPr>
              <w:rPr>
                <w:lang w:val="en-US"/>
              </w:rPr>
            </w:pPr>
          </w:p>
        </w:tc>
      </w:tr>
      <w:tr w:rsidR="00E31579" w:rsidRPr="001F3D8A" w:rsidTr="00E31579">
        <w:trPr>
          <w:trHeight w:val="293"/>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Capitaluri proprii și datorii</w:t>
            </w:r>
          </w:p>
        </w:tc>
        <w:tc>
          <w:tcPr>
            <w:tcW w:w="1973" w:type="dxa"/>
            <w:tcBorders>
              <w:top w:val="nil"/>
              <w:left w:val="nil"/>
              <w:bottom w:val="nil"/>
              <w:right w:val="nil"/>
            </w:tcBorders>
            <w:shd w:val="clear" w:color="auto" w:fill="auto"/>
            <w:noWrap/>
            <w:vAlign w:val="bottom"/>
            <w:hideMark/>
          </w:tcPr>
          <w:p w:rsidR="00E31579" w:rsidRPr="001F3D8A" w:rsidRDefault="00E31579" w:rsidP="00DF06F0">
            <w:pPr>
              <w:rPr>
                <w:lang w:val="en-US"/>
              </w:rPr>
            </w:pPr>
          </w:p>
        </w:tc>
        <w:tc>
          <w:tcPr>
            <w:tcW w:w="2375" w:type="dxa"/>
            <w:tcBorders>
              <w:top w:val="nil"/>
              <w:left w:val="nil"/>
              <w:bottom w:val="nil"/>
              <w:right w:val="nil"/>
            </w:tcBorders>
            <w:shd w:val="clear" w:color="auto" w:fill="auto"/>
            <w:noWrap/>
            <w:vAlign w:val="bottom"/>
            <w:hideMark/>
          </w:tcPr>
          <w:p w:rsidR="00E31579" w:rsidRPr="001F3D8A" w:rsidRDefault="00E31579" w:rsidP="00DF06F0">
            <w:pPr>
              <w:rPr>
                <w:lang w:val="en-US"/>
              </w:rPr>
            </w:pPr>
          </w:p>
        </w:tc>
      </w:tr>
      <w:tr w:rsidR="00E31579" w:rsidRPr="001F3D8A" w:rsidTr="00E31579">
        <w:trPr>
          <w:trHeight w:val="264"/>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Capitaluri proprii</w:t>
            </w:r>
          </w:p>
        </w:tc>
        <w:tc>
          <w:tcPr>
            <w:tcW w:w="1973" w:type="dxa"/>
            <w:tcBorders>
              <w:top w:val="nil"/>
              <w:left w:val="nil"/>
              <w:bottom w:val="nil"/>
              <w:right w:val="nil"/>
            </w:tcBorders>
            <w:shd w:val="clear" w:color="auto" w:fill="auto"/>
            <w:noWrap/>
            <w:vAlign w:val="bottom"/>
            <w:hideMark/>
          </w:tcPr>
          <w:p w:rsidR="00E31579" w:rsidRPr="001F3D8A" w:rsidRDefault="00E31579" w:rsidP="00DF06F0">
            <w:pPr>
              <w:rPr>
                <w:lang w:val="en-US"/>
              </w:rPr>
            </w:pPr>
          </w:p>
        </w:tc>
        <w:tc>
          <w:tcPr>
            <w:tcW w:w="2375" w:type="dxa"/>
            <w:tcBorders>
              <w:top w:val="nil"/>
              <w:left w:val="nil"/>
              <w:bottom w:val="nil"/>
              <w:right w:val="nil"/>
            </w:tcBorders>
            <w:shd w:val="clear" w:color="auto" w:fill="auto"/>
            <w:noWrap/>
            <w:vAlign w:val="bottom"/>
            <w:hideMark/>
          </w:tcPr>
          <w:p w:rsidR="00E31579" w:rsidRPr="001F3D8A" w:rsidRDefault="00E31579" w:rsidP="00DF06F0">
            <w:pPr>
              <w:rPr>
                <w:lang w:val="en-US"/>
              </w:rPr>
            </w:pPr>
          </w:p>
        </w:tc>
      </w:tr>
      <w:tr w:rsidR="00E31579" w:rsidRPr="001F3D8A" w:rsidTr="00E31579">
        <w:trPr>
          <w:trHeight w:val="264"/>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Capital social subscris și vărsat</w:t>
            </w:r>
          </w:p>
        </w:tc>
        <w:tc>
          <w:tcPr>
            <w:tcW w:w="1973" w:type="dxa"/>
            <w:tcBorders>
              <w:top w:val="nil"/>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lang w:val="en-US"/>
              </w:rPr>
              <w:t>28.569.842</w:t>
            </w:r>
          </w:p>
        </w:tc>
        <w:tc>
          <w:tcPr>
            <w:tcW w:w="2375" w:type="dxa"/>
            <w:tcBorders>
              <w:top w:val="nil"/>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lang w:val="en-US"/>
              </w:rPr>
              <w:t>28.569.842</w:t>
            </w:r>
          </w:p>
        </w:tc>
      </w:tr>
      <w:tr w:rsidR="00E31579" w:rsidRPr="001F3D8A" w:rsidTr="00E31579">
        <w:trPr>
          <w:trHeight w:val="264"/>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Rezerve legale</w:t>
            </w:r>
          </w:p>
        </w:tc>
        <w:tc>
          <w:tcPr>
            <w:tcW w:w="1973" w:type="dxa"/>
            <w:tcBorders>
              <w:top w:val="nil"/>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rPr>
              <w:t xml:space="preserve">5.713.968 </w:t>
            </w:r>
          </w:p>
        </w:tc>
        <w:tc>
          <w:tcPr>
            <w:tcW w:w="2375" w:type="dxa"/>
            <w:tcBorders>
              <w:top w:val="nil"/>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rPr>
              <w:t xml:space="preserve">5.713.968 </w:t>
            </w:r>
          </w:p>
        </w:tc>
      </w:tr>
      <w:tr w:rsidR="00E31579" w:rsidRPr="001F3D8A" w:rsidTr="00E31579">
        <w:trPr>
          <w:trHeight w:val="264"/>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Rezerve din reevaluare</w:t>
            </w:r>
          </w:p>
        </w:tc>
        <w:tc>
          <w:tcPr>
            <w:tcW w:w="1973" w:type="dxa"/>
            <w:tcBorders>
              <w:top w:val="nil"/>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28.345.981 </w:t>
            </w:r>
          </w:p>
        </w:tc>
        <w:tc>
          <w:tcPr>
            <w:tcW w:w="2375" w:type="dxa"/>
            <w:tcBorders>
              <w:top w:val="nil"/>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31.016.763 </w:t>
            </w:r>
          </w:p>
        </w:tc>
      </w:tr>
      <w:tr w:rsidR="00E31579" w:rsidRPr="001F3D8A" w:rsidTr="00E31579">
        <w:trPr>
          <w:trHeight w:val="264"/>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Alte rezerve</w:t>
            </w:r>
          </w:p>
        </w:tc>
        <w:tc>
          <w:tcPr>
            <w:tcW w:w="1973" w:type="dxa"/>
            <w:tcBorders>
              <w:top w:val="nil"/>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492.787.718 </w:t>
            </w:r>
          </w:p>
        </w:tc>
        <w:tc>
          <w:tcPr>
            <w:tcW w:w="2375" w:type="dxa"/>
            <w:tcBorders>
              <w:top w:val="nil"/>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478.500.458 </w:t>
            </w:r>
          </w:p>
        </w:tc>
      </w:tr>
      <w:tr w:rsidR="00E31579" w:rsidRPr="001F3D8A" w:rsidTr="00E31579">
        <w:trPr>
          <w:trHeight w:val="264"/>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Rezultatul reportat</w:t>
            </w:r>
          </w:p>
        </w:tc>
        <w:tc>
          <w:tcPr>
            <w:tcW w:w="1973" w:type="dxa"/>
            <w:tcBorders>
              <w:top w:val="nil"/>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44.489.080</w:t>
            </w:r>
          </w:p>
        </w:tc>
        <w:tc>
          <w:tcPr>
            <w:tcW w:w="2375" w:type="dxa"/>
            <w:tcBorders>
              <w:top w:val="nil"/>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40.211.069 </w:t>
            </w:r>
          </w:p>
        </w:tc>
      </w:tr>
      <w:tr w:rsidR="00E31579" w:rsidRPr="001F3D8A" w:rsidTr="00E31579">
        <w:trPr>
          <w:trHeight w:val="264"/>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 xml:space="preserve">Rezultatul exercițiului </w:t>
            </w:r>
          </w:p>
        </w:tc>
        <w:tc>
          <w:tcPr>
            <w:tcW w:w="1973" w:type="dxa"/>
            <w:tcBorders>
              <w:top w:val="nil"/>
              <w:left w:val="nil"/>
              <w:right w:val="nil"/>
            </w:tcBorders>
            <w:shd w:val="clear" w:color="auto" w:fill="auto"/>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21.625.612 </w:t>
            </w:r>
          </w:p>
        </w:tc>
        <w:tc>
          <w:tcPr>
            <w:tcW w:w="2375" w:type="dxa"/>
            <w:tcBorders>
              <w:top w:val="nil"/>
              <w:left w:val="nil"/>
              <w:right w:val="nil"/>
            </w:tcBorders>
            <w:shd w:val="clear" w:color="auto" w:fill="auto"/>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74.387.774 </w:t>
            </w:r>
          </w:p>
        </w:tc>
      </w:tr>
      <w:tr w:rsidR="00E31579" w:rsidRPr="001F3D8A" w:rsidTr="00E31579">
        <w:trPr>
          <w:trHeight w:val="275"/>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Total capitaluri proprii</w:t>
            </w:r>
          </w:p>
        </w:tc>
        <w:tc>
          <w:tcPr>
            <w:tcW w:w="1973" w:type="dxa"/>
            <w:tcBorders>
              <w:top w:val="single" w:sz="4" w:space="0" w:color="auto"/>
              <w:left w:val="nil"/>
              <w:bottom w:val="single" w:sz="4" w:space="0" w:color="auto"/>
              <w:right w:val="nil"/>
            </w:tcBorders>
            <w:shd w:val="clear" w:color="auto" w:fill="auto"/>
            <w:noWrap/>
            <w:vAlign w:val="center"/>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 xml:space="preserve">621.532.201 </w:t>
            </w:r>
          </w:p>
        </w:tc>
        <w:tc>
          <w:tcPr>
            <w:tcW w:w="2375" w:type="dxa"/>
            <w:tcBorders>
              <w:top w:val="single" w:sz="4" w:space="0" w:color="auto"/>
              <w:left w:val="nil"/>
              <w:bottom w:val="single" w:sz="4" w:space="0" w:color="auto"/>
              <w:right w:val="nil"/>
            </w:tcBorders>
            <w:shd w:val="clear" w:color="auto" w:fill="auto"/>
            <w:noWrap/>
            <w:vAlign w:val="center"/>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658.399.874</w:t>
            </w:r>
          </w:p>
        </w:tc>
      </w:tr>
      <w:tr w:rsidR="00E31579" w:rsidRPr="001F3D8A" w:rsidTr="00E31579">
        <w:trPr>
          <w:trHeight w:val="275"/>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b/>
                <w:bCs/>
                <w:sz w:val="22"/>
                <w:szCs w:val="22"/>
                <w:lang w:val="en-US"/>
              </w:rPr>
            </w:pPr>
          </w:p>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Venituri în avans</w:t>
            </w:r>
          </w:p>
        </w:tc>
        <w:tc>
          <w:tcPr>
            <w:tcW w:w="1973" w:type="dxa"/>
            <w:tcBorders>
              <w:top w:val="single" w:sz="4" w:space="0" w:color="auto"/>
              <w:left w:val="nil"/>
            </w:tcBorders>
            <w:shd w:val="clear" w:color="auto" w:fill="auto"/>
            <w:noWrap/>
            <w:vAlign w:val="bottom"/>
            <w:hideMark/>
          </w:tcPr>
          <w:p w:rsidR="00E31579" w:rsidRPr="001F3D8A" w:rsidRDefault="00E31579" w:rsidP="00DF06F0">
            <w:pPr>
              <w:rPr>
                <w:lang w:val="en-US"/>
              </w:rPr>
            </w:pPr>
          </w:p>
        </w:tc>
        <w:tc>
          <w:tcPr>
            <w:tcW w:w="2375" w:type="dxa"/>
            <w:tcBorders>
              <w:top w:val="single" w:sz="4" w:space="0" w:color="auto"/>
              <w:left w:val="nil"/>
              <w:bottom w:val="nil"/>
              <w:right w:val="nil"/>
            </w:tcBorders>
            <w:shd w:val="clear" w:color="auto" w:fill="auto"/>
            <w:noWrap/>
            <w:vAlign w:val="bottom"/>
            <w:hideMark/>
          </w:tcPr>
          <w:p w:rsidR="00E31579" w:rsidRPr="001F3D8A" w:rsidRDefault="00E31579" w:rsidP="00DF06F0">
            <w:pPr>
              <w:rPr>
                <w:lang w:val="en-US"/>
              </w:rPr>
            </w:pPr>
          </w:p>
        </w:tc>
      </w:tr>
      <w:tr w:rsidR="00E31579" w:rsidRPr="001F3D8A" w:rsidTr="00E31579">
        <w:trPr>
          <w:trHeight w:val="264"/>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Subvenții pentru investiții</w:t>
            </w:r>
          </w:p>
        </w:tc>
        <w:tc>
          <w:tcPr>
            <w:tcW w:w="1973" w:type="dxa"/>
            <w:tcBorders>
              <w:top w:val="nil"/>
              <w:left w:val="nil"/>
              <w:bottom w:val="nil"/>
            </w:tcBorders>
            <w:shd w:val="clear" w:color="auto" w:fill="auto"/>
            <w:noWrap/>
            <w:vAlign w:val="center"/>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rPr>
              <w:t xml:space="preserve">1.248.342 </w:t>
            </w:r>
          </w:p>
        </w:tc>
        <w:tc>
          <w:tcPr>
            <w:tcW w:w="2375" w:type="dxa"/>
            <w:tcBorders>
              <w:top w:val="nil"/>
              <w:left w:val="nil"/>
              <w:bottom w:val="nil"/>
            </w:tcBorders>
            <w:shd w:val="clear" w:color="auto" w:fill="auto"/>
            <w:noWrap/>
            <w:vAlign w:val="center"/>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rPr>
              <w:t xml:space="preserve">1.314.536 </w:t>
            </w:r>
          </w:p>
        </w:tc>
      </w:tr>
      <w:tr w:rsidR="00E31579" w:rsidRPr="001F3D8A" w:rsidTr="00E31579">
        <w:trPr>
          <w:trHeight w:val="177"/>
        </w:trPr>
        <w:tc>
          <w:tcPr>
            <w:tcW w:w="4399" w:type="dxa"/>
            <w:tcBorders>
              <w:top w:val="nil"/>
              <w:left w:val="nil"/>
              <w:right w:val="nil"/>
            </w:tcBorders>
            <w:shd w:val="clear" w:color="auto" w:fill="auto"/>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Venituri în avans</w:t>
            </w:r>
          </w:p>
        </w:tc>
        <w:tc>
          <w:tcPr>
            <w:tcW w:w="1973" w:type="dxa"/>
            <w:tcBorders>
              <w:top w:val="nil"/>
              <w:left w:val="nil"/>
              <w:bottom w:val="single" w:sz="4" w:space="0" w:color="auto"/>
              <w:right w:val="nil"/>
            </w:tcBorders>
            <w:shd w:val="clear" w:color="auto" w:fill="auto"/>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10.909 </w:t>
            </w:r>
          </w:p>
        </w:tc>
        <w:tc>
          <w:tcPr>
            <w:tcW w:w="2375" w:type="dxa"/>
            <w:tcBorders>
              <w:top w:val="nil"/>
              <w:left w:val="nil"/>
              <w:bottom w:val="single" w:sz="4" w:space="0" w:color="auto"/>
              <w:right w:val="nil"/>
            </w:tcBorders>
            <w:shd w:val="clear" w:color="auto" w:fill="auto"/>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12.010 </w:t>
            </w:r>
          </w:p>
        </w:tc>
      </w:tr>
      <w:tr w:rsidR="00E31579" w:rsidRPr="001F3D8A" w:rsidTr="00E31579">
        <w:trPr>
          <w:trHeight w:val="193"/>
        </w:trPr>
        <w:tc>
          <w:tcPr>
            <w:tcW w:w="4399" w:type="dxa"/>
            <w:shd w:val="clear" w:color="auto" w:fill="auto"/>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Total venituri în avans</w:t>
            </w:r>
          </w:p>
        </w:tc>
        <w:tc>
          <w:tcPr>
            <w:tcW w:w="1973" w:type="dxa"/>
            <w:tcBorders>
              <w:top w:val="single" w:sz="4" w:space="0" w:color="auto"/>
              <w:bottom w:val="single" w:sz="4" w:space="0" w:color="auto"/>
            </w:tcBorders>
            <w:shd w:val="clear" w:color="auto" w:fill="auto"/>
            <w:noWrap/>
            <w:vAlign w:val="center"/>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 xml:space="preserve">1.259.251 </w:t>
            </w:r>
          </w:p>
        </w:tc>
        <w:tc>
          <w:tcPr>
            <w:tcW w:w="2375" w:type="dxa"/>
            <w:tcBorders>
              <w:top w:val="single" w:sz="4" w:space="0" w:color="auto"/>
              <w:bottom w:val="single" w:sz="4" w:space="0" w:color="auto"/>
            </w:tcBorders>
            <w:shd w:val="clear" w:color="auto" w:fill="auto"/>
            <w:noWrap/>
            <w:vAlign w:val="center"/>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 xml:space="preserve">1.326.546 </w:t>
            </w:r>
          </w:p>
        </w:tc>
      </w:tr>
      <w:tr w:rsidR="00E31579" w:rsidRPr="001F3D8A" w:rsidTr="00E31579">
        <w:trPr>
          <w:trHeight w:val="474"/>
        </w:trPr>
        <w:tc>
          <w:tcPr>
            <w:tcW w:w="4399" w:type="dxa"/>
            <w:shd w:val="clear" w:color="auto" w:fill="auto"/>
            <w:vAlign w:val="bottom"/>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Datorii pe termen lung</w:t>
            </w:r>
          </w:p>
        </w:tc>
        <w:tc>
          <w:tcPr>
            <w:tcW w:w="1973" w:type="dxa"/>
            <w:tcBorders>
              <w:top w:val="single" w:sz="4" w:space="0" w:color="auto"/>
            </w:tcBorders>
            <w:shd w:val="clear" w:color="auto" w:fill="auto"/>
            <w:noWrap/>
            <w:vAlign w:val="center"/>
          </w:tcPr>
          <w:p w:rsidR="00E31579" w:rsidRPr="001F3D8A" w:rsidRDefault="00E31579" w:rsidP="00DF06F0">
            <w:pPr>
              <w:jc w:val="right"/>
              <w:rPr>
                <w:rFonts w:ascii="Arial" w:hAnsi="Arial" w:cs="Arial"/>
                <w:b/>
                <w:bCs/>
                <w:sz w:val="22"/>
                <w:szCs w:val="22"/>
              </w:rPr>
            </w:pPr>
          </w:p>
        </w:tc>
        <w:tc>
          <w:tcPr>
            <w:tcW w:w="2375" w:type="dxa"/>
            <w:tcBorders>
              <w:top w:val="single" w:sz="4" w:space="0" w:color="auto"/>
            </w:tcBorders>
            <w:shd w:val="clear" w:color="auto" w:fill="auto"/>
            <w:noWrap/>
            <w:vAlign w:val="center"/>
          </w:tcPr>
          <w:p w:rsidR="00E31579" w:rsidRPr="001F3D8A" w:rsidRDefault="00E31579" w:rsidP="00DF06F0">
            <w:pPr>
              <w:jc w:val="right"/>
              <w:rPr>
                <w:rFonts w:ascii="Arial" w:hAnsi="Arial" w:cs="Arial"/>
                <w:b/>
                <w:bCs/>
                <w:sz w:val="22"/>
                <w:szCs w:val="22"/>
              </w:rPr>
            </w:pPr>
          </w:p>
        </w:tc>
      </w:tr>
      <w:tr w:rsidR="00E31579" w:rsidRPr="001F3D8A" w:rsidTr="00E31579">
        <w:trPr>
          <w:trHeight w:val="185"/>
        </w:trPr>
        <w:tc>
          <w:tcPr>
            <w:tcW w:w="4399" w:type="dxa"/>
            <w:shd w:val="clear" w:color="auto" w:fill="auto"/>
            <w:vAlign w:val="center"/>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Provizioane pe termen lung</w:t>
            </w:r>
          </w:p>
        </w:tc>
        <w:tc>
          <w:tcPr>
            <w:tcW w:w="1973" w:type="dxa"/>
            <w:tcBorders>
              <w:bottom w:val="single" w:sz="4" w:space="0" w:color="auto"/>
            </w:tcBorders>
            <w:shd w:val="clear" w:color="auto" w:fill="auto"/>
            <w:noWrap/>
            <w:vAlign w:val="center"/>
          </w:tcPr>
          <w:p w:rsidR="00E31579" w:rsidRPr="001F3D8A" w:rsidRDefault="00E31579" w:rsidP="00DF06F0">
            <w:pPr>
              <w:jc w:val="right"/>
              <w:rPr>
                <w:rFonts w:ascii="Arial" w:hAnsi="Arial" w:cs="Arial"/>
                <w:sz w:val="22"/>
                <w:szCs w:val="22"/>
              </w:rPr>
            </w:pPr>
            <w:r w:rsidRPr="001F3D8A">
              <w:rPr>
                <w:rFonts w:ascii="Arial" w:hAnsi="Arial" w:cs="Arial"/>
                <w:sz w:val="22"/>
                <w:szCs w:val="22"/>
              </w:rPr>
              <w:t>13.295.870</w:t>
            </w:r>
          </w:p>
        </w:tc>
        <w:tc>
          <w:tcPr>
            <w:tcW w:w="2375" w:type="dxa"/>
            <w:tcBorders>
              <w:bottom w:val="single" w:sz="4" w:space="0" w:color="auto"/>
            </w:tcBorders>
            <w:shd w:val="clear" w:color="auto" w:fill="auto"/>
            <w:noWrap/>
            <w:vAlign w:val="center"/>
          </w:tcPr>
          <w:p w:rsidR="00E31579" w:rsidRPr="001F3D8A" w:rsidRDefault="00E31579" w:rsidP="00DF06F0">
            <w:pPr>
              <w:jc w:val="right"/>
              <w:rPr>
                <w:rFonts w:ascii="Arial" w:hAnsi="Arial" w:cs="Arial"/>
                <w:sz w:val="22"/>
                <w:szCs w:val="22"/>
              </w:rPr>
            </w:pPr>
            <w:r w:rsidRPr="001F3D8A">
              <w:rPr>
                <w:rFonts w:ascii="Arial" w:hAnsi="Arial" w:cs="Arial"/>
                <w:sz w:val="22"/>
                <w:szCs w:val="22"/>
              </w:rPr>
              <w:t>12.817.661</w:t>
            </w:r>
          </w:p>
        </w:tc>
      </w:tr>
      <w:tr w:rsidR="00E31579" w:rsidRPr="001F3D8A" w:rsidTr="00E31579">
        <w:trPr>
          <w:trHeight w:val="43"/>
        </w:trPr>
        <w:tc>
          <w:tcPr>
            <w:tcW w:w="4399" w:type="dxa"/>
            <w:shd w:val="clear" w:color="auto" w:fill="auto"/>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Total datorii pe termen lung</w:t>
            </w:r>
          </w:p>
        </w:tc>
        <w:tc>
          <w:tcPr>
            <w:tcW w:w="1973" w:type="dxa"/>
            <w:tcBorders>
              <w:top w:val="single" w:sz="4" w:space="0" w:color="auto"/>
              <w:bottom w:val="single" w:sz="4" w:space="0" w:color="auto"/>
            </w:tcBorders>
            <w:shd w:val="clear" w:color="auto" w:fill="auto"/>
            <w:noWrap/>
            <w:vAlign w:val="center"/>
            <w:hideMark/>
          </w:tcPr>
          <w:p w:rsidR="00E31579" w:rsidRPr="001F3D8A" w:rsidRDefault="00E31579" w:rsidP="00DF06F0">
            <w:pPr>
              <w:jc w:val="right"/>
              <w:rPr>
                <w:rFonts w:ascii="Arial" w:hAnsi="Arial" w:cs="Arial"/>
                <w:b/>
                <w:bCs/>
                <w:sz w:val="22"/>
                <w:szCs w:val="22"/>
                <w:lang w:val="en-US"/>
              </w:rPr>
            </w:pPr>
            <w:r w:rsidRPr="001F3D8A">
              <w:rPr>
                <w:rFonts w:ascii="Arial" w:hAnsi="Arial" w:cs="Arial"/>
                <w:b/>
                <w:bCs/>
                <w:sz w:val="22"/>
                <w:szCs w:val="22"/>
              </w:rPr>
              <w:t xml:space="preserve">13.295.870 </w:t>
            </w:r>
          </w:p>
        </w:tc>
        <w:tc>
          <w:tcPr>
            <w:tcW w:w="2375" w:type="dxa"/>
            <w:tcBorders>
              <w:top w:val="single" w:sz="4" w:space="0" w:color="auto"/>
              <w:bottom w:val="single" w:sz="4" w:space="0" w:color="auto"/>
            </w:tcBorders>
            <w:shd w:val="clear" w:color="auto" w:fill="auto"/>
            <w:noWrap/>
            <w:vAlign w:val="center"/>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12.817.661</w:t>
            </w:r>
          </w:p>
        </w:tc>
      </w:tr>
      <w:tr w:rsidR="00E31579" w:rsidRPr="001F3D8A" w:rsidTr="00E31579">
        <w:trPr>
          <w:trHeight w:val="264"/>
        </w:trPr>
        <w:tc>
          <w:tcPr>
            <w:tcW w:w="4399" w:type="dxa"/>
            <w:tcBorders>
              <w:left w:val="nil"/>
              <w:bottom w:val="nil"/>
              <w:right w:val="nil"/>
            </w:tcBorders>
            <w:shd w:val="clear" w:color="auto" w:fill="auto"/>
            <w:vAlign w:val="center"/>
            <w:hideMark/>
          </w:tcPr>
          <w:p w:rsidR="00E31579" w:rsidRPr="001F3D8A" w:rsidRDefault="00E31579" w:rsidP="00DF06F0">
            <w:pPr>
              <w:jc w:val="right"/>
              <w:rPr>
                <w:rFonts w:ascii="Arial" w:hAnsi="Arial" w:cs="Arial"/>
                <w:b/>
                <w:bCs/>
                <w:sz w:val="22"/>
                <w:szCs w:val="22"/>
                <w:lang w:val="en-US"/>
              </w:rPr>
            </w:pPr>
          </w:p>
        </w:tc>
        <w:tc>
          <w:tcPr>
            <w:tcW w:w="1973" w:type="dxa"/>
            <w:vMerge w:val="restart"/>
            <w:tcBorders>
              <w:top w:val="single" w:sz="4" w:space="0" w:color="auto"/>
              <w:left w:val="nil"/>
              <w:bottom w:val="nil"/>
              <w:right w:val="nil"/>
            </w:tcBorders>
            <w:shd w:val="clear" w:color="auto" w:fill="auto"/>
            <w:noWrap/>
            <w:vAlign w:val="bottom"/>
            <w:hideMark/>
          </w:tcPr>
          <w:p w:rsidR="00E31579" w:rsidRPr="001F3D8A" w:rsidRDefault="00E31579" w:rsidP="00DF06F0">
            <w:pPr>
              <w:rPr>
                <w:lang w:val="en-US"/>
              </w:rPr>
            </w:pPr>
            <w:r w:rsidRPr="001F3D8A">
              <w:rPr>
                <w:lang w:val="en-US"/>
              </w:rPr>
              <w:t> </w:t>
            </w:r>
          </w:p>
        </w:tc>
        <w:tc>
          <w:tcPr>
            <w:tcW w:w="2375" w:type="dxa"/>
            <w:vMerge w:val="restart"/>
            <w:tcBorders>
              <w:top w:val="single" w:sz="4" w:space="0" w:color="auto"/>
              <w:left w:val="nil"/>
              <w:bottom w:val="nil"/>
              <w:right w:val="nil"/>
            </w:tcBorders>
            <w:shd w:val="clear" w:color="auto" w:fill="auto"/>
            <w:noWrap/>
            <w:vAlign w:val="bottom"/>
            <w:hideMark/>
          </w:tcPr>
          <w:p w:rsidR="00E31579" w:rsidRPr="001F3D8A" w:rsidRDefault="00E31579" w:rsidP="00DF06F0">
            <w:pPr>
              <w:rPr>
                <w:lang w:val="en-US"/>
              </w:rPr>
            </w:pPr>
            <w:r w:rsidRPr="001F3D8A">
              <w:rPr>
                <w:lang w:val="en-US"/>
              </w:rPr>
              <w:t> </w:t>
            </w:r>
          </w:p>
        </w:tc>
      </w:tr>
      <w:tr w:rsidR="00E31579" w:rsidRPr="001F3D8A" w:rsidTr="00E31579">
        <w:trPr>
          <w:trHeight w:val="264"/>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Datorii curente</w:t>
            </w:r>
          </w:p>
        </w:tc>
        <w:tc>
          <w:tcPr>
            <w:tcW w:w="1973" w:type="dxa"/>
            <w:vMerge/>
            <w:tcBorders>
              <w:top w:val="nil"/>
              <w:left w:val="nil"/>
              <w:right w:val="nil"/>
            </w:tcBorders>
            <w:vAlign w:val="center"/>
            <w:hideMark/>
          </w:tcPr>
          <w:p w:rsidR="00E31579" w:rsidRPr="001F3D8A" w:rsidRDefault="00E31579" w:rsidP="00DF06F0">
            <w:pPr>
              <w:rPr>
                <w:lang w:val="en-US"/>
              </w:rPr>
            </w:pPr>
          </w:p>
        </w:tc>
        <w:tc>
          <w:tcPr>
            <w:tcW w:w="2375" w:type="dxa"/>
            <w:vMerge/>
            <w:tcBorders>
              <w:top w:val="nil"/>
              <w:left w:val="nil"/>
              <w:right w:val="nil"/>
            </w:tcBorders>
            <w:vAlign w:val="center"/>
            <w:hideMark/>
          </w:tcPr>
          <w:p w:rsidR="00E31579" w:rsidRPr="001F3D8A" w:rsidRDefault="00E31579" w:rsidP="00DF06F0">
            <w:pPr>
              <w:rPr>
                <w:lang w:val="en-US"/>
              </w:rPr>
            </w:pPr>
          </w:p>
        </w:tc>
      </w:tr>
      <w:tr w:rsidR="00E31579" w:rsidRPr="001F3D8A" w:rsidTr="00E31579">
        <w:trPr>
          <w:trHeight w:val="264"/>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Datorii comerciale</w:t>
            </w:r>
          </w:p>
        </w:tc>
        <w:tc>
          <w:tcPr>
            <w:tcW w:w="1973" w:type="dxa"/>
            <w:tcBorders>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rPr>
              <w:t xml:space="preserve">27.470.633 </w:t>
            </w:r>
          </w:p>
        </w:tc>
        <w:tc>
          <w:tcPr>
            <w:tcW w:w="2375" w:type="dxa"/>
            <w:tcBorders>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rPr>
              <w:t xml:space="preserve">30.653.848 </w:t>
            </w:r>
          </w:p>
        </w:tc>
      </w:tr>
      <w:tr w:rsidR="00E31579" w:rsidRPr="001F3D8A" w:rsidTr="00E31579">
        <w:trPr>
          <w:trHeight w:val="127"/>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Impozit pe profit curent</w:t>
            </w:r>
          </w:p>
        </w:tc>
        <w:tc>
          <w:tcPr>
            <w:tcW w:w="1973" w:type="dxa"/>
            <w:tcBorders>
              <w:top w:val="nil"/>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2.592.820 </w:t>
            </w:r>
          </w:p>
        </w:tc>
        <w:tc>
          <w:tcPr>
            <w:tcW w:w="2375" w:type="dxa"/>
            <w:tcBorders>
              <w:top w:val="nil"/>
              <w:left w:val="nil"/>
              <w:bottom w:val="nil"/>
              <w:right w:val="nil"/>
            </w:tcBorders>
            <w:shd w:val="clear" w:color="auto" w:fill="auto"/>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3.761.986 </w:t>
            </w:r>
          </w:p>
        </w:tc>
      </w:tr>
      <w:tr w:rsidR="00E31579" w:rsidRPr="001F3D8A" w:rsidTr="00E31579">
        <w:trPr>
          <w:trHeight w:val="264"/>
        </w:trPr>
        <w:tc>
          <w:tcPr>
            <w:tcW w:w="4399" w:type="dxa"/>
            <w:tcBorders>
              <w:top w:val="nil"/>
              <w:left w:val="nil"/>
              <w:bottom w:val="nil"/>
              <w:right w:val="nil"/>
            </w:tcBorders>
            <w:shd w:val="clear" w:color="auto" w:fill="auto"/>
            <w:vAlign w:val="center"/>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Alte datorii</w:t>
            </w:r>
          </w:p>
        </w:tc>
        <w:tc>
          <w:tcPr>
            <w:tcW w:w="1973" w:type="dxa"/>
            <w:tcBorders>
              <w:top w:val="nil"/>
              <w:left w:val="nil"/>
              <w:right w:val="nil"/>
            </w:tcBorders>
            <w:shd w:val="clear" w:color="auto" w:fill="auto"/>
            <w:noWrap/>
            <w:vAlign w:val="center"/>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38.053.444 </w:t>
            </w:r>
          </w:p>
        </w:tc>
        <w:tc>
          <w:tcPr>
            <w:tcW w:w="2375" w:type="dxa"/>
            <w:tcBorders>
              <w:top w:val="nil"/>
              <w:left w:val="nil"/>
              <w:right w:val="nil"/>
            </w:tcBorders>
            <w:shd w:val="clear" w:color="auto" w:fill="auto"/>
            <w:noWrap/>
            <w:vAlign w:val="center"/>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32.281.986 </w:t>
            </w:r>
          </w:p>
        </w:tc>
      </w:tr>
      <w:tr w:rsidR="00E31579" w:rsidRPr="001F3D8A" w:rsidTr="00E31579">
        <w:trPr>
          <w:trHeight w:val="136"/>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Provizioane pe termen scurt</w:t>
            </w:r>
          </w:p>
        </w:tc>
        <w:tc>
          <w:tcPr>
            <w:tcW w:w="1973" w:type="dxa"/>
            <w:tcBorders>
              <w:top w:val="nil"/>
              <w:left w:val="nil"/>
              <w:bottom w:val="single" w:sz="4" w:space="0" w:color="auto"/>
              <w:right w:val="nil"/>
            </w:tcBorders>
            <w:shd w:val="clear" w:color="auto" w:fill="auto"/>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12.934.691</w:t>
            </w:r>
          </w:p>
        </w:tc>
        <w:tc>
          <w:tcPr>
            <w:tcW w:w="2375" w:type="dxa"/>
            <w:tcBorders>
              <w:top w:val="nil"/>
              <w:left w:val="nil"/>
              <w:bottom w:val="single" w:sz="4" w:space="0" w:color="auto"/>
              <w:right w:val="nil"/>
            </w:tcBorders>
            <w:shd w:val="clear" w:color="auto" w:fill="auto"/>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9.531.569 </w:t>
            </w:r>
          </w:p>
        </w:tc>
      </w:tr>
      <w:tr w:rsidR="00E31579" w:rsidRPr="001F3D8A" w:rsidTr="00E31579">
        <w:trPr>
          <w:trHeight w:val="167"/>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Total datorii curente</w:t>
            </w:r>
          </w:p>
        </w:tc>
        <w:tc>
          <w:tcPr>
            <w:tcW w:w="1973" w:type="dxa"/>
            <w:tcBorders>
              <w:top w:val="single" w:sz="4" w:space="0" w:color="auto"/>
              <w:left w:val="nil"/>
              <w:bottom w:val="single" w:sz="4" w:space="0" w:color="auto"/>
              <w:right w:val="nil"/>
            </w:tcBorders>
            <w:shd w:val="clear" w:color="auto" w:fill="auto"/>
            <w:noWrap/>
            <w:vAlign w:val="center"/>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 xml:space="preserve">81.051.588 </w:t>
            </w:r>
          </w:p>
        </w:tc>
        <w:tc>
          <w:tcPr>
            <w:tcW w:w="2375" w:type="dxa"/>
            <w:tcBorders>
              <w:top w:val="single" w:sz="4" w:space="0" w:color="auto"/>
              <w:left w:val="nil"/>
              <w:bottom w:val="single" w:sz="4" w:space="0" w:color="auto"/>
              <w:right w:val="nil"/>
            </w:tcBorders>
            <w:shd w:val="clear" w:color="auto" w:fill="auto"/>
            <w:noWrap/>
            <w:vAlign w:val="center"/>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76.229.389</w:t>
            </w:r>
          </w:p>
        </w:tc>
      </w:tr>
      <w:tr w:rsidR="00E31579" w:rsidRPr="001F3D8A" w:rsidTr="00E31579">
        <w:trPr>
          <w:trHeight w:val="275"/>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 xml:space="preserve">Total datorii </w:t>
            </w:r>
          </w:p>
        </w:tc>
        <w:tc>
          <w:tcPr>
            <w:tcW w:w="1973" w:type="dxa"/>
            <w:tcBorders>
              <w:top w:val="single" w:sz="4" w:space="0" w:color="auto"/>
              <w:left w:val="nil"/>
              <w:bottom w:val="single" w:sz="4" w:space="0" w:color="auto"/>
              <w:right w:val="nil"/>
            </w:tcBorders>
            <w:shd w:val="clear" w:color="auto" w:fill="auto"/>
            <w:noWrap/>
            <w:vAlign w:val="center"/>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 xml:space="preserve">94.347.458 </w:t>
            </w:r>
          </w:p>
        </w:tc>
        <w:tc>
          <w:tcPr>
            <w:tcW w:w="2375" w:type="dxa"/>
            <w:tcBorders>
              <w:top w:val="single" w:sz="4" w:space="0" w:color="auto"/>
              <w:left w:val="nil"/>
              <w:bottom w:val="single" w:sz="4" w:space="0" w:color="auto"/>
              <w:right w:val="nil"/>
            </w:tcBorders>
            <w:shd w:val="clear" w:color="auto" w:fill="auto"/>
            <w:noWrap/>
            <w:vAlign w:val="center"/>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89.047.050</w:t>
            </w:r>
          </w:p>
        </w:tc>
      </w:tr>
      <w:tr w:rsidR="00E31579" w:rsidRPr="001F3D8A" w:rsidTr="00E31579">
        <w:trPr>
          <w:trHeight w:val="523"/>
        </w:trPr>
        <w:tc>
          <w:tcPr>
            <w:tcW w:w="4399" w:type="dxa"/>
            <w:tcBorders>
              <w:top w:val="nil"/>
              <w:left w:val="nil"/>
              <w:bottom w:val="nil"/>
              <w:right w:val="nil"/>
            </w:tcBorders>
            <w:shd w:val="clear" w:color="auto" w:fill="auto"/>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 xml:space="preserve">TOTAL CAPITALURI PROPRII </w:t>
            </w:r>
          </w:p>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ȘI DATORII</w:t>
            </w:r>
          </w:p>
        </w:tc>
        <w:tc>
          <w:tcPr>
            <w:tcW w:w="1973" w:type="dxa"/>
            <w:tcBorders>
              <w:top w:val="single" w:sz="4" w:space="0" w:color="auto"/>
              <w:left w:val="nil"/>
              <w:bottom w:val="double" w:sz="4" w:space="0" w:color="auto"/>
              <w:right w:val="nil"/>
            </w:tcBorders>
            <w:shd w:val="clear" w:color="auto" w:fill="auto"/>
            <w:noWrap/>
            <w:vAlign w:val="center"/>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 xml:space="preserve">717.138.910 </w:t>
            </w:r>
          </w:p>
        </w:tc>
        <w:tc>
          <w:tcPr>
            <w:tcW w:w="2375" w:type="dxa"/>
            <w:tcBorders>
              <w:top w:val="single" w:sz="4" w:space="0" w:color="auto"/>
              <w:left w:val="nil"/>
              <w:bottom w:val="double" w:sz="4" w:space="0" w:color="auto"/>
              <w:right w:val="nil"/>
            </w:tcBorders>
            <w:shd w:val="clear" w:color="auto" w:fill="auto"/>
            <w:noWrap/>
            <w:vAlign w:val="center"/>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748.773.470</w:t>
            </w:r>
          </w:p>
        </w:tc>
      </w:tr>
    </w:tbl>
    <w:p w:rsidR="00F72F65" w:rsidRDefault="00F72F65">
      <w:pPr>
        <w:widowControl/>
        <w:autoSpaceDE/>
        <w:autoSpaceDN/>
        <w:adjustRightInd/>
        <w:rPr>
          <w:rFonts w:ascii="Arial" w:hAnsi="Arial" w:cs="Arial"/>
          <w:sz w:val="22"/>
          <w:szCs w:val="22"/>
        </w:rPr>
      </w:pPr>
    </w:p>
    <w:p w:rsidR="00DD6E8F" w:rsidRPr="00CA3CF8" w:rsidRDefault="00DD6E8F" w:rsidP="00DD6E8F">
      <w:pPr>
        <w:rPr>
          <w:rFonts w:ascii="Arial" w:hAnsi="Arial" w:cs="Arial"/>
          <w:b/>
          <w:color w:val="1F4E79" w:themeColor="accent1" w:themeShade="80"/>
          <w:sz w:val="22"/>
          <w:szCs w:val="22"/>
          <w:lang w:val="fr-FR" w:eastAsia="en-US"/>
        </w:rPr>
      </w:pPr>
      <w:r w:rsidRPr="00CA3CF8">
        <w:rPr>
          <w:rFonts w:ascii="Arial" w:hAnsi="Arial" w:cs="Arial"/>
          <w:b/>
          <w:color w:val="1F4E79" w:themeColor="accent1" w:themeShade="80"/>
          <w:sz w:val="22"/>
          <w:szCs w:val="22"/>
          <w:lang w:val="fr-FR" w:eastAsia="en-US"/>
        </w:rPr>
        <w:lastRenderedPageBreak/>
        <w:t>Anexa nr.2</w:t>
      </w:r>
    </w:p>
    <w:p w:rsidR="00DD6E8F" w:rsidRPr="00CA3CF8" w:rsidRDefault="00DD6E8F" w:rsidP="00DD6E8F">
      <w:pPr>
        <w:rPr>
          <w:rFonts w:ascii="Arial" w:hAnsi="Arial" w:cs="Arial"/>
          <w:b/>
          <w:color w:val="1F4E79" w:themeColor="accent1" w:themeShade="80"/>
          <w:sz w:val="22"/>
          <w:szCs w:val="22"/>
          <w:lang w:val="fr-FR" w:eastAsia="en-US"/>
        </w:rPr>
      </w:pPr>
    </w:p>
    <w:p w:rsidR="00E31579" w:rsidRPr="00CA3CF8" w:rsidRDefault="00E31579" w:rsidP="00E31579">
      <w:pPr>
        <w:pStyle w:val="Heading1"/>
        <w:tabs>
          <w:tab w:val="num" w:pos="0"/>
        </w:tabs>
        <w:spacing w:before="0" w:after="0"/>
        <w:rPr>
          <w:rFonts w:ascii="Arial" w:hAnsi="Arial" w:cs="Arial"/>
          <w:color w:val="1F4E79" w:themeColor="accent1" w:themeShade="80"/>
          <w:sz w:val="22"/>
          <w:szCs w:val="22"/>
        </w:rPr>
      </w:pPr>
      <w:r w:rsidRPr="00CA3CF8">
        <w:rPr>
          <w:rFonts w:ascii="Arial" w:hAnsi="Arial" w:cs="Arial"/>
          <w:color w:val="1F4E79" w:themeColor="accent1" w:themeShade="80"/>
          <w:sz w:val="22"/>
          <w:szCs w:val="22"/>
        </w:rPr>
        <w:t>SITUAȚIA INTERIMARĂ A CONTULUI DE PROFIT ȘI PIERDERE ȘI ALTOR ELEMENTE ALE REZULTATULUI GLOBAL PENTRU PERIOADA DE ȘASE LUNI ÎNCHEIATĂ</w:t>
      </w:r>
    </w:p>
    <w:p w:rsidR="00E31579" w:rsidRPr="001F3D8A" w:rsidRDefault="00E31579" w:rsidP="00E31579">
      <w:pPr>
        <w:pStyle w:val="Heading1"/>
        <w:tabs>
          <w:tab w:val="num" w:pos="0"/>
        </w:tabs>
        <w:spacing w:before="0" w:after="0"/>
        <w:jc w:val="center"/>
        <w:rPr>
          <w:rFonts w:ascii="Arial" w:hAnsi="Arial" w:cs="Arial"/>
          <w:sz w:val="22"/>
          <w:szCs w:val="22"/>
        </w:rPr>
      </w:pPr>
      <w:r w:rsidRPr="00CA3CF8">
        <w:rPr>
          <w:rFonts w:ascii="Arial" w:hAnsi="Arial" w:cs="Arial"/>
          <w:color w:val="1F4E79" w:themeColor="accent1" w:themeShade="80"/>
          <w:sz w:val="22"/>
          <w:szCs w:val="22"/>
        </w:rPr>
        <w:t>LA 30 IUNIE 2018</w:t>
      </w:r>
    </w:p>
    <w:p w:rsidR="00E31579" w:rsidRPr="001F3D8A" w:rsidRDefault="00E31579" w:rsidP="00E31579"/>
    <w:tbl>
      <w:tblPr>
        <w:tblW w:w="8655" w:type="dxa"/>
        <w:shd w:val="clear" w:color="auto" w:fill="FFFFFF" w:themeFill="background1"/>
        <w:tblLook w:val="04A0" w:firstRow="1" w:lastRow="0" w:firstColumn="1" w:lastColumn="0" w:noHBand="0" w:noVBand="1"/>
      </w:tblPr>
      <w:tblGrid>
        <w:gridCol w:w="4590"/>
        <w:gridCol w:w="1995"/>
        <w:gridCol w:w="2070"/>
      </w:tblGrid>
      <w:tr w:rsidR="00E31579" w:rsidRPr="001F3D8A" w:rsidTr="00E31579">
        <w:trPr>
          <w:trHeight w:val="300"/>
        </w:trPr>
        <w:tc>
          <w:tcPr>
            <w:tcW w:w="4590" w:type="dxa"/>
            <w:shd w:val="clear" w:color="auto" w:fill="FFFFFF" w:themeFill="background1"/>
            <w:noWrap/>
            <w:vAlign w:val="center"/>
            <w:hideMark/>
          </w:tcPr>
          <w:p w:rsidR="00E31579" w:rsidRPr="001F3D8A" w:rsidRDefault="00E31579" w:rsidP="00DF06F0">
            <w:pPr>
              <w:rPr>
                <w:sz w:val="24"/>
                <w:szCs w:val="24"/>
                <w:lang w:val="en-US"/>
              </w:rPr>
            </w:pPr>
          </w:p>
        </w:tc>
        <w:tc>
          <w:tcPr>
            <w:tcW w:w="1995" w:type="dxa"/>
            <w:tcBorders>
              <w:top w:val="single" w:sz="4" w:space="0" w:color="auto"/>
              <w:bottom w:val="single" w:sz="4" w:space="0" w:color="auto"/>
            </w:tcBorders>
            <w:shd w:val="clear" w:color="auto" w:fill="DEEAF6" w:themeFill="accent1" w:themeFillTint="33"/>
            <w:noWrap/>
            <w:vAlign w:val="center"/>
            <w:hideMark/>
          </w:tcPr>
          <w:p w:rsidR="00E31579" w:rsidRPr="001F3D8A" w:rsidRDefault="00E31579" w:rsidP="00D17C8F">
            <w:pPr>
              <w:ind w:left="-111" w:right="-111"/>
              <w:jc w:val="center"/>
              <w:rPr>
                <w:rFonts w:ascii="Arial" w:hAnsi="Arial" w:cs="Arial"/>
                <w:b/>
                <w:bCs/>
                <w:sz w:val="22"/>
                <w:szCs w:val="22"/>
                <w:lang w:val="en-US"/>
              </w:rPr>
            </w:pPr>
            <w:r w:rsidRPr="001F3D8A">
              <w:rPr>
                <w:rFonts w:ascii="Arial" w:hAnsi="Arial" w:cs="Arial"/>
                <w:b/>
                <w:bCs/>
                <w:sz w:val="22"/>
                <w:szCs w:val="22"/>
                <w:lang w:val="en-US"/>
              </w:rPr>
              <w:t>6 luni încheiate la</w:t>
            </w:r>
          </w:p>
          <w:p w:rsidR="00E31579" w:rsidRPr="001F3D8A" w:rsidRDefault="00E31579" w:rsidP="00D17C8F">
            <w:pPr>
              <w:ind w:left="-111" w:right="-111"/>
              <w:jc w:val="center"/>
              <w:rPr>
                <w:rFonts w:ascii="Arial" w:hAnsi="Arial" w:cs="Arial"/>
                <w:b/>
                <w:bCs/>
                <w:sz w:val="22"/>
                <w:szCs w:val="22"/>
                <w:lang w:val="en-US"/>
              </w:rPr>
            </w:pPr>
            <w:r w:rsidRPr="001F3D8A">
              <w:rPr>
                <w:rFonts w:ascii="Arial" w:hAnsi="Arial" w:cs="Arial"/>
                <w:b/>
                <w:bCs/>
                <w:sz w:val="22"/>
                <w:szCs w:val="22"/>
                <w:lang w:val="en-US"/>
              </w:rPr>
              <w:t>30 iunie 2018 (revizuită)</w:t>
            </w:r>
          </w:p>
        </w:tc>
        <w:tc>
          <w:tcPr>
            <w:tcW w:w="2070" w:type="dxa"/>
            <w:tcBorders>
              <w:top w:val="single" w:sz="4" w:space="0" w:color="auto"/>
              <w:bottom w:val="single" w:sz="4" w:space="0" w:color="auto"/>
            </w:tcBorders>
            <w:shd w:val="clear" w:color="auto" w:fill="DEEAF6" w:themeFill="accent1" w:themeFillTint="33"/>
            <w:noWrap/>
            <w:vAlign w:val="center"/>
            <w:hideMark/>
          </w:tcPr>
          <w:p w:rsidR="00E31579" w:rsidRPr="001F3D8A" w:rsidRDefault="00E31579" w:rsidP="00D17C8F">
            <w:pPr>
              <w:jc w:val="center"/>
              <w:rPr>
                <w:rFonts w:ascii="Arial" w:hAnsi="Arial" w:cs="Arial"/>
                <w:b/>
                <w:bCs/>
                <w:sz w:val="22"/>
                <w:szCs w:val="22"/>
                <w:lang w:val="en-US"/>
              </w:rPr>
            </w:pPr>
            <w:r w:rsidRPr="001F3D8A">
              <w:rPr>
                <w:rFonts w:ascii="Arial" w:hAnsi="Arial" w:cs="Arial"/>
                <w:b/>
                <w:bCs/>
                <w:sz w:val="22"/>
                <w:szCs w:val="22"/>
                <w:lang w:val="en-US"/>
              </w:rPr>
              <w:t>6 luni încheiate la</w:t>
            </w:r>
          </w:p>
          <w:p w:rsidR="00E31579" w:rsidRPr="001F3D8A" w:rsidRDefault="00E31579" w:rsidP="005C2879">
            <w:pPr>
              <w:jc w:val="center"/>
              <w:rPr>
                <w:rFonts w:ascii="Arial" w:hAnsi="Arial" w:cs="Arial"/>
                <w:b/>
                <w:bCs/>
                <w:sz w:val="22"/>
                <w:szCs w:val="22"/>
                <w:lang w:val="en-US"/>
              </w:rPr>
            </w:pPr>
            <w:r w:rsidRPr="001F3D8A">
              <w:rPr>
                <w:rFonts w:ascii="Arial" w:hAnsi="Arial" w:cs="Arial"/>
                <w:b/>
                <w:bCs/>
                <w:sz w:val="22"/>
                <w:szCs w:val="22"/>
                <w:lang w:val="en-US"/>
              </w:rPr>
              <w:t>30 iunie 2017 (r</w:t>
            </w:r>
            <w:r w:rsidR="005C2879">
              <w:rPr>
                <w:rFonts w:ascii="Arial" w:hAnsi="Arial" w:cs="Arial"/>
                <w:b/>
                <w:bCs/>
                <w:sz w:val="22"/>
                <w:szCs w:val="22"/>
                <w:lang w:val="en-US"/>
              </w:rPr>
              <w:t>etrata</w:t>
            </w:r>
            <w:r w:rsidRPr="001F3D8A">
              <w:rPr>
                <w:rFonts w:ascii="Arial" w:hAnsi="Arial" w:cs="Arial"/>
                <w:b/>
                <w:bCs/>
                <w:sz w:val="22"/>
                <w:szCs w:val="22"/>
                <w:lang w:val="en-US"/>
              </w:rPr>
              <w:t>tă)</w:t>
            </w:r>
          </w:p>
        </w:tc>
      </w:tr>
      <w:tr w:rsidR="00E31579" w:rsidRPr="001F3D8A" w:rsidTr="00E31579">
        <w:trPr>
          <w:trHeight w:val="175"/>
        </w:trPr>
        <w:tc>
          <w:tcPr>
            <w:tcW w:w="4590" w:type="dxa"/>
            <w:shd w:val="clear" w:color="auto" w:fill="FFFFFF" w:themeFill="background1"/>
            <w:noWrap/>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 xml:space="preserve">Venituri din exploatare                                        </w:t>
            </w:r>
            <w:r w:rsidRPr="001F3D8A">
              <w:rPr>
                <w:rFonts w:ascii="Arial" w:hAnsi="Arial" w:cs="Arial"/>
                <w:sz w:val="22"/>
                <w:szCs w:val="22"/>
                <w:lang w:val="en-US"/>
              </w:rPr>
              <w:t xml:space="preserve">   </w:t>
            </w:r>
          </w:p>
        </w:tc>
        <w:tc>
          <w:tcPr>
            <w:tcW w:w="1995" w:type="dxa"/>
            <w:tcBorders>
              <w:top w:val="single" w:sz="4" w:space="0" w:color="auto"/>
            </w:tcBorders>
            <w:shd w:val="clear" w:color="auto" w:fill="FFFFFF" w:themeFill="background1"/>
            <w:noWrap/>
            <w:vAlign w:val="center"/>
            <w:hideMark/>
          </w:tcPr>
          <w:p w:rsidR="00E31579" w:rsidRPr="001F3D8A" w:rsidRDefault="00E31579" w:rsidP="00DF06F0">
            <w:pPr>
              <w:rPr>
                <w:lang w:val="en-US"/>
              </w:rPr>
            </w:pPr>
            <w:r w:rsidRPr="001F3D8A">
              <w:rPr>
                <w:lang w:val="en-US"/>
              </w:rPr>
              <w:t> </w:t>
            </w:r>
          </w:p>
        </w:tc>
        <w:tc>
          <w:tcPr>
            <w:tcW w:w="2070" w:type="dxa"/>
            <w:tcBorders>
              <w:top w:val="single" w:sz="4" w:space="0" w:color="auto"/>
            </w:tcBorders>
            <w:shd w:val="clear" w:color="auto" w:fill="FFFFFF" w:themeFill="background1"/>
            <w:noWrap/>
            <w:vAlign w:val="bottom"/>
            <w:hideMark/>
          </w:tcPr>
          <w:p w:rsidR="00E31579" w:rsidRPr="001F3D8A" w:rsidRDefault="00E31579" w:rsidP="00DF06F0">
            <w:pPr>
              <w:rPr>
                <w:lang w:val="en-US"/>
              </w:rPr>
            </w:pPr>
          </w:p>
        </w:tc>
      </w:tr>
      <w:tr w:rsidR="00E31579" w:rsidRPr="001F3D8A" w:rsidTr="00E31579">
        <w:trPr>
          <w:trHeight w:val="288"/>
        </w:trPr>
        <w:tc>
          <w:tcPr>
            <w:tcW w:w="4590" w:type="dxa"/>
            <w:shd w:val="clear" w:color="auto" w:fill="FFFFFF" w:themeFill="background1"/>
            <w:noWrap/>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it-IT"/>
              </w:rPr>
              <w:t>Venituri din cifra de afaceri</w:t>
            </w:r>
          </w:p>
        </w:tc>
        <w:tc>
          <w:tcPr>
            <w:tcW w:w="1995" w:type="dxa"/>
            <w:shd w:val="clear" w:color="auto" w:fill="FFFFFF" w:themeFill="background1"/>
            <w:noWrap/>
            <w:vAlign w:val="bottom"/>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rPr>
              <w:t xml:space="preserve">184.931.130 </w:t>
            </w:r>
          </w:p>
        </w:tc>
        <w:tc>
          <w:tcPr>
            <w:tcW w:w="2070" w:type="dxa"/>
            <w:shd w:val="clear" w:color="auto" w:fill="FFFFFF" w:themeFill="background1"/>
            <w:noWrap/>
            <w:vAlign w:val="bottom"/>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186.314.395 </w:t>
            </w:r>
          </w:p>
        </w:tc>
      </w:tr>
      <w:tr w:rsidR="00E31579" w:rsidRPr="001F3D8A" w:rsidTr="00E31579">
        <w:trPr>
          <w:trHeight w:val="194"/>
        </w:trPr>
        <w:tc>
          <w:tcPr>
            <w:tcW w:w="4590" w:type="dxa"/>
            <w:shd w:val="clear" w:color="auto" w:fill="FFFFFF" w:themeFill="background1"/>
            <w:noWrap/>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Alte venituri</w:t>
            </w:r>
          </w:p>
        </w:tc>
        <w:tc>
          <w:tcPr>
            <w:tcW w:w="1995" w:type="dxa"/>
            <w:shd w:val="clear" w:color="auto" w:fill="FFFFFF" w:themeFill="background1"/>
            <w:noWrap/>
            <w:vAlign w:val="bottom"/>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15.045.754 </w:t>
            </w:r>
          </w:p>
        </w:tc>
        <w:tc>
          <w:tcPr>
            <w:tcW w:w="2070" w:type="dxa"/>
            <w:shd w:val="clear" w:color="auto" w:fill="FFFFFF" w:themeFill="background1"/>
            <w:noWrap/>
            <w:vAlign w:val="bottom"/>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15.389.511 </w:t>
            </w:r>
          </w:p>
        </w:tc>
      </w:tr>
      <w:tr w:rsidR="00E31579" w:rsidRPr="001F3D8A" w:rsidTr="00E31579">
        <w:trPr>
          <w:trHeight w:val="103"/>
        </w:trPr>
        <w:tc>
          <w:tcPr>
            <w:tcW w:w="4590" w:type="dxa"/>
            <w:shd w:val="clear" w:color="auto" w:fill="FFFFFF" w:themeFill="background1"/>
            <w:noWrap/>
            <w:vAlign w:val="center"/>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Câștig din cedări de active</w:t>
            </w:r>
          </w:p>
        </w:tc>
        <w:tc>
          <w:tcPr>
            <w:tcW w:w="1995" w:type="dxa"/>
            <w:tcBorders>
              <w:bottom w:val="single" w:sz="4" w:space="0" w:color="auto"/>
            </w:tcBorders>
            <w:shd w:val="clear" w:color="auto" w:fill="FFFFFF" w:themeFill="background1"/>
            <w:noWrap/>
            <w:vAlign w:val="bottom"/>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 </w:t>
            </w:r>
          </w:p>
        </w:tc>
        <w:tc>
          <w:tcPr>
            <w:tcW w:w="2070" w:type="dxa"/>
            <w:tcBorders>
              <w:bottom w:val="single" w:sz="4" w:space="0" w:color="auto"/>
            </w:tcBorders>
            <w:shd w:val="clear" w:color="auto" w:fill="FFFFFF" w:themeFill="background1"/>
            <w:noWrap/>
            <w:vAlign w:val="bottom"/>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899.618 </w:t>
            </w:r>
          </w:p>
        </w:tc>
      </w:tr>
      <w:tr w:rsidR="00E31579" w:rsidRPr="001F3D8A" w:rsidTr="00E31579">
        <w:trPr>
          <w:trHeight w:val="211"/>
        </w:trPr>
        <w:tc>
          <w:tcPr>
            <w:tcW w:w="4590" w:type="dxa"/>
            <w:shd w:val="clear" w:color="auto" w:fill="FFFFFF" w:themeFill="background1"/>
            <w:noWrap/>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Total venituri din exploatare</w:t>
            </w:r>
          </w:p>
        </w:tc>
        <w:tc>
          <w:tcPr>
            <w:tcW w:w="1995" w:type="dxa"/>
            <w:tcBorders>
              <w:top w:val="single" w:sz="4" w:space="0" w:color="auto"/>
              <w:bottom w:val="single" w:sz="4" w:space="0" w:color="auto"/>
            </w:tcBorders>
            <w:shd w:val="clear" w:color="auto" w:fill="FFFFFF" w:themeFill="background1"/>
            <w:noWrap/>
            <w:vAlign w:val="bottom"/>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 xml:space="preserve">199.976.884 </w:t>
            </w:r>
          </w:p>
        </w:tc>
        <w:tc>
          <w:tcPr>
            <w:tcW w:w="2070" w:type="dxa"/>
            <w:tcBorders>
              <w:top w:val="single" w:sz="4" w:space="0" w:color="auto"/>
              <w:bottom w:val="single" w:sz="4" w:space="0" w:color="auto"/>
            </w:tcBorders>
            <w:shd w:val="clear" w:color="auto" w:fill="FFFFFF" w:themeFill="background1"/>
            <w:noWrap/>
            <w:vAlign w:val="bottom"/>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 xml:space="preserve">202.603.524 </w:t>
            </w:r>
          </w:p>
        </w:tc>
      </w:tr>
      <w:tr w:rsidR="00E31579" w:rsidRPr="001F3D8A" w:rsidTr="00E31579">
        <w:trPr>
          <w:trHeight w:val="288"/>
        </w:trPr>
        <w:tc>
          <w:tcPr>
            <w:tcW w:w="4590" w:type="dxa"/>
            <w:shd w:val="clear" w:color="auto" w:fill="FFFFFF" w:themeFill="background1"/>
            <w:noWrap/>
            <w:vAlign w:val="bottom"/>
            <w:hideMark/>
          </w:tcPr>
          <w:p w:rsidR="00E31579" w:rsidRPr="001F3D8A" w:rsidRDefault="00E31579" w:rsidP="00DF06F0">
            <w:pPr>
              <w:jc w:val="right"/>
              <w:rPr>
                <w:rFonts w:ascii="Arial" w:hAnsi="Arial" w:cs="Arial"/>
                <w:b/>
                <w:bCs/>
                <w:sz w:val="22"/>
                <w:szCs w:val="22"/>
                <w:lang w:val="en-US"/>
              </w:rPr>
            </w:pPr>
          </w:p>
        </w:tc>
        <w:tc>
          <w:tcPr>
            <w:tcW w:w="1995" w:type="dxa"/>
            <w:tcBorders>
              <w:top w:val="single" w:sz="4" w:space="0" w:color="auto"/>
            </w:tcBorders>
            <w:shd w:val="clear" w:color="auto" w:fill="FFFFFF" w:themeFill="background1"/>
            <w:noWrap/>
            <w:vAlign w:val="bottom"/>
            <w:hideMark/>
          </w:tcPr>
          <w:p w:rsidR="00E31579" w:rsidRPr="001F3D8A" w:rsidRDefault="00E31579" w:rsidP="00DF06F0">
            <w:pPr>
              <w:rPr>
                <w:lang w:val="en-US"/>
              </w:rPr>
            </w:pPr>
            <w:r w:rsidRPr="001F3D8A">
              <w:rPr>
                <w:lang w:val="en-US"/>
              </w:rPr>
              <w:t> </w:t>
            </w:r>
          </w:p>
        </w:tc>
        <w:tc>
          <w:tcPr>
            <w:tcW w:w="2070" w:type="dxa"/>
            <w:tcBorders>
              <w:top w:val="single" w:sz="4" w:space="0" w:color="auto"/>
            </w:tcBorders>
            <w:shd w:val="clear" w:color="auto" w:fill="FFFFFF" w:themeFill="background1"/>
            <w:noWrap/>
            <w:vAlign w:val="bottom"/>
            <w:hideMark/>
          </w:tcPr>
          <w:p w:rsidR="00E31579" w:rsidRPr="001F3D8A" w:rsidRDefault="00E31579" w:rsidP="00DF06F0">
            <w:pPr>
              <w:rPr>
                <w:lang w:val="en-US"/>
              </w:rPr>
            </w:pPr>
          </w:p>
        </w:tc>
      </w:tr>
      <w:tr w:rsidR="00E31579" w:rsidRPr="001F3D8A" w:rsidTr="00E31579">
        <w:trPr>
          <w:trHeight w:val="73"/>
        </w:trPr>
        <w:tc>
          <w:tcPr>
            <w:tcW w:w="4590" w:type="dxa"/>
            <w:shd w:val="clear" w:color="auto" w:fill="FFFFFF" w:themeFill="background1"/>
            <w:noWrap/>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 xml:space="preserve">Cheltuieli din exploatare                                        </w:t>
            </w:r>
          </w:p>
        </w:tc>
        <w:tc>
          <w:tcPr>
            <w:tcW w:w="1995" w:type="dxa"/>
            <w:shd w:val="clear" w:color="auto" w:fill="FFFFFF" w:themeFill="background1"/>
            <w:noWrap/>
            <w:vAlign w:val="bottom"/>
            <w:hideMark/>
          </w:tcPr>
          <w:p w:rsidR="00E31579" w:rsidRPr="001F3D8A" w:rsidRDefault="00E31579" w:rsidP="00DF06F0">
            <w:pPr>
              <w:jc w:val="center"/>
              <w:rPr>
                <w:rFonts w:ascii="Arial" w:hAnsi="Arial" w:cs="Arial"/>
                <w:sz w:val="22"/>
                <w:szCs w:val="22"/>
                <w:lang w:val="en-US"/>
              </w:rPr>
            </w:pPr>
          </w:p>
        </w:tc>
        <w:tc>
          <w:tcPr>
            <w:tcW w:w="2070" w:type="dxa"/>
            <w:shd w:val="clear" w:color="auto" w:fill="FFFFFF" w:themeFill="background1"/>
            <w:noWrap/>
            <w:vAlign w:val="bottom"/>
            <w:hideMark/>
          </w:tcPr>
          <w:p w:rsidR="00E31579" w:rsidRPr="001F3D8A" w:rsidRDefault="00E31579" w:rsidP="00DF06F0">
            <w:pPr>
              <w:rPr>
                <w:lang w:val="en-US"/>
              </w:rPr>
            </w:pPr>
          </w:p>
        </w:tc>
      </w:tr>
      <w:tr w:rsidR="00E31579" w:rsidRPr="001F3D8A" w:rsidTr="00E31579">
        <w:trPr>
          <w:trHeight w:val="288"/>
        </w:trPr>
        <w:tc>
          <w:tcPr>
            <w:tcW w:w="4590" w:type="dxa"/>
            <w:shd w:val="clear" w:color="auto" w:fill="FFFFFF" w:themeFill="background1"/>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Cheltuieli privind stocurile</w:t>
            </w:r>
          </w:p>
        </w:tc>
        <w:tc>
          <w:tcPr>
            <w:tcW w:w="1995" w:type="dxa"/>
            <w:shd w:val="clear" w:color="auto" w:fill="FFFFFF" w:themeFill="background1"/>
            <w:noWrap/>
            <w:vAlign w:val="center"/>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rPr>
              <w:t xml:space="preserve">3.269.384 </w:t>
            </w:r>
          </w:p>
        </w:tc>
        <w:tc>
          <w:tcPr>
            <w:tcW w:w="2070" w:type="dxa"/>
            <w:shd w:val="clear" w:color="auto" w:fill="FFFFFF" w:themeFill="background1"/>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3.229.734 </w:t>
            </w:r>
          </w:p>
        </w:tc>
      </w:tr>
      <w:tr w:rsidR="00E31579" w:rsidRPr="001F3D8A" w:rsidTr="00E31579">
        <w:trPr>
          <w:trHeight w:val="288"/>
        </w:trPr>
        <w:tc>
          <w:tcPr>
            <w:tcW w:w="4590" w:type="dxa"/>
            <w:shd w:val="clear" w:color="auto" w:fill="FFFFFF" w:themeFill="background1"/>
            <w:noWrap/>
            <w:vAlign w:val="center"/>
          </w:tcPr>
          <w:p w:rsidR="00E31579" w:rsidRPr="001F3D8A" w:rsidRDefault="00E31579" w:rsidP="00DF06F0">
            <w:pPr>
              <w:rPr>
                <w:rFonts w:ascii="Arial" w:hAnsi="Arial" w:cs="Arial"/>
                <w:sz w:val="22"/>
                <w:szCs w:val="22"/>
              </w:rPr>
            </w:pPr>
            <w:r w:rsidRPr="001F3D8A">
              <w:rPr>
                <w:rFonts w:ascii="Arial" w:hAnsi="Arial" w:cs="Arial"/>
                <w:sz w:val="22"/>
                <w:szCs w:val="22"/>
                <w:lang w:val="en-US"/>
              </w:rPr>
              <w:t xml:space="preserve">Cheltuieli cu energia </w:t>
            </w:r>
            <w:r w:rsidRPr="001F3D8A">
              <w:rPr>
                <w:rFonts w:ascii="Arial" w:hAnsi="Arial" w:cs="Arial"/>
                <w:sz w:val="22"/>
                <w:szCs w:val="22"/>
              </w:rPr>
              <w:t>și apa</w:t>
            </w:r>
          </w:p>
        </w:tc>
        <w:tc>
          <w:tcPr>
            <w:tcW w:w="1995" w:type="dxa"/>
            <w:shd w:val="clear" w:color="auto" w:fill="FFFFFF" w:themeFill="background1"/>
            <w:noWrap/>
            <w:vAlign w:val="center"/>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5.948.665 </w:t>
            </w:r>
          </w:p>
        </w:tc>
        <w:tc>
          <w:tcPr>
            <w:tcW w:w="2070" w:type="dxa"/>
            <w:shd w:val="clear" w:color="auto" w:fill="FFFFFF" w:themeFill="background1"/>
            <w:noWrap/>
            <w:vAlign w:val="center"/>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5.172.245 </w:t>
            </w:r>
          </w:p>
        </w:tc>
      </w:tr>
      <w:tr w:rsidR="00E31579" w:rsidRPr="001F3D8A" w:rsidTr="00E31579">
        <w:trPr>
          <w:trHeight w:val="288"/>
        </w:trPr>
        <w:tc>
          <w:tcPr>
            <w:tcW w:w="4590" w:type="dxa"/>
            <w:shd w:val="clear" w:color="auto" w:fill="FFFFFF" w:themeFill="background1"/>
            <w:noWrap/>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Cheltuieli cu personalul</w:t>
            </w:r>
          </w:p>
        </w:tc>
        <w:tc>
          <w:tcPr>
            <w:tcW w:w="1995" w:type="dxa"/>
            <w:shd w:val="clear" w:color="auto" w:fill="FFFFFF" w:themeFill="background1"/>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65.958.492 </w:t>
            </w:r>
          </w:p>
        </w:tc>
        <w:tc>
          <w:tcPr>
            <w:tcW w:w="2070" w:type="dxa"/>
            <w:shd w:val="clear" w:color="auto" w:fill="FFFFFF" w:themeFill="background1"/>
            <w:noWrap/>
            <w:vAlign w:val="center"/>
            <w:hideMark/>
          </w:tcPr>
          <w:p w:rsidR="00E31579" w:rsidRPr="001F3D8A" w:rsidRDefault="00E31579" w:rsidP="00DF06F0">
            <w:pPr>
              <w:jc w:val="right"/>
              <w:rPr>
                <w:rFonts w:ascii="Arial" w:hAnsi="Arial" w:cs="Arial"/>
                <w:color w:val="FF0000"/>
                <w:sz w:val="22"/>
                <w:szCs w:val="22"/>
              </w:rPr>
            </w:pPr>
            <w:r w:rsidRPr="001F3D8A">
              <w:rPr>
                <w:rFonts w:ascii="Arial" w:hAnsi="Arial" w:cs="Arial"/>
                <w:sz w:val="22"/>
                <w:szCs w:val="22"/>
              </w:rPr>
              <w:t xml:space="preserve">57.854.364 </w:t>
            </w:r>
          </w:p>
        </w:tc>
      </w:tr>
      <w:tr w:rsidR="00E31579" w:rsidRPr="001F3D8A" w:rsidTr="00E31579">
        <w:trPr>
          <w:trHeight w:val="552"/>
        </w:trPr>
        <w:tc>
          <w:tcPr>
            <w:tcW w:w="4590" w:type="dxa"/>
            <w:shd w:val="clear" w:color="auto" w:fill="FFFFFF" w:themeFill="background1"/>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it-IT"/>
              </w:rPr>
              <w:t xml:space="preserve">Ajustări de valoare privind imobilizările necorporale, corporale </w:t>
            </w:r>
          </w:p>
        </w:tc>
        <w:tc>
          <w:tcPr>
            <w:tcW w:w="1995" w:type="dxa"/>
            <w:shd w:val="clear" w:color="auto" w:fill="FFFFFF" w:themeFill="background1"/>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22.242.246 </w:t>
            </w:r>
          </w:p>
        </w:tc>
        <w:tc>
          <w:tcPr>
            <w:tcW w:w="2070" w:type="dxa"/>
            <w:shd w:val="clear" w:color="auto" w:fill="FFFFFF" w:themeFill="background1"/>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22.280.158 </w:t>
            </w:r>
          </w:p>
        </w:tc>
      </w:tr>
      <w:tr w:rsidR="00E31579" w:rsidRPr="001F3D8A" w:rsidTr="00E31579">
        <w:trPr>
          <w:trHeight w:val="288"/>
        </w:trPr>
        <w:tc>
          <w:tcPr>
            <w:tcW w:w="4590" w:type="dxa"/>
            <w:shd w:val="clear" w:color="auto" w:fill="FFFFFF" w:themeFill="background1"/>
            <w:noWrap/>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 xml:space="preserve">Ajustări de valoare privind activele curente </w:t>
            </w:r>
          </w:p>
        </w:tc>
        <w:tc>
          <w:tcPr>
            <w:tcW w:w="1995" w:type="dxa"/>
            <w:shd w:val="clear" w:color="auto" w:fill="FFFFFF" w:themeFill="background1"/>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(96.920)</w:t>
            </w:r>
          </w:p>
        </w:tc>
        <w:tc>
          <w:tcPr>
            <w:tcW w:w="2070" w:type="dxa"/>
            <w:shd w:val="clear" w:color="auto" w:fill="FFFFFF" w:themeFill="background1"/>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(1.063.173) </w:t>
            </w:r>
          </w:p>
        </w:tc>
      </w:tr>
      <w:tr w:rsidR="00E31579" w:rsidRPr="001F3D8A" w:rsidTr="00E31579">
        <w:trPr>
          <w:trHeight w:val="288"/>
        </w:trPr>
        <w:tc>
          <w:tcPr>
            <w:tcW w:w="4590" w:type="dxa"/>
            <w:shd w:val="clear" w:color="auto" w:fill="FFFFFF" w:themeFill="background1"/>
            <w:noWrap/>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Cheltuieli privind prestațiile externe</w:t>
            </w:r>
          </w:p>
        </w:tc>
        <w:tc>
          <w:tcPr>
            <w:tcW w:w="1995" w:type="dxa"/>
            <w:shd w:val="clear" w:color="auto" w:fill="FFFFFF" w:themeFill="background1"/>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48.817.415 </w:t>
            </w:r>
          </w:p>
        </w:tc>
        <w:tc>
          <w:tcPr>
            <w:tcW w:w="2070" w:type="dxa"/>
            <w:shd w:val="clear" w:color="auto" w:fill="FFFFFF" w:themeFill="background1"/>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49.074.190 </w:t>
            </w:r>
          </w:p>
        </w:tc>
      </w:tr>
      <w:tr w:rsidR="00E31579" w:rsidRPr="001F3D8A" w:rsidTr="00E31579">
        <w:trPr>
          <w:trHeight w:val="288"/>
        </w:trPr>
        <w:tc>
          <w:tcPr>
            <w:tcW w:w="4590" w:type="dxa"/>
            <w:shd w:val="clear" w:color="auto" w:fill="FFFFFF" w:themeFill="background1"/>
            <w:noWrap/>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 xml:space="preserve">Alte cheltuieli </w:t>
            </w:r>
          </w:p>
        </w:tc>
        <w:tc>
          <w:tcPr>
            <w:tcW w:w="1995" w:type="dxa"/>
            <w:shd w:val="clear" w:color="auto" w:fill="FFFFFF" w:themeFill="background1"/>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26.650.529 </w:t>
            </w:r>
          </w:p>
        </w:tc>
        <w:tc>
          <w:tcPr>
            <w:tcW w:w="2070" w:type="dxa"/>
            <w:shd w:val="clear" w:color="auto" w:fill="FFFFFF" w:themeFill="background1"/>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27.819.699 </w:t>
            </w:r>
          </w:p>
        </w:tc>
      </w:tr>
      <w:tr w:rsidR="00E31579" w:rsidRPr="001F3D8A" w:rsidTr="00E31579">
        <w:trPr>
          <w:trHeight w:val="300"/>
        </w:trPr>
        <w:tc>
          <w:tcPr>
            <w:tcW w:w="4590" w:type="dxa"/>
            <w:shd w:val="clear" w:color="auto" w:fill="FFFFFF" w:themeFill="background1"/>
            <w:noWrap/>
            <w:vAlign w:val="center"/>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Pierdere din cedări de active</w:t>
            </w:r>
          </w:p>
        </w:tc>
        <w:tc>
          <w:tcPr>
            <w:tcW w:w="1995" w:type="dxa"/>
            <w:shd w:val="clear" w:color="auto" w:fill="FFFFFF" w:themeFill="background1"/>
            <w:noWrap/>
            <w:vAlign w:val="center"/>
          </w:tcPr>
          <w:p w:rsidR="00E31579" w:rsidRPr="001F3D8A" w:rsidRDefault="00E31579" w:rsidP="00DF06F0">
            <w:pPr>
              <w:jc w:val="right"/>
              <w:rPr>
                <w:rFonts w:ascii="Arial" w:hAnsi="Arial" w:cs="Arial"/>
                <w:sz w:val="22"/>
                <w:szCs w:val="22"/>
              </w:rPr>
            </w:pPr>
            <w:r w:rsidRPr="001F3D8A">
              <w:rPr>
                <w:rFonts w:ascii="Arial" w:hAnsi="Arial" w:cs="Arial"/>
                <w:sz w:val="22"/>
                <w:szCs w:val="22"/>
              </w:rPr>
              <w:t>50.665</w:t>
            </w:r>
          </w:p>
        </w:tc>
        <w:tc>
          <w:tcPr>
            <w:tcW w:w="2070" w:type="dxa"/>
            <w:shd w:val="clear" w:color="auto" w:fill="FFFFFF" w:themeFill="background1"/>
            <w:noWrap/>
            <w:vAlign w:val="center"/>
          </w:tcPr>
          <w:p w:rsidR="00E31579" w:rsidRPr="001F3D8A" w:rsidRDefault="00E31579" w:rsidP="00DF06F0">
            <w:pPr>
              <w:jc w:val="right"/>
              <w:rPr>
                <w:rFonts w:ascii="Arial" w:hAnsi="Arial" w:cs="Arial"/>
                <w:sz w:val="22"/>
                <w:szCs w:val="22"/>
              </w:rPr>
            </w:pPr>
            <w:r w:rsidRPr="001F3D8A">
              <w:rPr>
                <w:rFonts w:ascii="Arial" w:hAnsi="Arial" w:cs="Arial"/>
                <w:sz w:val="22"/>
                <w:szCs w:val="22"/>
              </w:rPr>
              <w:t>-</w:t>
            </w:r>
          </w:p>
        </w:tc>
      </w:tr>
      <w:tr w:rsidR="00E31579" w:rsidRPr="001F3D8A" w:rsidTr="00E31579">
        <w:trPr>
          <w:trHeight w:val="300"/>
        </w:trPr>
        <w:tc>
          <w:tcPr>
            <w:tcW w:w="4590" w:type="dxa"/>
            <w:shd w:val="clear" w:color="auto" w:fill="FFFFFF" w:themeFill="background1"/>
            <w:noWrap/>
            <w:vAlign w:val="center"/>
            <w:hideMark/>
          </w:tcPr>
          <w:p w:rsidR="00E31579" w:rsidRPr="001F3D8A" w:rsidRDefault="00E31579" w:rsidP="00DF06F0">
            <w:pPr>
              <w:rPr>
                <w:rFonts w:ascii="Arial" w:hAnsi="Arial" w:cs="Arial"/>
                <w:sz w:val="22"/>
                <w:szCs w:val="22"/>
                <w:lang w:val="en-US"/>
              </w:rPr>
            </w:pPr>
            <w:r w:rsidRPr="001F3D8A">
              <w:rPr>
                <w:rFonts w:ascii="Arial" w:hAnsi="Arial"/>
                <w:sz w:val="22"/>
                <w:lang w:val="en-US"/>
              </w:rPr>
              <w:t>Ajustări privind provizioanele</w:t>
            </w:r>
          </w:p>
        </w:tc>
        <w:tc>
          <w:tcPr>
            <w:tcW w:w="1995" w:type="dxa"/>
            <w:shd w:val="clear" w:color="auto" w:fill="FFFFFF" w:themeFill="background1"/>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3.881.331 </w:t>
            </w:r>
          </w:p>
        </w:tc>
        <w:tc>
          <w:tcPr>
            <w:tcW w:w="2070" w:type="dxa"/>
            <w:shd w:val="clear" w:color="auto" w:fill="FFFFFF" w:themeFill="background1"/>
            <w:noWrap/>
            <w:vAlign w:val="center"/>
            <w:hideMark/>
          </w:tcPr>
          <w:p w:rsidR="00E31579" w:rsidRPr="001F3D8A" w:rsidRDefault="00E31579" w:rsidP="00DF06F0">
            <w:pPr>
              <w:jc w:val="right"/>
              <w:rPr>
                <w:rFonts w:ascii="Arial" w:hAnsi="Arial"/>
                <w:sz w:val="22"/>
              </w:rPr>
            </w:pPr>
            <w:r w:rsidRPr="001F3D8A">
              <w:rPr>
                <w:rFonts w:ascii="Arial" w:hAnsi="Arial"/>
                <w:sz w:val="22"/>
              </w:rPr>
              <w:t>(2.192.051)</w:t>
            </w:r>
          </w:p>
        </w:tc>
      </w:tr>
      <w:tr w:rsidR="00E31579" w:rsidRPr="001F3D8A" w:rsidTr="00E31579">
        <w:trPr>
          <w:trHeight w:val="166"/>
        </w:trPr>
        <w:tc>
          <w:tcPr>
            <w:tcW w:w="4590" w:type="dxa"/>
            <w:shd w:val="clear" w:color="auto" w:fill="FFFFFF" w:themeFill="background1"/>
            <w:noWrap/>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Total cheltuieli din exploatare</w:t>
            </w:r>
          </w:p>
        </w:tc>
        <w:tc>
          <w:tcPr>
            <w:tcW w:w="1995" w:type="dxa"/>
            <w:tcBorders>
              <w:top w:val="single" w:sz="4" w:space="0" w:color="auto"/>
              <w:bottom w:val="single" w:sz="4" w:space="0" w:color="auto"/>
            </w:tcBorders>
            <w:shd w:val="clear" w:color="auto" w:fill="FFFFFF" w:themeFill="background1"/>
            <w:noWrap/>
            <w:vAlign w:val="center"/>
            <w:hideMark/>
          </w:tcPr>
          <w:p w:rsidR="00E31579" w:rsidRPr="001F3D8A" w:rsidRDefault="00E31579" w:rsidP="00DF06F0">
            <w:pPr>
              <w:jc w:val="right"/>
              <w:rPr>
                <w:rFonts w:ascii="Arial" w:hAnsi="Arial" w:cs="Arial"/>
                <w:b/>
                <w:bCs/>
                <w:sz w:val="22"/>
                <w:szCs w:val="22"/>
                <w:lang w:val="en-US"/>
              </w:rPr>
            </w:pPr>
            <w:r w:rsidRPr="001F3D8A">
              <w:rPr>
                <w:rFonts w:ascii="Arial" w:hAnsi="Arial" w:cs="Arial"/>
                <w:b/>
                <w:bCs/>
                <w:sz w:val="22"/>
                <w:szCs w:val="22"/>
                <w:lang w:val="en-US"/>
              </w:rPr>
              <w:t>176.721.807</w:t>
            </w:r>
          </w:p>
        </w:tc>
        <w:tc>
          <w:tcPr>
            <w:tcW w:w="2070" w:type="dxa"/>
            <w:tcBorders>
              <w:top w:val="single" w:sz="4" w:space="0" w:color="auto"/>
              <w:bottom w:val="single" w:sz="4" w:space="0" w:color="auto"/>
            </w:tcBorders>
            <w:shd w:val="clear" w:color="auto" w:fill="FFFFFF" w:themeFill="background1"/>
            <w:noWrap/>
            <w:vAlign w:val="center"/>
            <w:hideMark/>
          </w:tcPr>
          <w:p w:rsidR="00E31579" w:rsidRPr="001F3D8A" w:rsidRDefault="00E31579" w:rsidP="00DF06F0">
            <w:pPr>
              <w:jc w:val="right"/>
              <w:rPr>
                <w:rFonts w:ascii="Arial" w:hAnsi="Arial"/>
                <w:b/>
                <w:sz w:val="22"/>
                <w:lang w:val="en-US"/>
              </w:rPr>
            </w:pPr>
            <w:r w:rsidRPr="001F3D8A">
              <w:rPr>
                <w:rFonts w:ascii="Arial" w:hAnsi="Arial"/>
                <w:b/>
                <w:sz w:val="22"/>
                <w:lang w:val="en-US"/>
              </w:rPr>
              <w:t>162.175.166</w:t>
            </w:r>
          </w:p>
        </w:tc>
      </w:tr>
      <w:tr w:rsidR="00E31579" w:rsidRPr="001F3D8A" w:rsidTr="00E31579">
        <w:trPr>
          <w:trHeight w:val="300"/>
        </w:trPr>
        <w:tc>
          <w:tcPr>
            <w:tcW w:w="4590" w:type="dxa"/>
            <w:shd w:val="clear" w:color="auto" w:fill="FFFFFF" w:themeFill="background1"/>
            <w:noWrap/>
            <w:vAlign w:val="bottom"/>
            <w:hideMark/>
          </w:tcPr>
          <w:p w:rsidR="00E31579" w:rsidRPr="001F3D8A" w:rsidRDefault="00E31579" w:rsidP="00DF06F0">
            <w:pPr>
              <w:jc w:val="right"/>
              <w:rPr>
                <w:rFonts w:ascii="Arial" w:hAnsi="Arial" w:cs="Arial"/>
                <w:b/>
                <w:bCs/>
                <w:sz w:val="22"/>
                <w:szCs w:val="22"/>
                <w:lang w:val="en-US"/>
              </w:rPr>
            </w:pPr>
          </w:p>
        </w:tc>
        <w:tc>
          <w:tcPr>
            <w:tcW w:w="1995" w:type="dxa"/>
            <w:tcBorders>
              <w:top w:val="single" w:sz="4" w:space="0" w:color="auto"/>
              <w:bottom w:val="single" w:sz="4" w:space="0" w:color="auto"/>
            </w:tcBorders>
            <w:shd w:val="clear" w:color="auto" w:fill="FFFFFF" w:themeFill="background1"/>
            <w:noWrap/>
            <w:vAlign w:val="bottom"/>
            <w:hideMark/>
          </w:tcPr>
          <w:p w:rsidR="00E31579" w:rsidRPr="001F3D8A" w:rsidRDefault="00E31579" w:rsidP="00DF06F0">
            <w:pPr>
              <w:rPr>
                <w:lang w:val="en-US"/>
              </w:rPr>
            </w:pPr>
            <w:r w:rsidRPr="001F3D8A">
              <w:rPr>
                <w:lang w:val="en-US"/>
              </w:rPr>
              <w:t> </w:t>
            </w:r>
          </w:p>
        </w:tc>
        <w:tc>
          <w:tcPr>
            <w:tcW w:w="2070" w:type="dxa"/>
            <w:tcBorders>
              <w:top w:val="single" w:sz="4" w:space="0" w:color="auto"/>
              <w:bottom w:val="single" w:sz="4" w:space="0" w:color="auto"/>
            </w:tcBorders>
            <w:shd w:val="clear" w:color="auto" w:fill="FFFFFF" w:themeFill="background1"/>
            <w:noWrap/>
            <w:vAlign w:val="bottom"/>
            <w:hideMark/>
          </w:tcPr>
          <w:p w:rsidR="00E31579" w:rsidRPr="001F3D8A" w:rsidRDefault="00E31579" w:rsidP="00DF06F0">
            <w:pPr>
              <w:rPr>
                <w:lang w:val="en-US"/>
              </w:rPr>
            </w:pPr>
          </w:p>
        </w:tc>
      </w:tr>
      <w:tr w:rsidR="00E31579" w:rsidRPr="001F3D8A" w:rsidTr="00E31579">
        <w:trPr>
          <w:trHeight w:val="229"/>
        </w:trPr>
        <w:tc>
          <w:tcPr>
            <w:tcW w:w="4590" w:type="dxa"/>
            <w:shd w:val="clear" w:color="auto" w:fill="FFFFFF" w:themeFill="background1"/>
            <w:noWrap/>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Profitul din exploatare</w:t>
            </w:r>
          </w:p>
        </w:tc>
        <w:tc>
          <w:tcPr>
            <w:tcW w:w="1995" w:type="dxa"/>
            <w:tcBorders>
              <w:top w:val="single" w:sz="4" w:space="0" w:color="auto"/>
              <w:bottom w:val="single" w:sz="4" w:space="0" w:color="auto"/>
            </w:tcBorders>
            <w:shd w:val="clear" w:color="auto" w:fill="FFFFFF" w:themeFill="background1"/>
            <w:noWrap/>
            <w:vAlign w:val="bottom"/>
            <w:hideMark/>
          </w:tcPr>
          <w:p w:rsidR="00E31579" w:rsidRPr="001F3D8A" w:rsidRDefault="00E31579" w:rsidP="00DF06F0">
            <w:pPr>
              <w:jc w:val="right"/>
              <w:rPr>
                <w:rFonts w:ascii="Arial" w:hAnsi="Arial" w:cs="Arial"/>
                <w:b/>
                <w:bCs/>
                <w:sz w:val="22"/>
                <w:szCs w:val="22"/>
                <w:lang w:val="en-US"/>
              </w:rPr>
            </w:pPr>
            <w:r w:rsidRPr="001F3D8A">
              <w:rPr>
                <w:rFonts w:ascii="Arial" w:hAnsi="Arial" w:cs="Arial"/>
                <w:b/>
                <w:bCs/>
                <w:sz w:val="22"/>
                <w:szCs w:val="22"/>
              </w:rPr>
              <w:t xml:space="preserve">23.255.077 </w:t>
            </w:r>
          </w:p>
        </w:tc>
        <w:tc>
          <w:tcPr>
            <w:tcW w:w="2070" w:type="dxa"/>
            <w:tcBorders>
              <w:top w:val="single" w:sz="4" w:space="0" w:color="auto"/>
              <w:bottom w:val="single" w:sz="4" w:space="0" w:color="auto"/>
            </w:tcBorders>
            <w:shd w:val="clear" w:color="auto" w:fill="FFFFFF" w:themeFill="background1"/>
            <w:noWrap/>
            <w:vAlign w:val="bottom"/>
            <w:hideMark/>
          </w:tcPr>
          <w:p w:rsidR="00E31579" w:rsidRPr="001F3D8A" w:rsidRDefault="00E31579" w:rsidP="00DF06F0">
            <w:pPr>
              <w:jc w:val="right"/>
              <w:rPr>
                <w:rFonts w:ascii="Arial" w:hAnsi="Arial"/>
                <w:b/>
                <w:sz w:val="22"/>
              </w:rPr>
            </w:pPr>
            <w:r w:rsidRPr="001F3D8A">
              <w:rPr>
                <w:rFonts w:ascii="Arial" w:hAnsi="Arial"/>
                <w:b/>
                <w:sz w:val="22"/>
              </w:rPr>
              <w:t>40.428.358</w:t>
            </w:r>
          </w:p>
        </w:tc>
      </w:tr>
      <w:tr w:rsidR="00E31579" w:rsidRPr="001F3D8A" w:rsidTr="00E31579">
        <w:trPr>
          <w:trHeight w:val="103"/>
        </w:trPr>
        <w:tc>
          <w:tcPr>
            <w:tcW w:w="4590" w:type="dxa"/>
            <w:shd w:val="clear" w:color="auto" w:fill="FFFFFF" w:themeFill="background1"/>
            <w:noWrap/>
            <w:vAlign w:val="bottom"/>
            <w:hideMark/>
          </w:tcPr>
          <w:p w:rsidR="00E31579" w:rsidRPr="001F3D8A" w:rsidRDefault="00E31579" w:rsidP="00DF06F0">
            <w:pPr>
              <w:jc w:val="right"/>
              <w:rPr>
                <w:rFonts w:ascii="Arial" w:hAnsi="Arial" w:cs="Arial"/>
                <w:b/>
                <w:bCs/>
                <w:sz w:val="22"/>
                <w:szCs w:val="22"/>
                <w:lang w:val="en-US"/>
              </w:rPr>
            </w:pPr>
          </w:p>
        </w:tc>
        <w:tc>
          <w:tcPr>
            <w:tcW w:w="1995" w:type="dxa"/>
            <w:tcBorders>
              <w:top w:val="single" w:sz="4" w:space="0" w:color="auto"/>
            </w:tcBorders>
            <w:shd w:val="clear" w:color="auto" w:fill="FFFFFF" w:themeFill="background1"/>
            <w:noWrap/>
            <w:vAlign w:val="bottom"/>
            <w:hideMark/>
          </w:tcPr>
          <w:p w:rsidR="00E31579" w:rsidRPr="001F3D8A" w:rsidRDefault="00E31579" w:rsidP="00DF06F0">
            <w:pPr>
              <w:rPr>
                <w:lang w:val="en-US"/>
              </w:rPr>
            </w:pPr>
            <w:r w:rsidRPr="001F3D8A">
              <w:rPr>
                <w:lang w:val="en-US"/>
              </w:rPr>
              <w:t> </w:t>
            </w:r>
          </w:p>
        </w:tc>
        <w:tc>
          <w:tcPr>
            <w:tcW w:w="2070" w:type="dxa"/>
            <w:tcBorders>
              <w:top w:val="single" w:sz="4" w:space="0" w:color="auto"/>
            </w:tcBorders>
            <w:shd w:val="clear" w:color="auto" w:fill="FFFFFF" w:themeFill="background1"/>
            <w:noWrap/>
            <w:vAlign w:val="bottom"/>
            <w:hideMark/>
          </w:tcPr>
          <w:p w:rsidR="00E31579" w:rsidRPr="001F3D8A" w:rsidRDefault="00E31579" w:rsidP="00DF06F0">
            <w:pPr>
              <w:rPr>
                <w:lang w:val="en-US"/>
              </w:rPr>
            </w:pPr>
          </w:p>
        </w:tc>
      </w:tr>
      <w:tr w:rsidR="00E31579" w:rsidRPr="001F3D8A" w:rsidTr="00E31579">
        <w:trPr>
          <w:trHeight w:val="288"/>
        </w:trPr>
        <w:tc>
          <w:tcPr>
            <w:tcW w:w="4590" w:type="dxa"/>
            <w:shd w:val="clear" w:color="auto" w:fill="FFFFFF" w:themeFill="background1"/>
            <w:noWrap/>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 xml:space="preserve">Venituri financiare                          </w:t>
            </w:r>
          </w:p>
        </w:tc>
        <w:tc>
          <w:tcPr>
            <w:tcW w:w="1995" w:type="dxa"/>
            <w:shd w:val="clear" w:color="auto" w:fill="FFFFFF" w:themeFill="background1"/>
            <w:noWrap/>
            <w:vAlign w:val="center"/>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lang w:val="en-US"/>
              </w:rPr>
              <w:t xml:space="preserve">2.373.563 </w:t>
            </w:r>
          </w:p>
        </w:tc>
        <w:tc>
          <w:tcPr>
            <w:tcW w:w="2070" w:type="dxa"/>
            <w:shd w:val="clear" w:color="auto" w:fill="FFFFFF" w:themeFill="background1"/>
            <w:noWrap/>
            <w:vAlign w:val="center"/>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lang w:val="en-US"/>
              </w:rPr>
              <w:t xml:space="preserve">1.920.176 </w:t>
            </w:r>
          </w:p>
        </w:tc>
      </w:tr>
      <w:tr w:rsidR="00E31579" w:rsidRPr="001F3D8A" w:rsidTr="00E31579">
        <w:trPr>
          <w:trHeight w:val="140"/>
        </w:trPr>
        <w:tc>
          <w:tcPr>
            <w:tcW w:w="4590" w:type="dxa"/>
            <w:shd w:val="clear" w:color="auto" w:fill="FFFFFF" w:themeFill="background1"/>
            <w:noWrap/>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Cheltuieli financiare</w:t>
            </w:r>
          </w:p>
        </w:tc>
        <w:tc>
          <w:tcPr>
            <w:tcW w:w="1995" w:type="dxa"/>
            <w:tcBorders>
              <w:bottom w:val="single" w:sz="4" w:space="0" w:color="auto"/>
            </w:tcBorders>
            <w:shd w:val="clear" w:color="auto" w:fill="FFFFFF" w:themeFill="background1"/>
            <w:noWrap/>
            <w:vAlign w:val="center"/>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lang w:val="en-US"/>
              </w:rPr>
              <w:t>4.333</w:t>
            </w:r>
          </w:p>
        </w:tc>
        <w:tc>
          <w:tcPr>
            <w:tcW w:w="2070" w:type="dxa"/>
            <w:tcBorders>
              <w:bottom w:val="single" w:sz="4" w:space="0" w:color="auto"/>
            </w:tcBorders>
            <w:shd w:val="clear" w:color="auto" w:fill="FFFFFF" w:themeFill="background1"/>
            <w:noWrap/>
            <w:vAlign w:val="center"/>
            <w:hideMark/>
          </w:tcPr>
          <w:p w:rsidR="00E31579" w:rsidRPr="001F3D8A" w:rsidRDefault="00E31579" w:rsidP="00DF06F0">
            <w:pPr>
              <w:jc w:val="right"/>
              <w:rPr>
                <w:rFonts w:ascii="Arial" w:hAnsi="Arial" w:cs="Arial"/>
                <w:sz w:val="22"/>
                <w:szCs w:val="22"/>
                <w:lang w:val="en-US"/>
              </w:rPr>
            </w:pPr>
            <w:r w:rsidRPr="001F3D8A">
              <w:rPr>
                <w:rFonts w:ascii="Arial" w:hAnsi="Arial" w:cs="Arial"/>
                <w:sz w:val="22"/>
                <w:szCs w:val="22"/>
                <w:lang w:val="en-US"/>
              </w:rPr>
              <w:t>19.658</w:t>
            </w:r>
          </w:p>
        </w:tc>
      </w:tr>
      <w:tr w:rsidR="00E31579" w:rsidRPr="001F3D8A" w:rsidTr="00E31579">
        <w:trPr>
          <w:trHeight w:val="148"/>
        </w:trPr>
        <w:tc>
          <w:tcPr>
            <w:tcW w:w="4590" w:type="dxa"/>
            <w:shd w:val="clear" w:color="auto" w:fill="FFFFFF" w:themeFill="background1"/>
            <w:noWrap/>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 xml:space="preserve">Profitul  financiar                            </w:t>
            </w:r>
            <w:r w:rsidRPr="001F3D8A">
              <w:rPr>
                <w:rFonts w:ascii="Arial" w:hAnsi="Arial" w:cs="Arial"/>
                <w:sz w:val="22"/>
                <w:szCs w:val="22"/>
                <w:lang w:val="en-US"/>
              </w:rPr>
              <w:t xml:space="preserve"> </w:t>
            </w:r>
          </w:p>
        </w:tc>
        <w:tc>
          <w:tcPr>
            <w:tcW w:w="1995" w:type="dxa"/>
            <w:tcBorders>
              <w:top w:val="single" w:sz="4" w:space="0" w:color="auto"/>
              <w:bottom w:val="single" w:sz="4" w:space="0" w:color="auto"/>
            </w:tcBorders>
            <w:shd w:val="clear" w:color="auto" w:fill="FFFFFF" w:themeFill="background1"/>
            <w:noWrap/>
            <w:vAlign w:val="center"/>
            <w:hideMark/>
          </w:tcPr>
          <w:p w:rsidR="00E31579" w:rsidRPr="001F3D8A" w:rsidRDefault="00E31579" w:rsidP="00DF06F0">
            <w:pPr>
              <w:jc w:val="right"/>
              <w:rPr>
                <w:rFonts w:ascii="Arial" w:hAnsi="Arial" w:cs="Arial"/>
                <w:b/>
                <w:bCs/>
                <w:sz w:val="22"/>
                <w:szCs w:val="22"/>
                <w:lang w:val="en-US"/>
              </w:rPr>
            </w:pPr>
            <w:r w:rsidRPr="001F3D8A">
              <w:rPr>
                <w:rFonts w:ascii="Arial" w:hAnsi="Arial" w:cs="Arial"/>
                <w:b/>
                <w:bCs/>
                <w:sz w:val="22"/>
                <w:szCs w:val="22"/>
                <w:lang w:val="en-US"/>
              </w:rPr>
              <w:t xml:space="preserve">2.369.230 </w:t>
            </w:r>
          </w:p>
        </w:tc>
        <w:tc>
          <w:tcPr>
            <w:tcW w:w="2070" w:type="dxa"/>
            <w:tcBorders>
              <w:top w:val="single" w:sz="4" w:space="0" w:color="auto"/>
              <w:bottom w:val="single" w:sz="4" w:space="0" w:color="auto"/>
            </w:tcBorders>
            <w:shd w:val="clear" w:color="auto" w:fill="FFFFFF" w:themeFill="background1"/>
            <w:noWrap/>
            <w:vAlign w:val="center"/>
            <w:hideMark/>
          </w:tcPr>
          <w:p w:rsidR="00E31579" w:rsidRPr="001F3D8A" w:rsidRDefault="00E31579" w:rsidP="00DF06F0">
            <w:pPr>
              <w:jc w:val="right"/>
              <w:rPr>
                <w:rFonts w:ascii="Arial" w:hAnsi="Arial" w:cs="Arial"/>
                <w:b/>
                <w:bCs/>
                <w:sz w:val="22"/>
                <w:szCs w:val="22"/>
                <w:lang w:val="en-US"/>
              </w:rPr>
            </w:pPr>
            <w:r w:rsidRPr="001F3D8A">
              <w:rPr>
                <w:rFonts w:ascii="Arial" w:hAnsi="Arial" w:cs="Arial"/>
                <w:b/>
                <w:bCs/>
                <w:sz w:val="22"/>
                <w:szCs w:val="22"/>
                <w:lang w:val="en-US"/>
              </w:rPr>
              <w:t>1.900.518</w:t>
            </w:r>
          </w:p>
        </w:tc>
      </w:tr>
      <w:tr w:rsidR="00E31579" w:rsidRPr="001F3D8A" w:rsidTr="00E31579">
        <w:trPr>
          <w:trHeight w:val="211"/>
        </w:trPr>
        <w:tc>
          <w:tcPr>
            <w:tcW w:w="4590" w:type="dxa"/>
            <w:shd w:val="clear" w:color="auto" w:fill="FFFFFF" w:themeFill="background1"/>
            <w:noWrap/>
            <w:vAlign w:val="bottom"/>
            <w:hideMark/>
          </w:tcPr>
          <w:p w:rsidR="00E31579" w:rsidRPr="001F3D8A" w:rsidRDefault="00E31579" w:rsidP="00DF06F0">
            <w:pPr>
              <w:jc w:val="right"/>
              <w:rPr>
                <w:rFonts w:ascii="Arial" w:hAnsi="Arial" w:cs="Arial"/>
                <w:b/>
                <w:bCs/>
                <w:sz w:val="22"/>
                <w:szCs w:val="22"/>
                <w:lang w:val="en-US"/>
              </w:rPr>
            </w:pPr>
            <w:r w:rsidRPr="001F3D8A">
              <w:rPr>
                <w:rFonts w:ascii="Arial" w:hAnsi="Arial" w:cs="Arial"/>
                <w:b/>
                <w:bCs/>
                <w:sz w:val="22"/>
                <w:szCs w:val="22"/>
                <w:lang w:val="en-US"/>
              </w:rPr>
              <w:t xml:space="preserve">  </w:t>
            </w:r>
          </w:p>
        </w:tc>
        <w:tc>
          <w:tcPr>
            <w:tcW w:w="1995" w:type="dxa"/>
            <w:tcBorders>
              <w:top w:val="single" w:sz="4" w:space="0" w:color="auto"/>
              <w:bottom w:val="single" w:sz="4" w:space="0" w:color="auto"/>
            </w:tcBorders>
            <w:shd w:val="clear" w:color="auto" w:fill="FFFFFF" w:themeFill="background1"/>
            <w:noWrap/>
            <w:vAlign w:val="bottom"/>
            <w:hideMark/>
          </w:tcPr>
          <w:p w:rsidR="00E31579" w:rsidRPr="001F3D8A" w:rsidRDefault="00E31579" w:rsidP="00DF06F0">
            <w:pPr>
              <w:rPr>
                <w:lang w:val="en-US"/>
              </w:rPr>
            </w:pPr>
            <w:r w:rsidRPr="001F3D8A">
              <w:rPr>
                <w:lang w:val="en-US"/>
              </w:rPr>
              <w:t> </w:t>
            </w:r>
          </w:p>
        </w:tc>
        <w:tc>
          <w:tcPr>
            <w:tcW w:w="2070" w:type="dxa"/>
            <w:tcBorders>
              <w:top w:val="single" w:sz="4" w:space="0" w:color="auto"/>
              <w:bottom w:val="single" w:sz="4" w:space="0" w:color="auto"/>
            </w:tcBorders>
            <w:shd w:val="clear" w:color="auto" w:fill="FFFFFF" w:themeFill="background1"/>
            <w:noWrap/>
            <w:vAlign w:val="bottom"/>
            <w:hideMark/>
          </w:tcPr>
          <w:p w:rsidR="00E31579" w:rsidRPr="001F3D8A" w:rsidRDefault="00E31579" w:rsidP="00DF06F0">
            <w:pPr>
              <w:rPr>
                <w:lang w:val="en-US"/>
              </w:rPr>
            </w:pPr>
          </w:p>
        </w:tc>
      </w:tr>
      <w:tr w:rsidR="00E31579" w:rsidRPr="001F3D8A" w:rsidTr="00E31579">
        <w:trPr>
          <w:trHeight w:val="166"/>
        </w:trPr>
        <w:tc>
          <w:tcPr>
            <w:tcW w:w="4590" w:type="dxa"/>
            <w:shd w:val="clear" w:color="auto" w:fill="FFFFFF" w:themeFill="background1"/>
            <w:noWrap/>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it-IT"/>
              </w:rPr>
              <w:t xml:space="preserve">Profitul înainte de impozitul pe profit </w:t>
            </w:r>
          </w:p>
        </w:tc>
        <w:tc>
          <w:tcPr>
            <w:tcW w:w="1995" w:type="dxa"/>
            <w:tcBorders>
              <w:top w:val="single" w:sz="4" w:space="0" w:color="auto"/>
              <w:bottom w:val="single" w:sz="4" w:space="0" w:color="auto"/>
            </w:tcBorders>
            <w:shd w:val="clear" w:color="auto" w:fill="FFFFFF" w:themeFill="background1"/>
            <w:noWrap/>
            <w:vAlign w:val="bottom"/>
            <w:hideMark/>
          </w:tcPr>
          <w:p w:rsidR="00E31579" w:rsidRPr="001F3D8A" w:rsidRDefault="00E31579" w:rsidP="00DF06F0">
            <w:pPr>
              <w:jc w:val="right"/>
              <w:rPr>
                <w:rFonts w:ascii="Arial" w:hAnsi="Arial" w:cs="Arial"/>
                <w:b/>
                <w:bCs/>
                <w:sz w:val="22"/>
                <w:szCs w:val="22"/>
                <w:lang w:val="en-US"/>
              </w:rPr>
            </w:pPr>
            <w:r w:rsidRPr="001F3D8A">
              <w:rPr>
                <w:rFonts w:ascii="Arial" w:hAnsi="Arial" w:cs="Arial"/>
                <w:b/>
                <w:bCs/>
                <w:sz w:val="22"/>
                <w:szCs w:val="22"/>
              </w:rPr>
              <w:t xml:space="preserve">25.624.307 </w:t>
            </w:r>
          </w:p>
        </w:tc>
        <w:tc>
          <w:tcPr>
            <w:tcW w:w="2070" w:type="dxa"/>
            <w:tcBorders>
              <w:top w:val="single" w:sz="4" w:space="0" w:color="auto"/>
              <w:bottom w:val="single" w:sz="4" w:space="0" w:color="auto"/>
            </w:tcBorders>
            <w:shd w:val="clear" w:color="auto" w:fill="FFFFFF" w:themeFill="background1"/>
            <w:noWrap/>
            <w:vAlign w:val="bottom"/>
            <w:hideMark/>
          </w:tcPr>
          <w:p w:rsidR="00E31579" w:rsidRPr="001F3D8A" w:rsidRDefault="00E31579" w:rsidP="00DF06F0">
            <w:pPr>
              <w:jc w:val="right"/>
              <w:rPr>
                <w:rFonts w:ascii="Arial" w:hAnsi="Arial" w:cs="Arial"/>
                <w:b/>
                <w:bCs/>
                <w:sz w:val="22"/>
                <w:szCs w:val="22"/>
              </w:rPr>
            </w:pPr>
            <w:r w:rsidRPr="001F3D8A">
              <w:rPr>
                <w:rFonts w:ascii="Arial" w:hAnsi="Arial"/>
                <w:b/>
                <w:sz w:val="22"/>
              </w:rPr>
              <w:t>42.328.</w:t>
            </w:r>
            <w:r w:rsidRPr="001F3D8A">
              <w:rPr>
                <w:rFonts w:ascii="Arial" w:hAnsi="Arial" w:cs="Arial"/>
                <w:b/>
                <w:bCs/>
                <w:sz w:val="22"/>
                <w:szCs w:val="22"/>
              </w:rPr>
              <w:t>876</w:t>
            </w:r>
          </w:p>
        </w:tc>
      </w:tr>
      <w:tr w:rsidR="00E31579" w:rsidRPr="001F3D8A" w:rsidTr="00E31579">
        <w:trPr>
          <w:trHeight w:val="288"/>
        </w:trPr>
        <w:tc>
          <w:tcPr>
            <w:tcW w:w="4590" w:type="dxa"/>
            <w:shd w:val="clear" w:color="auto" w:fill="FFFFFF" w:themeFill="background1"/>
            <w:noWrap/>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Cheltuieli cu impozitul pe profit curent</w:t>
            </w:r>
          </w:p>
        </w:tc>
        <w:tc>
          <w:tcPr>
            <w:tcW w:w="1995" w:type="dxa"/>
            <w:shd w:val="clear" w:color="auto" w:fill="FFFFFF" w:themeFill="background1"/>
            <w:noWrap/>
            <w:vAlign w:val="bottom"/>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5.146.786 </w:t>
            </w:r>
          </w:p>
        </w:tc>
        <w:tc>
          <w:tcPr>
            <w:tcW w:w="2070" w:type="dxa"/>
            <w:shd w:val="clear" w:color="auto" w:fill="FFFFFF" w:themeFill="background1"/>
            <w:noWrap/>
            <w:vAlign w:val="bottom"/>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 xml:space="preserve">6.116.363 </w:t>
            </w:r>
          </w:p>
        </w:tc>
      </w:tr>
      <w:tr w:rsidR="00E31579" w:rsidRPr="001F3D8A" w:rsidTr="00E31579">
        <w:trPr>
          <w:trHeight w:val="300"/>
        </w:trPr>
        <w:tc>
          <w:tcPr>
            <w:tcW w:w="4590" w:type="dxa"/>
            <w:shd w:val="clear" w:color="auto" w:fill="FFFFFF" w:themeFill="background1"/>
            <w:noWrap/>
            <w:vAlign w:val="center"/>
            <w:hideMark/>
          </w:tcPr>
          <w:p w:rsidR="00E31579" w:rsidRPr="001F3D8A" w:rsidRDefault="00E31579" w:rsidP="00DF06F0">
            <w:pPr>
              <w:rPr>
                <w:rFonts w:ascii="Arial" w:hAnsi="Arial" w:cs="Arial"/>
                <w:sz w:val="22"/>
                <w:szCs w:val="22"/>
                <w:lang w:val="en-US"/>
              </w:rPr>
            </w:pPr>
            <w:r w:rsidRPr="001F3D8A">
              <w:rPr>
                <w:rFonts w:ascii="Arial" w:hAnsi="Arial" w:cs="Arial"/>
                <w:sz w:val="22"/>
                <w:szCs w:val="22"/>
                <w:lang w:val="en-US"/>
              </w:rPr>
              <w:t>Cheltuieli cu (venit din) impozitul pe profit amânat</w:t>
            </w:r>
          </w:p>
        </w:tc>
        <w:tc>
          <w:tcPr>
            <w:tcW w:w="1995" w:type="dxa"/>
            <w:tcBorders>
              <w:bottom w:val="single" w:sz="4" w:space="0" w:color="auto"/>
            </w:tcBorders>
            <w:shd w:val="clear" w:color="auto" w:fill="FFFFFF" w:themeFill="background1"/>
            <w:noWrap/>
            <w:vAlign w:val="center"/>
            <w:hideMark/>
          </w:tcPr>
          <w:p w:rsidR="00E31579" w:rsidRPr="001F3D8A" w:rsidRDefault="00E31579" w:rsidP="00DF06F0">
            <w:pPr>
              <w:jc w:val="right"/>
              <w:rPr>
                <w:rFonts w:ascii="Arial" w:hAnsi="Arial" w:cs="Arial"/>
                <w:sz w:val="22"/>
                <w:szCs w:val="22"/>
              </w:rPr>
            </w:pPr>
            <w:r w:rsidRPr="001F3D8A">
              <w:rPr>
                <w:rFonts w:ascii="Arial" w:hAnsi="Arial" w:cs="Arial"/>
                <w:sz w:val="22"/>
                <w:szCs w:val="22"/>
              </w:rPr>
              <w:t>(1.148.091)</w:t>
            </w:r>
          </w:p>
        </w:tc>
        <w:tc>
          <w:tcPr>
            <w:tcW w:w="2070" w:type="dxa"/>
            <w:tcBorders>
              <w:bottom w:val="single" w:sz="4" w:space="0" w:color="auto"/>
            </w:tcBorders>
            <w:shd w:val="clear" w:color="auto" w:fill="FFFFFF" w:themeFill="background1"/>
            <w:noWrap/>
            <w:vAlign w:val="center"/>
            <w:hideMark/>
          </w:tcPr>
          <w:p w:rsidR="00E31579" w:rsidRPr="001F3D8A" w:rsidRDefault="00474CFC" w:rsidP="00DF06F0">
            <w:pPr>
              <w:jc w:val="right"/>
              <w:rPr>
                <w:rFonts w:ascii="Arial" w:hAnsi="Arial" w:cs="Arial"/>
                <w:sz w:val="22"/>
                <w:szCs w:val="22"/>
              </w:rPr>
            </w:pPr>
            <w:r>
              <w:rPr>
                <w:rFonts w:ascii="Arial" w:hAnsi="Arial" w:cs="Arial"/>
                <w:sz w:val="22"/>
                <w:szCs w:val="22"/>
              </w:rPr>
              <w:t>445.033</w:t>
            </w:r>
          </w:p>
        </w:tc>
      </w:tr>
      <w:tr w:rsidR="00E31579" w:rsidRPr="001F3D8A" w:rsidTr="00474CFC">
        <w:trPr>
          <w:trHeight w:val="184"/>
        </w:trPr>
        <w:tc>
          <w:tcPr>
            <w:tcW w:w="4590" w:type="dxa"/>
            <w:shd w:val="clear" w:color="auto" w:fill="FFFFFF" w:themeFill="background1"/>
            <w:noWrap/>
            <w:vAlign w:val="center"/>
            <w:hideMark/>
          </w:tcPr>
          <w:p w:rsidR="00E31579" w:rsidRPr="001F3D8A" w:rsidRDefault="00E31579" w:rsidP="00D17C8F">
            <w:pPr>
              <w:rPr>
                <w:rFonts w:ascii="Arial" w:hAnsi="Arial" w:cs="Arial"/>
                <w:b/>
                <w:bCs/>
                <w:sz w:val="22"/>
                <w:szCs w:val="22"/>
                <w:lang w:val="en-US"/>
              </w:rPr>
            </w:pPr>
            <w:r w:rsidRPr="001F3D8A">
              <w:rPr>
                <w:rFonts w:ascii="Arial" w:hAnsi="Arial" w:cs="Arial"/>
                <w:b/>
                <w:bCs/>
                <w:sz w:val="22"/>
                <w:szCs w:val="22"/>
                <w:lang w:val="en-US"/>
              </w:rPr>
              <w:t>Profitul exerci</w:t>
            </w:r>
            <w:r w:rsidR="00D17C8F">
              <w:rPr>
                <w:rFonts w:ascii="Arial" w:hAnsi="Arial" w:cs="Arial"/>
                <w:b/>
                <w:bCs/>
                <w:sz w:val="22"/>
                <w:szCs w:val="22"/>
              </w:rPr>
              <w:t>ț</w:t>
            </w:r>
            <w:r w:rsidRPr="001F3D8A">
              <w:rPr>
                <w:rFonts w:ascii="Arial" w:hAnsi="Arial" w:cs="Arial"/>
                <w:b/>
                <w:bCs/>
                <w:sz w:val="22"/>
                <w:szCs w:val="22"/>
                <w:lang w:val="en-US"/>
              </w:rPr>
              <w:t xml:space="preserve">iului                      </w:t>
            </w:r>
          </w:p>
        </w:tc>
        <w:tc>
          <w:tcPr>
            <w:tcW w:w="1995" w:type="dxa"/>
            <w:tcBorders>
              <w:top w:val="single" w:sz="4" w:space="0" w:color="auto"/>
              <w:bottom w:val="double" w:sz="4" w:space="0" w:color="auto"/>
            </w:tcBorders>
            <w:shd w:val="clear" w:color="auto" w:fill="FFFFFF" w:themeFill="background1"/>
            <w:noWrap/>
            <w:vAlign w:val="bottom"/>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 xml:space="preserve">21.625.612 </w:t>
            </w:r>
          </w:p>
        </w:tc>
        <w:tc>
          <w:tcPr>
            <w:tcW w:w="2070" w:type="dxa"/>
            <w:tcBorders>
              <w:top w:val="single" w:sz="4" w:space="0" w:color="auto"/>
              <w:bottom w:val="double" w:sz="4" w:space="0" w:color="auto"/>
            </w:tcBorders>
            <w:shd w:val="clear" w:color="auto" w:fill="FFFFFF" w:themeFill="background1"/>
            <w:noWrap/>
            <w:vAlign w:val="bottom"/>
          </w:tcPr>
          <w:p w:rsidR="00E31579" w:rsidRPr="001F3D8A" w:rsidRDefault="00474CFC" w:rsidP="00DF06F0">
            <w:pPr>
              <w:jc w:val="right"/>
              <w:rPr>
                <w:rFonts w:ascii="Arial" w:hAnsi="Arial"/>
                <w:b/>
                <w:sz w:val="22"/>
              </w:rPr>
            </w:pPr>
            <w:r>
              <w:rPr>
                <w:rFonts w:ascii="Arial" w:hAnsi="Arial"/>
                <w:b/>
                <w:sz w:val="22"/>
              </w:rPr>
              <w:t>35.767.480</w:t>
            </w:r>
          </w:p>
        </w:tc>
      </w:tr>
      <w:tr w:rsidR="00E31579" w:rsidRPr="001F3D8A" w:rsidTr="00E31579">
        <w:trPr>
          <w:trHeight w:val="184"/>
        </w:trPr>
        <w:tc>
          <w:tcPr>
            <w:tcW w:w="4590" w:type="dxa"/>
            <w:shd w:val="clear" w:color="auto" w:fill="FFFFFF" w:themeFill="background1"/>
            <w:noWrap/>
            <w:vAlign w:val="center"/>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Alte elemente ale rezultatului global</w:t>
            </w:r>
          </w:p>
        </w:tc>
        <w:tc>
          <w:tcPr>
            <w:tcW w:w="1995" w:type="dxa"/>
            <w:tcBorders>
              <w:top w:val="single" w:sz="4" w:space="0" w:color="auto"/>
              <w:bottom w:val="double" w:sz="4" w:space="0" w:color="auto"/>
            </w:tcBorders>
            <w:shd w:val="clear" w:color="auto" w:fill="FFFFFF" w:themeFill="background1"/>
            <w:noWrap/>
            <w:vAlign w:val="center"/>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w:t>
            </w:r>
          </w:p>
        </w:tc>
        <w:tc>
          <w:tcPr>
            <w:tcW w:w="2070" w:type="dxa"/>
            <w:tcBorders>
              <w:top w:val="single" w:sz="4" w:space="0" w:color="auto"/>
              <w:bottom w:val="double" w:sz="4" w:space="0" w:color="auto"/>
            </w:tcBorders>
            <w:shd w:val="clear" w:color="auto" w:fill="FFFFFF" w:themeFill="background1"/>
            <w:noWrap/>
            <w:vAlign w:val="center"/>
          </w:tcPr>
          <w:p w:rsidR="00E31579" w:rsidRPr="001F3D8A" w:rsidRDefault="00E31579" w:rsidP="009E6638">
            <w:pPr>
              <w:jc w:val="right"/>
              <w:rPr>
                <w:rFonts w:ascii="Arial" w:hAnsi="Arial"/>
                <w:b/>
                <w:sz w:val="22"/>
              </w:rPr>
            </w:pPr>
            <w:r w:rsidRPr="001F3D8A">
              <w:rPr>
                <w:rFonts w:ascii="Arial" w:hAnsi="Arial"/>
                <w:b/>
                <w:sz w:val="22"/>
              </w:rPr>
              <w:t>(</w:t>
            </w:r>
            <w:r w:rsidR="00474CFC">
              <w:rPr>
                <w:rFonts w:ascii="Arial" w:hAnsi="Arial"/>
                <w:b/>
                <w:sz w:val="22"/>
              </w:rPr>
              <w:t>4.928.49</w:t>
            </w:r>
            <w:r w:rsidR="009E6638">
              <w:rPr>
                <w:rFonts w:ascii="Arial" w:hAnsi="Arial"/>
                <w:b/>
                <w:sz w:val="22"/>
              </w:rPr>
              <w:t>1</w:t>
            </w:r>
            <w:r w:rsidRPr="001F3D8A">
              <w:rPr>
                <w:rFonts w:ascii="Arial" w:hAnsi="Arial"/>
                <w:b/>
                <w:sz w:val="22"/>
              </w:rPr>
              <w:t>)</w:t>
            </w:r>
          </w:p>
        </w:tc>
      </w:tr>
      <w:tr w:rsidR="00E31579" w:rsidRPr="001F3D8A" w:rsidTr="00E31579">
        <w:trPr>
          <w:trHeight w:val="288"/>
        </w:trPr>
        <w:tc>
          <w:tcPr>
            <w:tcW w:w="4590" w:type="dxa"/>
            <w:shd w:val="clear" w:color="auto" w:fill="FFFFFF" w:themeFill="background1"/>
            <w:noWrap/>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z w:val="22"/>
                <w:szCs w:val="22"/>
                <w:lang w:val="en-US"/>
              </w:rPr>
              <w:t xml:space="preserve">TOTAL REZULTAT GLOBAL </w:t>
            </w:r>
          </w:p>
        </w:tc>
        <w:tc>
          <w:tcPr>
            <w:tcW w:w="1995" w:type="dxa"/>
            <w:tcBorders>
              <w:top w:val="double" w:sz="4" w:space="0" w:color="auto"/>
              <w:bottom w:val="single" w:sz="4" w:space="0" w:color="auto"/>
            </w:tcBorders>
            <w:shd w:val="clear" w:color="auto" w:fill="FFFFFF" w:themeFill="background1"/>
            <w:noWrap/>
            <w:vAlign w:val="center"/>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21.625.612</w:t>
            </w:r>
          </w:p>
        </w:tc>
        <w:tc>
          <w:tcPr>
            <w:tcW w:w="2070" w:type="dxa"/>
            <w:tcBorders>
              <w:top w:val="double" w:sz="4" w:space="0" w:color="auto"/>
              <w:bottom w:val="single" w:sz="4" w:space="0" w:color="auto"/>
            </w:tcBorders>
            <w:shd w:val="clear" w:color="auto" w:fill="FFFFFF" w:themeFill="background1"/>
            <w:noWrap/>
            <w:vAlign w:val="center"/>
            <w:hideMark/>
          </w:tcPr>
          <w:p w:rsidR="00E31579" w:rsidRPr="001F3D8A" w:rsidRDefault="009E6638" w:rsidP="00DF06F0">
            <w:pPr>
              <w:jc w:val="right"/>
              <w:rPr>
                <w:rFonts w:ascii="Arial" w:hAnsi="Arial"/>
                <w:b/>
                <w:sz w:val="22"/>
              </w:rPr>
            </w:pPr>
            <w:r>
              <w:rPr>
                <w:rFonts w:ascii="Arial" w:hAnsi="Arial"/>
                <w:b/>
                <w:sz w:val="22"/>
              </w:rPr>
              <w:t>30.838.989</w:t>
            </w:r>
          </w:p>
        </w:tc>
      </w:tr>
      <w:tr w:rsidR="00E31579" w:rsidRPr="001F3D8A" w:rsidTr="00E31579">
        <w:trPr>
          <w:trHeight w:val="288"/>
        </w:trPr>
        <w:tc>
          <w:tcPr>
            <w:tcW w:w="4590" w:type="dxa"/>
            <w:shd w:val="clear" w:color="auto" w:fill="FFFFFF" w:themeFill="background1"/>
            <w:noWrap/>
            <w:vAlign w:val="center"/>
            <w:hideMark/>
          </w:tcPr>
          <w:p w:rsidR="00E31579" w:rsidRPr="001F3D8A" w:rsidRDefault="00E31579" w:rsidP="00DF06F0">
            <w:pPr>
              <w:rPr>
                <w:rFonts w:ascii="Arial" w:hAnsi="Arial" w:cs="Arial"/>
                <w:b/>
                <w:bCs/>
                <w:sz w:val="22"/>
                <w:szCs w:val="22"/>
                <w:lang w:val="en-US"/>
              </w:rPr>
            </w:pPr>
            <w:r w:rsidRPr="001F3D8A">
              <w:rPr>
                <w:rFonts w:ascii="Arial" w:hAnsi="Arial" w:cs="Arial"/>
                <w:b/>
                <w:bCs/>
                <w:spacing w:val="3"/>
                <w:sz w:val="22"/>
                <w:szCs w:val="22"/>
              </w:rPr>
              <w:t>Rezultat pe acțiune</w:t>
            </w:r>
          </w:p>
        </w:tc>
        <w:tc>
          <w:tcPr>
            <w:tcW w:w="1995" w:type="dxa"/>
            <w:tcBorders>
              <w:top w:val="single" w:sz="4" w:space="0" w:color="auto"/>
              <w:bottom w:val="double" w:sz="4" w:space="0" w:color="auto"/>
            </w:tcBorders>
            <w:shd w:val="clear" w:color="auto" w:fill="FFFFFF" w:themeFill="background1"/>
            <w:noWrap/>
            <w:vAlign w:val="center"/>
            <w:hideMark/>
          </w:tcPr>
          <w:p w:rsidR="00E31579" w:rsidRPr="001F3D8A" w:rsidRDefault="00E31579" w:rsidP="00DF06F0">
            <w:pPr>
              <w:jc w:val="right"/>
              <w:rPr>
                <w:rFonts w:ascii="Arial" w:hAnsi="Arial" w:cs="Arial"/>
                <w:b/>
                <w:bCs/>
                <w:sz w:val="22"/>
                <w:szCs w:val="22"/>
              </w:rPr>
            </w:pPr>
            <w:r w:rsidRPr="001F3D8A">
              <w:rPr>
                <w:rFonts w:ascii="Arial" w:hAnsi="Arial" w:cs="Arial"/>
                <w:b/>
                <w:bCs/>
                <w:sz w:val="22"/>
                <w:szCs w:val="22"/>
              </w:rPr>
              <w:t>2,50</w:t>
            </w:r>
          </w:p>
        </w:tc>
        <w:tc>
          <w:tcPr>
            <w:tcW w:w="2070" w:type="dxa"/>
            <w:tcBorders>
              <w:top w:val="single" w:sz="4" w:space="0" w:color="auto"/>
              <w:bottom w:val="double" w:sz="4" w:space="0" w:color="auto"/>
            </w:tcBorders>
            <w:shd w:val="clear" w:color="auto" w:fill="FFFFFF" w:themeFill="background1"/>
            <w:noWrap/>
            <w:vAlign w:val="center"/>
            <w:hideMark/>
          </w:tcPr>
          <w:p w:rsidR="00E31579" w:rsidRPr="001F3D8A" w:rsidRDefault="00E31579" w:rsidP="00474CFC">
            <w:pPr>
              <w:jc w:val="right"/>
              <w:rPr>
                <w:rFonts w:ascii="Arial" w:hAnsi="Arial"/>
                <w:b/>
                <w:sz w:val="22"/>
              </w:rPr>
            </w:pPr>
            <w:r w:rsidRPr="001F3D8A">
              <w:rPr>
                <w:rFonts w:ascii="Arial" w:hAnsi="Arial"/>
                <w:b/>
                <w:sz w:val="22"/>
              </w:rPr>
              <w:t>4,</w:t>
            </w:r>
            <w:r w:rsidR="00474CFC">
              <w:rPr>
                <w:rFonts w:ascii="Arial" w:hAnsi="Arial"/>
                <w:b/>
                <w:sz w:val="22"/>
              </w:rPr>
              <w:t>1</w:t>
            </w:r>
            <w:r w:rsidRPr="001F3D8A">
              <w:rPr>
                <w:rFonts w:ascii="Arial" w:hAnsi="Arial"/>
                <w:b/>
                <w:sz w:val="22"/>
              </w:rPr>
              <w:t>3</w:t>
            </w:r>
          </w:p>
        </w:tc>
      </w:tr>
    </w:tbl>
    <w:p w:rsidR="00E31579" w:rsidRDefault="00E31579" w:rsidP="00DD6E8F">
      <w:pPr>
        <w:rPr>
          <w:rFonts w:ascii="Arial" w:hAnsi="Arial" w:cs="Arial"/>
          <w:b/>
          <w:sz w:val="22"/>
          <w:szCs w:val="22"/>
          <w:lang w:val="fr-FR" w:eastAsia="en-US"/>
        </w:rPr>
      </w:pPr>
    </w:p>
    <w:p w:rsidR="00E31579" w:rsidRDefault="00E31579" w:rsidP="00DD6E8F">
      <w:pPr>
        <w:rPr>
          <w:rFonts w:ascii="Arial" w:hAnsi="Arial" w:cs="Arial"/>
          <w:b/>
          <w:sz w:val="22"/>
          <w:szCs w:val="22"/>
          <w:lang w:val="fr-FR" w:eastAsia="en-US"/>
        </w:rPr>
      </w:pPr>
    </w:p>
    <w:p w:rsidR="00E31579" w:rsidRDefault="00E31579" w:rsidP="00DD6E8F">
      <w:pPr>
        <w:rPr>
          <w:rFonts w:ascii="Arial" w:hAnsi="Arial" w:cs="Arial"/>
          <w:b/>
          <w:sz w:val="22"/>
          <w:szCs w:val="22"/>
          <w:lang w:val="fr-FR" w:eastAsia="en-US"/>
        </w:rPr>
      </w:pPr>
    </w:p>
    <w:p w:rsidR="00E31579" w:rsidRPr="00A74CF5" w:rsidRDefault="00E31579" w:rsidP="00DD6E8F">
      <w:pPr>
        <w:rPr>
          <w:rFonts w:ascii="Arial" w:hAnsi="Arial" w:cs="Arial"/>
          <w:b/>
          <w:sz w:val="22"/>
          <w:szCs w:val="22"/>
          <w:lang w:val="fr-FR" w:eastAsia="en-US"/>
        </w:rPr>
      </w:pPr>
    </w:p>
    <w:p w:rsidR="00DD6E8F" w:rsidRDefault="00DD6E8F" w:rsidP="00DD6E8F">
      <w:pPr>
        <w:rPr>
          <w:rFonts w:ascii="Arial" w:hAnsi="Arial" w:cs="Arial"/>
          <w:sz w:val="22"/>
          <w:szCs w:val="22"/>
        </w:rPr>
      </w:pPr>
    </w:p>
    <w:p w:rsidR="00E31579" w:rsidRDefault="00E31579" w:rsidP="00DD6E8F">
      <w:pPr>
        <w:rPr>
          <w:rFonts w:ascii="Arial" w:hAnsi="Arial" w:cs="Arial"/>
          <w:sz w:val="22"/>
          <w:szCs w:val="22"/>
        </w:rPr>
      </w:pPr>
    </w:p>
    <w:p w:rsidR="00A55556" w:rsidRPr="00A74CF5" w:rsidRDefault="00A55556" w:rsidP="003E033B">
      <w:pPr>
        <w:widowControl/>
        <w:tabs>
          <w:tab w:val="left" w:pos="2190"/>
        </w:tabs>
        <w:autoSpaceDE/>
        <w:autoSpaceDN/>
        <w:adjustRightInd/>
        <w:rPr>
          <w:rFonts w:ascii="Arial" w:hAnsi="Arial" w:cs="Arial"/>
          <w:b/>
          <w:i/>
          <w:iCs/>
          <w:color w:val="FF0000"/>
          <w:sz w:val="22"/>
          <w:szCs w:val="22"/>
          <w:lang w:val="fr-FR"/>
        </w:rPr>
      </w:pPr>
    </w:p>
    <w:p w:rsidR="00540795" w:rsidRPr="00A74CF5" w:rsidRDefault="00540795" w:rsidP="003E033B">
      <w:pPr>
        <w:widowControl/>
        <w:tabs>
          <w:tab w:val="left" w:pos="2190"/>
        </w:tabs>
        <w:autoSpaceDE/>
        <w:autoSpaceDN/>
        <w:adjustRightInd/>
        <w:rPr>
          <w:rFonts w:ascii="Arial" w:hAnsi="Arial" w:cs="Arial"/>
          <w:b/>
          <w:i/>
          <w:iCs/>
          <w:color w:val="FF0000"/>
          <w:sz w:val="22"/>
          <w:szCs w:val="22"/>
          <w:lang w:val="fr-FR"/>
        </w:rPr>
      </w:pPr>
    </w:p>
    <w:p w:rsidR="00540795" w:rsidRPr="00A74CF5" w:rsidRDefault="00540795">
      <w:pPr>
        <w:widowControl/>
        <w:autoSpaceDE/>
        <w:autoSpaceDN/>
        <w:adjustRightInd/>
        <w:rPr>
          <w:rFonts w:ascii="Arial" w:hAnsi="Arial" w:cs="Arial"/>
          <w:b/>
          <w:i/>
          <w:iCs/>
          <w:color w:val="FF0000"/>
          <w:sz w:val="22"/>
          <w:szCs w:val="22"/>
          <w:lang w:val="fr-FR"/>
        </w:rPr>
      </w:pPr>
      <w:r w:rsidRPr="00A74CF5">
        <w:rPr>
          <w:rFonts w:ascii="Arial" w:hAnsi="Arial" w:cs="Arial"/>
          <w:b/>
          <w:i/>
          <w:iCs/>
          <w:color w:val="FF0000"/>
          <w:sz w:val="22"/>
          <w:szCs w:val="22"/>
          <w:lang w:val="fr-FR"/>
        </w:rPr>
        <w:br w:type="page"/>
      </w:r>
    </w:p>
    <w:p w:rsidR="00E31579" w:rsidRDefault="00E31579" w:rsidP="003E033B">
      <w:pPr>
        <w:widowControl/>
        <w:tabs>
          <w:tab w:val="left" w:pos="2190"/>
        </w:tabs>
        <w:autoSpaceDE/>
        <w:autoSpaceDN/>
        <w:adjustRightInd/>
        <w:rPr>
          <w:rFonts w:ascii="Arial" w:hAnsi="Arial" w:cs="Arial"/>
          <w:b/>
          <w:iCs/>
          <w:sz w:val="22"/>
          <w:szCs w:val="22"/>
          <w:lang w:val="fr-FR"/>
        </w:rPr>
      </w:pPr>
    </w:p>
    <w:p w:rsidR="00540795" w:rsidRPr="00CA3CF8" w:rsidRDefault="00540795" w:rsidP="003E033B">
      <w:pPr>
        <w:widowControl/>
        <w:tabs>
          <w:tab w:val="left" w:pos="2190"/>
        </w:tabs>
        <w:autoSpaceDE/>
        <w:autoSpaceDN/>
        <w:adjustRightInd/>
        <w:rPr>
          <w:rFonts w:ascii="Arial" w:hAnsi="Arial" w:cs="Arial"/>
          <w:b/>
          <w:iCs/>
          <w:color w:val="1F4E79" w:themeColor="accent1" w:themeShade="80"/>
          <w:sz w:val="22"/>
          <w:szCs w:val="22"/>
          <w:lang w:val="fr-FR"/>
        </w:rPr>
      </w:pPr>
      <w:r w:rsidRPr="00CA3CF8">
        <w:rPr>
          <w:rFonts w:ascii="Arial" w:hAnsi="Arial" w:cs="Arial"/>
          <w:b/>
          <w:iCs/>
          <w:color w:val="1F4E79" w:themeColor="accent1" w:themeShade="80"/>
          <w:sz w:val="22"/>
          <w:szCs w:val="22"/>
          <w:lang w:val="fr-FR"/>
        </w:rPr>
        <w:t>Anexa nr.3</w:t>
      </w:r>
    </w:p>
    <w:p w:rsidR="00540795" w:rsidRPr="00CA3CF8" w:rsidRDefault="00540795" w:rsidP="00540795">
      <w:pPr>
        <w:tabs>
          <w:tab w:val="left" w:pos="450"/>
        </w:tabs>
        <w:rPr>
          <w:rFonts w:ascii="Arial" w:hAnsi="Arial" w:cs="Arial"/>
          <w:color w:val="1F4E79" w:themeColor="accent1" w:themeShade="80"/>
          <w:spacing w:val="3"/>
          <w:sz w:val="22"/>
          <w:szCs w:val="22"/>
        </w:rPr>
      </w:pPr>
    </w:p>
    <w:p w:rsidR="00E31579" w:rsidRDefault="00E31579" w:rsidP="00CA3CF8">
      <w:pPr>
        <w:widowControl/>
        <w:tabs>
          <w:tab w:val="left" w:pos="450"/>
        </w:tabs>
        <w:autoSpaceDE/>
        <w:autoSpaceDN/>
        <w:adjustRightInd/>
        <w:jc w:val="center"/>
        <w:rPr>
          <w:rFonts w:ascii="Arial" w:hAnsi="Arial" w:cs="Arial"/>
          <w:b/>
          <w:color w:val="1F4E79" w:themeColor="accent1" w:themeShade="80"/>
          <w:spacing w:val="3"/>
          <w:sz w:val="22"/>
          <w:szCs w:val="22"/>
          <w:lang w:eastAsia="en-US"/>
        </w:rPr>
      </w:pPr>
      <w:r w:rsidRPr="00CA3CF8">
        <w:rPr>
          <w:rFonts w:ascii="Arial" w:hAnsi="Arial" w:cs="Arial"/>
          <w:b/>
          <w:color w:val="1F4E79" w:themeColor="accent1" w:themeShade="80"/>
          <w:spacing w:val="3"/>
          <w:sz w:val="22"/>
          <w:szCs w:val="22"/>
          <w:lang w:eastAsia="en-US"/>
        </w:rPr>
        <w:t>SITUAȚIA INTERIMARĂ A FLUXURILOR DE TREZORERIE PENTRU PERIOADA DE ȘASE LUNI ÎNCHEIATĂ LA 30 IUNIE 2018 (revizuită)</w:t>
      </w:r>
    </w:p>
    <w:p w:rsidR="0020139A" w:rsidRDefault="0020139A" w:rsidP="00CA3CF8">
      <w:pPr>
        <w:widowControl/>
        <w:tabs>
          <w:tab w:val="left" w:pos="450"/>
        </w:tabs>
        <w:autoSpaceDE/>
        <w:autoSpaceDN/>
        <w:adjustRightInd/>
        <w:jc w:val="center"/>
        <w:rPr>
          <w:rFonts w:ascii="Arial" w:hAnsi="Arial" w:cs="Arial"/>
          <w:b/>
          <w:color w:val="1F4E79" w:themeColor="accent1" w:themeShade="80"/>
          <w:spacing w:val="3"/>
          <w:sz w:val="22"/>
          <w:szCs w:val="22"/>
          <w:lang w:eastAsia="en-US"/>
        </w:rPr>
      </w:pPr>
    </w:p>
    <w:p w:rsidR="0020139A" w:rsidRDefault="0020139A" w:rsidP="00CA3CF8">
      <w:pPr>
        <w:widowControl/>
        <w:tabs>
          <w:tab w:val="left" w:pos="450"/>
        </w:tabs>
        <w:autoSpaceDE/>
        <w:autoSpaceDN/>
        <w:adjustRightInd/>
        <w:jc w:val="center"/>
        <w:rPr>
          <w:rFonts w:ascii="Arial" w:hAnsi="Arial" w:cs="Arial"/>
          <w:b/>
          <w:color w:val="1F4E79" w:themeColor="accent1" w:themeShade="80"/>
          <w:spacing w:val="3"/>
          <w:sz w:val="22"/>
          <w:szCs w:val="22"/>
          <w:lang w:eastAsia="en-US"/>
        </w:rPr>
      </w:pPr>
    </w:p>
    <w:tbl>
      <w:tblPr>
        <w:tblW w:w="9305" w:type="dxa"/>
        <w:tblLook w:val="04A0" w:firstRow="1" w:lastRow="0" w:firstColumn="1" w:lastColumn="0" w:noHBand="0" w:noVBand="1"/>
      </w:tblPr>
      <w:tblGrid>
        <w:gridCol w:w="498"/>
        <w:gridCol w:w="4902"/>
        <w:gridCol w:w="2070"/>
        <w:gridCol w:w="1835"/>
      </w:tblGrid>
      <w:tr w:rsidR="0020139A" w:rsidRPr="001321CB" w:rsidTr="001C4F67">
        <w:trPr>
          <w:trHeight w:val="300"/>
        </w:trPr>
        <w:tc>
          <w:tcPr>
            <w:tcW w:w="5400" w:type="dxa"/>
            <w:gridSpan w:val="2"/>
            <w:tcBorders>
              <w:top w:val="nil"/>
              <w:left w:val="nil"/>
              <w:bottom w:val="nil"/>
              <w:right w:val="nil"/>
            </w:tcBorders>
            <w:shd w:val="clear" w:color="auto" w:fill="auto"/>
            <w:noWrap/>
            <w:vAlign w:val="bottom"/>
            <w:hideMark/>
          </w:tcPr>
          <w:p w:rsidR="0020139A" w:rsidRPr="001321CB" w:rsidRDefault="0020139A" w:rsidP="001C4F67">
            <w:pPr>
              <w:rPr>
                <w:rFonts w:ascii="Arial" w:hAnsi="Arial" w:cs="Arial"/>
                <w:b/>
                <w:bCs/>
                <w:sz w:val="22"/>
                <w:szCs w:val="22"/>
                <w:lang w:val="en-US"/>
              </w:rPr>
            </w:pPr>
            <w:r w:rsidRPr="001321CB">
              <w:rPr>
                <w:rFonts w:ascii="Arial" w:hAnsi="Arial" w:cs="Arial"/>
                <w:b/>
                <w:bCs/>
                <w:sz w:val="22"/>
                <w:szCs w:val="22"/>
              </w:rPr>
              <w:t>(METODA DIRECTĂ)</w:t>
            </w:r>
          </w:p>
        </w:tc>
        <w:tc>
          <w:tcPr>
            <w:tcW w:w="2070" w:type="dxa"/>
            <w:tcBorders>
              <w:top w:val="nil"/>
              <w:left w:val="nil"/>
              <w:bottom w:val="nil"/>
              <w:right w:val="nil"/>
            </w:tcBorders>
            <w:shd w:val="clear" w:color="auto" w:fill="auto"/>
            <w:noWrap/>
            <w:vAlign w:val="bottom"/>
            <w:hideMark/>
          </w:tcPr>
          <w:p w:rsidR="0020139A" w:rsidRPr="001321CB" w:rsidRDefault="0020139A" w:rsidP="001C4F67">
            <w:pPr>
              <w:rPr>
                <w:rFonts w:ascii="Arial" w:hAnsi="Arial" w:cs="Arial"/>
                <w:sz w:val="22"/>
                <w:szCs w:val="22"/>
                <w:lang w:val="en-US"/>
              </w:rPr>
            </w:pPr>
          </w:p>
        </w:tc>
        <w:tc>
          <w:tcPr>
            <w:tcW w:w="1835" w:type="dxa"/>
            <w:tcBorders>
              <w:top w:val="nil"/>
              <w:left w:val="nil"/>
              <w:bottom w:val="nil"/>
              <w:right w:val="nil"/>
            </w:tcBorders>
            <w:shd w:val="clear" w:color="auto" w:fill="auto"/>
            <w:noWrap/>
            <w:vAlign w:val="bottom"/>
            <w:hideMark/>
          </w:tcPr>
          <w:p w:rsidR="0020139A" w:rsidRPr="001321CB" w:rsidRDefault="0020139A" w:rsidP="001C4F67">
            <w:pPr>
              <w:rPr>
                <w:rFonts w:ascii="Arial" w:hAnsi="Arial" w:cs="Arial"/>
                <w:b/>
                <w:bCs/>
                <w:sz w:val="22"/>
                <w:szCs w:val="22"/>
                <w:lang w:val="en-US"/>
              </w:rPr>
            </w:pPr>
          </w:p>
        </w:tc>
      </w:tr>
      <w:tr w:rsidR="0020139A" w:rsidRPr="001321CB" w:rsidTr="0020139A">
        <w:trPr>
          <w:trHeight w:val="472"/>
        </w:trPr>
        <w:tc>
          <w:tcPr>
            <w:tcW w:w="49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20139A" w:rsidRPr="001321CB" w:rsidRDefault="0020139A" w:rsidP="001C4F67">
            <w:pPr>
              <w:jc w:val="center"/>
              <w:rPr>
                <w:rFonts w:ascii="Arial" w:hAnsi="Arial" w:cs="Arial"/>
                <w:b/>
                <w:bCs/>
                <w:sz w:val="22"/>
                <w:szCs w:val="22"/>
                <w:lang w:val="en-US"/>
              </w:rPr>
            </w:pPr>
          </w:p>
        </w:tc>
        <w:tc>
          <w:tcPr>
            <w:tcW w:w="490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20139A" w:rsidRPr="001321CB" w:rsidRDefault="0020139A" w:rsidP="001C4F67">
            <w:pPr>
              <w:rPr>
                <w:rFonts w:ascii="Arial" w:hAnsi="Arial" w:cs="Arial"/>
                <w:b/>
                <w:bCs/>
                <w:sz w:val="22"/>
                <w:szCs w:val="22"/>
                <w:lang w:val="en-US"/>
              </w:rPr>
            </w:pPr>
            <w:r w:rsidRPr="001321CB">
              <w:rPr>
                <w:rFonts w:ascii="Arial" w:hAnsi="Arial" w:cs="Arial"/>
                <w:b/>
                <w:bCs/>
                <w:sz w:val="22"/>
                <w:szCs w:val="22"/>
                <w:lang w:val="en-US"/>
              </w:rPr>
              <w:t>Denumirea elementului</w:t>
            </w:r>
          </w:p>
        </w:tc>
        <w:tc>
          <w:tcPr>
            <w:tcW w:w="2070"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20139A" w:rsidRPr="001321CB" w:rsidRDefault="0020139A" w:rsidP="001C4F67">
            <w:pPr>
              <w:jc w:val="right"/>
              <w:rPr>
                <w:rFonts w:ascii="Arial" w:hAnsi="Arial" w:cs="Arial"/>
                <w:b/>
                <w:bCs/>
                <w:sz w:val="22"/>
                <w:szCs w:val="22"/>
                <w:lang w:val="en-US"/>
              </w:rPr>
            </w:pPr>
            <w:r w:rsidRPr="001321CB">
              <w:rPr>
                <w:rFonts w:ascii="Arial" w:hAnsi="Arial" w:cs="Arial"/>
                <w:b/>
                <w:bCs/>
                <w:sz w:val="22"/>
                <w:szCs w:val="22"/>
                <w:lang w:val="en-US"/>
              </w:rPr>
              <w:t xml:space="preserve">6 luni încheiate </w:t>
            </w:r>
          </w:p>
          <w:p w:rsidR="0020139A" w:rsidRPr="001321CB" w:rsidRDefault="0020139A" w:rsidP="001C4F67">
            <w:pPr>
              <w:jc w:val="right"/>
              <w:rPr>
                <w:rFonts w:ascii="Arial" w:hAnsi="Arial" w:cs="Arial"/>
                <w:b/>
                <w:bCs/>
                <w:sz w:val="22"/>
                <w:szCs w:val="22"/>
                <w:lang w:val="en-US"/>
              </w:rPr>
            </w:pPr>
            <w:r w:rsidRPr="001321CB">
              <w:rPr>
                <w:rFonts w:ascii="Arial" w:hAnsi="Arial" w:cs="Arial"/>
                <w:b/>
                <w:bCs/>
                <w:sz w:val="22"/>
                <w:szCs w:val="22"/>
                <w:lang w:val="en-US"/>
              </w:rPr>
              <w:t>la 30 iunie 2018</w:t>
            </w:r>
          </w:p>
        </w:tc>
        <w:tc>
          <w:tcPr>
            <w:tcW w:w="1835"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20139A" w:rsidRPr="001321CB" w:rsidRDefault="0020139A" w:rsidP="001C4F67">
            <w:pPr>
              <w:jc w:val="right"/>
              <w:rPr>
                <w:rFonts w:ascii="Arial" w:hAnsi="Arial" w:cs="Arial"/>
                <w:b/>
                <w:bCs/>
                <w:sz w:val="22"/>
                <w:szCs w:val="22"/>
                <w:lang w:val="en-US"/>
              </w:rPr>
            </w:pPr>
            <w:r w:rsidRPr="001321CB">
              <w:rPr>
                <w:rFonts w:ascii="Arial" w:hAnsi="Arial" w:cs="Arial"/>
                <w:b/>
                <w:bCs/>
                <w:sz w:val="22"/>
                <w:szCs w:val="22"/>
                <w:lang w:val="en-US"/>
              </w:rPr>
              <w:t>6 luni încheiate la 30 iunie 2017</w:t>
            </w:r>
          </w:p>
        </w:tc>
      </w:tr>
      <w:tr w:rsidR="0020139A" w:rsidRPr="001321CB" w:rsidTr="001C4F67">
        <w:trPr>
          <w:trHeight w:val="40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b/>
                <w:bCs/>
                <w:sz w:val="22"/>
                <w:szCs w:val="22"/>
                <w:lang w:val="en-US"/>
              </w:rPr>
            </w:pPr>
          </w:p>
        </w:tc>
        <w:tc>
          <w:tcPr>
            <w:tcW w:w="4902" w:type="dxa"/>
            <w:tcBorders>
              <w:top w:val="nil"/>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b/>
                <w:bCs/>
                <w:sz w:val="22"/>
                <w:szCs w:val="22"/>
                <w:lang w:val="en-US"/>
              </w:rPr>
            </w:pPr>
            <w:r w:rsidRPr="001321CB">
              <w:rPr>
                <w:rFonts w:ascii="Arial" w:hAnsi="Arial" w:cs="Arial"/>
                <w:b/>
                <w:bCs/>
                <w:sz w:val="22"/>
                <w:szCs w:val="22"/>
                <w:lang w:val="en-US"/>
              </w:rPr>
              <w:t>Fluxuri de numerar din activități de exploatare:</w:t>
            </w:r>
          </w:p>
        </w:tc>
        <w:tc>
          <w:tcPr>
            <w:tcW w:w="2070" w:type="dxa"/>
            <w:tcBorders>
              <w:top w:val="nil"/>
              <w:left w:val="nil"/>
              <w:bottom w:val="single" w:sz="4" w:space="0" w:color="auto"/>
              <w:right w:val="single" w:sz="4" w:space="0" w:color="auto"/>
            </w:tcBorders>
            <w:shd w:val="clear" w:color="auto" w:fill="auto"/>
            <w:noWrap/>
            <w:vAlign w:val="center"/>
          </w:tcPr>
          <w:p w:rsidR="0020139A" w:rsidRPr="001321CB" w:rsidRDefault="0020139A" w:rsidP="001C4F67">
            <w:pPr>
              <w:rPr>
                <w:rFonts w:ascii="Arial" w:hAnsi="Arial" w:cs="Arial"/>
                <w:b/>
                <w:bCs/>
                <w:sz w:val="22"/>
                <w:szCs w:val="22"/>
                <w:lang w:val="en-US"/>
              </w:rPr>
            </w:pPr>
            <w:r w:rsidRPr="001321CB">
              <w:rPr>
                <w:rFonts w:ascii="Arial" w:hAnsi="Arial" w:cs="Arial"/>
                <w:b/>
                <w:bCs/>
                <w:sz w:val="22"/>
                <w:szCs w:val="22"/>
                <w:lang w:val="en-US"/>
              </w:rPr>
              <w:t> </w:t>
            </w:r>
          </w:p>
        </w:tc>
        <w:tc>
          <w:tcPr>
            <w:tcW w:w="1835" w:type="dxa"/>
            <w:tcBorders>
              <w:top w:val="nil"/>
              <w:left w:val="nil"/>
              <w:bottom w:val="single" w:sz="4" w:space="0" w:color="auto"/>
              <w:right w:val="single" w:sz="4" w:space="0" w:color="auto"/>
            </w:tcBorders>
            <w:shd w:val="clear" w:color="auto" w:fill="auto"/>
            <w:noWrap/>
            <w:vAlign w:val="center"/>
          </w:tcPr>
          <w:p w:rsidR="0020139A" w:rsidRPr="001321CB" w:rsidRDefault="0020139A" w:rsidP="001C4F67">
            <w:pPr>
              <w:rPr>
                <w:rFonts w:ascii="Arial" w:hAnsi="Arial" w:cs="Arial"/>
                <w:b/>
                <w:bCs/>
                <w:sz w:val="22"/>
                <w:szCs w:val="22"/>
                <w:lang w:val="en-US"/>
              </w:rPr>
            </w:pPr>
            <w:r w:rsidRPr="001321CB">
              <w:rPr>
                <w:rFonts w:ascii="Arial" w:hAnsi="Arial" w:cs="Arial"/>
                <w:b/>
                <w:bCs/>
                <w:sz w:val="22"/>
                <w:szCs w:val="22"/>
                <w:lang w:val="en-US"/>
              </w:rPr>
              <w:t> </w:t>
            </w:r>
          </w:p>
        </w:tc>
      </w:tr>
      <w:tr w:rsidR="0020139A" w:rsidRPr="001321CB" w:rsidTr="001C4F67">
        <w:trPr>
          <w:trHeight w:val="14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sz w:val="22"/>
                <w:szCs w:val="22"/>
                <w:lang w:val="en-US"/>
              </w:rPr>
            </w:pPr>
            <w:r w:rsidRPr="001321CB">
              <w:rPr>
                <w:rFonts w:ascii="Arial" w:hAnsi="Arial" w:cs="Arial"/>
                <w:sz w:val="22"/>
                <w:szCs w:val="22"/>
                <w:lang w:val="en-US"/>
              </w:rPr>
              <w:t>+</w:t>
            </w:r>
          </w:p>
        </w:tc>
        <w:tc>
          <w:tcPr>
            <w:tcW w:w="4902" w:type="dxa"/>
            <w:tcBorders>
              <w:top w:val="nil"/>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sz w:val="22"/>
                <w:szCs w:val="22"/>
                <w:lang w:val="en-US"/>
              </w:rPr>
            </w:pPr>
            <w:r w:rsidRPr="001321CB">
              <w:rPr>
                <w:rFonts w:ascii="Arial" w:hAnsi="Arial" w:cs="Arial"/>
                <w:sz w:val="22"/>
                <w:szCs w:val="22"/>
                <w:lang w:val="en-US"/>
              </w:rPr>
              <w:t>Încasări din prestarea de servicii</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lang w:val="en-US"/>
              </w:rPr>
            </w:pPr>
            <w:r w:rsidRPr="001321CB">
              <w:rPr>
                <w:rFonts w:ascii="Arial" w:hAnsi="Arial" w:cs="Arial"/>
                <w:sz w:val="22"/>
                <w:szCs w:val="22"/>
              </w:rPr>
              <w:t>193.137.048</w:t>
            </w:r>
          </w:p>
        </w:tc>
        <w:tc>
          <w:tcPr>
            <w:tcW w:w="1835" w:type="dxa"/>
            <w:tcBorders>
              <w:top w:val="single" w:sz="4" w:space="0" w:color="auto"/>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199.692.134</w:t>
            </w:r>
          </w:p>
        </w:tc>
      </w:tr>
      <w:tr w:rsidR="0020139A" w:rsidRPr="001321CB" w:rsidTr="001C4F67">
        <w:trPr>
          <w:trHeight w:val="30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sz w:val="22"/>
                <w:szCs w:val="22"/>
                <w:lang w:val="en-US"/>
              </w:rPr>
            </w:pPr>
            <w:r w:rsidRPr="001321CB">
              <w:rPr>
                <w:rFonts w:ascii="Arial" w:hAnsi="Arial" w:cs="Arial"/>
                <w:sz w:val="22"/>
                <w:szCs w:val="22"/>
                <w:lang w:val="en-US"/>
              </w:rPr>
              <w:t>+</w:t>
            </w:r>
          </w:p>
        </w:tc>
        <w:tc>
          <w:tcPr>
            <w:tcW w:w="4902" w:type="dxa"/>
            <w:tcBorders>
              <w:top w:val="nil"/>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sz w:val="22"/>
                <w:szCs w:val="22"/>
                <w:lang w:val="en-US"/>
              </w:rPr>
            </w:pPr>
            <w:r w:rsidRPr="001321CB">
              <w:rPr>
                <w:rFonts w:ascii="Arial" w:hAnsi="Arial" w:cs="Arial"/>
                <w:sz w:val="22"/>
                <w:szCs w:val="22"/>
                <w:lang w:val="en-US"/>
              </w:rPr>
              <w:t>Încasări din dobânzi aferente plasamentelor bancare</w:t>
            </w:r>
            <w:bookmarkStart w:id="0" w:name="_GoBack"/>
            <w:bookmarkEnd w:id="0"/>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1.957.740</w:t>
            </w:r>
          </w:p>
        </w:tc>
        <w:tc>
          <w:tcPr>
            <w:tcW w:w="1835" w:type="dxa"/>
            <w:tcBorders>
              <w:top w:val="nil"/>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1.221.583</w:t>
            </w:r>
          </w:p>
        </w:tc>
      </w:tr>
      <w:tr w:rsidR="0020139A" w:rsidRPr="001321CB" w:rsidTr="001C4F67">
        <w:trPr>
          <w:trHeight w:val="139"/>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sz w:val="22"/>
                <w:szCs w:val="22"/>
                <w:lang w:val="en-US"/>
              </w:rPr>
            </w:pPr>
            <w:r w:rsidRPr="001321CB">
              <w:rPr>
                <w:rFonts w:ascii="Arial" w:hAnsi="Arial" w:cs="Arial"/>
                <w:sz w:val="22"/>
                <w:szCs w:val="22"/>
                <w:lang w:val="en-US"/>
              </w:rPr>
              <w:t>+</w:t>
            </w:r>
          </w:p>
        </w:tc>
        <w:tc>
          <w:tcPr>
            <w:tcW w:w="4902" w:type="dxa"/>
            <w:tcBorders>
              <w:top w:val="nil"/>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sz w:val="22"/>
                <w:szCs w:val="22"/>
                <w:lang w:val="en-US"/>
              </w:rPr>
            </w:pPr>
            <w:r w:rsidRPr="001321CB">
              <w:rPr>
                <w:rFonts w:ascii="Arial" w:hAnsi="Arial" w:cs="Arial"/>
                <w:sz w:val="22"/>
                <w:szCs w:val="22"/>
                <w:lang w:val="en-US"/>
              </w:rPr>
              <w:t>Alte încasări</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2.131.735</w:t>
            </w:r>
          </w:p>
        </w:tc>
        <w:tc>
          <w:tcPr>
            <w:tcW w:w="1835" w:type="dxa"/>
            <w:tcBorders>
              <w:top w:val="nil"/>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2.401.295</w:t>
            </w:r>
          </w:p>
        </w:tc>
      </w:tr>
      <w:tr w:rsidR="0020139A" w:rsidRPr="001321CB" w:rsidTr="001C4F67">
        <w:trPr>
          <w:trHeight w:val="229"/>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sz w:val="22"/>
                <w:szCs w:val="22"/>
                <w:lang w:val="en-US"/>
              </w:rPr>
            </w:pPr>
            <w:r w:rsidRPr="001321CB">
              <w:rPr>
                <w:rFonts w:ascii="Arial" w:hAnsi="Arial" w:cs="Arial"/>
                <w:sz w:val="22"/>
                <w:szCs w:val="22"/>
                <w:lang w:val="en-US"/>
              </w:rPr>
              <w:t>-</w:t>
            </w:r>
          </w:p>
        </w:tc>
        <w:tc>
          <w:tcPr>
            <w:tcW w:w="4902" w:type="dxa"/>
            <w:tcBorders>
              <w:top w:val="nil"/>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sz w:val="22"/>
                <w:szCs w:val="22"/>
                <w:lang w:val="en-US"/>
              </w:rPr>
            </w:pPr>
            <w:r w:rsidRPr="001321CB">
              <w:rPr>
                <w:rFonts w:ascii="Arial" w:hAnsi="Arial" w:cs="Arial"/>
                <w:sz w:val="22"/>
                <w:szCs w:val="22"/>
                <w:lang w:val="en-US"/>
              </w:rPr>
              <w:t>Plăți către furnizorii de bunuri și servicii</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53.182.508</w:t>
            </w:r>
          </w:p>
        </w:tc>
        <w:tc>
          <w:tcPr>
            <w:tcW w:w="1835" w:type="dxa"/>
            <w:tcBorders>
              <w:top w:val="nil"/>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55.285.084</w:t>
            </w:r>
          </w:p>
        </w:tc>
      </w:tr>
      <w:tr w:rsidR="0020139A" w:rsidRPr="001321CB" w:rsidTr="001C4F67">
        <w:trPr>
          <w:trHeight w:val="274"/>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sz w:val="22"/>
                <w:szCs w:val="22"/>
                <w:lang w:val="en-US"/>
              </w:rPr>
            </w:pPr>
            <w:r w:rsidRPr="001321CB">
              <w:rPr>
                <w:rFonts w:ascii="Arial" w:hAnsi="Arial" w:cs="Arial"/>
                <w:sz w:val="22"/>
                <w:szCs w:val="22"/>
                <w:lang w:val="en-US"/>
              </w:rPr>
              <w:t>-</w:t>
            </w:r>
          </w:p>
        </w:tc>
        <w:tc>
          <w:tcPr>
            <w:tcW w:w="4902" w:type="dxa"/>
            <w:tcBorders>
              <w:top w:val="nil"/>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sz w:val="22"/>
                <w:szCs w:val="22"/>
                <w:lang w:val="en-US"/>
              </w:rPr>
            </w:pPr>
            <w:r w:rsidRPr="001321CB">
              <w:rPr>
                <w:rFonts w:ascii="Arial" w:hAnsi="Arial" w:cs="Arial"/>
                <w:sz w:val="22"/>
                <w:szCs w:val="22"/>
                <w:lang w:val="en-US"/>
              </w:rPr>
              <w:t>Plăți către și în numele angajaților</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64.185.854</w:t>
            </w:r>
          </w:p>
        </w:tc>
        <w:tc>
          <w:tcPr>
            <w:tcW w:w="1835" w:type="dxa"/>
            <w:tcBorders>
              <w:top w:val="nil"/>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56.188.567</w:t>
            </w:r>
          </w:p>
        </w:tc>
      </w:tr>
      <w:tr w:rsidR="0020139A" w:rsidRPr="001321CB" w:rsidTr="001C4F67">
        <w:trPr>
          <w:trHeight w:val="175"/>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sz w:val="22"/>
                <w:szCs w:val="22"/>
                <w:lang w:val="en-US"/>
              </w:rPr>
            </w:pPr>
            <w:r w:rsidRPr="001321CB">
              <w:rPr>
                <w:rFonts w:ascii="Arial" w:hAnsi="Arial" w:cs="Arial"/>
                <w:sz w:val="22"/>
                <w:szCs w:val="22"/>
                <w:lang w:val="en-US"/>
              </w:rPr>
              <w:t>-</w:t>
            </w:r>
          </w:p>
        </w:tc>
        <w:tc>
          <w:tcPr>
            <w:tcW w:w="4902" w:type="dxa"/>
            <w:tcBorders>
              <w:top w:val="nil"/>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sz w:val="22"/>
                <w:szCs w:val="22"/>
                <w:lang w:val="en-US"/>
              </w:rPr>
            </w:pPr>
            <w:r w:rsidRPr="001321CB">
              <w:rPr>
                <w:rFonts w:ascii="Arial" w:hAnsi="Arial" w:cs="Arial"/>
                <w:sz w:val="22"/>
                <w:szCs w:val="22"/>
                <w:lang w:val="en-US"/>
              </w:rPr>
              <w:t>Plăți TVA</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20.434.472</w:t>
            </w:r>
          </w:p>
        </w:tc>
        <w:tc>
          <w:tcPr>
            <w:tcW w:w="1835" w:type="dxa"/>
            <w:tcBorders>
              <w:top w:val="nil"/>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24.969.109</w:t>
            </w:r>
          </w:p>
        </w:tc>
      </w:tr>
      <w:tr w:rsidR="0020139A" w:rsidRPr="001321CB" w:rsidTr="001C4F67">
        <w:trPr>
          <w:trHeight w:val="184"/>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sz w:val="22"/>
                <w:szCs w:val="22"/>
                <w:lang w:val="en-US"/>
              </w:rPr>
            </w:pPr>
            <w:r w:rsidRPr="001321CB">
              <w:rPr>
                <w:rFonts w:ascii="Arial" w:hAnsi="Arial" w:cs="Arial"/>
                <w:sz w:val="22"/>
                <w:szCs w:val="22"/>
                <w:lang w:val="en-US"/>
              </w:rPr>
              <w:t>-</w:t>
            </w:r>
          </w:p>
        </w:tc>
        <w:tc>
          <w:tcPr>
            <w:tcW w:w="4902" w:type="dxa"/>
            <w:tcBorders>
              <w:top w:val="nil"/>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sz w:val="22"/>
                <w:szCs w:val="22"/>
                <w:lang w:val="en-US"/>
              </w:rPr>
            </w:pPr>
            <w:r w:rsidRPr="001321CB">
              <w:rPr>
                <w:rFonts w:ascii="Arial" w:hAnsi="Arial" w:cs="Arial"/>
                <w:sz w:val="22"/>
                <w:szCs w:val="22"/>
                <w:lang w:val="en-US"/>
              </w:rPr>
              <w:t>Plăți impozit pe profit</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6.315.952</w:t>
            </w:r>
          </w:p>
        </w:tc>
        <w:tc>
          <w:tcPr>
            <w:tcW w:w="1835" w:type="dxa"/>
            <w:tcBorders>
              <w:top w:val="nil"/>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7.743.195</w:t>
            </w:r>
          </w:p>
        </w:tc>
      </w:tr>
      <w:tr w:rsidR="0020139A" w:rsidRPr="001321CB" w:rsidTr="001C4F67">
        <w:trPr>
          <w:trHeight w:val="184"/>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sz w:val="22"/>
                <w:szCs w:val="22"/>
                <w:lang w:val="en-US"/>
              </w:rPr>
            </w:pPr>
            <w:r w:rsidRPr="001321CB">
              <w:rPr>
                <w:rFonts w:ascii="Arial" w:hAnsi="Arial" w:cs="Arial"/>
                <w:sz w:val="22"/>
                <w:szCs w:val="22"/>
                <w:lang w:val="en-US"/>
              </w:rPr>
              <w:t>-</w:t>
            </w:r>
          </w:p>
        </w:tc>
        <w:tc>
          <w:tcPr>
            <w:tcW w:w="4902" w:type="dxa"/>
            <w:tcBorders>
              <w:top w:val="nil"/>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sz w:val="22"/>
                <w:szCs w:val="22"/>
                <w:lang w:val="en-US"/>
              </w:rPr>
            </w:pPr>
            <w:r w:rsidRPr="001321CB">
              <w:rPr>
                <w:rFonts w:ascii="Arial" w:hAnsi="Arial" w:cs="Arial"/>
                <w:sz w:val="22"/>
                <w:szCs w:val="22"/>
                <w:lang w:val="en-US"/>
              </w:rPr>
              <w:t>Alte plăți privind activitățile de exploatare</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20.2</w:t>
            </w:r>
            <w:r>
              <w:rPr>
                <w:rFonts w:ascii="Arial" w:hAnsi="Arial" w:cs="Arial"/>
                <w:sz w:val="22"/>
                <w:szCs w:val="22"/>
              </w:rPr>
              <w:t>18</w:t>
            </w:r>
            <w:r w:rsidRPr="001321CB">
              <w:rPr>
                <w:rFonts w:ascii="Arial" w:hAnsi="Arial" w:cs="Arial"/>
                <w:sz w:val="22"/>
                <w:szCs w:val="22"/>
              </w:rPr>
              <w:t>.</w:t>
            </w:r>
            <w:r>
              <w:rPr>
                <w:rFonts w:ascii="Arial" w:hAnsi="Arial" w:cs="Arial"/>
                <w:sz w:val="22"/>
                <w:szCs w:val="22"/>
              </w:rPr>
              <w:t>298</w:t>
            </w:r>
          </w:p>
        </w:tc>
        <w:tc>
          <w:tcPr>
            <w:tcW w:w="1835" w:type="dxa"/>
            <w:tcBorders>
              <w:top w:val="nil"/>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17.699.616</w:t>
            </w:r>
          </w:p>
        </w:tc>
      </w:tr>
      <w:tr w:rsidR="0020139A" w:rsidRPr="001321CB" w:rsidTr="001C4F67">
        <w:trPr>
          <w:trHeight w:val="202"/>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b/>
                <w:bCs/>
                <w:i/>
                <w:iCs/>
                <w:sz w:val="22"/>
                <w:szCs w:val="22"/>
                <w:lang w:val="en-US"/>
              </w:rPr>
            </w:pPr>
            <w:r w:rsidRPr="001321CB">
              <w:rPr>
                <w:rFonts w:ascii="Arial" w:hAnsi="Arial" w:cs="Arial"/>
                <w:b/>
                <w:bCs/>
                <w:i/>
                <w:iCs/>
                <w:sz w:val="22"/>
                <w:szCs w:val="22"/>
                <w:lang w:val="en-US"/>
              </w:rPr>
              <w:t>A</w:t>
            </w:r>
          </w:p>
        </w:tc>
        <w:tc>
          <w:tcPr>
            <w:tcW w:w="4902" w:type="dxa"/>
            <w:tcBorders>
              <w:top w:val="nil"/>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b/>
                <w:bCs/>
                <w:i/>
                <w:iCs/>
                <w:sz w:val="22"/>
                <w:szCs w:val="22"/>
                <w:lang w:val="en-US"/>
              </w:rPr>
            </w:pPr>
            <w:r w:rsidRPr="001321CB">
              <w:rPr>
                <w:rFonts w:ascii="Arial" w:hAnsi="Arial" w:cs="Arial"/>
                <w:b/>
                <w:bCs/>
                <w:i/>
                <w:iCs/>
                <w:sz w:val="22"/>
                <w:szCs w:val="22"/>
                <w:lang w:val="en-US"/>
              </w:rPr>
              <w:t>Numerar net din activități de exploatare</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b/>
                <w:bCs/>
                <w:i/>
                <w:iCs/>
                <w:sz w:val="22"/>
                <w:szCs w:val="22"/>
              </w:rPr>
            </w:pPr>
            <w:r w:rsidRPr="001321CB">
              <w:rPr>
                <w:rFonts w:ascii="Arial" w:hAnsi="Arial" w:cs="Arial"/>
                <w:b/>
                <w:bCs/>
                <w:i/>
                <w:iCs/>
                <w:sz w:val="22"/>
                <w:szCs w:val="22"/>
              </w:rPr>
              <w:t>32.88</w:t>
            </w:r>
            <w:r>
              <w:rPr>
                <w:rFonts w:ascii="Arial" w:hAnsi="Arial" w:cs="Arial"/>
                <w:b/>
                <w:bCs/>
                <w:i/>
                <w:iCs/>
                <w:sz w:val="22"/>
                <w:szCs w:val="22"/>
              </w:rPr>
              <w:t>9</w:t>
            </w:r>
            <w:r w:rsidRPr="001321CB">
              <w:rPr>
                <w:rFonts w:ascii="Arial" w:hAnsi="Arial" w:cs="Arial"/>
                <w:b/>
                <w:bCs/>
                <w:i/>
                <w:iCs/>
                <w:sz w:val="22"/>
                <w:szCs w:val="22"/>
              </w:rPr>
              <w:t>.</w:t>
            </w:r>
            <w:r>
              <w:rPr>
                <w:rFonts w:ascii="Arial" w:hAnsi="Arial" w:cs="Arial"/>
                <w:b/>
                <w:bCs/>
                <w:i/>
                <w:iCs/>
                <w:sz w:val="22"/>
                <w:szCs w:val="22"/>
              </w:rPr>
              <w:t>439</w:t>
            </w:r>
          </w:p>
        </w:tc>
        <w:tc>
          <w:tcPr>
            <w:tcW w:w="1835" w:type="dxa"/>
            <w:tcBorders>
              <w:top w:val="nil"/>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b/>
                <w:bCs/>
                <w:i/>
                <w:iCs/>
                <w:sz w:val="22"/>
                <w:szCs w:val="22"/>
              </w:rPr>
            </w:pPr>
            <w:r w:rsidRPr="001321CB">
              <w:rPr>
                <w:rFonts w:ascii="Arial" w:hAnsi="Arial" w:cs="Arial"/>
                <w:b/>
                <w:bCs/>
                <w:i/>
                <w:iCs/>
                <w:sz w:val="22"/>
                <w:szCs w:val="22"/>
              </w:rPr>
              <w:t>41.429.441</w:t>
            </w:r>
          </w:p>
        </w:tc>
      </w:tr>
      <w:tr w:rsidR="0020139A" w:rsidRPr="001321CB" w:rsidTr="001C4F67">
        <w:trPr>
          <w:trHeight w:val="30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sz w:val="22"/>
                <w:szCs w:val="22"/>
                <w:lang w:val="en-US"/>
              </w:rPr>
            </w:pPr>
          </w:p>
        </w:tc>
        <w:tc>
          <w:tcPr>
            <w:tcW w:w="4902" w:type="dxa"/>
            <w:tcBorders>
              <w:top w:val="nil"/>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b/>
                <w:bCs/>
                <w:sz w:val="22"/>
                <w:szCs w:val="22"/>
                <w:lang w:val="en-US"/>
              </w:rPr>
            </w:pPr>
            <w:r w:rsidRPr="001321CB">
              <w:rPr>
                <w:rFonts w:ascii="Arial" w:hAnsi="Arial" w:cs="Arial"/>
                <w:b/>
                <w:bCs/>
                <w:sz w:val="22"/>
                <w:szCs w:val="22"/>
                <w:lang w:val="en-US"/>
              </w:rPr>
              <w:t>Fluxuri de numerar din activități de investiție:</w:t>
            </w:r>
          </w:p>
        </w:tc>
        <w:tc>
          <w:tcPr>
            <w:tcW w:w="2070" w:type="dxa"/>
            <w:tcBorders>
              <w:top w:val="nil"/>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lang w:val="en-US"/>
              </w:rPr>
            </w:pPr>
            <w:r w:rsidRPr="001321CB">
              <w:rPr>
                <w:rFonts w:ascii="Arial" w:hAnsi="Arial" w:cs="Arial"/>
                <w:sz w:val="22"/>
                <w:szCs w:val="22"/>
                <w:lang w:val="en-US"/>
              </w:rPr>
              <w:t> </w:t>
            </w:r>
          </w:p>
        </w:tc>
        <w:tc>
          <w:tcPr>
            <w:tcW w:w="1835" w:type="dxa"/>
            <w:tcBorders>
              <w:top w:val="nil"/>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lang w:val="en-US"/>
              </w:rPr>
            </w:pPr>
            <w:r w:rsidRPr="001321CB">
              <w:rPr>
                <w:rFonts w:ascii="Arial" w:hAnsi="Arial" w:cs="Arial"/>
                <w:sz w:val="22"/>
                <w:szCs w:val="22"/>
                <w:lang w:val="en-US"/>
              </w:rPr>
              <w:t> </w:t>
            </w:r>
          </w:p>
        </w:tc>
      </w:tr>
      <w:tr w:rsidR="0020139A" w:rsidRPr="001321CB" w:rsidTr="001C4F67">
        <w:trPr>
          <w:trHeight w:val="229"/>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sz w:val="22"/>
                <w:szCs w:val="22"/>
                <w:lang w:val="en-US"/>
              </w:rPr>
            </w:pPr>
            <w:r w:rsidRPr="001321CB">
              <w:rPr>
                <w:rFonts w:ascii="Arial" w:hAnsi="Arial" w:cs="Arial"/>
                <w:sz w:val="22"/>
                <w:szCs w:val="22"/>
                <w:lang w:val="en-US"/>
              </w:rPr>
              <w:t>+</w:t>
            </w:r>
          </w:p>
        </w:tc>
        <w:tc>
          <w:tcPr>
            <w:tcW w:w="4902" w:type="dxa"/>
            <w:tcBorders>
              <w:top w:val="nil"/>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sz w:val="22"/>
                <w:szCs w:val="22"/>
                <w:lang w:val="en-US"/>
              </w:rPr>
            </w:pPr>
            <w:r w:rsidRPr="001321CB">
              <w:rPr>
                <w:rFonts w:ascii="Arial" w:hAnsi="Arial" w:cs="Arial"/>
                <w:sz w:val="22"/>
                <w:szCs w:val="22"/>
                <w:lang w:val="en-US"/>
              </w:rPr>
              <w:t>Încasări din vânzarea de imobilizări corporale</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lang w:val="en-US"/>
              </w:rPr>
            </w:pPr>
            <w:r w:rsidRPr="001321CB">
              <w:rPr>
                <w:rFonts w:ascii="Arial" w:hAnsi="Arial" w:cs="Arial"/>
                <w:sz w:val="22"/>
                <w:szCs w:val="22"/>
              </w:rPr>
              <w:t>6.570</w:t>
            </w:r>
          </w:p>
        </w:tc>
        <w:tc>
          <w:tcPr>
            <w:tcW w:w="1835" w:type="dxa"/>
            <w:tcBorders>
              <w:top w:val="single" w:sz="4" w:space="0" w:color="auto"/>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1.424.124</w:t>
            </w:r>
          </w:p>
        </w:tc>
      </w:tr>
      <w:tr w:rsidR="0020139A" w:rsidRPr="001321CB" w:rsidTr="001C4F67">
        <w:trPr>
          <w:trHeight w:val="14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sz w:val="22"/>
                <w:szCs w:val="22"/>
                <w:lang w:val="en-US"/>
              </w:rPr>
            </w:pPr>
            <w:r w:rsidRPr="001321CB">
              <w:rPr>
                <w:rFonts w:ascii="Arial" w:hAnsi="Arial" w:cs="Arial"/>
                <w:sz w:val="22"/>
                <w:szCs w:val="22"/>
                <w:lang w:val="en-US"/>
              </w:rPr>
              <w:t>+</w:t>
            </w:r>
          </w:p>
        </w:tc>
        <w:tc>
          <w:tcPr>
            <w:tcW w:w="4902" w:type="dxa"/>
            <w:tcBorders>
              <w:top w:val="nil"/>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sz w:val="22"/>
                <w:szCs w:val="22"/>
                <w:lang w:val="en-US"/>
              </w:rPr>
            </w:pPr>
            <w:r w:rsidRPr="001321CB">
              <w:rPr>
                <w:rFonts w:ascii="Arial" w:hAnsi="Arial" w:cs="Arial"/>
                <w:sz w:val="22"/>
                <w:szCs w:val="22"/>
                <w:lang w:val="en-US"/>
              </w:rPr>
              <w:t>Încasări din cota de modernizare</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25.326.114</w:t>
            </w:r>
          </w:p>
        </w:tc>
        <w:tc>
          <w:tcPr>
            <w:tcW w:w="1835" w:type="dxa"/>
            <w:tcBorders>
              <w:top w:val="nil"/>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25.963.435</w:t>
            </w:r>
          </w:p>
        </w:tc>
      </w:tr>
      <w:tr w:rsidR="0020139A" w:rsidRPr="001321CB" w:rsidTr="001C4F67">
        <w:trPr>
          <w:trHeight w:val="157"/>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sz w:val="22"/>
                <w:szCs w:val="22"/>
                <w:lang w:val="en-US"/>
              </w:rPr>
            </w:pPr>
            <w:r w:rsidRPr="001321CB">
              <w:rPr>
                <w:rFonts w:ascii="Arial" w:hAnsi="Arial" w:cs="Arial"/>
                <w:sz w:val="22"/>
                <w:szCs w:val="22"/>
                <w:lang w:val="en-US"/>
              </w:rPr>
              <w:t>+</w:t>
            </w:r>
          </w:p>
        </w:tc>
        <w:tc>
          <w:tcPr>
            <w:tcW w:w="4902" w:type="dxa"/>
            <w:tcBorders>
              <w:top w:val="nil"/>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sz w:val="22"/>
                <w:szCs w:val="22"/>
                <w:lang w:val="en-US"/>
              </w:rPr>
            </w:pPr>
            <w:r w:rsidRPr="001321CB">
              <w:rPr>
                <w:rFonts w:ascii="Arial" w:hAnsi="Arial" w:cs="Arial"/>
                <w:sz w:val="22"/>
                <w:szCs w:val="22"/>
                <w:lang w:val="en-US"/>
              </w:rPr>
              <w:t xml:space="preserve">Încasări din investiții financiare pe termen scurt </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w:t>
            </w:r>
          </w:p>
        </w:tc>
        <w:tc>
          <w:tcPr>
            <w:tcW w:w="1835" w:type="dxa"/>
            <w:tcBorders>
              <w:top w:val="nil"/>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142.959.952</w:t>
            </w:r>
          </w:p>
        </w:tc>
      </w:tr>
      <w:tr w:rsidR="0020139A" w:rsidRPr="001321CB" w:rsidTr="001C4F67">
        <w:trPr>
          <w:trHeight w:val="157"/>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sz w:val="22"/>
                <w:szCs w:val="22"/>
                <w:lang w:val="en-US"/>
              </w:rPr>
            </w:pPr>
            <w:r w:rsidRPr="001321CB">
              <w:rPr>
                <w:rFonts w:ascii="Arial" w:hAnsi="Arial" w:cs="Arial"/>
                <w:sz w:val="22"/>
                <w:szCs w:val="22"/>
                <w:lang w:val="en-US"/>
              </w:rPr>
              <w:t>+</w:t>
            </w:r>
          </w:p>
        </w:tc>
        <w:tc>
          <w:tcPr>
            <w:tcW w:w="4902" w:type="dxa"/>
            <w:tcBorders>
              <w:top w:val="nil"/>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sz w:val="22"/>
                <w:szCs w:val="22"/>
                <w:lang w:val="en-US"/>
              </w:rPr>
            </w:pPr>
            <w:r w:rsidRPr="001321CB">
              <w:rPr>
                <w:rFonts w:ascii="Arial" w:hAnsi="Arial" w:cs="Arial"/>
                <w:sz w:val="22"/>
                <w:szCs w:val="22"/>
                <w:lang w:val="en-US"/>
              </w:rPr>
              <w:t>Încasări din dobânzi aferente titlurilor de stat</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w:t>
            </w:r>
          </w:p>
        </w:tc>
        <w:tc>
          <w:tcPr>
            <w:tcW w:w="1835" w:type="dxa"/>
            <w:tcBorders>
              <w:top w:val="nil"/>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1.622.248</w:t>
            </w:r>
          </w:p>
        </w:tc>
      </w:tr>
      <w:tr w:rsidR="0020139A" w:rsidRPr="001321CB" w:rsidTr="001C4F67">
        <w:trPr>
          <w:trHeight w:val="76"/>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sz w:val="22"/>
                <w:szCs w:val="22"/>
                <w:lang w:val="en-US"/>
              </w:rPr>
            </w:pPr>
            <w:r w:rsidRPr="001321CB">
              <w:rPr>
                <w:rFonts w:ascii="Arial" w:hAnsi="Arial" w:cs="Arial"/>
                <w:sz w:val="22"/>
                <w:szCs w:val="22"/>
                <w:lang w:val="en-US"/>
              </w:rPr>
              <w:t>-</w:t>
            </w:r>
          </w:p>
        </w:tc>
        <w:tc>
          <w:tcPr>
            <w:tcW w:w="4902" w:type="dxa"/>
            <w:tcBorders>
              <w:top w:val="nil"/>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sz w:val="22"/>
                <w:szCs w:val="22"/>
                <w:lang w:val="en-US"/>
              </w:rPr>
            </w:pPr>
            <w:r w:rsidRPr="001321CB">
              <w:rPr>
                <w:rFonts w:ascii="Arial" w:hAnsi="Arial" w:cs="Arial"/>
                <w:sz w:val="22"/>
                <w:szCs w:val="22"/>
                <w:lang w:val="en-US"/>
              </w:rPr>
              <w:t>Plăți pentru achiziții de imobilizări corporale</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40.502.097</w:t>
            </w:r>
          </w:p>
        </w:tc>
        <w:tc>
          <w:tcPr>
            <w:tcW w:w="1835" w:type="dxa"/>
            <w:tcBorders>
              <w:top w:val="nil"/>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19.110.522</w:t>
            </w:r>
          </w:p>
        </w:tc>
      </w:tr>
      <w:tr w:rsidR="0020139A" w:rsidRPr="001321CB" w:rsidTr="001C4F67">
        <w:trPr>
          <w:trHeight w:val="5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b/>
                <w:bCs/>
                <w:i/>
                <w:iCs/>
                <w:sz w:val="22"/>
                <w:szCs w:val="22"/>
                <w:lang w:val="en-US"/>
              </w:rPr>
            </w:pPr>
            <w:r w:rsidRPr="001321CB">
              <w:rPr>
                <w:rFonts w:ascii="Arial" w:hAnsi="Arial" w:cs="Arial"/>
                <w:b/>
                <w:bCs/>
                <w:i/>
                <w:iCs/>
                <w:sz w:val="22"/>
                <w:szCs w:val="22"/>
                <w:lang w:val="en-US"/>
              </w:rPr>
              <w:t>B</w:t>
            </w:r>
          </w:p>
        </w:tc>
        <w:tc>
          <w:tcPr>
            <w:tcW w:w="4902" w:type="dxa"/>
            <w:tcBorders>
              <w:top w:val="nil"/>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b/>
                <w:bCs/>
                <w:i/>
                <w:iCs/>
                <w:sz w:val="22"/>
                <w:szCs w:val="22"/>
                <w:lang w:val="en-US"/>
              </w:rPr>
            </w:pPr>
            <w:r w:rsidRPr="001321CB">
              <w:rPr>
                <w:rFonts w:ascii="Arial" w:hAnsi="Arial" w:cs="Arial"/>
                <w:b/>
                <w:bCs/>
                <w:i/>
                <w:iCs/>
                <w:sz w:val="22"/>
                <w:szCs w:val="22"/>
                <w:lang w:val="en-US"/>
              </w:rPr>
              <w:t>Numerar net din activități de investiție</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b/>
                <w:bCs/>
                <w:i/>
                <w:iCs/>
                <w:sz w:val="22"/>
                <w:szCs w:val="22"/>
              </w:rPr>
            </w:pPr>
            <w:r w:rsidRPr="001321CB">
              <w:rPr>
                <w:rFonts w:ascii="Arial" w:hAnsi="Arial" w:cs="Arial"/>
                <w:b/>
                <w:bCs/>
                <w:i/>
                <w:iCs/>
                <w:sz w:val="22"/>
                <w:szCs w:val="22"/>
              </w:rPr>
              <w:t>(15.169.413)</w:t>
            </w:r>
          </w:p>
        </w:tc>
        <w:tc>
          <w:tcPr>
            <w:tcW w:w="1835" w:type="dxa"/>
            <w:tcBorders>
              <w:top w:val="nil"/>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b/>
                <w:bCs/>
                <w:i/>
                <w:iCs/>
                <w:sz w:val="22"/>
                <w:szCs w:val="22"/>
              </w:rPr>
            </w:pPr>
            <w:r w:rsidRPr="001321CB">
              <w:rPr>
                <w:rFonts w:ascii="Arial" w:hAnsi="Arial" w:cs="Arial"/>
                <w:b/>
                <w:bCs/>
                <w:i/>
                <w:iCs/>
                <w:sz w:val="22"/>
                <w:szCs w:val="22"/>
              </w:rPr>
              <w:t>152.859.237</w:t>
            </w:r>
          </w:p>
        </w:tc>
      </w:tr>
      <w:tr w:rsidR="0020139A" w:rsidRPr="001321CB" w:rsidTr="001C4F67">
        <w:trPr>
          <w:trHeight w:val="30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sz w:val="22"/>
                <w:szCs w:val="22"/>
                <w:lang w:val="en-US"/>
              </w:rPr>
            </w:pPr>
          </w:p>
        </w:tc>
        <w:tc>
          <w:tcPr>
            <w:tcW w:w="4902" w:type="dxa"/>
            <w:tcBorders>
              <w:top w:val="nil"/>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b/>
                <w:bCs/>
                <w:sz w:val="22"/>
                <w:szCs w:val="22"/>
                <w:lang w:val="en-US"/>
              </w:rPr>
            </w:pPr>
            <w:r w:rsidRPr="001321CB">
              <w:rPr>
                <w:rFonts w:ascii="Arial" w:hAnsi="Arial" w:cs="Arial"/>
                <w:b/>
                <w:bCs/>
                <w:sz w:val="22"/>
                <w:szCs w:val="22"/>
                <w:lang w:val="en-US"/>
              </w:rPr>
              <w:t>Fluxuri de numerar din activități de finanțare:</w:t>
            </w:r>
          </w:p>
        </w:tc>
        <w:tc>
          <w:tcPr>
            <w:tcW w:w="2070" w:type="dxa"/>
            <w:tcBorders>
              <w:top w:val="nil"/>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lang w:val="en-US"/>
              </w:rPr>
            </w:pPr>
            <w:r w:rsidRPr="001321CB">
              <w:rPr>
                <w:rFonts w:ascii="Arial" w:hAnsi="Arial" w:cs="Arial"/>
                <w:sz w:val="22"/>
                <w:szCs w:val="22"/>
                <w:lang w:val="en-US"/>
              </w:rPr>
              <w:t> </w:t>
            </w:r>
          </w:p>
        </w:tc>
        <w:tc>
          <w:tcPr>
            <w:tcW w:w="1835" w:type="dxa"/>
            <w:tcBorders>
              <w:top w:val="nil"/>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lang w:val="en-US"/>
              </w:rPr>
            </w:pPr>
            <w:r w:rsidRPr="001321CB">
              <w:rPr>
                <w:rFonts w:ascii="Arial" w:hAnsi="Arial" w:cs="Arial"/>
                <w:sz w:val="22"/>
                <w:szCs w:val="22"/>
                <w:lang w:val="en-US"/>
              </w:rPr>
              <w:t> </w:t>
            </w:r>
          </w:p>
        </w:tc>
      </w:tr>
      <w:tr w:rsidR="0020139A" w:rsidRPr="001321CB" w:rsidTr="001C4F67">
        <w:trPr>
          <w:trHeight w:val="30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sz w:val="22"/>
                <w:szCs w:val="22"/>
                <w:lang w:val="en-US"/>
              </w:rPr>
            </w:pPr>
            <w:r w:rsidRPr="001321CB">
              <w:rPr>
                <w:rFonts w:ascii="Arial" w:hAnsi="Arial" w:cs="Arial"/>
                <w:sz w:val="22"/>
                <w:szCs w:val="22"/>
                <w:lang w:val="en-US"/>
              </w:rPr>
              <w:t>+</w:t>
            </w:r>
          </w:p>
        </w:tc>
        <w:tc>
          <w:tcPr>
            <w:tcW w:w="4902" w:type="dxa"/>
            <w:tcBorders>
              <w:top w:val="nil"/>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sz w:val="22"/>
                <w:szCs w:val="22"/>
                <w:lang w:val="en-US"/>
              </w:rPr>
            </w:pPr>
            <w:r w:rsidRPr="001321CB">
              <w:rPr>
                <w:rFonts w:ascii="Arial" w:hAnsi="Arial" w:cs="Arial"/>
                <w:sz w:val="22"/>
                <w:szCs w:val="22"/>
                <w:lang w:val="en-US"/>
              </w:rPr>
              <w:t>Încasări dividende transferate Depozitarului Central</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lang w:val="en-US"/>
              </w:rPr>
            </w:pPr>
            <w:r w:rsidRPr="001321CB">
              <w:rPr>
                <w:rFonts w:ascii="Arial" w:hAnsi="Arial" w:cs="Arial"/>
                <w:sz w:val="22"/>
                <w:szCs w:val="22"/>
              </w:rPr>
              <w:t>5.891.170</w:t>
            </w:r>
          </w:p>
        </w:tc>
        <w:tc>
          <w:tcPr>
            <w:tcW w:w="1835" w:type="dxa"/>
            <w:tcBorders>
              <w:top w:val="single" w:sz="4" w:space="0" w:color="auto"/>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2.709.838</w:t>
            </w:r>
          </w:p>
        </w:tc>
      </w:tr>
      <w:tr w:rsidR="0020139A" w:rsidRPr="001321CB" w:rsidTr="001C4F67">
        <w:trPr>
          <w:trHeight w:val="184"/>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sz w:val="22"/>
                <w:szCs w:val="22"/>
                <w:lang w:val="en-US"/>
              </w:rPr>
            </w:pPr>
            <w:r w:rsidRPr="001321CB">
              <w:rPr>
                <w:rFonts w:ascii="Arial" w:hAnsi="Arial" w:cs="Arial"/>
                <w:sz w:val="22"/>
                <w:szCs w:val="22"/>
                <w:lang w:val="en-US"/>
              </w:rPr>
              <w:t>-</w:t>
            </w:r>
          </w:p>
        </w:tc>
        <w:tc>
          <w:tcPr>
            <w:tcW w:w="4902" w:type="dxa"/>
            <w:tcBorders>
              <w:top w:val="nil"/>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sz w:val="22"/>
                <w:szCs w:val="22"/>
                <w:lang w:val="en-US"/>
              </w:rPr>
            </w:pPr>
            <w:r w:rsidRPr="001321CB">
              <w:rPr>
                <w:rFonts w:ascii="Arial" w:hAnsi="Arial" w:cs="Arial"/>
                <w:sz w:val="22"/>
                <w:szCs w:val="22"/>
                <w:lang w:val="en-US"/>
              </w:rPr>
              <w:t>Dividende plătite</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67.005.869</w:t>
            </w:r>
          </w:p>
        </w:tc>
        <w:tc>
          <w:tcPr>
            <w:tcW w:w="1835" w:type="dxa"/>
            <w:tcBorders>
              <w:top w:val="nil"/>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sz w:val="22"/>
                <w:szCs w:val="22"/>
              </w:rPr>
            </w:pPr>
            <w:r w:rsidRPr="001321CB">
              <w:rPr>
                <w:rFonts w:ascii="Arial" w:hAnsi="Arial" w:cs="Arial"/>
                <w:sz w:val="22"/>
                <w:szCs w:val="22"/>
              </w:rPr>
              <w:t>143.058</w:t>
            </w:r>
          </w:p>
        </w:tc>
      </w:tr>
      <w:tr w:rsidR="0020139A" w:rsidRPr="001321CB" w:rsidTr="001C4F67">
        <w:trPr>
          <w:trHeight w:val="23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b/>
                <w:bCs/>
                <w:i/>
                <w:iCs/>
                <w:sz w:val="22"/>
                <w:szCs w:val="22"/>
                <w:lang w:val="en-US"/>
              </w:rPr>
            </w:pPr>
            <w:r w:rsidRPr="001321CB">
              <w:rPr>
                <w:rFonts w:ascii="Arial" w:hAnsi="Arial" w:cs="Arial"/>
                <w:b/>
                <w:bCs/>
                <w:i/>
                <w:iCs/>
                <w:sz w:val="22"/>
                <w:szCs w:val="22"/>
                <w:lang w:val="en-US"/>
              </w:rPr>
              <w:t>C</w:t>
            </w:r>
          </w:p>
        </w:tc>
        <w:tc>
          <w:tcPr>
            <w:tcW w:w="4902" w:type="dxa"/>
            <w:tcBorders>
              <w:top w:val="nil"/>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b/>
                <w:bCs/>
                <w:i/>
                <w:iCs/>
                <w:sz w:val="22"/>
                <w:szCs w:val="22"/>
                <w:lang w:val="en-US"/>
              </w:rPr>
            </w:pPr>
            <w:r w:rsidRPr="001321CB">
              <w:rPr>
                <w:rFonts w:ascii="Arial" w:hAnsi="Arial" w:cs="Arial"/>
                <w:b/>
                <w:bCs/>
                <w:i/>
                <w:iCs/>
                <w:sz w:val="22"/>
                <w:szCs w:val="22"/>
                <w:lang w:val="en-US"/>
              </w:rPr>
              <w:t>Numerar net din activități de finanțare</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b/>
                <w:bCs/>
                <w:i/>
                <w:iCs/>
                <w:sz w:val="22"/>
                <w:szCs w:val="22"/>
              </w:rPr>
            </w:pPr>
            <w:r w:rsidRPr="001321CB">
              <w:rPr>
                <w:rFonts w:ascii="Arial" w:hAnsi="Arial" w:cs="Arial"/>
                <w:b/>
                <w:bCs/>
                <w:i/>
                <w:iCs/>
                <w:sz w:val="22"/>
                <w:szCs w:val="22"/>
              </w:rPr>
              <w:t>(61.114.699)</w:t>
            </w:r>
          </w:p>
        </w:tc>
        <w:tc>
          <w:tcPr>
            <w:tcW w:w="1835" w:type="dxa"/>
            <w:tcBorders>
              <w:top w:val="nil"/>
              <w:left w:val="nil"/>
              <w:bottom w:val="single" w:sz="4" w:space="0" w:color="auto"/>
              <w:right w:val="single" w:sz="4" w:space="0" w:color="auto"/>
            </w:tcBorders>
            <w:shd w:val="clear" w:color="auto" w:fill="auto"/>
            <w:noWrap/>
            <w:vAlign w:val="center"/>
          </w:tcPr>
          <w:p w:rsidR="0020139A" w:rsidRPr="001321CB" w:rsidRDefault="0020139A" w:rsidP="001C4F67">
            <w:pPr>
              <w:jc w:val="right"/>
              <w:rPr>
                <w:rFonts w:ascii="Arial" w:hAnsi="Arial" w:cs="Arial"/>
                <w:b/>
                <w:bCs/>
                <w:i/>
                <w:iCs/>
                <w:sz w:val="22"/>
                <w:szCs w:val="22"/>
              </w:rPr>
            </w:pPr>
            <w:r w:rsidRPr="001321CB">
              <w:rPr>
                <w:rFonts w:ascii="Arial" w:hAnsi="Arial" w:cs="Arial"/>
                <w:b/>
                <w:bCs/>
                <w:i/>
                <w:iCs/>
                <w:sz w:val="22"/>
                <w:szCs w:val="22"/>
              </w:rPr>
              <w:t>2.566.780</w:t>
            </w:r>
          </w:p>
        </w:tc>
      </w:tr>
      <w:tr w:rsidR="0020139A" w:rsidRPr="001321CB" w:rsidTr="001C4F67">
        <w:trPr>
          <w:trHeight w:val="30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b/>
                <w:bCs/>
                <w:i/>
                <w:iCs/>
                <w:sz w:val="22"/>
                <w:szCs w:val="22"/>
                <w:lang w:val="en-US"/>
              </w:rPr>
            </w:pPr>
            <w:r w:rsidRPr="001321CB">
              <w:rPr>
                <w:rFonts w:ascii="Arial" w:hAnsi="Arial" w:cs="Arial"/>
                <w:b/>
                <w:bCs/>
                <w:i/>
                <w:iCs/>
                <w:sz w:val="22"/>
                <w:szCs w:val="22"/>
                <w:lang w:val="en-US"/>
              </w:rPr>
              <w:t>=</w:t>
            </w:r>
          </w:p>
        </w:tc>
        <w:tc>
          <w:tcPr>
            <w:tcW w:w="4902" w:type="dxa"/>
            <w:tcBorders>
              <w:top w:val="single" w:sz="4" w:space="0" w:color="auto"/>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b/>
                <w:bCs/>
                <w:i/>
                <w:iCs/>
                <w:sz w:val="22"/>
                <w:szCs w:val="22"/>
                <w:lang w:val="en-US"/>
              </w:rPr>
            </w:pPr>
            <w:r w:rsidRPr="001321CB">
              <w:rPr>
                <w:rFonts w:ascii="Arial" w:hAnsi="Arial" w:cs="Arial"/>
                <w:b/>
                <w:bCs/>
                <w:i/>
                <w:iCs/>
                <w:sz w:val="22"/>
                <w:szCs w:val="22"/>
                <w:lang w:val="en-US"/>
              </w:rPr>
              <w:t>Creșterea netă a numerarului și echivalentelor de numerar (A+B+C=D2-D1)</w:t>
            </w:r>
          </w:p>
        </w:tc>
        <w:tc>
          <w:tcPr>
            <w:tcW w:w="2070" w:type="dxa"/>
            <w:tcBorders>
              <w:top w:val="nil"/>
              <w:left w:val="single" w:sz="4" w:space="0" w:color="auto"/>
              <w:bottom w:val="nil"/>
              <w:right w:val="single" w:sz="4" w:space="0" w:color="auto"/>
            </w:tcBorders>
            <w:shd w:val="clear" w:color="auto" w:fill="auto"/>
            <w:noWrap/>
            <w:vAlign w:val="center"/>
          </w:tcPr>
          <w:p w:rsidR="0020139A" w:rsidRPr="001321CB" w:rsidRDefault="0020139A" w:rsidP="001C4F67">
            <w:pPr>
              <w:jc w:val="right"/>
              <w:rPr>
                <w:rFonts w:ascii="Arial" w:hAnsi="Arial" w:cs="Arial"/>
                <w:b/>
                <w:bCs/>
                <w:i/>
                <w:iCs/>
                <w:sz w:val="22"/>
                <w:szCs w:val="22"/>
              </w:rPr>
            </w:pPr>
            <w:r w:rsidRPr="001321CB">
              <w:rPr>
                <w:rFonts w:ascii="Arial" w:hAnsi="Arial" w:cs="Arial"/>
                <w:b/>
                <w:bCs/>
                <w:i/>
                <w:iCs/>
                <w:sz w:val="22"/>
                <w:szCs w:val="22"/>
              </w:rPr>
              <w:t>(43.</w:t>
            </w:r>
            <w:r>
              <w:rPr>
                <w:rFonts w:ascii="Arial" w:hAnsi="Arial" w:cs="Arial"/>
                <w:b/>
                <w:bCs/>
                <w:i/>
                <w:iCs/>
                <w:sz w:val="22"/>
                <w:szCs w:val="22"/>
              </w:rPr>
              <w:t>394</w:t>
            </w:r>
            <w:r w:rsidRPr="001321CB">
              <w:rPr>
                <w:rFonts w:ascii="Arial" w:hAnsi="Arial" w:cs="Arial"/>
                <w:b/>
                <w:bCs/>
                <w:i/>
                <w:iCs/>
                <w:sz w:val="22"/>
                <w:szCs w:val="22"/>
              </w:rPr>
              <w:t>.</w:t>
            </w:r>
            <w:r>
              <w:rPr>
                <w:rFonts w:ascii="Arial" w:hAnsi="Arial" w:cs="Arial"/>
                <w:b/>
                <w:bCs/>
                <w:i/>
                <w:iCs/>
                <w:sz w:val="22"/>
                <w:szCs w:val="22"/>
              </w:rPr>
              <w:t>673</w:t>
            </w:r>
            <w:r w:rsidRPr="001321CB">
              <w:rPr>
                <w:rFonts w:ascii="Arial" w:hAnsi="Arial" w:cs="Arial"/>
                <w:b/>
                <w:bCs/>
                <w:i/>
                <w:iCs/>
                <w:sz w:val="22"/>
                <w:szCs w:val="22"/>
              </w:rPr>
              <w:t>)</w:t>
            </w:r>
          </w:p>
        </w:tc>
        <w:tc>
          <w:tcPr>
            <w:tcW w:w="1835" w:type="dxa"/>
            <w:tcBorders>
              <w:top w:val="nil"/>
              <w:left w:val="nil"/>
              <w:bottom w:val="nil"/>
              <w:right w:val="single" w:sz="4" w:space="0" w:color="auto"/>
            </w:tcBorders>
            <w:shd w:val="clear" w:color="auto" w:fill="auto"/>
            <w:noWrap/>
            <w:vAlign w:val="center"/>
          </w:tcPr>
          <w:p w:rsidR="0020139A" w:rsidRPr="001321CB" w:rsidRDefault="0020139A" w:rsidP="001C4F67">
            <w:pPr>
              <w:jc w:val="right"/>
              <w:rPr>
                <w:rFonts w:ascii="Arial" w:hAnsi="Arial" w:cs="Arial"/>
                <w:b/>
                <w:bCs/>
                <w:i/>
                <w:iCs/>
                <w:sz w:val="22"/>
                <w:szCs w:val="22"/>
              </w:rPr>
            </w:pPr>
            <w:r w:rsidRPr="001321CB">
              <w:rPr>
                <w:rFonts w:ascii="Arial" w:hAnsi="Arial" w:cs="Arial"/>
                <w:b/>
                <w:bCs/>
                <w:i/>
                <w:iCs/>
                <w:sz w:val="22"/>
                <w:szCs w:val="22"/>
              </w:rPr>
              <w:t>196.855.458</w:t>
            </w:r>
          </w:p>
        </w:tc>
      </w:tr>
      <w:tr w:rsidR="0020139A" w:rsidRPr="001321CB" w:rsidTr="001C4F67">
        <w:trPr>
          <w:trHeight w:val="30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b/>
                <w:bCs/>
                <w:i/>
                <w:iCs/>
                <w:sz w:val="22"/>
                <w:szCs w:val="22"/>
                <w:lang w:val="en-US"/>
              </w:rPr>
            </w:pPr>
            <w:r w:rsidRPr="001321CB">
              <w:rPr>
                <w:rFonts w:ascii="Arial" w:hAnsi="Arial" w:cs="Arial"/>
                <w:b/>
                <w:bCs/>
                <w:i/>
                <w:iCs/>
                <w:sz w:val="22"/>
                <w:szCs w:val="22"/>
                <w:lang w:val="en-US"/>
              </w:rPr>
              <w:t>D1</w:t>
            </w:r>
          </w:p>
        </w:tc>
        <w:tc>
          <w:tcPr>
            <w:tcW w:w="4902" w:type="dxa"/>
            <w:tcBorders>
              <w:top w:val="single" w:sz="4" w:space="0" w:color="auto"/>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b/>
                <w:bCs/>
                <w:i/>
                <w:iCs/>
                <w:sz w:val="22"/>
                <w:szCs w:val="22"/>
                <w:lang w:val="en-US"/>
              </w:rPr>
            </w:pPr>
            <w:r w:rsidRPr="001321CB">
              <w:rPr>
                <w:rFonts w:ascii="Arial" w:hAnsi="Arial" w:cs="Arial"/>
                <w:b/>
                <w:bCs/>
                <w:i/>
                <w:iCs/>
                <w:sz w:val="22"/>
                <w:szCs w:val="22"/>
                <w:lang w:val="en-US"/>
              </w:rPr>
              <w:t>Numerar și echivalente de numerar la începutul perioadei</w:t>
            </w:r>
          </w:p>
        </w:tc>
        <w:tc>
          <w:tcPr>
            <w:tcW w:w="2070" w:type="dxa"/>
            <w:tcBorders>
              <w:top w:val="single" w:sz="4" w:space="0" w:color="auto"/>
              <w:left w:val="single" w:sz="4" w:space="0" w:color="auto"/>
              <w:bottom w:val="nil"/>
              <w:right w:val="single" w:sz="4" w:space="0" w:color="auto"/>
            </w:tcBorders>
            <w:shd w:val="clear" w:color="auto" w:fill="auto"/>
            <w:noWrap/>
            <w:vAlign w:val="center"/>
          </w:tcPr>
          <w:p w:rsidR="0020139A" w:rsidRPr="001321CB" w:rsidRDefault="0020139A" w:rsidP="001C4F67">
            <w:pPr>
              <w:jc w:val="right"/>
              <w:rPr>
                <w:rFonts w:ascii="Arial" w:hAnsi="Arial" w:cs="Arial"/>
                <w:b/>
                <w:bCs/>
                <w:i/>
                <w:iCs/>
                <w:sz w:val="22"/>
                <w:szCs w:val="22"/>
                <w:lang w:val="en-US"/>
              </w:rPr>
            </w:pPr>
            <w:r w:rsidRPr="001321CB">
              <w:rPr>
                <w:rFonts w:ascii="Arial" w:hAnsi="Arial" w:cs="Arial"/>
                <w:b/>
                <w:bCs/>
                <w:i/>
                <w:iCs/>
                <w:sz w:val="22"/>
                <w:szCs w:val="22"/>
              </w:rPr>
              <w:t>209.845.721</w:t>
            </w:r>
          </w:p>
        </w:tc>
        <w:tc>
          <w:tcPr>
            <w:tcW w:w="1835" w:type="dxa"/>
            <w:tcBorders>
              <w:top w:val="single" w:sz="4" w:space="0" w:color="auto"/>
              <w:left w:val="nil"/>
              <w:bottom w:val="nil"/>
              <w:right w:val="single" w:sz="4" w:space="0" w:color="auto"/>
            </w:tcBorders>
            <w:shd w:val="clear" w:color="auto" w:fill="auto"/>
            <w:noWrap/>
            <w:vAlign w:val="center"/>
          </w:tcPr>
          <w:p w:rsidR="0020139A" w:rsidRPr="001321CB" w:rsidRDefault="0020139A" w:rsidP="001C4F67">
            <w:pPr>
              <w:jc w:val="right"/>
              <w:rPr>
                <w:rFonts w:ascii="Arial" w:hAnsi="Arial" w:cs="Arial"/>
                <w:b/>
                <w:bCs/>
                <w:i/>
                <w:iCs/>
                <w:sz w:val="22"/>
                <w:szCs w:val="22"/>
              </w:rPr>
            </w:pPr>
            <w:r w:rsidRPr="001321CB">
              <w:rPr>
                <w:rFonts w:ascii="Arial" w:hAnsi="Arial" w:cs="Arial"/>
                <w:b/>
                <w:bCs/>
                <w:i/>
                <w:iCs/>
                <w:sz w:val="22"/>
                <w:szCs w:val="22"/>
              </w:rPr>
              <w:t>244.597.901</w:t>
            </w:r>
          </w:p>
        </w:tc>
      </w:tr>
      <w:tr w:rsidR="0020139A" w:rsidRPr="001321CB" w:rsidTr="001C4F67">
        <w:trPr>
          <w:trHeight w:val="30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39A" w:rsidRPr="001321CB" w:rsidRDefault="0020139A" w:rsidP="001C4F67">
            <w:pPr>
              <w:jc w:val="center"/>
              <w:rPr>
                <w:rFonts w:ascii="Arial" w:hAnsi="Arial" w:cs="Arial"/>
                <w:b/>
                <w:bCs/>
                <w:i/>
                <w:iCs/>
                <w:sz w:val="22"/>
                <w:szCs w:val="22"/>
                <w:lang w:val="en-US"/>
              </w:rPr>
            </w:pPr>
            <w:r w:rsidRPr="001321CB">
              <w:rPr>
                <w:rFonts w:ascii="Arial" w:hAnsi="Arial" w:cs="Arial"/>
                <w:b/>
                <w:bCs/>
                <w:i/>
                <w:iCs/>
                <w:sz w:val="22"/>
                <w:szCs w:val="22"/>
                <w:lang w:val="en-US"/>
              </w:rPr>
              <w:t>D2</w:t>
            </w:r>
          </w:p>
        </w:tc>
        <w:tc>
          <w:tcPr>
            <w:tcW w:w="4902" w:type="dxa"/>
            <w:tcBorders>
              <w:top w:val="single" w:sz="4" w:space="0" w:color="auto"/>
              <w:left w:val="nil"/>
              <w:bottom w:val="single" w:sz="4" w:space="0" w:color="auto"/>
              <w:right w:val="single" w:sz="4" w:space="0" w:color="auto"/>
            </w:tcBorders>
            <w:shd w:val="clear" w:color="auto" w:fill="auto"/>
            <w:noWrap/>
            <w:vAlign w:val="center"/>
            <w:hideMark/>
          </w:tcPr>
          <w:p w:rsidR="0020139A" w:rsidRPr="001321CB" w:rsidRDefault="0020139A" w:rsidP="001C4F67">
            <w:pPr>
              <w:rPr>
                <w:rFonts w:ascii="Arial" w:hAnsi="Arial" w:cs="Arial"/>
                <w:b/>
                <w:bCs/>
                <w:i/>
                <w:iCs/>
                <w:sz w:val="22"/>
                <w:szCs w:val="22"/>
                <w:lang w:val="en-US"/>
              </w:rPr>
            </w:pPr>
            <w:r w:rsidRPr="001321CB">
              <w:rPr>
                <w:rFonts w:ascii="Arial" w:hAnsi="Arial" w:cs="Arial"/>
                <w:b/>
                <w:bCs/>
                <w:i/>
                <w:iCs/>
                <w:sz w:val="22"/>
                <w:szCs w:val="22"/>
                <w:lang w:val="en-US"/>
              </w:rPr>
              <w:t>Numerar și echivalente de numerar la sfârșitul perioadei</w:t>
            </w:r>
          </w:p>
        </w:tc>
        <w:tc>
          <w:tcPr>
            <w:tcW w:w="2070" w:type="dxa"/>
            <w:tcBorders>
              <w:top w:val="single" w:sz="4" w:space="0" w:color="auto"/>
              <w:left w:val="single" w:sz="4" w:space="0" w:color="auto"/>
              <w:bottom w:val="nil"/>
              <w:right w:val="single" w:sz="4" w:space="0" w:color="auto"/>
            </w:tcBorders>
            <w:shd w:val="clear" w:color="auto" w:fill="auto"/>
            <w:noWrap/>
            <w:vAlign w:val="center"/>
          </w:tcPr>
          <w:p w:rsidR="0020139A" w:rsidRPr="001321CB" w:rsidRDefault="0020139A" w:rsidP="001C4F67">
            <w:pPr>
              <w:jc w:val="right"/>
              <w:rPr>
                <w:rFonts w:ascii="Arial" w:hAnsi="Arial" w:cs="Arial"/>
                <w:b/>
                <w:bCs/>
                <w:i/>
                <w:iCs/>
                <w:sz w:val="22"/>
                <w:szCs w:val="22"/>
                <w:lang w:val="en-US"/>
              </w:rPr>
            </w:pPr>
            <w:r w:rsidRPr="001321CB">
              <w:rPr>
                <w:rFonts w:ascii="Arial" w:hAnsi="Arial" w:cs="Arial"/>
                <w:b/>
                <w:bCs/>
                <w:i/>
                <w:iCs/>
                <w:sz w:val="22"/>
                <w:szCs w:val="22"/>
              </w:rPr>
              <w:t>166.4</w:t>
            </w:r>
            <w:r>
              <w:rPr>
                <w:rFonts w:ascii="Arial" w:hAnsi="Arial" w:cs="Arial"/>
                <w:b/>
                <w:bCs/>
                <w:i/>
                <w:iCs/>
                <w:sz w:val="22"/>
                <w:szCs w:val="22"/>
              </w:rPr>
              <w:t>51</w:t>
            </w:r>
            <w:r w:rsidRPr="001321CB">
              <w:rPr>
                <w:rFonts w:ascii="Arial" w:hAnsi="Arial" w:cs="Arial"/>
                <w:b/>
                <w:bCs/>
                <w:i/>
                <w:iCs/>
                <w:sz w:val="22"/>
                <w:szCs w:val="22"/>
              </w:rPr>
              <w:t>.</w:t>
            </w:r>
            <w:r>
              <w:rPr>
                <w:rFonts w:ascii="Arial" w:hAnsi="Arial" w:cs="Arial"/>
                <w:b/>
                <w:bCs/>
                <w:i/>
                <w:iCs/>
                <w:sz w:val="22"/>
                <w:szCs w:val="22"/>
              </w:rPr>
              <w:t>048</w:t>
            </w:r>
          </w:p>
        </w:tc>
        <w:tc>
          <w:tcPr>
            <w:tcW w:w="1835" w:type="dxa"/>
            <w:tcBorders>
              <w:top w:val="single" w:sz="4" w:space="0" w:color="auto"/>
              <w:left w:val="nil"/>
              <w:bottom w:val="nil"/>
              <w:right w:val="single" w:sz="4" w:space="0" w:color="auto"/>
            </w:tcBorders>
            <w:shd w:val="clear" w:color="auto" w:fill="auto"/>
            <w:noWrap/>
            <w:vAlign w:val="center"/>
          </w:tcPr>
          <w:p w:rsidR="0020139A" w:rsidRPr="00197268" w:rsidRDefault="0020139A" w:rsidP="001C4F67">
            <w:pPr>
              <w:jc w:val="right"/>
              <w:rPr>
                <w:rFonts w:ascii="Arial" w:hAnsi="Arial" w:cs="Arial"/>
                <w:b/>
                <w:bCs/>
                <w:i/>
                <w:iCs/>
                <w:sz w:val="22"/>
                <w:szCs w:val="22"/>
              </w:rPr>
            </w:pPr>
            <w:r w:rsidRPr="00197268">
              <w:rPr>
                <w:rFonts w:ascii="Arial" w:hAnsi="Arial" w:cs="Arial"/>
                <w:b/>
                <w:bCs/>
                <w:i/>
                <w:iCs/>
                <w:sz w:val="22"/>
                <w:szCs w:val="22"/>
              </w:rPr>
              <w:t>441.453.359</w:t>
            </w:r>
          </w:p>
        </w:tc>
      </w:tr>
      <w:tr w:rsidR="0020139A" w:rsidRPr="001321CB" w:rsidTr="001C4F67">
        <w:trPr>
          <w:trHeight w:val="300"/>
        </w:trPr>
        <w:tc>
          <w:tcPr>
            <w:tcW w:w="498" w:type="dxa"/>
            <w:tcBorders>
              <w:top w:val="single" w:sz="4" w:space="0" w:color="auto"/>
              <w:left w:val="nil"/>
              <w:bottom w:val="nil"/>
              <w:right w:val="nil"/>
            </w:tcBorders>
            <w:shd w:val="clear" w:color="auto" w:fill="auto"/>
            <w:noWrap/>
            <w:vAlign w:val="bottom"/>
            <w:hideMark/>
          </w:tcPr>
          <w:p w:rsidR="0020139A" w:rsidRPr="001321CB" w:rsidRDefault="0020139A" w:rsidP="001C4F67">
            <w:pPr>
              <w:rPr>
                <w:rFonts w:ascii="Arial" w:hAnsi="Arial" w:cs="Arial"/>
                <w:b/>
                <w:bCs/>
                <w:i/>
                <w:iCs/>
                <w:sz w:val="22"/>
                <w:szCs w:val="22"/>
                <w:lang w:val="en-US"/>
              </w:rPr>
            </w:pPr>
          </w:p>
        </w:tc>
        <w:tc>
          <w:tcPr>
            <w:tcW w:w="4902" w:type="dxa"/>
            <w:tcBorders>
              <w:top w:val="single" w:sz="4" w:space="0" w:color="auto"/>
              <w:left w:val="nil"/>
              <w:bottom w:val="nil"/>
              <w:right w:val="nil"/>
            </w:tcBorders>
            <w:shd w:val="clear" w:color="auto" w:fill="auto"/>
            <w:noWrap/>
            <w:vAlign w:val="center"/>
            <w:hideMark/>
          </w:tcPr>
          <w:p w:rsidR="0020139A" w:rsidRPr="001321CB" w:rsidRDefault="0020139A" w:rsidP="001C4F67">
            <w:pPr>
              <w:rPr>
                <w:rFonts w:ascii="Arial" w:hAnsi="Arial" w:cs="Arial"/>
                <w:i/>
                <w:iCs/>
                <w:sz w:val="22"/>
                <w:szCs w:val="22"/>
                <w:lang w:val="en-US"/>
              </w:rPr>
            </w:pPr>
            <w:r w:rsidRPr="001321CB">
              <w:rPr>
                <w:rFonts w:ascii="Arial" w:hAnsi="Arial" w:cs="Arial"/>
                <w:i/>
                <w:iCs/>
                <w:sz w:val="22"/>
                <w:szCs w:val="22"/>
                <w:lang w:val="en-US"/>
              </w:rPr>
              <w:t>la care se adaugă:</w:t>
            </w:r>
          </w:p>
        </w:tc>
        <w:tc>
          <w:tcPr>
            <w:tcW w:w="2070" w:type="dxa"/>
            <w:tcBorders>
              <w:top w:val="single" w:sz="4" w:space="0" w:color="auto"/>
              <w:left w:val="nil"/>
              <w:bottom w:val="nil"/>
              <w:right w:val="nil"/>
            </w:tcBorders>
            <w:shd w:val="clear" w:color="auto" w:fill="auto"/>
            <w:noWrap/>
            <w:vAlign w:val="center"/>
          </w:tcPr>
          <w:p w:rsidR="0020139A" w:rsidRPr="001321CB" w:rsidRDefault="0020139A" w:rsidP="001C4F67">
            <w:pPr>
              <w:jc w:val="right"/>
              <w:rPr>
                <w:rFonts w:ascii="Arial" w:hAnsi="Arial" w:cs="Arial"/>
                <w:sz w:val="22"/>
                <w:szCs w:val="22"/>
                <w:lang w:val="en-US"/>
              </w:rPr>
            </w:pPr>
          </w:p>
        </w:tc>
        <w:tc>
          <w:tcPr>
            <w:tcW w:w="1835" w:type="dxa"/>
            <w:tcBorders>
              <w:top w:val="single" w:sz="4" w:space="0" w:color="auto"/>
              <w:left w:val="nil"/>
              <w:bottom w:val="nil"/>
              <w:right w:val="nil"/>
            </w:tcBorders>
            <w:shd w:val="clear" w:color="auto" w:fill="auto"/>
            <w:noWrap/>
            <w:vAlign w:val="center"/>
          </w:tcPr>
          <w:p w:rsidR="0020139A" w:rsidRPr="001321CB" w:rsidRDefault="0020139A" w:rsidP="001C4F67">
            <w:pPr>
              <w:jc w:val="right"/>
              <w:rPr>
                <w:rFonts w:ascii="Arial" w:hAnsi="Arial" w:cs="Arial"/>
                <w:sz w:val="22"/>
                <w:szCs w:val="22"/>
                <w:lang w:val="en-US"/>
              </w:rPr>
            </w:pPr>
          </w:p>
        </w:tc>
      </w:tr>
      <w:tr w:rsidR="0020139A" w:rsidRPr="001321CB" w:rsidTr="001C4F67">
        <w:trPr>
          <w:trHeight w:val="300"/>
        </w:trPr>
        <w:tc>
          <w:tcPr>
            <w:tcW w:w="498" w:type="dxa"/>
            <w:tcBorders>
              <w:top w:val="nil"/>
              <w:left w:val="nil"/>
              <w:bottom w:val="nil"/>
              <w:right w:val="nil"/>
            </w:tcBorders>
            <w:shd w:val="clear" w:color="auto" w:fill="auto"/>
            <w:noWrap/>
            <w:vAlign w:val="bottom"/>
            <w:hideMark/>
          </w:tcPr>
          <w:p w:rsidR="0020139A" w:rsidRPr="001321CB" w:rsidRDefault="0020139A" w:rsidP="001C4F67">
            <w:pPr>
              <w:rPr>
                <w:rFonts w:ascii="Arial" w:hAnsi="Arial" w:cs="Arial"/>
                <w:sz w:val="22"/>
                <w:szCs w:val="22"/>
                <w:lang w:val="en-US"/>
              </w:rPr>
            </w:pPr>
          </w:p>
        </w:tc>
        <w:tc>
          <w:tcPr>
            <w:tcW w:w="4902" w:type="dxa"/>
            <w:tcBorders>
              <w:top w:val="nil"/>
              <w:left w:val="nil"/>
              <w:bottom w:val="single" w:sz="4" w:space="0" w:color="auto"/>
              <w:right w:val="nil"/>
            </w:tcBorders>
            <w:shd w:val="clear" w:color="auto" w:fill="auto"/>
            <w:noWrap/>
            <w:vAlign w:val="center"/>
            <w:hideMark/>
          </w:tcPr>
          <w:p w:rsidR="0020139A" w:rsidRPr="001321CB" w:rsidRDefault="0020139A" w:rsidP="001C4F67">
            <w:pPr>
              <w:rPr>
                <w:rFonts w:ascii="Arial" w:hAnsi="Arial" w:cs="Arial"/>
                <w:i/>
                <w:iCs/>
                <w:sz w:val="22"/>
                <w:szCs w:val="22"/>
                <w:lang w:val="en-US"/>
              </w:rPr>
            </w:pPr>
            <w:r w:rsidRPr="001321CB">
              <w:rPr>
                <w:rFonts w:ascii="Arial" w:hAnsi="Arial" w:cs="Arial"/>
                <w:i/>
                <w:iCs/>
                <w:sz w:val="22"/>
                <w:szCs w:val="22"/>
                <w:lang w:val="en-US"/>
              </w:rPr>
              <w:t>Titluri de stat sub forma obligațiunilor de stat și certificatelor de trezorerie</w:t>
            </w:r>
          </w:p>
        </w:tc>
        <w:tc>
          <w:tcPr>
            <w:tcW w:w="2070" w:type="dxa"/>
            <w:tcBorders>
              <w:top w:val="nil"/>
              <w:left w:val="nil"/>
              <w:bottom w:val="single" w:sz="4" w:space="0" w:color="auto"/>
              <w:right w:val="nil"/>
            </w:tcBorders>
            <w:shd w:val="clear" w:color="auto" w:fill="auto"/>
            <w:noWrap/>
            <w:vAlign w:val="center"/>
          </w:tcPr>
          <w:p w:rsidR="0020139A" w:rsidRPr="001321CB" w:rsidRDefault="0020139A" w:rsidP="001C4F67">
            <w:pPr>
              <w:jc w:val="right"/>
              <w:rPr>
                <w:rFonts w:ascii="Arial" w:hAnsi="Arial" w:cs="Arial"/>
                <w:i/>
                <w:iCs/>
                <w:sz w:val="22"/>
                <w:szCs w:val="22"/>
                <w:lang w:val="en-US"/>
              </w:rPr>
            </w:pPr>
            <w:r w:rsidRPr="001321CB">
              <w:rPr>
                <w:rFonts w:ascii="Arial" w:hAnsi="Arial" w:cs="Arial"/>
                <w:i/>
                <w:iCs/>
                <w:sz w:val="22"/>
                <w:szCs w:val="22"/>
                <w:lang w:val="en-US"/>
              </w:rPr>
              <w:t>70.309.618</w:t>
            </w:r>
          </w:p>
        </w:tc>
        <w:tc>
          <w:tcPr>
            <w:tcW w:w="1835" w:type="dxa"/>
            <w:tcBorders>
              <w:top w:val="nil"/>
              <w:left w:val="nil"/>
              <w:bottom w:val="single" w:sz="4" w:space="0" w:color="auto"/>
              <w:right w:val="nil"/>
            </w:tcBorders>
            <w:shd w:val="clear" w:color="auto" w:fill="auto"/>
            <w:noWrap/>
            <w:vAlign w:val="center"/>
          </w:tcPr>
          <w:p w:rsidR="0020139A" w:rsidRPr="001321CB" w:rsidRDefault="0020139A" w:rsidP="001C4F67">
            <w:pPr>
              <w:jc w:val="right"/>
              <w:rPr>
                <w:rFonts w:ascii="Arial" w:hAnsi="Arial" w:cs="Arial"/>
                <w:i/>
                <w:iCs/>
                <w:sz w:val="22"/>
                <w:szCs w:val="22"/>
                <w:lang w:val="en-US"/>
              </w:rPr>
            </w:pPr>
            <w:r w:rsidRPr="001321CB">
              <w:rPr>
                <w:rFonts w:ascii="Arial" w:hAnsi="Arial" w:cs="Arial"/>
                <w:i/>
                <w:iCs/>
                <w:sz w:val="22"/>
                <w:szCs w:val="22"/>
                <w:lang w:val="en-US"/>
              </w:rPr>
              <w:t>18.928.815</w:t>
            </w:r>
          </w:p>
        </w:tc>
      </w:tr>
      <w:tr w:rsidR="0020139A" w:rsidRPr="001321CB" w:rsidTr="001C4F67">
        <w:trPr>
          <w:trHeight w:val="218"/>
        </w:trPr>
        <w:tc>
          <w:tcPr>
            <w:tcW w:w="498" w:type="dxa"/>
            <w:tcBorders>
              <w:top w:val="nil"/>
              <w:left w:val="nil"/>
              <w:bottom w:val="nil"/>
              <w:right w:val="nil"/>
            </w:tcBorders>
            <w:shd w:val="clear" w:color="auto" w:fill="auto"/>
            <w:noWrap/>
            <w:vAlign w:val="bottom"/>
            <w:hideMark/>
          </w:tcPr>
          <w:p w:rsidR="0020139A" w:rsidRPr="001321CB" w:rsidRDefault="0020139A" w:rsidP="001C4F67">
            <w:pPr>
              <w:rPr>
                <w:rFonts w:ascii="Arial" w:hAnsi="Arial" w:cs="Arial"/>
                <w:i/>
                <w:iCs/>
                <w:sz w:val="22"/>
                <w:szCs w:val="22"/>
                <w:lang w:val="en-US"/>
              </w:rPr>
            </w:pPr>
          </w:p>
        </w:tc>
        <w:tc>
          <w:tcPr>
            <w:tcW w:w="4902" w:type="dxa"/>
            <w:tcBorders>
              <w:top w:val="nil"/>
              <w:left w:val="nil"/>
              <w:bottom w:val="double" w:sz="4" w:space="0" w:color="auto"/>
              <w:right w:val="nil"/>
            </w:tcBorders>
            <w:shd w:val="clear" w:color="auto" w:fill="auto"/>
            <w:noWrap/>
            <w:vAlign w:val="center"/>
            <w:hideMark/>
          </w:tcPr>
          <w:p w:rsidR="0020139A" w:rsidRPr="001321CB" w:rsidRDefault="0020139A" w:rsidP="001C4F67">
            <w:pPr>
              <w:rPr>
                <w:rFonts w:ascii="Arial" w:hAnsi="Arial" w:cs="Arial"/>
                <w:b/>
                <w:bCs/>
                <w:i/>
                <w:iCs/>
                <w:sz w:val="22"/>
                <w:szCs w:val="22"/>
                <w:lang w:val="en-US"/>
              </w:rPr>
            </w:pPr>
            <w:r w:rsidRPr="001321CB">
              <w:rPr>
                <w:rFonts w:ascii="Arial" w:hAnsi="Arial" w:cs="Arial"/>
                <w:b/>
                <w:bCs/>
                <w:i/>
                <w:iCs/>
                <w:sz w:val="22"/>
                <w:szCs w:val="22"/>
                <w:lang w:val="en-US"/>
              </w:rPr>
              <w:t>Total disponibilități și plasamente financiare la sfârșitul perioadei</w:t>
            </w:r>
          </w:p>
        </w:tc>
        <w:tc>
          <w:tcPr>
            <w:tcW w:w="2070" w:type="dxa"/>
            <w:tcBorders>
              <w:top w:val="nil"/>
              <w:left w:val="nil"/>
              <w:bottom w:val="double" w:sz="4" w:space="0" w:color="auto"/>
              <w:right w:val="nil"/>
            </w:tcBorders>
            <w:shd w:val="clear" w:color="auto" w:fill="auto"/>
            <w:noWrap/>
            <w:vAlign w:val="center"/>
          </w:tcPr>
          <w:p w:rsidR="0020139A" w:rsidRPr="001321CB" w:rsidRDefault="0020139A" w:rsidP="001C4F67">
            <w:pPr>
              <w:jc w:val="right"/>
              <w:rPr>
                <w:rFonts w:ascii="Arial" w:hAnsi="Arial" w:cs="Arial"/>
                <w:b/>
                <w:bCs/>
                <w:i/>
                <w:iCs/>
                <w:sz w:val="22"/>
                <w:szCs w:val="22"/>
                <w:lang w:val="en-US"/>
              </w:rPr>
            </w:pPr>
            <w:r w:rsidRPr="001321CB">
              <w:rPr>
                <w:rFonts w:ascii="Arial" w:hAnsi="Arial" w:cs="Arial"/>
                <w:b/>
                <w:bCs/>
                <w:i/>
                <w:iCs/>
                <w:sz w:val="22"/>
                <w:szCs w:val="22"/>
                <w:lang w:val="en-US"/>
              </w:rPr>
              <w:t>236.7</w:t>
            </w:r>
            <w:r>
              <w:rPr>
                <w:rFonts w:ascii="Arial" w:hAnsi="Arial" w:cs="Arial"/>
                <w:b/>
                <w:bCs/>
                <w:i/>
                <w:iCs/>
                <w:sz w:val="22"/>
                <w:szCs w:val="22"/>
                <w:lang w:val="en-US"/>
              </w:rPr>
              <w:t>60</w:t>
            </w:r>
            <w:r w:rsidRPr="001321CB">
              <w:rPr>
                <w:rFonts w:ascii="Arial" w:hAnsi="Arial" w:cs="Arial"/>
                <w:b/>
                <w:bCs/>
                <w:i/>
                <w:iCs/>
                <w:sz w:val="22"/>
                <w:szCs w:val="22"/>
                <w:lang w:val="en-US"/>
              </w:rPr>
              <w:t>.</w:t>
            </w:r>
            <w:r>
              <w:rPr>
                <w:rFonts w:ascii="Arial" w:hAnsi="Arial" w:cs="Arial"/>
                <w:b/>
                <w:bCs/>
                <w:i/>
                <w:iCs/>
                <w:sz w:val="22"/>
                <w:szCs w:val="22"/>
                <w:lang w:val="en-US"/>
              </w:rPr>
              <w:t>666</w:t>
            </w:r>
          </w:p>
        </w:tc>
        <w:tc>
          <w:tcPr>
            <w:tcW w:w="1835" w:type="dxa"/>
            <w:tcBorders>
              <w:top w:val="nil"/>
              <w:left w:val="nil"/>
              <w:bottom w:val="double" w:sz="4" w:space="0" w:color="auto"/>
              <w:right w:val="nil"/>
            </w:tcBorders>
            <w:shd w:val="clear" w:color="auto" w:fill="auto"/>
            <w:noWrap/>
            <w:vAlign w:val="center"/>
          </w:tcPr>
          <w:p w:rsidR="0020139A" w:rsidRPr="001321CB" w:rsidRDefault="0020139A" w:rsidP="001C4F67">
            <w:pPr>
              <w:jc w:val="right"/>
              <w:rPr>
                <w:rFonts w:ascii="Arial" w:hAnsi="Arial" w:cs="Arial"/>
                <w:b/>
                <w:bCs/>
                <w:i/>
                <w:iCs/>
                <w:sz w:val="22"/>
                <w:szCs w:val="22"/>
                <w:lang w:val="en-US"/>
              </w:rPr>
            </w:pPr>
            <w:r w:rsidRPr="001321CB">
              <w:rPr>
                <w:rFonts w:ascii="Arial" w:hAnsi="Arial" w:cs="Arial"/>
                <w:b/>
                <w:bCs/>
                <w:i/>
                <w:iCs/>
                <w:sz w:val="22"/>
                <w:szCs w:val="22"/>
                <w:lang w:val="en-US"/>
              </w:rPr>
              <w:t>460.382.174</w:t>
            </w:r>
          </w:p>
        </w:tc>
      </w:tr>
    </w:tbl>
    <w:p w:rsidR="0020139A" w:rsidRDefault="0020139A" w:rsidP="00CA3CF8">
      <w:pPr>
        <w:widowControl/>
        <w:tabs>
          <w:tab w:val="left" w:pos="450"/>
        </w:tabs>
        <w:autoSpaceDE/>
        <w:autoSpaceDN/>
        <w:adjustRightInd/>
        <w:jc w:val="center"/>
        <w:rPr>
          <w:rFonts w:ascii="Arial" w:hAnsi="Arial" w:cs="Arial"/>
          <w:b/>
          <w:color w:val="1F4E79" w:themeColor="accent1" w:themeShade="80"/>
          <w:spacing w:val="3"/>
          <w:sz w:val="22"/>
          <w:szCs w:val="22"/>
          <w:lang w:eastAsia="en-US"/>
        </w:rPr>
      </w:pPr>
    </w:p>
    <w:p w:rsidR="0020139A" w:rsidRDefault="0020139A" w:rsidP="00CA3CF8">
      <w:pPr>
        <w:widowControl/>
        <w:tabs>
          <w:tab w:val="left" w:pos="450"/>
        </w:tabs>
        <w:autoSpaceDE/>
        <w:autoSpaceDN/>
        <w:adjustRightInd/>
        <w:jc w:val="center"/>
        <w:rPr>
          <w:rFonts w:ascii="Arial" w:hAnsi="Arial" w:cs="Arial"/>
          <w:b/>
          <w:color w:val="1F4E79" w:themeColor="accent1" w:themeShade="80"/>
          <w:spacing w:val="3"/>
          <w:sz w:val="22"/>
          <w:szCs w:val="22"/>
          <w:lang w:eastAsia="en-US"/>
        </w:rPr>
      </w:pPr>
    </w:p>
    <w:p w:rsidR="006C18DE" w:rsidRDefault="006C18DE" w:rsidP="003E033B">
      <w:pPr>
        <w:widowControl/>
        <w:tabs>
          <w:tab w:val="left" w:pos="2190"/>
        </w:tabs>
        <w:autoSpaceDE/>
        <w:autoSpaceDN/>
        <w:adjustRightInd/>
        <w:rPr>
          <w:rFonts w:ascii="Arial" w:hAnsi="Arial" w:cs="Arial"/>
          <w:b/>
          <w:iCs/>
          <w:sz w:val="22"/>
          <w:szCs w:val="22"/>
          <w:lang w:val="fr-FR"/>
        </w:rPr>
      </w:pPr>
    </w:p>
    <w:p w:rsidR="00C37BEC" w:rsidRPr="00C37BEC" w:rsidRDefault="00C37BEC" w:rsidP="00C37BEC">
      <w:pPr>
        <w:widowControl/>
        <w:tabs>
          <w:tab w:val="left" w:pos="2190"/>
        </w:tabs>
        <w:autoSpaceDE/>
        <w:autoSpaceDN/>
        <w:adjustRightInd/>
        <w:rPr>
          <w:rFonts w:ascii="Arial" w:hAnsi="Arial" w:cs="Arial"/>
          <w:b/>
          <w:iCs/>
          <w:sz w:val="22"/>
          <w:szCs w:val="22"/>
          <w:lang w:val="fr-FR"/>
        </w:rPr>
      </w:pPr>
    </w:p>
    <w:p w:rsidR="00C37BEC" w:rsidRDefault="00C37BEC" w:rsidP="00C37BEC">
      <w:pPr>
        <w:rPr>
          <w:rFonts w:ascii="Arial" w:hAnsi="Arial" w:cs="Arial"/>
          <w:sz w:val="22"/>
          <w:szCs w:val="22"/>
          <w:lang w:val="fr-FR"/>
        </w:rPr>
      </w:pPr>
    </w:p>
    <w:p w:rsidR="00C37BEC" w:rsidRPr="00C37BEC" w:rsidRDefault="00C37BEC" w:rsidP="00C37BEC">
      <w:pPr>
        <w:rPr>
          <w:rFonts w:ascii="Arial" w:hAnsi="Arial" w:cs="Arial"/>
          <w:sz w:val="22"/>
          <w:szCs w:val="22"/>
          <w:lang w:val="fr-FR"/>
        </w:rPr>
      </w:pPr>
    </w:p>
    <w:p w:rsidR="00C37BEC" w:rsidRDefault="00C37BEC" w:rsidP="00C37BEC">
      <w:pPr>
        <w:tabs>
          <w:tab w:val="left" w:pos="2699"/>
        </w:tabs>
        <w:rPr>
          <w:rFonts w:ascii="Arial" w:hAnsi="Arial" w:cs="Arial"/>
          <w:sz w:val="22"/>
          <w:szCs w:val="22"/>
          <w:lang w:val="fr-FR"/>
        </w:rPr>
      </w:pPr>
      <w:r>
        <w:rPr>
          <w:rFonts w:ascii="Arial" w:hAnsi="Arial" w:cs="Arial"/>
          <w:sz w:val="22"/>
          <w:szCs w:val="22"/>
          <w:lang w:val="fr-FR"/>
        </w:rPr>
        <w:tab/>
      </w:r>
    </w:p>
    <w:p w:rsidR="004F3F9D" w:rsidRPr="00CA3CF8" w:rsidRDefault="004F3F9D" w:rsidP="004F3F9D">
      <w:pPr>
        <w:widowControl/>
        <w:tabs>
          <w:tab w:val="left" w:pos="2190"/>
        </w:tabs>
        <w:autoSpaceDE/>
        <w:autoSpaceDN/>
        <w:adjustRightInd/>
        <w:rPr>
          <w:rFonts w:ascii="Arial" w:hAnsi="Arial" w:cs="Arial"/>
          <w:b/>
          <w:iCs/>
          <w:color w:val="1F4E79" w:themeColor="accent1" w:themeShade="80"/>
          <w:sz w:val="22"/>
          <w:szCs w:val="22"/>
          <w:lang w:val="fr-FR"/>
        </w:rPr>
      </w:pPr>
      <w:r w:rsidRPr="00CA3CF8">
        <w:rPr>
          <w:rFonts w:ascii="Arial" w:hAnsi="Arial" w:cs="Arial"/>
          <w:b/>
          <w:iCs/>
          <w:color w:val="1F4E79" w:themeColor="accent1" w:themeShade="80"/>
          <w:sz w:val="22"/>
          <w:szCs w:val="22"/>
          <w:lang w:val="fr-FR"/>
        </w:rPr>
        <w:lastRenderedPageBreak/>
        <w:t>Anexa nr.4</w:t>
      </w:r>
    </w:p>
    <w:p w:rsidR="004F3F9D" w:rsidRPr="00CA3CF8" w:rsidRDefault="004F3F9D" w:rsidP="00C37BEC">
      <w:pPr>
        <w:tabs>
          <w:tab w:val="left" w:pos="2699"/>
        </w:tabs>
        <w:rPr>
          <w:rFonts w:ascii="Arial" w:hAnsi="Arial" w:cs="Arial"/>
          <w:color w:val="1F4E79" w:themeColor="accent1" w:themeShade="80"/>
          <w:sz w:val="22"/>
          <w:szCs w:val="22"/>
          <w:lang w:val="fr-FR"/>
        </w:rPr>
      </w:pPr>
    </w:p>
    <w:p w:rsidR="00C37BEC" w:rsidRPr="00CA3CF8" w:rsidRDefault="004F3F9D" w:rsidP="00CA3CF8">
      <w:pPr>
        <w:tabs>
          <w:tab w:val="left" w:pos="2699"/>
        </w:tabs>
        <w:jc w:val="center"/>
        <w:rPr>
          <w:rFonts w:ascii="Arial" w:hAnsi="Arial" w:cs="Arial"/>
          <w:b/>
          <w:color w:val="1F4E79" w:themeColor="accent1" w:themeShade="80"/>
          <w:sz w:val="22"/>
          <w:szCs w:val="22"/>
          <w:lang w:val="fr-FR" w:eastAsia="en-US"/>
        </w:rPr>
      </w:pPr>
      <w:r w:rsidRPr="00CA3CF8">
        <w:rPr>
          <w:rFonts w:ascii="Arial" w:hAnsi="Arial" w:cs="Arial"/>
          <w:b/>
          <w:color w:val="1F4E79" w:themeColor="accent1" w:themeShade="80"/>
          <w:sz w:val="22"/>
          <w:szCs w:val="22"/>
          <w:lang w:val="fr-FR" w:eastAsia="en-US"/>
        </w:rPr>
        <w:t>EXECUȚIA BUGETULUI DE VENITURI ȘI CHELTUIELI LA DATA DE 30 IUNIE 2018</w:t>
      </w:r>
    </w:p>
    <w:p w:rsidR="004914B1" w:rsidRPr="00CA3CF8" w:rsidRDefault="004914B1" w:rsidP="00C37BEC">
      <w:pPr>
        <w:tabs>
          <w:tab w:val="left" w:pos="2699"/>
        </w:tabs>
        <w:rPr>
          <w:rFonts w:ascii="Arial" w:hAnsi="Arial" w:cs="Arial"/>
          <w:color w:val="1F4E79" w:themeColor="accent1" w:themeShade="80"/>
          <w:sz w:val="22"/>
          <w:szCs w:val="22"/>
          <w:lang w:val="fr-FR"/>
        </w:rPr>
      </w:pP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1371"/>
        <w:gridCol w:w="1371"/>
        <w:gridCol w:w="1251"/>
      </w:tblGrid>
      <w:tr w:rsidR="004914B1" w:rsidRPr="004914B1" w:rsidTr="004914B1">
        <w:trPr>
          <w:trHeight w:val="228"/>
          <w:jc w:val="center"/>
        </w:trPr>
        <w:tc>
          <w:tcPr>
            <w:tcW w:w="4552" w:type="dxa"/>
            <w:shd w:val="clear" w:color="auto" w:fill="DEEAF6" w:themeFill="accent1" w:themeFillTint="33"/>
            <w:vAlign w:val="center"/>
          </w:tcPr>
          <w:p w:rsidR="004914B1" w:rsidRPr="004914B1" w:rsidRDefault="004914B1" w:rsidP="00A9171A">
            <w:pPr>
              <w:widowControl/>
              <w:autoSpaceDE/>
              <w:autoSpaceDN/>
              <w:adjustRightInd/>
              <w:jc w:val="center"/>
              <w:rPr>
                <w:rFonts w:ascii="Arial" w:hAnsi="Arial" w:cs="Arial"/>
                <w:b/>
                <w:bCs/>
                <w:color w:val="000000"/>
                <w:sz w:val="22"/>
                <w:szCs w:val="22"/>
                <w:lang w:eastAsia="en-US"/>
              </w:rPr>
            </w:pPr>
            <w:r w:rsidRPr="004914B1">
              <w:rPr>
                <w:rFonts w:ascii="Arial" w:hAnsi="Arial" w:cs="Arial"/>
                <w:b/>
                <w:bCs/>
                <w:color w:val="000000"/>
                <w:sz w:val="22"/>
                <w:szCs w:val="22"/>
                <w:lang w:val="en-US" w:eastAsia="en-US"/>
              </w:rPr>
              <w:t>INDICATORI</w:t>
            </w:r>
            <w:r>
              <w:rPr>
                <w:rFonts w:ascii="Arial" w:hAnsi="Arial" w:cs="Arial"/>
                <w:b/>
                <w:bCs/>
                <w:color w:val="000000"/>
                <w:sz w:val="22"/>
                <w:szCs w:val="22"/>
                <w:lang w:val="en-US" w:eastAsia="en-US"/>
              </w:rPr>
              <w:t xml:space="preserve"> (mii lei)</w:t>
            </w:r>
          </w:p>
        </w:tc>
        <w:tc>
          <w:tcPr>
            <w:tcW w:w="1371" w:type="dxa"/>
            <w:tcBorders>
              <w:bottom w:val="single" w:sz="4" w:space="0" w:color="auto"/>
            </w:tcBorders>
            <w:shd w:val="clear" w:color="auto" w:fill="DEEAF6" w:themeFill="accent1" w:themeFillTint="33"/>
            <w:noWrap/>
            <w:vAlign w:val="center"/>
          </w:tcPr>
          <w:p w:rsidR="004914B1" w:rsidRPr="004914B1" w:rsidRDefault="004914B1" w:rsidP="004914B1">
            <w:pPr>
              <w:widowControl/>
              <w:autoSpaceDE/>
              <w:autoSpaceDN/>
              <w:adjustRightInd/>
              <w:jc w:val="center"/>
              <w:rPr>
                <w:rFonts w:ascii="Arial" w:hAnsi="Arial" w:cs="Arial"/>
                <w:b/>
                <w:color w:val="000000"/>
                <w:sz w:val="22"/>
                <w:szCs w:val="22"/>
                <w:lang w:val="en-US" w:eastAsia="en-US"/>
              </w:rPr>
            </w:pPr>
            <w:r>
              <w:rPr>
                <w:rFonts w:ascii="Arial" w:hAnsi="Arial" w:cs="Arial"/>
                <w:b/>
                <w:color w:val="000000"/>
                <w:sz w:val="22"/>
                <w:szCs w:val="22"/>
                <w:lang w:val="en-US" w:eastAsia="en-US"/>
              </w:rPr>
              <w:t>Realizat S</w:t>
            </w:r>
            <w:r w:rsidRPr="004914B1">
              <w:rPr>
                <w:rFonts w:ascii="Arial" w:hAnsi="Arial" w:cs="Arial"/>
                <w:b/>
                <w:color w:val="000000"/>
                <w:sz w:val="22"/>
                <w:szCs w:val="22"/>
                <w:lang w:val="en-US" w:eastAsia="en-US"/>
              </w:rPr>
              <w:t>em</w:t>
            </w:r>
            <w:r>
              <w:rPr>
                <w:rFonts w:ascii="Arial" w:hAnsi="Arial" w:cs="Arial"/>
                <w:b/>
                <w:color w:val="000000"/>
                <w:sz w:val="22"/>
                <w:szCs w:val="22"/>
                <w:lang w:val="en-US" w:eastAsia="en-US"/>
              </w:rPr>
              <w:t>. I 2018</w:t>
            </w:r>
          </w:p>
        </w:tc>
        <w:tc>
          <w:tcPr>
            <w:tcW w:w="1371" w:type="dxa"/>
            <w:tcBorders>
              <w:bottom w:val="single" w:sz="4" w:space="0" w:color="auto"/>
            </w:tcBorders>
            <w:shd w:val="clear" w:color="auto" w:fill="DEEAF6" w:themeFill="accent1" w:themeFillTint="33"/>
            <w:noWrap/>
            <w:vAlign w:val="center"/>
          </w:tcPr>
          <w:p w:rsidR="004914B1" w:rsidRPr="004914B1" w:rsidRDefault="004914B1" w:rsidP="004914B1">
            <w:pPr>
              <w:widowControl/>
              <w:autoSpaceDE/>
              <w:autoSpaceDN/>
              <w:adjustRightInd/>
              <w:jc w:val="center"/>
              <w:rPr>
                <w:rFonts w:ascii="Arial" w:hAnsi="Arial" w:cs="Arial"/>
                <w:b/>
                <w:color w:val="000000"/>
                <w:sz w:val="22"/>
                <w:szCs w:val="22"/>
                <w:lang w:val="en-US" w:eastAsia="en-US"/>
              </w:rPr>
            </w:pPr>
            <w:r w:rsidRPr="004914B1">
              <w:rPr>
                <w:rFonts w:ascii="Arial" w:hAnsi="Arial" w:cs="Arial"/>
                <w:b/>
                <w:color w:val="000000"/>
                <w:sz w:val="22"/>
                <w:szCs w:val="22"/>
                <w:lang w:val="en-US" w:eastAsia="en-US"/>
              </w:rPr>
              <w:t>B</w:t>
            </w:r>
            <w:r>
              <w:rPr>
                <w:rFonts w:ascii="Arial" w:hAnsi="Arial" w:cs="Arial"/>
                <w:b/>
                <w:color w:val="000000"/>
                <w:sz w:val="22"/>
                <w:szCs w:val="22"/>
                <w:lang w:val="en-US" w:eastAsia="en-US"/>
              </w:rPr>
              <w:t>.</w:t>
            </w:r>
            <w:r w:rsidRPr="004914B1">
              <w:rPr>
                <w:rFonts w:ascii="Arial" w:hAnsi="Arial" w:cs="Arial"/>
                <w:b/>
                <w:color w:val="000000"/>
                <w:sz w:val="22"/>
                <w:szCs w:val="22"/>
                <w:lang w:val="en-US" w:eastAsia="en-US"/>
              </w:rPr>
              <w:t>V</w:t>
            </w:r>
            <w:r>
              <w:rPr>
                <w:rFonts w:ascii="Arial" w:hAnsi="Arial" w:cs="Arial"/>
                <w:b/>
                <w:color w:val="000000"/>
                <w:sz w:val="22"/>
                <w:szCs w:val="22"/>
                <w:lang w:val="en-US" w:eastAsia="en-US"/>
              </w:rPr>
              <w:t>.</w:t>
            </w:r>
            <w:r w:rsidRPr="004914B1">
              <w:rPr>
                <w:rFonts w:ascii="Arial" w:hAnsi="Arial" w:cs="Arial"/>
                <w:b/>
                <w:color w:val="000000"/>
                <w:sz w:val="22"/>
                <w:szCs w:val="22"/>
                <w:lang w:val="en-US" w:eastAsia="en-US"/>
              </w:rPr>
              <w:t>C</w:t>
            </w:r>
            <w:r>
              <w:rPr>
                <w:rFonts w:ascii="Arial" w:hAnsi="Arial" w:cs="Arial"/>
                <w:b/>
                <w:color w:val="000000"/>
                <w:sz w:val="22"/>
                <w:szCs w:val="22"/>
                <w:lang w:val="en-US" w:eastAsia="en-US"/>
              </w:rPr>
              <w:t>.</w:t>
            </w:r>
          </w:p>
          <w:p w:rsidR="004914B1" w:rsidRPr="004914B1" w:rsidRDefault="004914B1" w:rsidP="004914B1">
            <w:pPr>
              <w:widowControl/>
              <w:autoSpaceDE/>
              <w:autoSpaceDN/>
              <w:adjustRightInd/>
              <w:jc w:val="center"/>
              <w:rPr>
                <w:rFonts w:ascii="Arial" w:hAnsi="Arial" w:cs="Arial"/>
                <w:b/>
                <w:color w:val="000000"/>
                <w:sz w:val="22"/>
                <w:szCs w:val="22"/>
                <w:lang w:val="en-US" w:eastAsia="en-US"/>
              </w:rPr>
            </w:pPr>
            <w:r>
              <w:rPr>
                <w:rFonts w:ascii="Arial" w:hAnsi="Arial" w:cs="Arial"/>
                <w:b/>
                <w:color w:val="000000"/>
                <w:sz w:val="22"/>
                <w:szCs w:val="22"/>
                <w:lang w:val="en-US" w:eastAsia="en-US"/>
              </w:rPr>
              <w:t xml:space="preserve"> S</w:t>
            </w:r>
            <w:r w:rsidRPr="004914B1">
              <w:rPr>
                <w:rFonts w:ascii="Arial" w:hAnsi="Arial" w:cs="Arial"/>
                <w:b/>
                <w:color w:val="000000"/>
                <w:sz w:val="22"/>
                <w:szCs w:val="22"/>
                <w:lang w:val="en-US" w:eastAsia="en-US"/>
              </w:rPr>
              <w:t>em</w:t>
            </w:r>
            <w:r>
              <w:rPr>
                <w:rFonts w:ascii="Arial" w:hAnsi="Arial" w:cs="Arial"/>
                <w:b/>
                <w:color w:val="000000"/>
                <w:sz w:val="22"/>
                <w:szCs w:val="22"/>
                <w:lang w:val="en-US" w:eastAsia="en-US"/>
              </w:rPr>
              <w:t>. I 2018</w:t>
            </w:r>
          </w:p>
        </w:tc>
        <w:tc>
          <w:tcPr>
            <w:tcW w:w="1251" w:type="dxa"/>
            <w:tcBorders>
              <w:bottom w:val="single" w:sz="4" w:space="0" w:color="auto"/>
            </w:tcBorders>
            <w:shd w:val="clear" w:color="auto" w:fill="DEEAF6" w:themeFill="accent1" w:themeFillTint="33"/>
            <w:noWrap/>
            <w:vAlign w:val="center"/>
          </w:tcPr>
          <w:p w:rsidR="00501B00" w:rsidRDefault="00501B00" w:rsidP="00501B00">
            <w:pPr>
              <w:widowControl/>
              <w:autoSpaceDE/>
              <w:autoSpaceDN/>
              <w:adjustRightInd/>
              <w:jc w:val="center"/>
              <w:rPr>
                <w:rFonts w:ascii="Arial" w:hAnsi="Arial" w:cs="Arial"/>
                <w:b/>
                <w:color w:val="000000"/>
                <w:sz w:val="22"/>
                <w:szCs w:val="22"/>
                <w:lang w:val="en-US" w:eastAsia="en-US"/>
              </w:rPr>
            </w:pPr>
            <w:r>
              <w:rPr>
                <w:rFonts w:ascii="Arial" w:hAnsi="Arial" w:cs="Arial"/>
                <w:b/>
                <w:color w:val="000000"/>
                <w:sz w:val="22"/>
                <w:szCs w:val="22"/>
                <w:lang w:val="en-US" w:eastAsia="en-US"/>
              </w:rPr>
              <w:t>Grad de</w:t>
            </w:r>
            <w:r w:rsidR="004914B1">
              <w:rPr>
                <w:rFonts w:ascii="Arial" w:hAnsi="Arial" w:cs="Arial"/>
                <w:b/>
                <w:color w:val="000000"/>
                <w:sz w:val="22"/>
                <w:szCs w:val="22"/>
                <w:lang w:val="en-US" w:eastAsia="en-US"/>
              </w:rPr>
              <w:t xml:space="preserve"> Realiza</w:t>
            </w:r>
            <w:r>
              <w:rPr>
                <w:rFonts w:ascii="Arial" w:hAnsi="Arial" w:cs="Arial"/>
                <w:b/>
                <w:color w:val="000000"/>
                <w:sz w:val="22"/>
                <w:szCs w:val="22"/>
                <w:lang w:val="en-US" w:eastAsia="en-US"/>
              </w:rPr>
              <w:t>re</w:t>
            </w:r>
          </w:p>
          <w:p w:rsidR="004914B1" w:rsidRPr="004914B1" w:rsidRDefault="00501B00" w:rsidP="00501B00">
            <w:pPr>
              <w:widowControl/>
              <w:autoSpaceDE/>
              <w:autoSpaceDN/>
              <w:adjustRightInd/>
              <w:jc w:val="center"/>
              <w:rPr>
                <w:rFonts w:ascii="Arial" w:hAnsi="Arial" w:cs="Arial"/>
                <w:b/>
                <w:color w:val="000000"/>
                <w:sz w:val="22"/>
                <w:szCs w:val="22"/>
                <w:lang w:val="en-US" w:eastAsia="en-US"/>
              </w:rPr>
            </w:pPr>
            <w:r>
              <w:rPr>
                <w:rFonts w:ascii="Arial" w:hAnsi="Arial" w:cs="Arial"/>
                <w:b/>
                <w:color w:val="000000"/>
                <w:sz w:val="22"/>
                <w:szCs w:val="22"/>
                <w:lang w:val="en-US" w:eastAsia="en-US"/>
              </w:rPr>
              <w:t>%</w:t>
            </w:r>
          </w:p>
        </w:tc>
      </w:tr>
      <w:tr w:rsidR="004914B1" w:rsidRPr="004914B1" w:rsidTr="004914B1">
        <w:trPr>
          <w:trHeight w:val="262"/>
          <w:jc w:val="center"/>
        </w:trPr>
        <w:tc>
          <w:tcPr>
            <w:tcW w:w="4552" w:type="dxa"/>
            <w:shd w:val="clear" w:color="auto" w:fill="auto"/>
            <w:vAlign w:val="center"/>
            <w:hideMark/>
          </w:tcPr>
          <w:p w:rsidR="004914B1" w:rsidRPr="00501B00" w:rsidRDefault="004914B1" w:rsidP="004914B1">
            <w:pPr>
              <w:widowControl/>
              <w:autoSpaceDE/>
              <w:autoSpaceDN/>
              <w:adjustRightInd/>
              <w:rPr>
                <w:rFonts w:ascii="Arial" w:hAnsi="Arial" w:cs="Arial"/>
                <w:b/>
                <w:bCs/>
                <w:color w:val="000000"/>
                <w:sz w:val="22"/>
                <w:szCs w:val="22"/>
                <w:lang w:val="en-US" w:eastAsia="en-US"/>
              </w:rPr>
            </w:pPr>
            <w:r w:rsidRPr="00501B00">
              <w:rPr>
                <w:rFonts w:ascii="Arial" w:hAnsi="Arial" w:cs="Arial"/>
                <w:b/>
                <w:bCs/>
                <w:color w:val="000000"/>
                <w:sz w:val="22"/>
                <w:szCs w:val="22"/>
                <w:lang w:val="en-US" w:eastAsia="en-US"/>
              </w:rPr>
              <w:t xml:space="preserve">I. VENITURI TOTALE  </w:t>
            </w:r>
          </w:p>
        </w:tc>
        <w:tc>
          <w:tcPr>
            <w:tcW w:w="1371" w:type="dxa"/>
            <w:tcBorders>
              <w:top w:val="single" w:sz="4" w:space="0" w:color="auto"/>
              <w:bottom w:val="single" w:sz="4" w:space="0" w:color="auto"/>
            </w:tcBorders>
            <w:shd w:val="clear" w:color="FFFFFF" w:fill="FFFFFF"/>
            <w:noWrap/>
            <w:vAlign w:val="center"/>
          </w:tcPr>
          <w:p w:rsidR="004914B1" w:rsidRPr="00501B00" w:rsidRDefault="004914B1" w:rsidP="004914B1">
            <w:pPr>
              <w:widowControl/>
              <w:autoSpaceDE/>
              <w:autoSpaceDN/>
              <w:adjustRightInd/>
              <w:jc w:val="right"/>
              <w:rPr>
                <w:rFonts w:ascii="Arial" w:hAnsi="Arial" w:cs="Arial"/>
                <w:b/>
                <w:color w:val="000000"/>
                <w:sz w:val="22"/>
                <w:szCs w:val="22"/>
                <w:lang w:val="en-US" w:eastAsia="en-US"/>
              </w:rPr>
            </w:pPr>
            <w:r w:rsidRPr="00501B00">
              <w:rPr>
                <w:rFonts w:ascii="Arial" w:hAnsi="Arial" w:cs="Arial"/>
                <w:b/>
                <w:color w:val="000000"/>
                <w:sz w:val="22"/>
                <w:szCs w:val="22"/>
                <w:lang w:val="en-US" w:eastAsia="en-US"/>
              </w:rPr>
              <w:t>202.357</w:t>
            </w:r>
          </w:p>
        </w:tc>
        <w:tc>
          <w:tcPr>
            <w:tcW w:w="1371" w:type="dxa"/>
            <w:tcBorders>
              <w:top w:val="single" w:sz="4" w:space="0" w:color="auto"/>
              <w:left w:val="nil"/>
              <w:bottom w:val="single" w:sz="4" w:space="0" w:color="auto"/>
              <w:right w:val="nil"/>
            </w:tcBorders>
            <w:shd w:val="clear" w:color="auto" w:fill="auto"/>
            <w:noWrap/>
            <w:vAlign w:val="center"/>
          </w:tcPr>
          <w:p w:rsidR="004914B1" w:rsidRPr="00501B00" w:rsidRDefault="004914B1" w:rsidP="004914B1">
            <w:pPr>
              <w:widowControl/>
              <w:autoSpaceDE/>
              <w:autoSpaceDN/>
              <w:adjustRightInd/>
              <w:jc w:val="right"/>
              <w:rPr>
                <w:rFonts w:ascii="Arial" w:hAnsi="Arial" w:cs="Arial"/>
                <w:b/>
                <w:color w:val="000000"/>
                <w:sz w:val="22"/>
                <w:szCs w:val="22"/>
                <w:lang w:val="en-US" w:eastAsia="en-US"/>
              </w:rPr>
            </w:pPr>
            <w:r w:rsidRPr="00501B00">
              <w:rPr>
                <w:rFonts w:ascii="Arial" w:hAnsi="Arial" w:cs="Arial"/>
                <w:b/>
                <w:color w:val="000000"/>
                <w:sz w:val="22"/>
                <w:szCs w:val="22"/>
                <w:lang w:val="en-US" w:eastAsia="en-US"/>
              </w:rPr>
              <w:t>197.962</w:t>
            </w:r>
          </w:p>
        </w:tc>
        <w:tc>
          <w:tcPr>
            <w:tcW w:w="1251" w:type="dxa"/>
            <w:tcBorders>
              <w:top w:val="single" w:sz="4" w:space="0" w:color="auto"/>
              <w:bottom w:val="single" w:sz="4" w:space="0" w:color="auto"/>
            </w:tcBorders>
            <w:shd w:val="clear" w:color="FFFFFF" w:fill="FFFFFF"/>
            <w:noWrap/>
            <w:vAlign w:val="center"/>
            <w:hideMark/>
          </w:tcPr>
          <w:p w:rsidR="004914B1" w:rsidRPr="00501B00" w:rsidRDefault="004914B1" w:rsidP="004914B1">
            <w:pPr>
              <w:widowControl/>
              <w:autoSpaceDE/>
              <w:autoSpaceDN/>
              <w:adjustRightInd/>
              <w:jc w:val="right"/>
              <w:rPr>
                <w:rFonts w:ascii="Arial" w:hAnsi="Arial" w:cs="Arial"/>
                <w:b/>
                <w:color w:val="000000"/>
                <w:sz w:val="22"/>
                <w:szCs w:val="22"/>
                <w:lang w:val="en-US" w:eastAsia="en-US"/>
              </w:rPr>
            </w:pPr>
            <w:r w:rsidRPr="00501B00">
              <w:rPr>
                <w:rFonts w:ascii="Arial" w:hAnsi="Arial" w:cs="Arial"/>
                <w:b/>
                <w:color w:val="000000"/>
                <w:sz w:val="22"/>
                <w:szCs w:val="22"/>
                <w:lang w:val="en-US" w:eastAsia="en-US"/>
              </w:rPr>
              <w:t>102,2%</w:t>
            </w:r>
          </w:p>
        </w:tc>
      </w:tr>
      <w:tr w:rsidR="004914B1" w:rsidRPr="004914B1" w:rsidTr="004914B1">
        <w:trPr>
          <w:trHeight w:val="262"/>
          <w:jc w:val="center"/>
        </w:trPr>
        <w:tc>
          <w:tcPr>
            <w:tcW w:w="4552" w:type="dxa"/>
            <w:shd w:val="clear" w:color="auto" w:fill="auto"/>
            <w:hideMark/>
          </w:tcPr>
          <w:p w:rsidR="004914B1" w:rsidRPr="004914B1" w:rsidRDefault="004914B1" w:rsidP="006652E0">
            <w:pPr>
              <w:widowControl/>
              <w:autoSpaceDE/>
              <w:autoSpaceDN/>
              <w:adjustRightInd/>
              <w:rPr>
                <w:rFonts w:ascii="Arial" w:hAnsi="Arial" w:cs="Arial"/>
                <w:bCs/>
                <w:color w:val="000000"/>
                <w:sz w:val="22"/>
                <w:szCs w:val="22"/>
                <w:lang w:val="en-US" w:eastAsia="en-US"/>
              </w:rPr>
            </w:pPr>
            <w:r w:rsidRPr="004914B1">
              <w:rPr>
                <w:rFonts w:ascii="Arial" w:hAnsi="Arial" w:cs="Arial"/>
                <w:bCs/>
                <w:color w:val="000000"/>
                <w:sz w:val="22"/>
                <w:szCs w:val="22"/>
                <w:lang w:val="en-US" w:eastAsia="en-US"/>
              </w:rPr>
              <w:t xml:space="preserve"> 1.1 Venituri totale din exploatare</w:t>
            </w:r>
          </w:p>
        </w:tc>
        <w:tc>
          <w:tcPr>
            <w:tcW w:w="1371" w:type="dxa"/>
            <w:tcBorders>
              <w:top w:val="single" w:sz="4" w:space="0" w:color="auto"/>
              <w:bottom w:val="single" w:sz="4" w:space="0" w:color="auto"/>
            </w:tcBorders>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199.983</w:t>
            </w:r>
          </w:p>
        </w:tc>
        <w:tc>
          <w:tcPr>
            <w:tcW w:w="1371" w:type="dxa"/>
            <w:tcBorders>
              <w:top w:val="single" w:sz="4" w:space="0" w:color="auto"/>
              <w:left w:val="nil"/>
              <w:bottom w:val="single" w:sz="4" w:space="0" w:color="auto"/>
              <w:right w:val="nil"/>
            </w:tcBorders>
            <w:shd w:val="clear" w:color="auto" w:fill="auto"/>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197.153</w:t>
            </w:r>
          </w:p>
        </w:tc>
        <w:tc>
          <w:tcPr>
            <w:tcW w:w="1251" w:type="dxa"/>
            <w:tcBorders>
              <w:top w:val="single" w:sz="4" w:space="0" w:color="auto"/>
              <w:bottom w:val="single" w:sz="4" w:space="0" w:color="auto"/>
            </w:tcBorders>
            <w:shd w:val="clear" w:color="FFFFFF" w:fill="FFFFFF"/>
            <w:noWrap/>
            <w:vAlign w:val="center"/>
            <w:hideMark/>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101,4%</w:t>
            </w:r>
          </w:p>
        </w:tc>
      </w:tr>
      <w:tr w:rsidR="004914B1" w:rsidRPr="004914B1" w:rsidTr="004914B1">
        <w:trPr>
          <w:trHeight w:val="262"/>
          <w:jc w:val="center"/>
        </w:trPr>
        <w:tc>
          <w:tcPr>
            <w:tcW w:w="4552" w:type="dxa"/>
            <w:shd w:val="clear" w:color="auto" w:fill="auto"/>
            <w:vAlign w:val="center"/>
            <w:hideMark/>
          </w:tcPr>
          <w:p w:rsidR="004914B1" w:rsidRPr="004914B1" w:rsidRDefault="006652E0" w:rsidP="004914B1">
            <w:pPr>
              <w:widowControl/>
              <w:autoSpaceDE/>
              <w:autoSpaceDN/>
              <w:adjustRightInd/>
              <w:rPr>
                <w:rFonts w:ascii="Arial" w:hAnsi="Arial" w:cs="Arial"/>
                <w:bCs/>
                <w:color w:val="000000"/>
                <w:sz w:val="22"/>
                <w:szCs w:val="22"/>
                <w:lang w:val="en-US" w:eastAsia="en-US"/>
              </w:rPr>
            </w:pPr>
            <w:r>
              <w:rPr>
                <w:rFonts w:ascii="Arial" w:hAnsi="Arial" w:cs="Arial"/>
                <w:bCs/>
                <w:color w:val="000000"/>
                <w:sz w:val="22"/>
                <w:szCs w:val="22"/>
                <w:lang w:val="en-US" w:eastAsia="en-US"/>
              </w:rPr>
              <w:t xml:space="preserve"> 1.2 </w:t>
            </w:r>
            <w:r w:rsidR="004914B1" w:rsidRPr="004914B1">
              <w:rPr>
                <w:rFonts w:ascii="Arial" w:hAnsi="Arial" w:cs="Arial"/>
                <w:bCs/>
                <w:color w:val="000000"/>
                <w:sz w:val="22"/>
                <w:szCs w:val="22"/>
                <w:lang w:val="en-US" w:eastAsia="en-US"/>
              </w:rPr>
              <w:t>Venituri financiare</w:t>
            </w:r>
          </w:p>
        </w:tc>
        <w:tc>
          <w:tcPr>
            <w:tcW w:w="1371" w:type="dxa"/>
            <w:tcBorders>
              <w:top w:val="single" w:sz="4" w:space="0" w:color="auto"/>
              <w:bottom w:val="single" w:sz="4" w:space="0" w:color="auto"/>
            </w:tcBorders>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2.374</w:t>
            </w:r>
          </w:p>
        </w:tc>
        <w:tc>
          <w:tcPr>
            <w:tcW w:w="1371" w:type="dxa"/>
            <w:tcBorders>
              <w:top w:val="single" w:sz="4" w:space="0" w:color="auto"/>
              <w:left w:val="nil"/>
              <w:bottom w:val="single" w:sz="4" w:space="0" w:color="auto"/>
              <w:right w:val="nil"/>
            </w:tcBorders>
            <w:shd w:val="clear" w:color="auto" w:fill="auto"/>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809</w:t>
            </w:r>
          </w:p>
        </w:tc>
        <w:tc>
          <w:tcPr>
            <w:tcW w:w="1251" w:type="dxa"/>
            <w:tcBorders>
              <w:top w:val="single" w:sz="4" w:space="0" w:color="auto"/>
              <w:bottom w:val="single" w:sz="4" w:space="0" w:color="auto"/>
            </w:tcBorders>
            <w:shd w:val="clear" w:color="FFFFFF" w:fill="FFFFFF"/>
            <w:noWrap/>
            <w:vAlign w:val="center"/>
            <w:hideMark/>
          </w:tcPr>
          <w:p w:rsidR="004914B1" w:rsidRPr="004914B1" w:rsidRDefault="00F07E5A" w:rsidP="004914B1">
            <w:pPr>
              <w:widowControl/>
              <w:autoSpaceDE/>
              <w:autoSpaceDN/>
              <w:adjustRightInd/>
              <w:jc w:val="right"/>
              <w:rPr>
                <w:rFonts w:ascii="Arial" w:hAnsi="Arial" w:cs="Arial"/>
                <w:color w:val="000000"/>
                <w:sz w:val="22"/>
                <w:szCs w:val="22"/>
                <w:lang w:val="en-US" w:eastAsia="en-US"/>
              </w:rPr>
            </w:pPr>
            <w:r>
              <w:rPr>
                <w:rFonts w:ascii="Arial" w:hAnsi="Arial" w:cs="Arial"/>
                <w:color w:val="000000"/>
                <w:sz w:val="22"/>
                <w:szCs w:val="22"/>
                <w:lang w:val="en-US" w:eastAsia="en-US"/>
              </w:rPr>
              <w:t>293,4</w:t>
            </w:r>
            <w:r w:rsidR="004914B1" w:rsidRPr="004914B1">
              <w:rPr>
                <w:rFonts w:ascii="Arial" w:hAnsi="Arial" w:cs="Arial"/>
                <w:color w:val="000000"/>
                <w:sz w:val="22"/>
                <w:szCs w:val="22"/>
                <w:lang w:val="en-US" w:eastAsia="en-US"/>
              </w:rPr>
              <w:t>%</w:t>
            </w:r>
          </w:p>
        </w:tc>
      </w:tr>
      <w:tr w:rsidR="004914B1" w:rsidRPr="004914B1" w:rsidTr="004914B1">
        <w:trPr>
          <w:trHeight w:val="253"/>
          <w:jc w:val="center"/>
        </w:trPr>
        <w:tc>
          <w:tcPr>
            <w:tcW w:w="4552" w:type="dxa"/>
            <w:shd w:val="clear" w:color="auto" w:fill="auto"/>
            <w:vAlign w:val="center"/>
            <w:hideMark/>
          </w:tcPr>
          <w:p w:rsidR="004914B1" w:rsidRPr="004914B1" w:rsidRDefault="004914B1" w:rsidP="004914B1">
            <w:pPr>
              <w:widowControl/>
              <w:autoSpaceDE/>
              <w:autoSpaceDN/>
              <w:adjustRightInd/>
              <w:rPr>
                <w:rFonts w:ascii="Arial" w:hAnsi="Arial" w:cs="Arial"/>
                <w:b/>
                <w:bCs/>
                <w:color w:val="000000"/>
                <w:sz w:val="22"/>
                <w:szCs w:val="22"/>
                <w:lang w:val="en-US" w:eastAsia="en-US"/>
              </w:rPr>
            </w:pPr>
            <w:r w:rsidRPr="004914B1">
              <w:rPr>
                <w:rFonts w:ascii="Arial" w:hAnsi="Arial" w:cs="Arial"/>
                <w:b/>
                <w:bCs/>
                <w:color w:val="000000"/>
                <w:sz w:val="22"/>
                <w:szCs w:val="22"/>
                <w:lang w:val="en-US" w:eastAsia="en-US"/>
              </w:rPr>
              <w:t>II. CHELTUIELI TOTALE</w:t>
            </w:r>
          </w:p>
        </w:tc>
        <w:tc>
          <w:tcPr>
            <w:tcW w:w="1371" w:type="dxa"/>
            <w:tcBorders>
              <w:top w:val="single" w:sz="4" w:space="0" w:color="auto"/>
              <w:bottom w:val="single" w:sz="4" w:space="0" w:color="auto"/>
            </w:tcBorders>
            <w:shd w:val="clear" w:color="FFFFFF" w:fill="FFFFFF"/>
            <w:noWrap/>
            <w:vAlign w:val="center"/>
          </w:tcPr>
          <w:p w:rsidR="004914B1" w:rsidRPr="00501B00" w:rsidRDefault="004914B1" w:rsidP="004914B1">
            <w:pPr>
              <w:widowControl/>
              <w:autoSpaceDE/>
              <w:autoSpaceDN/>
              <w:adjustRightInd/>
              <w:jc w:val="right"/>
              <w:rPr>
                <w:rFonts w:ascii="Arial" w:hAnsi="Arial" w:cs="Arial"/>
                <w:b/>
                <w:color w:val="000000"/>
                <w:sz w:val="22"/>
                <w:szCs w:val="22"/>
                <w:lang w:val="en-US" w:eastAsia="en-US"/>
              </w:rPr>
            </w:pPr>
            <w:r w:rsidRPr="00501B00">
              <w:rPr>
                <w:rFonts w:ascii="Arial" w:hAnsi="Arial" w:cs="Arial"/>
                <w:b/>
                <w:color w:val="000000"/>
                <w:sz w:val="22"/>
                <w:szCs w:val="22"/>
                <w:lang w:val="en-US" w:eastAsia="en-US"/>
              </w:rPr>
              <w:t>176.733</w:t>
            </w:r>
          </w:p>
        </w:tc>
        <w:tc>
          <w:tcPr>
            <w:tcW w:w="1371" w:type="dxa"/>
            <w:tcBorders>
              <w:top w:val="single" w:sz="4" w:space="0" w:color="auto"/>
              <w:left w:val="nil"/>
              <w:bottom w:val="single" w:sz="4" w:space="0" w:color="auto"/>
              <w:right w:val="nil"/>
            </w:tcBorders>
            <w:shd w:val="clear" w:color="auto" w:fill="auto"/>
            <w:noWrap/>
            <w:vAlign w:val="center"/>
          </w:tcPr>
          <w:p w:rsidR="004914B1" w:rsidRPr="00501B00" w:rsidRDefault="004914B1" w:rsidP="004914B1">
            <w:pPr>
              <w:widowControl/>
              <w:autoSpaceDE/>
              <w:autoSpaceDN/>
              <w:adjustRightInd/>
              <w:jc w:val="right"/>
              <w:rPr>
                <w:rFonts w:ascii="Arial" w:hAnsi="Arial" w:cs="Arial"/>
                <w:b/>
                <w:color w:val="000000"/>
                <w:sz w:val="22"/>
                <w:szCs w:val="22"/>
                <w:lang w:val="en-US" w:eastAsia="en-US"/>
              </w:rPr>
            </w:pPr>
            <w:r w:rsidRPr="00501B00">
              <w:rPr>
                <w:rFonts w:ascii="Arial" w:hAnsi="Arial" w:cs="Arial"/>
                <w:b/>
                <w:color w:val="000000"/>
                <w:sz w:val="22"/>
                <w:szCs w:val="22"/>
                <w:lang w:val="en-US" w:eastAsia="en-US"/>
              </w:rPr>
              <w:t>173.337</w:t>
            </w:r>
          </w:p>
        </w:tc>
        <w:tc>
          <w:tcPr>
            <w:tcW w:w="1251" w:type="dxa"/>
            <w:tcBorders>
              <w:top w:val="single" w:sz="4" w:space="0" w:color="auto"/>
              <w:bottom w:val="single" w:sz="4" w:space="0" w:color="auto"/>
            </w:tcBorders>
            <w:shd w:val="clear" w:color="FFFFFF" w:fill="FFFFFF"/>
            <w:noWrap/>
            <w:vAlign w:val="center"/>
            <w:hideMark/>
          </w:tcPr>
          <w:p w:rsidR="004914B1" w:rsidRPr="00501B00" w:rsidRDefault="004914B1" w:rsidP="004914B1">
            <w:pPr>
              <w:widowControl/>
              <w:autoSpaceDE/>
              <w:autoSpaceDN/>
              <w:adjustRightInd/>
              <w:jc w:val="right"/>
              <w:rPr>
                <w:rFonts w:ascii="Arial" w:hAnsi="Arial" w:cs="Arial"/>
                <w:b/>
                <w:color w:val="000000"/>
                <w:sz w:val="22"/>
                <w:szCs w:val="22"/>
                <w:lang w:val="en-US" w:eastAsia="en-US"/>
              </w:rPr>
            </w:pPr>
            <w:r w:rsidRPr="00501B00">
              <w:rPr>
                <w:rFonts w:ascii="Arial" w:hAnsi="Arial" w:cs="Arial"/>
                <w:b/>
                <w:color w:val="000000"/>
                <w:sz w:val="22"/>
                <w:szCs w:val="22"/>
                <w:lang w:val="en-US" w:eastAsia="en-US"/>
              </w:rPr>
              <w:t>102,0%</w:t>
            </w:r>
          </w:p>
        </w:tc>
      </w:tr>
      <w:tr w:rsidR="004914B1" w:rsidRPr="004914B1" w:rsidTr="004914B1">
        <w:trPr>
          <w:trHeight w:val="352"/>
          <w:jc w:val="center"/>
        </w:trPr>
        <w:tc>
          <w:tcPr>
            <w:tcW w:w="4552" w:type="dxa"/>
            <w:shd w:val="clear" w:color="auto" w:fill="auto"/>
            <w:vAlign w:val="center"/>
            <w:hideMark/>
          </w:tcPr>
          <w:p w:rsidR="004914B1" w:rsidRPr="004914B1" w:rsidRDefault="006652E0" w:rsidP="004914B1">
            <w:pPr>
              <w:widowControl/>
              <w:autoSpaceDE/>
              <w:autoSpaceDN/>
              <w:adjustRightInd/>
              <w:rPr>
                <w:rFonts w:ascii="Arial" w:hAnsi="Arial" w:cs="Arial"/>
                <w:bCs/>
                <w:color w:val="000000"/>
                <w:sz w:val="22"/>
                <w:szCs w:val="22"/>
                <w:lang w:val="en-US" w:eastAsia="en-US"/>
              </w:rPr>
            </w:pPr>
            <w:r>
              <w:rPr>
                <w:rFonts w:ascii="Arial" w:hAnsi="Arial" w:cs="Arial"/>
                <w:bCs/>
                <w:color w:val="000000"/>
                <w:sz w:val="22"/>
                <w:szCs w:val="22"/>
                <w:lang w:val="en-US" w:eastAsia="en-US"/>
              </w:rPr>
              <w:t xml:space="preserve"> 2.1</w:t>
            </w:r>
            <w:r w:rsidR="004914B1" w:rsidRPr="004914B1">
              <w:rPr>
                <w:rFonts w:ascii="Arial" w:hAnsi="Arial" w:cs="Arial"/>
                <w:bCs/>
                <w:color w:val="000000"/>
                <w:sz w:val="22"/>
                <w:szCs w:val="22"/>
                <w:lang w:val="en-US" w:eastAsia="en-US"/>
              </w:rPr>
              <w:t xml:space="preserve"> Cheltuieli de exploatare</w:t>
            </w:r>
          </w:p>
        </w:tc>
        <w:tc>
          <w:tcPr>
            <w:tcW w:w="1371" w:type="dxa"/>
            <w:tcBorders>
              <w:top w:val="single" w:sz="4" w:space="0" w:color="auto"/>
              <w:bottom w:val="single" w:sz="4" w:space="0" w:color="auto"/>
            </w:tcBorders>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176.728</w:t>
            </w:r>
          </w:p>
        </w:tc>
        <w:tc>
          <w:tcPr>
            <w:tcW w:w="1371" w:type="dxa"/>
            <w:tcBorders>
              <w:top w:val="single" w:sz="4" w:space="0" w:color="auto"/>
              <w:left w:val="nil"/>
              <w:bottom w:val="single" w:sz="4" w:space="0" w:color="auto"/>
              <w:right w:val="nil"/>
            </w:tcBorders>
            <w:shd w:val="clear" w:color="auto" w:fill="auto"/>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173.287</w:t>
            </w:r>
          </w:p>
        </w:tc>
        <w:tc>
          <w:tcPr>
            <w:tcW w:w="1251" w:type="dxa"/>
            <w:tcBorders>
              <w:top w:val="single" w:sz="4" w:space="0" w:color="auto"/>
              <w:bottom w:val="single" w:sz="4" w:space="0" w:color="auto"/>
            </w:tcBorders>
            <w:shd w:val="clear" w:color="FFFFFF" w:fill="FFFFFF"/>
            <w:noWrap/>
            <w:vAlign w:val="center"/>
            <w:hideMark/>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102,0%</w:t>
            </w:r>
          </w:p>
        </w:tc>
      </w:tr>
      <w:tr w:rsidR="004914B1" w:rsidRPr="004914B1" w:rsidTr="004914B1">
        <w:trPr>
          <w:trHeight w:val="285"/>
          <w:jc w:val="center"/>
        </w:trPr>
        <w:tc>
          <w:tcPr>
            <w:tcW w:w="4552" w:type="dxa"/>
            <w:shd w:val="clear" w:color="auto" w:fill="auto"/>
            <w:vAlign w:val="center"/>
            <w:hideMark/>
          </w:tcPr>
          <w:p w:rsidR="004914B1" w:rsidRPr="004914B1" w:rsidRDefault="004914B1" w:rsidP="004914B1">
            <w:pPr>
              <w:widowControl/>
              <w:autoSpaceDE/>
              <w:autoSpaceDN/>
              <w:adjustRightInd/>
              <w:spacing w:after="200" w:line="276" w:lineRule="auto"/>
              <w:contextualSpacing/>
              <w:rPr>
                <w:rFonts w:ascii="Arial" w:eastAsia="Calibri" w:hAnsi="Arial" w:cs="Arial"/>
                <w:bCs/>
                <w:color w:val="000000"/>
                <w:sz w:val="22"/>
                <w:szCs w:val="22"/>
                <w:lang w:val="en-US" w:eastAsia="en-US"/>
              </w:rPr>
            </w:pPr>
            <w:r w:rsidRPr="004914B1">
              <w:rPr>
                <w:rFonts w:ascii="Arial" w:eastAsia="Calibri" w:hAnsi="Arial" w:cs="Arial"/>
                <w:bCs/>
                <w:color w:val="000000"/>
                <w:sz w:val="22"/>
                <w:szCs w:val="22"/>
                <w:lang w:val="en-US" w:eastAsia="en-US"/>
              </w:rPr>
              <w:t>Cheltuieli cu bunuri și servicii</w:t>
            </w:r>
          </w:p>
        </w:tc>
        <w:tc>
          <w:tcPr>
            <w:tcW w:w="1371" w:type="dxa"/>
            <w:tcBorders>
              <w:top w:val="single" w:sz="4" w:space="0" w:color="auto"/>
              <w:bottom w:val="single" w:sz="4" w:space="0" w:color="auto"/>
            </w:tcBorders>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44.061</w:t>
            </w:r>
          </w:p>
        </w:tc>
        <w:tc>
          <w:tcPr>
            <w:tcW w:w="1371" w:type="dxa"/>
            <w:tcBorders>
              <w:top w:val="single" w:sz="4" w:space="0" w:color="auto"/>
              <w:left w:val="nil"/>
              <w:bottom w:val="single" w:sz="4" w:space="0" w:color="auto"/>
              <w:right w:val="nil"/>
            </w:tcBorders>
            <w:shd w:val="clear" w:color="auto" w:fill="auto"/>
            <w:noWrap/>
            <w:vAlign w:val="center"/>
          </w:tcPr>
          <w:p w:rsidR="004914B1" w:rsidRPr="004914B1" w:rsidRDefault="004914B1" w:rsidP="00A871C9">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46.94</w:t>
            </w:r>
            <w:r w:rsidR="00A871C9">
              <w:rPr>
                <w:rFonts w:ascii="Arial" w:hAnsi="Arial" w:cs="Arial"/>
                <w:color w:val="000000"/>
                <w:sz w:val="22"/>
                <w:szCs w:val="22"/>
                <w:lang w:val="en-US" w:eastAsia="en-US"/>
              </w:rPr>
              <w:t>7</w:t>
            </w:r>
          </w:p>
        </w:tc>
        <w:tc>
          <w:tcPr>
            <w:tcW w:w="1251" w:type="dxa"/>
            <w:tcBorders>
              <w:top w:val="single" w:sz="4" w:space="0" w:color="auto"/>
              <w:bottom w:val="single" w:sz="4" w:space="0" w:color="auto"/>
            </w:tcBorders>
            <w:shd w:val="clear" w:color="FFFFFF" w:fill="FFFFFF"/>
            <w:noWrap/>
            <w:vAlign w:val="center"/>
            <w:hideMark/>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93,9%</w:t>
            </w:r>
          </w:p>
        </w:tc>
      </w:tr>
      <w:tr w:rsidR="004914B1" w:rsidRPr="004914B1" w:rsidTr="004914B1">
        <w:trPr>
          <w:trHeight w:val="278"/>
          <w:jc w:val="center"/>
        </w:trPr>
        <w:tc>
          <w:tcPr>
            <w:tcW w:w="4552" w:type="dxa"/>
            <w:shd w:val="clear" w:color="auto" w:fill="auto"/>
            <w:vAlign w:val="center"/>
            <w:hideMark/>
          </w:tcPr>
          <w:p w:rsidR="004914B1" w:rsidRPr="004914B1" w:rsidRDefault="004914B1" w:rsidP="004914B1">
            <w:pPr>
              <w:widowControl/>
              <w:autoSpaceDE/>
              <w:autoSpaceDN/>
              <w:adjustRightInd/>
              <w:spacing w:after="200" w:line="276" w:lineRule="auto"/>
              <w:contextualSpacing/>
              <w:rPr>
                <w:rFonts w:ascii="Arial" w:eastAsia="Calibri" w:hAnsi="Arial" w:cs="Arial"/>
                <w:bCs/>
                <w:color w:val="000000"/>
                <w:sz w:val="22"/>
                <w:szCs w:val="22"/>
                <w:lang w:val="en-US" w:eastAsia="en-US"/>
              </w:rPr>
            </w:pPr>
            <w:r w:rsidRPr="004914B1">
              <w:rPr>
                <w:rFonts w:ascii="Arial" w:eastAsia="Calibri" w:hAnsi="Arial" w:cs="Arial"/>
                <w:bCs/>
                <w:color w:val="000000"/>
                <w:sz w:val="22"/>
                <w:szCs w:val="22"/>
                <w:lang w:val="en-US" w:eastAsia="en-US"/>
              </w:rPr>
              <w:t>Cheltuieli cu impozite, taxe și vărsaminte asimilate</w:t>
            </w:r>
          </w:p>
        </w:tc>
        <w:tc>
          <w:tcPr>
            <w:tcW w:w="1371" w:type="dxa"/>
            <w:tcBorders>
              <w:top w:val="single" w:sz="4" w:space="0" w:color="auto"/>
              <w:bottom w:val="single" w:sz="4" w:space="0" w:color="auto"/>
            </w:tcBorders>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15.135</w:t>
            </w:r>
          </w:p>
        </w:tc>
        <w:tc>
          <w:tcPr>
            <w:tcW w:w="1371" w:type="dxa"/>
            <w:tcBorders>
              <w:top w:val="single" w:sz="4" w:space="0" w:color="auto"/>
              <w:left w:val="nil"/>
              <w:bottom w:val="single" w:sz="4" w:space="0" w:color="auto"/>
              <w:right w:val="nil"/>
            </w:tcBorders>
            <w:shd w:val="clear" w:color="auto" w:fill="auto"/>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15.160</w:t>
            </w:r>
          </w:p>
        </w:tc>
        <w:tc>
          <w:tcPr>
            <w:tcW w:w="1251" w:type="dxa"/>
            <w:tcBorders>
              <w:top w:val="single" w:sz="4" w:space="0" w:color="auto"/>
              <w:bottom w:val="single" w:sz="4" w:space="0" w:color="auto"/>
            </w:tcBorders>
            <w:shd w:val="clear" w:color="FFFFFF" w:fill="FFFFFF"/>
            <w:noWrap/>
            <w:vAlign w:val="center"/>
            <w:hideMark/>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99,8%</w:t>
            </w:r>
          </w:p>
        </w:tc>
      </w:tr>
      <w:tr w:rsidR="004914B1" w:rsidRPr="004914B1" w:rsidTr="004914B1">
        <w:trPr>
          <w:trHeight w:val="291"/>
          <w:jc w:val="center"/>
        </w:trPr>
        <w:tc>
          <w:tcPr>
            <w:tcW w:w="4552" w:type="dxa"/>
            <w:shd w:val="clear" w:color="auto" w:fill="auto"/>
            <w:vAlign w:val="center"/>
            <w:hideMark/>
          </w:tcPr>
          <w:p w:rsidR="004914B1" w:rsidRPr="004914B1" w:rsidRDefault="004914B1" w:rsidP="004914B1">
            <w:pPr>
              <w:widowControl/>
              <w:autoSpaceDE/>
              <w:autoSpaceDN/>
              <w:adjustRightInd/>
              <w:spacing w:after="200" w:line="276" w:lineRule="auto"/>
              <w:contextualSpacing/>
              <w:rPr>
                <w:rFonts w:ascii="Arial" w:eastAsia="Calibri" w:hAnsi="Arial" w:cs="Arial"/>
                <w:bCs/>
                <w:color w:val="000000"/>
                <w:sz w:val="22"/>
                <w:szCs w:val="22"/>
                <w:lang w:val="en-US" w:eastAsia="en-US"/>
              </w:rPr>
            </w:pPr>
            <w:r w:rsidRPr="004914B1">
              <w:rPr>
                <w:rFonts w:ascii="Arial" w:eastAsia="Calibri" w:hAnsi="Arial" w:cs="Arial"/>
                <w:bCs/>
                <w:color w:val="000000"/>
                <w:sz w:val="22"/>
                <w:szCs w:val="22"/>
                <w:lang w:val="en-US" w:eastAsia="en-US"/>
              </w:rPr>
              <w:t>Cheltuieli cu personalul, din care  :</w:t>
            </w:r>
          </w:p>
        </w:tc>
        <w:tc>
          <w:tcPr>
            <w:tcW w:w="1371" w:type="dxa"/>
            <w:tcBorders>
              <w:top w:val="single" w:sz="4" w:space="0" w:color="auto"/>
              <w:bottom w:val="single" w:sz="4" w:space="0" w:color="auto"/>
            </w:tcBorders>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65.958</w:t>
            </w:r>
          </w:p>
        </w:tc>
        <w:tc>
          <w:tcPr>
            <w:tcW w:w="1371" w:type="dxa"/>
            <w:tcBorders>
              <w:top w:val="single" w:sz="4" w:space="0" w:color="auto"/>
              <w:left w:val="nil"/>
              <w:bottom w:val="single" w:sz="4" w:space="0" w:color="auto"/>
              <w:right w:val="nil"/>
            </w:tcBorders>
            <w:shd w:val="clear" w:color="auto" w:fill="auto"/>
            <w:noWrap/>
            <w:vAlign w:val="center"/>
          </w:tcPr>
          <w:p w:rsidR="004914B1" w:rsidRPr="004914B1" w:rsidRDefault="004914B1" w:rsidP="00A871C9">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67.59</w:t>
            </w:r>
            <w:r w:rsidR="00A871C9">
              <w:rPr>
                <w:rFonts w:ascii="Arial" w:hAnsi="Arial" w:cs="Arial"/>
                <w:color w:val="000000"/>
                <w:sz w:val="22"/>
                <w:szCs w:val="22"/>
                <w:lang w:val="en-US" w:eastAsia="en-US"/>
              </w:rPr>
              <w:t>3</w:t>
            </w:r>
          </w:p>
        </w:tc>
        <w:tc>
          <w:tcPr>
            <w:tcW w:w="1251" w:type="dxa"/>
            <w:tcBorders>
              <w:top w:val="single" w:sz="4" w:space="0" w:color="auto"/>
              <w:bottom w:val="single" w:sz="4" w:space="0" w:color="auto"/>
            </w:tcBorders>
            <w:shd w:val="clear" w:color="FFFFFF" w:fill="FFFFFF"/>
            <w:noWrap/>
            <w:vAlign w:val="center"/>
            <w:hideMark/>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97,6%</w:t>
            </w:r>
          </w:p>
        </w:tc>
      </w:tr>
      <w:tr w:rsidR="004914B1" w:rsidRPr="004914B1" w:rsidTr="004914B1">
        <w:trPr>
          <w:trHeight w:val="291"/>
          <w:jc w:val="center"/>
        </w:trPr>
        <w:tc>
          <w:tcPr>
            <w:tcW w:w="4552" w:type="dxa"/>
            <w:shd w:val="clear" w:color="auto" w:fill="auto"/>
            <w:noWrap/>
            <w:vAlign w:val="center"/>
          </w:tcPr>
          <w:p w:rsidR="004914B1" w:rsidRPr="004914B1" w:rsidRDefault="004914B1" w:rsidP="004914B1">
            <w:pPr>
              <w:widowControl/>
              <w:autoSpaceDE/>
              <w:autoSpaceDN/>
              <w:adjustRightInd/>
              <w:spacing w:after="200" w:line="276" w:lineRule="auto"/>
              <w:contextualSpacing/>
              <w:rPr>
                <w:rFonts w:ascii="Arial" w:eastAsia="Calibri" w:hAnsi="Arial" w:cs="Arial"/>
                <w:bCs/>
                <w:color w:val="000000"/>
                <w:sz w:val="22"/>
                <w:szCs w:val="22"/>
                <w:lang w:val="en-US" w:eastAsia="en-US"/>
              </w:rPr>
            </w:pPr>
            <w:r w:rsidRPr="004914B1">
              <w:rPr>
                <w:rFonts w:ascii="Arial" w:eastAsia="Calibri" w:hAnsi="Arial" w:cs="Arial"/>
                <w:bCs/>
                <w:color w:val="000000"/>
                <w:sz w:val="22"/>
                <w:szCs w:val="22"/>
                <w:lang w:val="en-US" w:eastAsia="en-US"/>
              </w:rPr>
              <w:t>Cheltuieli de natură salarială</w:t>
            </w:r>
            <w:r>
              <w:rPr>
                <w:rFonts w:ascii="Arial" w:eastAsia="Calibri" w:hAnsi="Arial" w:cs="Arial"/>
                <w:bCs/>
                <w:color w:val="000000"/>
                <w:sz w:val="22"/>
                <w:szCs w:val="22"/>
                <w:lang w:val="en-US" w:eastAsia="en-US"/>
              </w:rPr>
              <w:t>:</w:t>
            </w:r>
          </w:p>
        </w:tc>
        <w:tc>
          <w:tcPr>
            <w:tcW w:w="1371" w:type="dxa"/>
            <w:tcBorders>
              <w:top w:val="single" w:sz="4" w:space="0" w:color="auto"/>
              <w:left w:val="nil"/>
              <w:bottom w:val="single" w:sz="4" w:space="0" w:color="auto"/>
              <w:right w:val="nil"/>
            </w:tcBorders>
            <w:shd w:val="clear" w:color="auto" w:fill="auto"/>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61.561</w:t>
            </w:r>
          </w:p>
        </w:tc>
        <w:tc>
          <w:tcPr>
            <w:tcW w:w="1371" w:type="dxa"/>
            <w:tcBorders>
              <w:top w:val="single" w:sz="4" w:space="0" w:color="auto"/>
              <w:bottom w:val="single" w:sz="4" w:space="0" w:color="auto"/>
            </w:tcBorders>
            <w:shd w:val="clear" w:color="FFFFFF" w:fill="FFFFFF"/>
            <w:noWrap/>
            <w:vAlign w:val="center"/>
          </w:tcPr>
          <w:p w:rsidR="004914B1" w:rsidRPr="004914B1" w:rsidRDefault="004914B1" w:rsidP="00A871C9">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62.</w:t>
            </w:r>
            <w:r w:rsidR="00501B00">
              <w:rPr>
                <w:rFonts w:ascii="Arial" w:hAnsi="Arial" w:cs="Arial"/>
                <w:color w:val="000000"/>
                <w:sz w:val="22"/>
                <w:szCs w:val="22"/>
                <w:lang w:val="en-US" w:eastAsia="en-US"/>
              </w:rPr>
              <w:t>9</w:t>
            </w:r>
            <w:r w:rsidR="00A871C9">
              <w:rPr>
                <w:rFonts w:ascii="Arial" w:hAnsi="Arial" w:cs="Arial"/>
                <w:color w:val="000000"/>
                <w:sz w:val="22"/>
                <w:szCs w:val="22"/>
                <w:lang w:val="en-US" w:eastAsia="en-US"/>
              </w:rPr>
              <w:t>08</w:t>
            </w:r>
          </w:p>
        </w:tc>
        <w:tc>
          <w:tcPr>
            <w:tcW w:w="1251" w:type="dxa"/>
            <w:tcBorders>
              <w:top w:val="single" w:sz="4" w:space="0" w:color="auto"/>
              <w:bottom w:val="single" w:sz="4" w:space="0" w:color="auto"/>
            </w:tcBorders>
            <w:shd w:val="clear" w:color="FFFFFF" w:fill="FFFFFF"/>
            <w:noWrap/>
            <w:vAlign w:val="center"/>
            <w:hideMark/>
          </w:tcPr>
          <w:p w:rsidR="004914B1" w:rsidRPr="004914B1" w:rsidRDefault="004914B1" w:rsidP="00501B00">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9</w:t>
            </w:r>
            <w:r w:rsidR="00501B00">
              <w:rPr>
                <w:rFonts w:ascii="Arial" w:hAnsi="Arial" w:cs="Arial"/>
                <w:color w:val="000000"/>
                <w:sz w:val="22"/>
                <w:szCs w:val="22"/>
                <w:lang w:val="en-US" w:eastAsia="en-US"/>
              </w:rPr>
              <w:t>7,9</w:t>
            </w:r>
            <w:r w:rsidRPr="004914B1">
              <w:rPr>
                <w:rFonts w:ascii="Arial" w:hAnsi="Arial" w:cs="Arial"/>
                <w:color w:val="000000"/>
                <w:sz w:val="22"/>
                <w:szCs w:val="22"/>
                <w:lang w:val="en-US" w:eastAsia="en-US"/>
              </w:rPr>
              <w:t>%</w:t>
            </w:r>
          </w:p>
        </w:tc>
      </w:tr>
      <w:tr w:rsidR="004914B1" w:rsidRPr="004914B1" w:rsidTr="004914B1">
        <w:trPr>
          <w:trHeight w:val="278"/>
          <w:jc w:val="center"/>
        </w:trPr>
        <w:tc>
          <w:tcPr>
            <w:tcW w:w="4552" w:type="dxa"/>
            <w:shd w:val="clear" w:color="auto" w:fill="auto"/>
            <w:vAlign w:val="center"/>
          </w:tcPr>
          <w:p w:rsidR="004914B1" w:rsidRPr="004914B1" w:rsidRDefault="004914B1" w:rsidP="004914B1">
            <w:pPr>
              <w:widowControl/>
              <w:autoSpaceDE/>
              <w:autoSpaceDN/>
              <w:adjustRightInd/>
              <w:spacing w:after="200" w:line="276" w:lineRule="auto"/>
              <w:contextualSpacing/>
              <w:rPr>
                <w:rFonts w:ascii="Arial" w:eastAsia="Calibri" w:hAnsi="Arial" w:cs="Arial"/>
                <w:bCs/>
                <w:color w:val="000000"/>
                <w:sz w:val="22"/>
                <w:szCs w:val="22"/>
                <w:lang w:val="en-US" w:eastAsia="en-US"/>
              </w:rPr>
            </w:pPr>
            <w:r>
              <w:rPr>
                <w:rFonts w:ascii="Arial" w:eastAsia="Calibri" w:hAnsi="Arial" w:cs="Arial"/>
                <w:bCs/>
                <w:color w:val="000000"/>
                <w:sz w:val="22"/>
                <w:szCs w:val="22"/>
                <w:lang w:val="en-US" w:eastAsia="en-US"/>
              </w:rPr>
              <w:t xml:space="preserve">- </w:t>
            </w:r>
            <w:r w:rsidRPr="004914B1">
              <w:rPr>
                <w:rFonts w:ascii="Arial" w:eastAsia="Calibri" w:hAnsi="Arial" w:cs="Arial"/>
                <w:bCs/>
                <w:color w:val="000000"/>
                <w:sz w:val="22"/>
                <w:szCs w:val="22"/>
                <w:lang w:val="en-US" w:eastAsia="en-US"/>
              </w:rPr>
              <w:t>cheltuieli cu salariile</w:t>
            </w:r>
          </w:p>
        </w:tc>
        <w:tc>
          <w:tcPr>
            <w:tcW w:w="1371" w:type="dxa"/>
            <w:tcBorders>
              <w:top w:val="single" w:sz="4" w:space="0" w:color="auto"/>
              <w:left w:val="nil"/>
              <w:bottom w:val="single" w:sz="4" w:space="0" w:color="auto"/>
              <w:right w:val="nil"/>
            </w:tcBorders>
            <w:shd w:val="clear" w:color="auto" w:fill="auto"/>
            <w:noWrap/>
            <w:vAlign w:val="center"/>
          </w:tcPr>
          <w:p w:rsidR="004914B1" w:rsidRPr="004914B1" w:rsidRDefault="004914B1" w:rsidP="00501B00">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5</w:t>
            </w:r>
            <w:r w:rsidR="00501B00">
              <w:rPr>
                <w:rFonts w:ascii="Arial" w:hAnsi="Arial" w:cs="Arial"/>
                <w:color w:val="000000"/>
                <w:sz w:val="22"/>
                <w:szCs w:val="22"/>
                <w:lang w:val="en-US" w:eastAsia="en-US"/>
              </w:rPr>
              <w:t>6</w:t>
            </w:r>
            <w:r w:rsidRPr="004914B1">
              <w:rPr>
                <w:rFonts w:ascii="Arial" w:hAnsi="Arial" w:cs="Arial"/>
                <w:color w:val="000000"/>
                <w:sz w:val="22"/>
                <w:szCs w:val="22"/>
                <w:lang w:val="en-US" w:eastAsia="en-US"/>
              </w:rPr>
              <w:t>.316</w:t>
            </w:r>
          </w:p>
        </w:tc>
        <w:tc>
          <w:tcPr>
            <w:tcW w:w="1371" w:type="dxa"/>
            <w:tcBorders>
              <w:top w:val="single" w:sz="4" w:space="0" w:color="auto"/>
              <w:bottom w:val="single" w:sz="4" w:space="0" w:color="auto"/>
            </w:tcBorders>
            <w:shd w:val="clear" w:color="FFFFFF" w:fill="FFFFFF"/>
            <w:noWrap/>
            <w:vAlign w:val="center"/>
          </w:tcPr>
          <w:p w:rsidR="004914B1" w:rsidRPr="004914B1" w:rsidRDefault="004914B1" w:rsidP="00A871C9">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57.77</w:t>
            </w:r>
            <w:r w:rsidR="00A871C9">
              <w:rPr>
                <w:rFonts w:ascii="Arial" w:hAnsi="Arial" w:cs="Arial"/>
                <w:color w:val="000000"/>
                <w:sz w:val="22"/>
                <w:szCs w:val="22"/>
                <w:lang w:val="en-US" w:eastAsia="en-US"/>
              </w:rPr>
              <w:t>1</w:t>
            </w:r>
          </w:p>
        </w:tc>
        <w:tc>
          <w:tcPr>
            <w:tcW w:w="1251" w:type="dxa"/>
            <w:tcBorders>
              <w:top w:val="single" w:sz="4" w:space="0" w:color="auto"/>
              <w:bottom w:val="single" w:sz="4" w:space="0" w:color="auto"/>
            </w:tcBorders>
            <w:shd w:val="clear" w:color="FFFFFF" w:fill="FFFFFF"/>
            <w:noWrap/>
            <w:vAlign w:val="center"/>
            <w:hideMark/>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97,5%</w:t>
            </w:r>
          </w:p>
        </w:tc>
      </w:tr>
      <w:tr w:rsidR="004914B1" w:rsidRPr="004914B1" w:rsidTr="004914B1">
        <w:trPr>
          <w:trHeight w:val="278"/>
          <w:jc w:val="center"/>
        </w:trPr>
        <w:tc>
          <w:tcPr>
            <w:tcW w:w="4552" w:type="dxa"/>
            <w:shd w:val="clear" w:color="auto" w:fill="auto"/>
            <w:vAlign w:val="center"/>
          </w:tcPr>
          <w:p w:rsidR="004914B1" w:rsidRPr="004914B1" w:rsidRDefault="004914B1" w:rsidP="004914B1">
            <w:pPr>
              <w:widowControl/>
              <w:autoSpaceDE/>
              <w:autoSpaceDN/>
              <w:adjustRightInd/>
              <w:spacing w:after="200" w:line="276" w:lineRule="auto"/>
              <w:contextualSpacing/>
              <w:rPr>
                <w:rFonts w:ascii="Arial" w:eastAsia="Calibri" w:hAnsi="Arial" w:cs="Arial"/>
                <w:bCs/>
                <w:color w:val="000000"/>
                <w:sz w:val="22"/>
                <w:szCs w:val="22"/>
                <w:lang w:val="en-US" w:eastAsia="en-US"/>
              </w:rPr>
            </w:pPr>
            <w:r>
              <w:rPr>
                <w:rFonts w:ascii="Arial" w:eastAsia="Calibri" w:hAnsi="Arial" w:cs="Arial"/>
                <w:bCs/>
                <w:color w:val="000000"/>
                <w:sz w:val="22"/>
                <w:szCs w:val="22"/>
                <w:lang w:val="en-US" w:eastAsia="en-US"/>
              </w:rPr>
              <w:t xml:space="preserve">- </w:t>
            </w:r>
            <w:r w:rsidRPr="004914B1">
              <w:rPr>
                <w:rFonts w:ascii="Arial" w:eastAsia="Calibri" w:hAnsi="Arial" w:cs="Arial"/>
                <w:bCs/>
                <w:color w:val="000000"/>
                <w:sz w:val="22"/>
                <w:szCs w:val="22"/>
                <w:lang w:val="en-US" w:eastAsia="en-US"/>
              </w:rPr>
              <w:t>bonusuri</w:t>
            </w:r>
          </w:p>
        </w:tc>
        <w:tc>
          <w:tcPr>
            <w:tcW w:w="1371" w:type="dxa"/>
            <w:tcBorders>
              <w:top w:val="single" w:sz="4" w:space="0" w:color="auto"/>
              <w:left w:val="nil"/>
              <w:bottom w:val="single" w:sz="4" w:space="0" w:color="auto"/>
              <w:right w:val="nil"/>
            </w:tcBorders>
            <w:shd w:val="clear" w:color="auto" w:fill="auto"/>
            <w:noWrap/>
            <w:vAlign w:val="center"/>
          </w:tcPr>
          <w:p w:rsidR="004914B1" w:rsidRPr="004914B1" w:rsidRDefault="004914B1" w:rsidP="00C10AF7">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5.24</w:t>
            </w:r>
            <w:r w:rsidR="00C10AF7">
              <w:rPr>
                <w:rFonts w:ascii="Arial" w:hAnsi="Arial" w:cs="Arial"/>
                <w:color w:val="000000"/>
                <w:sz w:val="22"/>
                <w:szCs w:val="22"/>
                <w:lang w:val="en-US" w:eastAsia="en-US"/>
              </w:rPr>
              <w:t>5</w:t>
            </w:r>
          </w:p>
        </w:tc>
        <w:tc>
          <w:tcPr>
            <w:tcW w:w="1371" w:type="dxa"/>
            <w:tcBorders>
              <w:top w:val="single" w:sz="4" w:space="0" w:color="auto"/>
              <w:bottom w:val="single" w:sz="4" w:space="0" w:color="auto"/>
            </w:tcBorders>
            <w:shd w:val="clear" w:color="FFFFFF" w:fill="FFFFFF"/>
            <w:noWrap/>
            <w:vAlign w:val="center"/>
          </w:tcPr>
          <w:p w:rsidR="004914B1" w:rsidRPr="004914B1" w:rsidRDefault="00A871C9" w:rsidP="004914B1">
            <w:pPr>
              <w:widowControl/>
              <w:autoSpaceDE/>
              <w:autoSpaceDN/>
              <w:adjustRightInd/>
              <w:jc w:val="right"/>
              <w:rPr>
                <w:rFonts w:ascii="Arial" w:hAnsi="Arial" w:cs="Arial"/>
                <w:color w:val="000000"/>
                <w:sz w:val="22"/>
                <w:szCs w:val="22"/>
                <w:lang w:val="en-US" w:eastAsia="en-US"/>
              </w:rPr>
            </w:pPr>
            <w:r>
              <w:rPr>
                <w:rFonts w:ascii="Arial" w:hAnsi="Arial" w:cs="Arial"/>
                <w:color w:val="000000"/>
                <w:sz w:val="22"/>
                <w:szCs w:val="22"/>
                <w:lang w:val="en-US" w:eastAsia="en-US"/>
              </w:rPr>
              <w:t>5.137</w:t>
            </w:r>
          </w:p>
        </w:tc>
        <w:tc>
          <w:tcPr>
            <w:tcW w:w="1251" w:type="dxa"/>
            <w:tcBorders>
              <w:top w:val="single" w:sz="4" w:space="0" w:color="auto"/>
              <w:bottom w:val="single" w:sz="4" w:space="0" w:color="auto"/>
            </w:tcBorders>
            <w:shd w:val="clear" w:color="FFFFFF" w:fill="FFFFFF"/>
            <w:noWrap/>
            <w:vAlign w:val="center"/>
            <w:hideMark/>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102,1%</w:t>
            </w:r>
          </w:p>
        </w:tc>
      </w:tr>
      <w:tr w:rsidR="004914B1" w:rsidRPr="004914B1" w:rsidTr="004914B1">
        <w:trPr>
          <w:trHeight w:val="325"/>
          <w:jc w:val="center"/>
        </w:trPr>
        <w:tc>
          <w:tcPr>
            <w:tcW w:w="4552" w:type="dxa"/>
            <w:shd w:val="clear" w:color="auto" w:fill="auto"/>
            <w:vAlign w:val="center"/>
          </w:tcPr>
          <w:p w:rsidR="004914B1" w:rsidRPr="004914B1" w:rsidRDefault="004914B1" w:rsidP="004914B1">
            <w:pPr>
              <w:widowControl/>
              <w:autoSpaceDE/>
              <w:autoSpaceDN/>
              <w:adjustRightInd/>
              <w:spacing w:after="200" w:line="276" w:lineRule="auto"/>
              <w:contextualSpacing/>
              <w:rPr>
                <w:rFonts w:ascii="Arial" w:eastAsia="Calibri" w:hAnsi="Arial" w:cs="Arial"/>
                <w:bCs/>
                <w:color w:val="000000"/>
                <w:sz w:val="22"/>
                <w:szCs w:val="22"/>
                <w:lang w:val="en-US" w:eastAsia="en-US"/>
              </w:rPr>
            </w:pPr>
            <w:r w:rsidRPr="004914B1">
              <w:rPr>
                <w:rFonts w:ascii="Arial" w:eastAsia="Calibri" w:hAnsi="Arial" w:cs="Arial"/>
                <w:bCs/>
                <w:color w:val="000000"/>
                <w:sz w:val="22"/>
                <w:szCs w:val="22"/>
                <w:lang w:val="en-US" w:eastAsia="en-US"/>
              </w:rPr>
              <w:t>Alte cheltuieli cu personalul, din care:</w:t>
            </w:r>
          </w:p>
        </w:tc>
        <w:tc>
          <w:tcPr>
            <w:tcW w:w="1371" w:type="dxa"/>
            <w:tcBorders>
              <w:top w:val="single" w:sz="4" w:space="0" w:color="auto"/>
              <w:left w:val="nil"/>
              <w:bottom w:val="single" w:sz="4" w:space="0" w:color="auto"/>
              <w:right w:val="nil"/>
            </w:tcBorders>
            <w:shd w:val="clear" w:color="auto" w:fill="auto"/>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1.569</w:t>
            </w:r>
          </w:p>
        </w:tc>
        <w:tc>
          <w:tcPr>
            <w:tcW w:w="1371" w:type="dxa"/>
            <w:tcBorders>
              <w:top w:val="single" w:sz="4" w:space="0" w:color="auto"/>
              <w:bottom w:val="single" w:sz="4" w:space="0" w:color="auto"/>
            </w:tcBorders>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1.517</w:t>
            </w:r>
          </w:p>
        </w:tc>
        <w:tc>
          <w:tcPr>
            <w:tcW w:w="1251" w:type="dxa"/>
            <w:tcBorders>
              <w:top w:val="single" w:sz="4" w:space="0" w:color="auto"/>
              <w:bottom w:val="single" w:sz="4" w:space="0" w:color="auto"/>
            </w:tcBorders>
            <w:shd w:val="clear" w:color="FFFFFF" w:fill="FFFFFF"/>
            <w:noWrap/>
            <w:vAlign w:val="center"/>
            <w:hideMark/>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103,4%</w:t>
            </w:r>
          </w:p>
        </w:tc>
      </w:tr>
      <w:tr w:rsidR="004914B1" w:rsidRPr="004914B1" w:rsidTr="004914B1">
        <w:trPr>
          <w:trHeight w:val="240"/>
          <w:jc w:val="center"/>
        </w:trPr>
        <w:tc>
          <w:tcPr>
            <w:tcW w:w="4552" w:type="dxa"/>
            <w:shd w:val="clear" w:color="auto" w:fill="auto"/>
            <w:vAlign w:val="center"/>
          </w:tcPr>
          <w:p w:rsidR="004914B1" w:rsidRPr="004914B1" w:rsidRDefault="004914B1" w:rsidP="004914B1">
            <w:pPr>
              <w:widowControl/>
              <w:autoSpaceDE/>
              <w:autoSpaceDN/>
              <w:adjustRightInd/>
              <w:rPr>
                <w:rFonts w:ascii="Arial" w:hAnsi="Arial" w:cs="Arial"/>
                <w:color w:val="000000"/>
                <w:sz w:val="22"/>
                <w:szCs w:val="22"/>
                <w:lang w:val="en-US" w:eastAsia="en-US"/>
              </w:rPr>
            </w:pPr>
            <w:r>
              <w:rPr>
                <w:rFonts w:ascii="Arial" w:hAnsi="Arial" w:cs="Arial"/>
                <w:color w:val="000000"/>
                <w:sz w:val="22"/>
                <w:szCs w:val="22"/>
                <w:lang w:val="en-US" w:eastAsia="en-US"/>
              </w:rPr>
              <w:t xml:space="preserve">- </w:t>
            </w:r>
            <w:r w:rsidRPr="004914B1">
              <w:rPr>
                <w:rFonts w:ascii="Arial" w:hAnsi="Arial" w:cs="Arial"/>
                <w:color w:val="000000"/>
                <w:sz w:val="22"/>
                <w:szCs w:val="22"/>
                <w:lang w:val="en-US" w:eastAsia="en-US"/>
              </w:rPr>
              <w:t>cheltuieli cu plăți compensatorii aferente   disponibilizărilor de personal</w:t>
            </w:r>
          </w:p>
        </w:tc>
        <w:tc>
          <w:tcPr>
            <w:tcW w:w="1371" w:type="dxa"/>
            <w:tcBorders>
              <w:top w:val="single" w:sz="4" w:space="0" w:color="auto"/>
              <w:left w:val="nil"/>
              <w:bottom w:val="single" w:sz="4" w:space="0" w:color="auto"/>
              <w:right w:val="nil"/>
            </w:tcBorders>
            <w:shd w:val="clear" w:color="auto" w:fill="auto"/>
            <w:noWrap/>
            <w:vAlign w:val="center"/>
          </w:tcPr>
          <w:p w:rsidR="004914B1" w:rsidRPr="004914B1" w:rsidRDefault="004914B1" w:rsidP="00501B00">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1.56</w:t>
            </w:r>
            <w:r w:rsidR="00501B00">
              <w:rPr>
                <w:rFonts w:ascii="Arial" w:hAnsi="Arial" w:cs="Arial"/>
                <w:color w:val="000000"/>
                <w:sz w:val="22"/>
                <w:szCs w:val="22"/>
                <w:lang w:val="en-US" w:eastAsia="en-US"/>
              </w:rPr>
              <w:t>9</w:t>
            </w:r>
          </w:p>
        </w:tc>
        <w:tc>
          <w:tcPr>
            <w:tcW w:w="1371" w:type="dxa"/>
            <w:tcBorders>
              <w:top w:val="single" w:sz="4" w:space="0" w:color="auto"/>
              <w:bottom w:val="single" w:sz="4" w:space="0" w:color="auto"/>
            </w:tcBorders>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1.517</w:t>
            </w:r>
          </w:p>
        </w:tc>
        <w:tc>
          <w:tcPr>
            <w:tcW w:w="1251" w:type="dxa"/>
            <w:tcBorders>
              <w:top w:val="single" w:sz="4" w:space="0" w:color="auto"/>
              <w:bottom w:val="single" w:sz="4" w:space="0" w:color="auto"/>
            </w:tcBorders>
            <w:shd w:val="clear" w:color="FFFFFF" w:fill="FFFFFF"/>
            <w:noWrap/>
            <w:vAlign w:val="center"/>
            <w:hideMark/>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103,4%</w:t>
            </w:r>
          </w:p>
        </w:tc>
      </w:tr>
      <w:tr w:rsidR="004914B1" w:rsidRPr="004914B1" w:rsidTr="004914B1">
        <w:trPr>
          <w:trHeight w:val="557"/>
          <w:jc w:val="center"/>
        </w:trPr>
        <w:tc>
          <w:tcPr>
            <w:tcW w:w="4552" w:type="dxa"/>
            <w:shd w:val="clear" w:color="auto" w:fill="auto"/>
            <w:vAlign w:val="center"/>
          </w:tcPr>
          <w:p w:rsidR="004914B1" w:rsidRPr="00C10AF7" w:rsidRDefault="004914B1" w:rsidP="000603A7">
            <w:pPr>
              <w:rPr>
                <w:rFonts w:ascii="Arial" w:hAnsi="Arial" w:cs="Arial"/>
                <w:bCs/>
                <w:color w:val="000000"/>
                <w:sz w:val="22"/>
                <w:szCs w:val="22"/>
                <w:lang w:val="en-US"/>
              </w:rPr>
            </w:pPr>
            <w:r w:rsidRPr="00C10AF7">
              <w:rPr>
                <w:rFonts w:ascii="Arial" w:hAnsi="Arial" w:cs="Arial"/>
                <w:bCs/>
                <w:color w:val="000000"/>
                <w:sz w:val="22"/>
                <w:szCs w:val="22"/>
                <w:lang w:val="en-US"/>
              </w:rPr>
              <w:t>Cheltuieli aferente organe de conducere și control, CA și A.G.A.</w:t>
            </w:r>
          </w:p>
        </w:tc>
        <w:tc>
          <w:tcPr>
            <w:tcW w:w="1371" w:type="dxa"/>
            <w:tcBorders>
              <w:top w:val="single" w:sz="4" w:space="0" w:color="auto"/>
              <w:left w:val="nil"/>
              <w:bottom w:val="single" w:sz="4" w:space="0" w:color="auto"/>
              <w:right w:val="nil"/>
            </w:tcBorders>
            <w:shd w:val="clear" w:color="auto" w:fill="auto"/>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741</w:t>
            </w:r>
          </w:p>
        </w:tc>
        <w:tc>
          <w:tcPr>
            <w:tcW w:w="1371" w:type="dxa"/>
            <w:tcBorders>
              <w:top w:val="single" w:sz="4" w:space="0" w:color="auto"/>
              <w:bottom w:val="single" w:sz="4" w:space="0" w:color="auto"/>
            </w:tcBorders>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1.035</w:t>
            </w:r>
          </w:p>
        </w:tc>
        <w:tc>
          <w:tcPr>
            <w:tcW w:w="1251" w:type="dxa"/>
            <w:tcBorders>
              <w:top w:val="single" w:sz="4" w:space="0" w:color="auto"/>
              <w:bottom w:val="single" w:sz="4" w:space="0" w:color="auto"/>
            </w:tcBorders>
            <w:shd w:val="clear" w:color="FFFFFF" w:fill="FFFFFF"/>
            <w:noWrap/>
            <w:vAlign w:val="center"/>
            <w:hideMark/>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71,6%</w:t>
            </w:r>
          </w:p>
        </w:tc>
      </w:tr>
      <w:tr w:rsidR="004914B1" w:rsidRPr="004914B1" w:rsidTr="004914B1">
        <w:trPr>
          <w:trHeight w:val="431"/>
          <w:jc w:val="center"/>
        </w:trPr>
        <w:tc>
          <w:tcPr>
            <w:tcW w:w="4552" w:type="dxa"/>
            <w:shd w:val="clear" w:color="auto" w:fill="auto"/>
            <w:vAlign w:val="center"/>
          </w:tcPr>
          <w:p w:rsidR="004914B1" w:rsidRPr="004914B1" w:rsidRDefault="004914B1" w:rsidP="004914B1">
            <w:pPr>
              <w:widowControl/>
              <w:autoSpaceDE/>
              <w:autoSpaceDN/>
              <w:adjustRightInd/>
              <w:spacing w:after="200" w:line="276" w:lineRule="auto"/>
              <w:contextualSpacing/>
              <w:rPr>
                <w:rFonts w:ascii="Arial" w:eastAsia="Calibri" w:hAnsi="Arial" w:cs="Arial"/>
                <w:bCs/>
                <w:color w:val="000000"/>
                <w:sz w:val="22"/>
                <w:szCs w:val="22"/>
                <w:lang w:eastAsia="en-US"/>
              </w:rPr>
            </w:pPr>
            <w:r w:rsidRPr="004914B1">
              <w:rPr>
                <w:rFonts w:ascii="Arial" w:eastAsia="Calibri" w:hAnsi="Arial" w:cs="Arial"/>
                <w:bCs/>
                <w:color w:val="000000"/>
                <w:sz w:val="22"/>
                <w:szCs w:val="22"/>
                <w:lang w:val="en-US" w:eastAsia="en-US"/>
              </w:rPr>
              <w:t>Cheltuieli cu contribu</w:t>
            </w:r>
            <w:r w:rsidRPr="004914B1">
              <w:rPr>
                <w:rFonts w:ascii="Arial" w:eastAsia="Calibri" w:hAnsi="Arial" w:cs="Arial"/>
                <w:bCs/>
                <w:color w:val="000000"/>
                <w:sz w:val="22"/>
                <w:szCs w:val="22"/>
                <w:lang w:eastAsia="en-US"/>
              </w:rPr>
              <w:t>țiile datorate de angajator</w:t>
            </w:r>
          </w:p>
        </w:tc>
        <w:tc>
          <w:tcPr>
            <w:tcW w:w="1371" w:type="dxa"/>
            <w:tcBorders>
              <w:top w:val="single" w:sz="4" w:space="0" w:color="auto"/>
              <w:left w:val="nil"/>
              <w:bottom w:val="single" w:sz="4" w:space="0" w:color="auto"/>
              <w:right w:val="nil"/>
            </w:tcBorders>
            <w:shd w:val="clear" w:color="auto" w:fill="auto"/>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2.088</w:t>
            </w:r>
          </w:p>
        </w:tc>
        <w:tc>
          <w:tcPr>
            <w:tcW w:w="1371" w:type="dxa"/>
            <w:tcBorders>
              <w:top w:val="single" w:sz="4" w:space="0" w:color="auto"/>
              <w:bottom w:val="single" w:sz="4" w:space="0" w:color="auto"/>
            </w:tcBorders>
            <w:shd w:val="clear" w:color="FFFFFF" w:fill="FFFFFF"/>
            <w:noWrap/>
            <w:vAlign w:val="center"/>
          </w:tcPr>
          <w:p w:rsidR="004914B1" w:rsidRPr="004914B1" w:rsidRDefault="004914B1" w:rsidP="00A871C9">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2.13</w:t>
            </w:r>
            <w:r w:rsidR="00A871C9">
              <w:rPr>
                <w:rFonts w:ascii="Arial" w:hAnsi="Arial" w:cs="Arial"/>
                <w:color w:val="000000"/>
                <w:sz w:val="22"/>
                <w:szCs w:val="22"/>
                <w:lang w:val="en-US" w:eastAsia="en-US"/>
              </w:rPr>
              <w:t>2</w:t>
            </w:r>
          </w:p>
        </w:tc>
        <w:tc>
          <w:tcPr>
            <w:tcW w:w="1251" w:type="dxa"/>
            <w:tcBorders>
              <w:top w:val="single" w:sz="4" w:space="0" w:color="auto"/>
              <w:bottom w:val="single" w:sz="4" w:space="0" w:color="auto"/>
            </w:tcBorders>
            <w:shd w:val="clear" w:color="FFFFFF" w:fill="FFFFFF"/>
            <w:noWrap/>
            <w:vAlign w:val="center"/>
            <w:hideMark/>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97,9%</w:t>
            </w:r>
          </w:p>
        </w:tc>
      </w:tr>
      <w:tr w:rsidR="004914B1" w:rsidRPr="004914B1" w:rsidTr="004914B1">
        <w:trPr>
          <w:trHeight w:val="253"/>
          <w:jc w:val="center"/>
        </w:trPr>
        <w:tc>
          <w:tcPr>
            <w:tcW w:w="4552" w:type="dxa"/>
            <w:shd w:val="clear" w:color="auto" w:fill="auto"/>
            <w:vAlign w:val="center"/>
            <w:hideMark/>
          </w:tcPr>
          <w:p w:rsidR="004914B1" w:rsidRPr="004914B1" w:rsidRDefault="004914B1" w:rsidP="004914B1">
            <w:pPr>
              <w:widowControl/>
              <w:autoSpaceDE/>
              <w:autoSpaceDN/>
              <w:adjustRightInd/>
              <w:spacing w:after="200" w:line="276" w:lineRule="auto"/>
              <w:contextualSpacing/>
              <w:rPr>
                <w:rFonts w:ascii="Arial" w:eastAsia="Calibri" w:hAnsi="Arial" w:cs="Arial"/>
                <w:bCs/>
                <w:color w:val="000000"/>
                <w:sz w:val="22"/>
                <w:szCs w:val="22"/>
                <w:lang w:val="en-US" w:eastAsia="en-US"/>
              </w:rPr>
            </w:pPr>
            <w:r w:rsidRPr="004914B1">
              <w:rPr>
                <w:rFonts w:ascii="Arial" w:eastAsia="Calibri" w:hAnsi="Arial" w:cs="Arial"/>
                <w:bCs/>
                <w:color w:val="000000"/>
                <w:sz w:val="22"/>
                <w:szCs w:val="22"/>
                <w:lang w:val="en-US" w:eastAsia="en-US"/>
              </w:rPr>
              <w:t>Alte cheltuieli de exploatare</w:t>
            </w:r>
          </w:p>
        </w:tc>
        <w:tc>
          <w:tcPr>
            <w:tcW w:w="1371" w:type="dxa"/>
            <w:tcBorders>
              <w:top w:val="single" w:sz="4" w:space="0" w:color="auto"/>
              <w:bottom w:val="single" w:sz="4" w:space="0" w:color="auto"/>
            </w:tcBorders>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51.574</w:t>
            </w:r>
          </w:p>
        </w:tc>
        <w:tc>
          <w:tcPr>
            <w:tcW w:w="1371" w:type="dxa"/>
            <w:tcBorders>
              <w:top w:val="single" w:sz="4" w:space="0" w:color="auto"/>
              <w:left w:val="nil"/>
              <w:bottom w:val="single" w:sz="4" w:space="0" w:color="auto"/>
              <w:right w:val="nil"/>
            </w:tcBorders>
            <w:shd w:val="clear" w:color="auto" w:fill="auto"/>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43.587</w:t>
            </w:r>
          </w:p>
        </w:tc>
        <w:tc>
          <w:tcPr>
            <w:tcW w:w="1251" w:type="dxa"/>
            <w:tcBorders>
              <w:top w:val="single" w:sz="4" w:space="0" w:color="auto"/>
              <w:bottom w:val="single" w:sz="4" w:space="0" w:color="auto"/>
            </w:tcBorders>
            <w:shd w:val="clear" w:color="FFFFFF" w:fill="FFFFFF"/>
            <w:noWrap/>
            <w:vAlign w:val="center"/>
            <w:hideMark/>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118,3%</w:t>
            </w:r>
          </w:p>
        </w:tc>
      </w:tr>
      <w:tr w:rsidR="004914B1" w:rsidRPr="004914B1" w:rsidTr="000603A7">
        <w:trPr>
          <w:trHeight w:val="352"/>
          <w:jc w:val="center"/>
        </w:trPr>
        <w:tc>
          <w:tcPr>
            <w:tcW w:w="4552" w:type="dxa"/>
            <w:shd w:val="clear" w:color="auto" w:fill="auto"/>
            <w:vAlign w:val="center"/>
            <w:hideMark/>
          </w:tcPr>
          <w:p w:rsidR="004914B1" w:rsidRPr="004914B1" w:rsidRDefault="004914B1" w:rsidP="006652E0">
            <w:pPr>
              <w:widowControl/>
              <w:autoSpaceDE/>
              <w:autoSpaceDN/>
              <w:adjustRightInd/>
              <w:rPr>
                <w:rFonts w:ascii="Arial" w:hAnsi="Arial" w:cs="Arial"/>
                <w:bCs/>
                <w:color w:val="000000"/>
                <w:sz w:val="22"/>
                <w:szCs w:val="22"/>
                <w:lang w:val="en-US" w:eastAsia="en-US"/>
              </w:rPr>
            </w:pPr>
            <w:r w:rsidRPr="004914B1">
              <w:rPr>
                <w:rFonts w:ascii="Arial" w:hAnsi="Arial" w:cs="Arial"/>
                <w:bCs/>
                <w:color w:val="000000"/>
                <w:sz w:val="22"/>
                <w:szCs w:val="22"/>
                <w:lang w:val="en-US" w:eastAsia="en-US"/>
              </w:rPr>
              <w:t xml:space="preserve"> 2.</w:t>
            </w:r>
            <w:r w:rsidR="006652E0">
              <w:rPr>
                <w:rFonts w:ascii="Arial" w:hAnsi="Arial" w:cs="Arial"/>
                <w:bCs/>
                <w:color w:val="000000"/>
                <w:sz w:val="22"/>
                <w:szCs w:val="22"/>
                <w:lang w:val="en-US" w:eastAsia="en-US"/>
              </w:rPr>
              <w:t>2</w:t>
            </w:r>
            <w:r w:rsidRPr="004914B1">
              <w:rPr>
                <w:rFonts w:ascii="Arial" w:hAnsi="Arial" w:cs="Arial"/>
                <w:bCs/>
                <w:color w:val="000000"/>
                <w:sz w:val="22"/>
                <w:szCs w:val="22"/>
                <w:lang w:val="en-US" w:eastAsia="en-US"/>
              </w:rPr>
              <w:t xml:space="preserve"> Cheltuieli financiare</w:t>
            </w:r>
          </w:p>
        </w:tc>
        <w:tc>
          <w:tcPr>
            <w:tcW w:w="1371" w:type="dxa"/>
            <w:tcBorders>
              <w:top w:val="single" w:sz="4" w:space="0" w:color="auto"/>
              <w:bottom w:val="single" w:sz="4" w:space="0" w:color="auto"/>
            </w:tcBorders>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4</w:t>
            </w:r>
          </w:p>
        </w:tc>
        <w:tc>
          <w:tcPr>
            <w:tcW w:w="1371" w:type="dxa"/>
            <w:tcBorders>
              <w:top w:val="single" w:sz="4" w:space="0" w:color="auto"/>
              <w:left w:val="nil"/>
              <w:bottom w:val="single" w:sz="4" w:space="0" w:color="auto"/>
              <w:right w:val="nil"/>
            </w:tcBorders>
            <w:shd w:val="clear" w:color="auto" w:fill="auto"/>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50</w:t>
            </w:r>
          </w:p>
        </w:tc>
        <w:tc>
          <w:tcPr>
            <w:tcW w:w="1251" w:type="dxa"/>
            <w:tcBorders>
              <w:top w:val="single" w:sz="4" w:space="0" w:color="auto"/>
              <w:bottom w:val="single" w:sz="4" w:space="0" w:color="auto"/>
            </w:tcBorders>
            <w:shd w:val="clear" w:color="FFFFFF" w:fill="FFFFFF"/>
            <w:noWrap/>
            <w:vAlign w:val="center"/>
            <w:hideMark/>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8,7%</w:t>
            </w:r>
          </w:p>
        </w:tc>
      </w:tr>
      <w:tr w:rsidR="004914B1" w:rsidRPr="004914B1" w:rsidTr="000603A7">
        <w:trPr>
          <w:trHeight w:val="343"/>
          <w:jc w:val="center"/>
        </w:trPr>
        <w:tc>
          <w:tcPr>
            <w:tcW w:w="4552" w:type="dxa"/>
            <w:shd w:val="clear" w:color="auto" w:fill="auto"/>
            <w:vAlign w:val="center"/>
            <w:hideMark/>
          </w:tcPr>
          <w:p w:rsidR="004914B1" w:rsidRPr="004914B1" w:rsidRDefault="004914B1" w:rsidP="004914B1">
            <w:pPr>
              <w:widowControl/>
              <w:autoSpaceDE/>
              <w:autoSpaceDN/>
              <w:adjustRightInd/>
              <w:rPr>
                <w:rFonts w:ascii="Arial" w:hAnsi="Arial" w:cs="Arial"/>
                <w:b/>
                <w:bCs/>
                <w:color w:val="000000"/>
                <w:sz w:val="22"/>
                <w:szCs w:val="22"/>
                <w:lang w:val="en-US" w:eastAsia="en-US"/>
              </w:rPr>
            </w:pPr>
            <w:r w:rsidRPr="004914B1">
              <w:rPr>
                <w:rFonts w:ascii="Arial" w:hAnsi="Arial" w:cs="Arial"/>
                <w:b/>
                <w:bCs/>
                <w:color w:val="000000"/>
                <w:sz w:val="22"/>
                <w:szCs w:val="22"/>
                <w:lang w:val="en-US" w:eastAsia="en-US"/>
              </w:rPr>
              <w:t>REZULTATUL BRUT (profit/pierdere)</w:t>
            </w:r>
          </w:p>
        </w:tc>
        <w:tc>
          <w:tcPr>
            <w:tcW w:w="1371" w:type="dxa"/>
            <w:tcBorders>
              <w:top w:val="single" w:sz="4" w:space="0" w:color="auto"/>
              <w:bottom w:val="single" w:sz="4" w:space="0" w:color="auto"/>
            </w:tcBorders>
            <w:shd w:val="clear" w:color="FFFFFF" w:fill="FFFFFF"/>
            <w:noWrap/>
            <w:vAlign w:val="center"/>
          </w:tcPr>
          <w:p w:rsidR="004914B1" w:rsidRPr="00501B00" w:rsidRDefault="004914B1" w:rsidP="004914B1">
            <w:pPr>
              <w:widowControl/>
              <w:autoSpaceDE/>
              <w:autoSpaceDN/>
              <w:adjustRightInd/>
              <w:jc w:val="right"/>
              <w:rPr>
                <w:rFonts w:ascii="Arial" w:hAnsi="Arial" w:cs="Arial"/>
                <w:b/>
                <w:color w:val="000000"/>
                <w:sz w:val="22"/>
                <w:szCs w:val="22"/>
                <w:lang w:val="en-US" w:eastAsia="en-US"/>
              </w:rPr>
            </w:pPr>
            <w:r w:rsidRPr="00501B00">
              <w:rPr>
                <w:rFonts w:ascii="Arial" w:hAnsi="Arial" w:cs="Arial"/>
                <w:b/>
                <w:color w:val="000000"/>
                <w:sz w:val="22"/>
                <w:szCs w:val="22"/>
                <w:lang w:val="en-US" w:eastAsia="en-US"/>
              </w:rPr>
              <w:t>25.624</w:t>
            </w:r>
          </w:p>
        </w:tc>
        <w:tc>
          <w:tcPr>
            <w:tcW w:w="1371" w:type="dxa"/>
            <w:tcBorders>
              <w:top w:val="single" w:sz="4" w:space="0" w:color="auto"/>
              <w:left w:val="nil"/>
              <w:bottom w:val="single" w:sz="4" w:space="0" w:color="auto"/>
              <w:right w:val="nil"/>
            </w:tcBorders>
            <w:shd w:val="clear" w:color="auto" w:fill="auto"/>
            <w:noWrap/>
            <w:vAlign w:val="center"/>
          </w:tcPr>
          <w:p w:rsidR="004914B1" w:rsidRPr="00501B00" w:rsidRDefault="004914B1" w:rsidP="004914B1">
            <w:pPr>
              <w:widowControl/>
              <w:autoSpaceDE/>
              <w:autoSpaceDN/>
              <w:adjustRightInd/>
              <w:jc w:val="right"/>
              <w:rPr>
                <w:rFonts w:ascii="Arial" w:hAnsi="Arial" w:cs="Arial"/>
                <w:b/>
                <w:color w:val="000000"/>
                <w:sz w:val="22"/>
                <w:szCs w:val="22"/>
                <w:lang w:val="en-US" w:eastAsia="en-US"/>
              </w:rPr>
            </w:pPr>
            <w:r w:rsidRPr="00501B00">
              <w:rPr>
                <w:rFonts w:ascii="Arial" w:hAnsi="Arial" w:cs="Arial"/>
                <w:b/>
                <w:color w:val="000000"/>
                <w:sz w:val="22"/>
                <w:szCs w:val="22"/>
                <w:lang w:val="en-US" w:eastAsia="en-US"/>
              </w:rPr>
              <w:t>24.625</w:t>
            </w:r>
          </w:p>
        </w:tc>
        <w:tc>
          <w:tcPr>
            <w:tcW w:w="1251" w:type="dxa"/>
            <w:tcBorders>
              <w:top w:val="single" w:sz="4" w:space="0" w:color="auto"/>
              <w:bottom w:val="single" w:sz="4" w:space="0" w:color="auto"/>
            </w:tcBorders>
            <w:shd w:val="clear" w:color="FFFFFF" w:fill="FFFFFF"/>
            <w:noWrap/>
            <w:vAlign w:val="center"/>
            <w:hideMark/>
          </w:tcPr>
          <w:p w:rsidR="004914B1" w:rsidRPr="00501B00" w:rsidRDefault="004914B1" w:rsidP="004914B1">
            <w:pPr>
              <w:widowControl/>
              <w:autoSpaceDE/>
              <w:autoSpaceDN/>
              <w:adjustRightInd/>
              <w:jc w:val="right"/>
              <w:rPr>
                <w:rFonts w:ascii="Arial" w:hAnsi="Arial" w:cs="Arial"/>
                <w:b/>
                <w:color w:val="000000"/>
                <w:sz w:val="22"/>
                <w:szCs w:val="22"/>
                <w:lang w:val="en-US" w:eastAsia="en-US"/>
              </w:rPr>
            </w:pPr>
            <w:r w:rsidRPr="00501B00">
              <w:rPr>
                <w:rFonts w:ascii="Arial" w:hAnsi="Arial" w:cs="Arial"/>
                <w:b/>
                <w:color w:val="000000"/>
                <w:sz w:val="22"/>
                <w:szCs w:val="22"/>
                <w:lang w:val="en-US" w:eastAsia="en-US"/>
              </w:rPr>
              <w:t>104,1%</w:t>
            </w:r>
          </w:p>
        </w:tc>
      </w:tr>
      <w:tr w:rsidR="004914B1" w:rsidRPr="004914B1" w:rsidTr="000603A7">
        <w:trPr>
          <w:trHeight w:val="262"/>
          <w:jc w:val="center"/>
        </w:trPr>
        <w:tc>
          <w:tcPr>
            <w:tcW w:w="4552" w:type="dxa"/>
            <w:shd w:val="clear" w:color="auto" w:fill="auto"/>
            <w:vAlign w:val="center"/>
            <w:hideMark/>
          </w:tcPr>
          <w:p w:rsidR="004914B1" w:rsidRPr="004914B1" w:rsidRDefault="004914B1" w:rsidP="004914B1">
            <w:pPr>
              <w:widowControl/>
              <w:autoSpaceDE/>
              <w:autoSpaceDN/>
              <w:adjustRightInd/>
              <w:rPr>
                <w:rFonts w:ascii="Arial" w:hAnsi="Arial" w:cs="Arial"/>
                <w:b/>
                <w:bCs/>
                <w:color w:val="000000"/>
                <w:sz w:val="22"/>
                <w:szCs w:val="22"/>
                <w:lang w:val="en-US" w:eastAsia="en-US"/>
              </w:rPr>
            </w:pPr>
            <w:r w:rsidRPr="004914B1">
              <w:rPr>
                <w:rFonts w:ascii="Arial" w:hAnsi="Arial" w:cs="Arial"/>
                <w:b/>
                <w:bCs/>
                <w:color w:val="000000"/>
                <w:sz w:val="22"/>
                <w:szCs w:val="22"/>
                <w:lang w:val="en-US" w:eastAsia="en-US"/>
              </w:rPr>
              <w:t>IMPOZIT PE PROFIT</w:t>
            </w:r>
          </w:p>
        </w:tc>
        <w:tc>
          <w:tcPr>
            <w:tcW w:w="1371" w:type="dxa"/>
            <w:tcBorders>
              <w:top w:val="single" w:sz="4" w:space="0" w:color="auto"/>
              <w:bottom w:val="single" w:sz="4" w:space="0" w:color="auto"/>
            </w:tcBorders>
            <w:shd w:val="clear" w:color="FFFFFF" w:fill="FFFFFF"/>
            <w:noWrap/>
            <w:vAlign w:val="center"/>
          </w:tcPr>
          <w:p w:rsidR="004914B1" w:rsidRPr="00501B00" w:rsidRDefault="00765089" w:rsidP="004914B1">
            <w:pPr>
              <w:widowControl/>
              <w:autoSpaceDE/>
              <w:autoSpaceDN/>
              <w:adjustRightInd/>
              <w:jc w:val="right"/>
              <w:rPr>
                <w:rFonts w:ascii="Arial" w:hAnsi="Arial" w:cs="Arial"/>
                <w:b/>
                <w:color w:val="000000"/>
                <w:sz w:val="22"/>
                <w:szCs w:val="22"/>
                <w:lang w:val="en-US" w:eastAsia="en-US"/>
              </w:rPr>
            </w:pPr>
            <w:r>
              <w:rPr>
                <w:rFonts w:ascii="Arial" w:hAnsi="Arial" w:cs="Arial"/>
                <w:b/>
                <w:color w:val="000000"/>
                <w:sz w:val="22"/>
                <w:szCs w:val="22"/>
                <w:lang w:val="en-US" w:eastAsia="en-US"/>
              </w:rPr>
              <w:t>3.998</w:t>
            </w:r>
          </w:p>
        </w:tc>
        <w:tc>
          <w:tcPr>
            <w:tcW w:w="1371" w:type="dxa"/>
            <w:tcBorders>
              <w:top w:val="single" w:sz="4" w:space="0" w:color="auto"/>
              <w:left w:val="nil"/>
              <w:bottom w:val="single" w:sz="4" w:space="0" w:color="auto"/>
              <w:right w:val="nil"/>
            </w:tcBorders>
            <w:shd w:val="clear" w:color="auto" w:fill="auto"/>
            <w:noWrap/>
            <w:vAlign w:val="center"/>
          </w:tcPr>
          <w:p w:rsidR="004914B1" w:rsidRPr="00501B00" w:rsidRDefault="004914B1" w:rsidP="004914B1">
            <w:pPr>
              <w:widowControl/>
              <w:autoSpaceDE/>
              <w:autoSpaceDN/>
              <w:adjustRightInd/>
              <w:jc w:val="right"/>
              <w:rPr>
                <w:rFonts w:ascii="Arial" w:hAnsi="Arial" w:cs="Arial"/>
                <w:b/>
                <w:color w:val="000000"/>
                <w:sz w:val="22"/>
                <w:szCs w:val="22"/>
                <w:lang w:val="en-US" w:eastAsia="en-US"/>
              </w:rPr>
            </w:pPr>
            <w:r w:rsidRPr="00501B00">
              <w:rPr>
                <w:rFonts w:ascii="Arial" w:hAnsi="Arial" w:cs="Arial"/>
                <w:b/>
                <w:color w:val="000000"/>
                <w:sz w:val="22"/>
                <w:szCs w:val="22"/>
                <w:lang w:val="en-US" w:eastAsia="en-US"/>
              </w:rPr>
              <w:t>4.104</w:t>
            </w:r>
          </w:p>
        </w:tc>
        <w:tc>
          <w:tcPr>
            <w:tcW w:w="1251" w:type="dxa"/>
            <w:tcBorders>
              <w:top w:val="single" w:sz="4" w:space="0" w:color="auto"/>
              <w:bottom w:val="single" w:sz="4" w:space="0" w:color="auto"/>
            </w:tcBorders>
            <w:shd w:val="clear" w:color="FFFFFF" w:fill="FFFFFF"/>
            <w:noWrap/>
            <w:vAlign w:val="center"/>
            <w:hideMark/>
          </w:tcPr>
          <w:p w:rsidR="004914B1" w:rsidRPr="00501B00" w:rsidRDefault="004914B1" w:rsidP="004914B1">
            <w:pPr>
              <w:widowControl/>
              <w:autoSpaceDE/>
              <w:autoSpaceDN/>
              <w:adjustRightInd/>
              <w:jc w:val="right"/>
              <w:rPr>
                <w:rFonts w:ascii="Arial" w:hAnsi="Arial" w:cs="Arial"/>
                <w:b/>
                <w:color w:val="000000"/>
                <w:sz w:val="22"/>
                <w:szCs w:val="22"/>
                <w:lang w:val="en-US" w:eastAsia="en-US"/>
              </w:rPr>
            </w:pPr>
            <w:r w:rsidRPr="00501B00">
              <w:rPr>
                <w:rFonts w:ascii="Arial" w:hAnsi="Arial" w:cs="Arial"/>
                <w:b/>
                <w:color w:val="000000"/>
                <w:sz w:val="22"/>
                <w:szCs w:val="22"/>
                <w:lang w:val="en-US" w:eastAsia="en-US"/>
              </w:rPr>
              <w:t>97,4%</w:t>
            </w:r>
          </w:p>
        </w:tc>
      </w:tr>
      <w:tr w:rsidR="004914B1" w:rsidRPr="004914B1" w:rsidTr="004914B1">
        <w:trPr>
          <w:trHeight w:val="453"/>
          <w:jc w:val="center"/>
        </w:trPr>
        <w:tc>
          <w:tcPr>
            <w:tcW w:w="4552" w:type="dxa"/>
            <w:shd w:val="clear" w:color="auto" w:fill="auto"/>
            <w:hideMark/>
          </w:tcPr>
          <w:p w:rsidR="004914B1" w:rsidRPr="004914B1" w:rsidRDefault="004914B1" w:rsidP="004914B1">
            <w:pPr>
              <w:widowControl/>
              <w:autoSpaceDE/>
              <w:autoSpaceDN/>
              <w:adjustRightInd/>
              <w:rPr>
                <w:rFonts w:ascii="Arial" w:hAnsi="Arial" w:cs="Arial"/>
                <w:b/>
                <w:bCs/>
                <w:color w:val="000000"/>
                <w:sz w:val="22"/>
                <w:szCs w:val="22"/>
                <w:lang w:val="en-US" w:eastAsia="en-US"/>
              </w:rPr>
            </w:pPr>
            <w:r w:rsidRPr="004914B1">
              <w:rPr>
                <w:rFonts w:ascii="Arial" w:hAnsi="Arial" w:cs="Arial"/>
                <w:b/>
                <w:bCs/>
                <w:color w:val="000000"/>
                <w:sz w:val="22"/>
                <w:szCs w:val="22"/>
                <w:lang w:val="en-US" w:eastAsia="en-US"/>
              </w:rPr>
              <w:t>PROFITUL CONTABIL RĂMAS DUPĂ DEDUCEREA IMPOZITULUI PE PROFIT</w:t>
            </w:r>
          </w:p>
        </w:tc>
        <w:tc>
          <w:tcPr>
            <w:tcW w:w="1371" w:type="dxa"/>
            <w:tcBorders>
              <w:top w:val="single" w:sz="4" w:space="0" w:color="auto"/>
              <w:bottom w:val="single" w:sz="4" w:space="0" w:color="auto"/>
            </w:tcBorders>
            <w:shd w:val="clear" w:color="FFFFFF" w:fill="FFFFFF"/>
            <w:noWrap/>
            <w:vAlign w:val="center"/>
          </w:tcPr>
          <w:p w:rsidR="004914B1" w:rsidRPr="00501B00" w:rsidRDefault="004914B1" w:rsidP="004914B1">
            <w:pPr>
              <w:widowControl/>
              <w:autoSpaceDE/>
              <w:autoSpaceDN/>
              <w:adjustRightInd/>
              <w:jc w:val="right"/>
              <w:rPr>
                <w:rFonts w:ascii="Arial" w:hAnsi="Arial" w:cs="Arial"/>
                <w:b/>
                <w:color w:val="000000"/>
                <w:sz w:val="22"/>
                <w:szCs w:val="22"/>
                <w:lang w:val="en-US" w:eastAsia="en-US"/>
              </w:rPr>
            </w:pPr>
            <w:r w:rsidRPr="00501B00">
              <w:rPr>
                <w:rFonts w:ascii="Arial" w:hAnsi="Arial" w:cs="Arial"/>
                <w:b/>
                <w:color w:val="000000"/>
                <w:sz w:val="22"/>
                <w:szCs w:val="22"/>
                <w:lang w:val="en-US" w:eastAsia="en-US"/>
              </w:rPr>
              <w:t>21.626</w:t>
            </w:r>
          </w:p>
        </w:tc>
        <w:tc>
          <w:tcPr>
            <w:tcW w:w="1371" w:type="dxa"/>
            <w:tcBorders>
              <w:top w:val="single" w:sz="4" w:space="0" w:color="auto"/>
              <w:left w:val="nil"/>
              <w:bottom w:val="single" w:sz="4" w:space="0" w:color="auto"/>
              <w:right w:val="nil"/>
            </w:tcBorders>
            <w:shd w:val="clear" w:color="auto" w:fill="auto"/>
            <w:noWrap/>
            <w:vAlign w:val="center"/>
          </w:tcPr>
          <w:p w:rsidR="004914B1" w:rsidRPr="00501B00" w:rsidRDefault="004914B1" w:rsidP="004914B1">
            <w:pPr>
              <w:widowControl/>
              <w:autoSpaceDE/>
              <w:autoSpaceDN/>
              <w:adjustRightInd/>
              <w:jc w:val="right"/>
              <w:rPr>
                <w:rFonts w:ascii="Arial" w:hAnsi="Arial" w:cs="Arial"/>
                <w:b/>
                <w:color w:val="000000"/>
                <w:sz w:val="22"/>
                <w:szCs w:val="22"/>
                <w:lang w:val="en-US" w:eastAsia="en-US"/>
              </w:rPr>
            </w:pPr>
            <w:r w:rsidRPr="00501B00">
              <w:rPr>
                <w:rFonts w:ascii="Arial" w:hAnsi="Arial" w:cs="Arial"/>
                <w:b/>
                <w:color w:val="000000"/>
                <w:sz w:val="22"/>
                <w:szCs w:val="22"/>
                <w:lang w:val="en-US" w:eastAsia="en-US"/>
              </w:rPr>
              <w:t>20.521</w:t>
            </w:r>
          </w:p>
        </w:tc>
        <w:tc>
          <w:tcPr>
            <w:tcW w:w="1251" w:type="dxa"/>
            <w:tcBorders>
              <w:top w:val="single" w:sz="4" w:space="0" w:color="auto"/>
              <w:bottom w:val="single" w:sz="4" w:space="0" w:color="auto"/>
            </w:tcBorders>
            <w:shd w:val="clear" w:color="FFFFFF" w:fill="FFFFFF"/>
            <w:noWrap/>
            <w:vAlign w:val="center"/>
            <w:hideMark/>
          </w:tcPr>
          <w:p w:rsidR="004914B1" w:rsidRPr="00501B00" w:rsidRDefault="004914B1" w:rsidP="004914B1">
            <w:pPr>
              <w:widowControl/>
              <w:autoSpaceDE/>
              <w:autoSpaceDN/>
              <w:adjustRightInd/>
              <w:jc w:val="right"/>
              <w:rPr>
                <w:rFonts w:ascii="Arial" w:hAnsi="Arial" w:cs="Arial"/>
                <w:b/>
                <w:color w:val="000000"/>
                <w:sz w:val="22"/>
                <w:szCs w:val="22"/>
                <w:lang w:val="en-US" w:eastAsia="en-US"/>
              </w:rPr>
            </w:pPr>
            <w:r w:rsidRPr="00501B00">
              <w:rPr>
                <w:rFonts w:ascii="Arial" w:hAnsi="Arial" w:cs="Arial"/>
                <w:b/>
                <w:color w:val="000000"/>
                <w:sz w:val="22"/>
                <w:szCs w:val="22"/>
                <w:lang w:val="en-US" w:eastAsia="en-US"/>
              </w:rPr>
              <w:t>105,4%</w:t>
            </w:r>
          </w:p>
        </w:tc>
      </w:tr>
      <w:tr w:rsidR="004914B1" w:rsidRPr="004914B1" w:rsidTr="004914B1">
        <w:trPr>
          <w:trHeight w:val="333"/>
          <w:jc w:val="center"/>
        </w:trPr>
        <w:tc>
          <w:tcPr>
            <w:tcW w:w="4552" w:type="dxa"/>
            <w:shd w:val="clear" w:color="auto" w:fill="auto"/>
            <w:vAlign w:val="center"/>
            <w:hideMark/>
          </w:tcPr>
          <w:p w:rsidR="004914B1" w:rsidRPr="004914B1" w:rsidRDefault="004914B1" w:rsidP="004914B1">
            <w:pPr>
              <w:widowControl/>
              <w:autoSpaceDE/>
              <w:autoSpaceDN/>
              <w:adjustRightInd/>
              <w:rPr>
                <w:rFonts w:ascii="Arial" w:hAnsi="Arial" w:cs="Arial"/>
                <w:bCs/>
                <w:color w:val="000000"/>
                <w:sz w:val="22"/>
                <w:szCs w:val="22"/>
                <w:lang w:val="en-US" w:eastAsia="en-US"/>
              </w:rPr>
            </w:pPr>
            <w:r w:rsidRPr="004914B1">
              <w:rPr>
                <w:rFonts w:ascii="Arial" w:hAnsi="Arial" w:cs="Arial"/>
                <w:bCs/>
                <w:color w:val="000000"/>
                <w:sz w:val="22"/>
                <w:szCs w:val="22"/>
                <w:lang w:val="en-US" w:eastAsia="en-US"/>
              </w:rPr>
              <w:t>SURSE DE FINANŢARE A INVESTIŢIILOR</w:t>
            </w:r>
          </w:p>
        </w:tc>
        <w:tc>
          <w:tcPr>
            <w:tcW w:w="1371" w:type="dxa"/>
            <w:tcBorders>
              <w:top w:val="single" w:sz="4" w:space="0" w:color="auto"/>
            </w:tcBorders>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32.317</w:t>
            </w:r>
          </w:p>
        </w:tc>
        <w:tc>
          <w:tcPr>
            <w:tcW w:w="1371" w:type="dxa"/>
            <w:tcBorders>
              <w:top w:val="single" w:sz="4" w:space="0" w:color="auto"/>
            </w:tcBorders>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35.495</w:t>
            </w:r>
          </w:p>
        </w:tc>
        <w:tc>
          <w:tcPr>
            <w:tcW w:w="1251" w:type="dxa"/>
            <w:tcBorders>
              <w:top w:val="single" w:sz="4" w:space="0" w:color="auto"/>
            </w:tcBorders>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91,0%</w:t>
            </w:r>
          </w:p>
        </w:tc>
      </w:tr>
      <w:tr w:rsidR="004914B1" w:rsidRPr="004914B1" w:rsidTr="000603A7">
        <w:trPr>
          <w:trHeight w:val="217"/>
          <w:jc w:val="center"/>
        </w:trPr>
        <w:tc>
          <w:tcPr>
            <w:tcW w:w="4552" w:type="dxa"/>
            <w:shd w:val="clear" w:color="auto" w:fill="auto"/>
            <w:vAlign w:val="center"/>
            <w:hideMark/>
          </w:tcPr>
          <w:p w:rsidR="004914B1" w:rsidRPr="004914B1" w:rsidRDefault="004914B1" w:rsidP="004914B1">
            <w:pPr>
              <w:widowControl/>
              <w:autoSpaceDE/>
              <w:autoSpaceDN/>
              <w:adjustRightInd/>
              <w:rPr>
                <w:rFonts w:ascii="Arial" w:hAnsi="Arial" w:cs="Arial"/>
                <w:bCs/>
                <w:color w:val="000000"/>
                <w:sz w:val="22"/>
                <w:szCs w:val="22"/>
                <w:lang w:val="en-US" w:eastAsia="en-US"/>
              </w:rPr>
            </w:pPr>
            <w:r w:rsidRPr="004914B1">
              <w:rPr>
                <w:rFonts w:ascii="Arial" w:hAnsi="Arial" w:cs="Arial"/>
                <w:bCs/>
                <w:color w:val="000000"/>
                <w:sz w:val="22"/>
                <w:szCs w:val="22"/>
                <w:lang w:val="en-US" w:eastAsia="en-US"/>
              </w:rPr>
              <w:t>CHELTUIELI PENTRU INVESTIŢII</w:t>
            </w:r>
          </w:p>
        </w:tc>
        <w:tc>
          <w:tcPr>
            <w:tcW w:w="1371" w:type="dxa"/>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32.317</w:t>
            </w:r>
          </w:p>
        </w:tc>
        <w:tc>
          <w:tcPr>
            <w:tcW w:w="1371" w:type="dxa"/>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35.495</w:t>
            </w:r>
          </w:p>
        </w:tc>
        <w:tc>
          <w:tcPr>
            <w:tcW w:w="1251" w:type="dxa"/>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91,0%</w:t>
            </w:r>
          </w:p>
        </w:tc>
      </w:tr>
      <w:tr w:rsidR="004914B1" w:rsidRPr="004914B1" w:rsidTr="004914B1">
        <w:trPr>
          <w:trHeight w:val="240"/>
          <w:jc w:val="center"/>
        </w:trPr>
        <w:tc>
          <w:tcPr>
            <w:tcW w:w="4552" w:type="dxa"/>
            <w:shd w:val="clear" w:color="auto" w:fill="auto"/>
            <w:vAlign w:val="center"/>
            <w:hideMark/>
          </w:tcPr>
          <w:p w:rsidR="004914B1" w:rsidRPr="004914B1" w:rsidRDefault="004914B1" w:rsidP="004914B1">
            <w:pPr>
              <w:widowControl/>
              <w:autoSpaceDE/>
              <w:autoSpaceDN/>
              <w:adjustRightInd/>
              <w:rPr>
                <w:rFonts w:ascii="Arial" w:hAnsi="Arial" w:cs="Arial"/>
                <w:b/>
                <w:bCs/>
                <w:color w:val="000000"/>
                <w:sz w:val="22"/>
                <w:szCs w:val="22"/>
                <w:lang w:val="en-US" w:eastAsia="en-US"/>
              </w:rPr>
            </w:pPr>
            <w:r w:rsidRPr="004914B1">
              <w:rPr>
                <w:rFonts w:ascii="Arial" w:hAnsi="Arial" w:cs="Arial"/>
                <w:b/>
                <w:bCs/>
                <w:color w:val="000000"/>
                <w:sz w:val="22"/>
                <w:szCs w:val="22"/>
                <w:lang w:val="en-US" w:eastAsia="en-US"/>
              </w:rPr>
              <w:t>DATE DE FUNDAMENTARE</w:t>
            </w:r>
          </w:p>
        </w:tc>
        <w:tc>
          <w:tcPr>
            <w:tcW w:w="1371" w:type="dxa"/>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p>
        </w:tc>
        <w:tc>
          <w:tcPr>
            <w:tcW w:w="1371" w:type="dxa"/>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p>
        </w:tc>
        <w:tc>
          <w:tcPr>
            <w:tcW w:w="1251" w:type="dxa"/>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p>
        </w:tc>
      </w:tr>
      <w:tr w:rsidR="004914B1" w:rsidRPr="004914B1" w:rsidTr="004914B1">
        <w:trPr>
          <w:trHeight w:val="240"/>
          <w:jc w:val="center"/>
        </w:trPr>
        <w:tc>
          <w:tcPr>
            <w:tcW w:w="4552" w:type="dxa"/>
            <w:shd w:val="clear" w:color="auto" w:fill="auto"/>
            <w:vAlign w:val="center"/>
            <w:hideMark/>
          </w:tcPr>
          <w:p w:rsidR="004914B1" w:rsidRPr="004914B1" w:rsidRDefault="00C17B1F" w:rsidP="004914B1">
            <w:pPr>
              <w:widowControl/>
              <w:autoSpaceDE/>
              <w:autoSpaceDN/>
              <w:adjustRightInd/>
              <w:rPr>
                <w:rFonts w:ascii="Arial" w:hAnsi="Arial" w:cs="Arial"/>
                <w:bCs/>
                <w:color w:val="000000"/>
                <w:sz w:val="22"/>
                <w:szCs w:val="22"/>
                <w:lang w:val="en-US" w:eastAsia="en-US"/>
              </w:rPr>
            </w:pPr>
            <w:r>
              <w:rPr>
                <w:rFonts w:ascii="Arial" w:hAnsi="Arial" w:cs="Arial"/>
                <w:bCs/>
                <w:color w:val="000000"/>
                <w:sz w:val="22"/>
                <w:szCs w:val="22"/>
                <w:lang w:val="en-US" w:eastAsia="en-US"/>
              </w:rPr>
              <w:t xml:space="preserve">Nr. de personal </w:t>
            </w:r>
          </w:p>
        </w:tc>
        <w:tc>
          <w:tcPr>
            <w:tcW w:w="1371" w:type="dxa"/>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1.680</w:t>
            </w:r>
          </w:p>
        </w:tc>
        <w:tc>
          <w:tcPr>
            <w:tcW w:w="1371" w:type="dxa"/>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1.686</w:t>
            </w:r>
          </w:p>
        </w:tc>
        <w:tc>
          <w:tcPr>
            <w:tcW w:w="1251" w:type="dxa"/>
            <w:shd w:val="clear" w:color="FFFFFF" w:fill="FFFFFF"/>
            <w:noWrap/>
            <w:vAlign w:val="center"/>
          </w:tcPr>
          <w:p w:rsidR="004914B1" w:rsidRPr="004914B1" w:rsidRDefault="00512DB7" w:rsidP="004914B1">
            <w:pPr>
              <w:widowControl/>
              <w:autoSpaceDE/>
              <w:autoSpaceDN/>
              <w:adjustRightInd/>
              <w:jc w:val="right"/>
              <w:rPr>
                <w:rFonts w:ascii="Arial" w:hAnsi="Arial" w:cs="Arial"/>
                <w:color w:val="000000"/>
                <w:sz w:val="22"/>
                <w:szCs w:val="22"/>
                <w:lang w:val="en-US" w:eastAsia="en-US"/>
              </w:rPr>
            </w:pPr>
            <w:r>
              <w:rPr>
                <w:rFonts w:ascii="Arial" w:hAnsi="Arial" w:cs="Arial"/>
                <w:color w:val="000000"/>
                <w:sz w:val="22"/>
                <w:szCs w:val="22"/>
                <w:lang w:val="en-US" w:eastAsia="en-US"/>
              </w:rPr>
              <w:t>99,6</w:t>
            </w:r>
            <w:r w:rsidR="004914B1" w:rsidRPr="004914B1">
              <w:rPr>
                <w:rFonts w:ascii="Arial" w:hAnsi="Arial" w:cs="Arial"/>
                <w:color w:val="000000"/>
                <w:sz w:val="22"/>
                <w:szCs w:val="22"/>
                <w:lang w:val="en-US" w:eastAsia="en-US"/>
              </w:rPr>
              <w:t>%</w:t>
            </w:r>
          </w:p>
        </w:tc>
      </w:tr>
      <w:tr w:rsidR="004914B1" w:rsidRPr="004914B1" w:rsidTr="004914B1">
        <w:trPr>
          <w:trHeight w:val="240"/>
          <w:jc w:val="center"/>
        </w:trPr>
        <w:tc>
          <w:tcPr>
            <w:tcW w:w="4552" w:type="dxa"/>
            <w:shd w:val="clear" w:color="auto" w:fill="auto"/>
            <w:vAlign w:val="center"/>
            <w:hideMark/>
          </w:tcPr>
          <w:p w:rsidR="004914B1" w:rsidRPr="004914B1" w:rsidRDefault="004914B1" w:rsidP="004914B1">
            <w:pPr>
              <w:widowControl/>
              <w:autoSpaceDE/>
              <w:autoSpaceDN/>
              <w:adjustRightInd/>
              <w:rPr>
                <w:rFonts w:ascii="Arial" w:hAnsi="Arial" w:cs="Arial"/>
                <w:bCs/>
                <w:color w:val="000000"/>
                <w:sz w:val="22"/>
                <w:szCs w:val="22"/>
                <w:lang w:val="en-US" w:eastAsia="en-US"/>
              </w:rPr>
            </w:pPr>
            <w:r w:rsidRPr="004914B1">
              <w:rPr>
                <w:rFonts w:ascii="Arial" w:hAnsi="Arial" w:cs="Arial"/>
                <w:bCs/>
                <w:color w:val="000000"/>
                <w:sz w:val="22"/>
                <w:szCs w:val="22"/>
                <w:lang w:val="en-US" w:eastAsia="en-US"/>
              </w:rPr>
              <w:t>Nr. mediu de salariaţi total</w:t>
            </w:r>
          </w:p>
        </w:tc>
        <w:tc>
          <w:tcPr>
            <w:tcW w:w="1371" w:type="dxa"/>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1.660</w:t>
            </w:r>
          </w:p>
        </w:tc>
        <w:tc>
          <w:tcPr>
            <w:tcW w:w="1371" w:type="dxa"/>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1.670</w:t>
            </w:r>
          </w:p>
        </w:tc>
        <w:tc>
          <w:tcPr>
            <w:tcW w:w="1251" w:type="dxa"/>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99,4%</w:t>
            </w:r>
          </w:p>
        </w:tc>
      </w:tr>
      <w:tr w:rsidR="004914B1" w:rsidRPr="004914B1" w:rsidTr="004914B1">
        <w:trPr>
          <w:trHeight w:val="240"/>
          <w:jc w:val="center"/>
        </w:trPr>
        <w:tc>
          <w:tcPr>
            <w:tcW w:w="4552" w:type="dxa"/>
            <w:shd w:val="clear" w:color="auto" w:fill="auto"/>
            <w:vAlign w:val="center"/>
            <w:hideMark/>
          </w:tcPr>
          <w:p w:rsidR="004914B1" w:rsidRPr="004914B1" w:rsidRDefault="004914B1" w:rsidP="004914B1">
            <w:pPr>
              <w:widowControl/>
              <w:autoSpaceDE/>
              <w:autoSpaceDN/>
              <w:adjustRightInd/>
              <w:rPr>
                <w:rFonts w:ascii="Arial" w:hAnsi="Arial" w:cs="Arial"/>
                <w:bCs/>
                <w:color w:val="000000"/>
                <w:sz w:val="22"/>
                <w:szCs w:val="22"/>
                <w:lang w:val="en-US" w:eastAsia="en-US"/>
              </w:rPr>
            </w:pPr>
            <w:r w:rsidRPr="004914B1">
              <w:rPr>
                <w:rFonts w:ascii="Arial" w:hAnsi="Arial" w:cs="Arial"/>
                <w:bCs/>
                <w:color w:val="000000"/>
                <w:sz w:val="22"/>
                <w:szCs w:val="22"/>
                <w:lang w:val="en-US" w:eastAsia="en-US"/>
              </w:rPr>
              <w:t>Plăţi restante</w:t>
            </w:r>
          </w:p>
        </w:tc>
        <w:tc>
          <w:tcPr>
            <w:tcW w:w="1371" w:type="dxa"/>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0</w:t>
            </w:r>
          </w:p>
        </w:tc>
        <w:tc>
          <w:tcPr>
            <w:tcW w:w="1371" w:type="dxa"/>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0</w:t>
            </w:r>
          </w:p>
        </w:tc>
        <w:tc>
          <w:tcPr>
            <w:tcW w:w="1251" w:type="dxa"/>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p>
        </w:tc>
      </w:tr>
      <w:tr w:rsidR="004914B1" w:rsidRPr="004914B1" w:rsidTr="004914B1">
        <w:trPr>
          <w:trHeight w:val="240"/>
          <w:jc w:val="center"/>
        </w:trPr>
        <w:tc>
          <w:tcPr>
            <w:tcW w:w="4552" w:type="dxa"/>
            <w:shd w:val="clear" w:color="auto" w:fill="auto"/>
            <w:vAlign w:val="center"/>
            <w:hideMark/>
          </w:tcPr>
          <w:p w:rsidR="004914B1" w:rsidRPr="004914B1" w:rsidRDefault="004914B1" w:rsidP="004914B1">
            <w:pPr>
              <w:widowControl/>
              <w:autoSpaceDE/>
              <w:autoSpaceDN/>
              <w:adjustRightInd/>
              <w:rPr>
                <w:rFonts w:ascii="Arial" w:hAnsi="Arial" w:cs="Arial"/>
                <w:bCs/>
                <w:color w:val="000000"/>
                <w:sz w:val="22"/>
                <w:szCs w:val="22"/>
                <w:lang w:val="en-US" w:eastAsia="en-US"/>
              </w:rPr>
            </w:pPr>
            <w:r w:rsidRPr="004914B1">
              <w:rPr>
                <w:rFonts w:ascii="Arial" w:hAnsi="Arial" w:cs="Arial"/>
                <w:bCs/>
                <w:color w:val="000000"/>
                <w:sz w:val="22"/>
                <w:szCs w:val="22"/>
                <w:lang w:val="en-US" w:eastAsia="en-US"/>
              </w:rPr>
              <w:t>Creanţe restante</w:t>
            </w:r>
          </w:p>
        </w:tc>
        <w:tc>
          <w:tcPr>
            <w:tcW w:w="1371" w:type="dxa"/>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131</w:t>
            </w:r>
          </w:p>
        </w:tc>
        <w:tc>
          <w:tcPr>
            <w:tcW w:w="1371" w:type="dxa"/>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300</w:t>
            </w:r>
          </w:p>
        </w:tc>
        <w:tc>
          <w:tcPr>
            <w:tcW w:w="1251" w:type="dxa"/>
            <w:shd w:val="clear" w:color="FFFFFF" w:fill="FFFFFF"/>
            <w:noWrap/>
            <w:vAlign w:val="center"/>
          </w:tcPr>
          <w:p w:rsidR="004914B1" w:rsidRPr="004914B1" w:rsidRDefault="004914B1" w:rsidP="004914B1">
            <w:pPr>
              <w:widowControl/>
              <w:autoSpaceDE/>
              <w:autoSpaceDN/>
              <w:adjustRightInd/>
              <w:jc w:val="right"/>
              <w:rPr>
                <w:rFonts w:ascii="Arial" w:hAnsi="Arial" w:cs="Arial"/>
                <w:color w:val="000000"/>
                <w:sz w:val="22"/>
                <w:szCs w:val="22"/>
                <w:lang w:val="en-US" w:eastAsia="en-US"/>
              </w:rPr>
            </w:pPr>
            <w:r w:rsidRPr="004914B1">
              <w:rPr>
                <w:rFonts w:ascii="Arial" w:hAnsi="Arial" w:cs="Arial"/>
                <w:color w:val="000000"/>
                <w:sz w:val="22"/>
                <w:szCs w:val="22"/>
                <w:lang w:val="en-US" w:eastAsia="en-US"/>
              </w:rPr>
              <w:t>43,7%</w:t>
            </w:r>
          </w:p>
        </w:tc>
      </w:tr>
    </w:tbl>
    <w:p w:rsidR="004914B1" w:rsidRDefault="004914B1" w:rsidP="004914B1">
      <w:pPr>
        <w:jc w:val="both"/>
        <w:rPr>
          <w:rFonts w:ascii="Arial" w:hAnsi="Arial" w:cs="Arial"/>
          <w:lang w:val="fr-FR"/>
        </w:rPr>
      </w:pPr>
    </w:p>
    <w:p w:rsidR="004914B1" w:rsidRPr="004914B1" w:rsidRDefault="004914B1" w:rsidP="000603A7">
      <w:pPr>
        <w:ind w:left="450" w:right="437"/>
        <w:jc w:val="both"/>
        <w:rPr>
          <w:rFonts w:ascii="Arial" w:hAnsi="Arial" w:cs="Arial"/>
          <w:lang w:val="en-US"/>
        </w:rPr>
      </w:pPr>
      <w:r w:rsidRPr="004914B1">
        <w:rPr>
          <w:rFonts w:ascii="Arial" w:hAnsi="Arial" w:cs="Arial"/>
          <w:lang w:val="fr-FR"/>
        </w:rPr>
        <w:t>Informațiile din execuția bugetară la 30 iunie 2018 sunt prezentate în structura prevazută de anexa 1 stabilită prin Ordinul 3145/2017</w:t>
      </w:r>
      <w:r w:rsidRPr="004914B1">
        <w:rPr>
          <w:rFonts w:ascii="Arial" w:hAnsi="Arial" w:cs="Arial"/>
          <w:lang w:val="en-US"/>
        </w:rPr>
        <w:t xml:space="preserve"> privind aprobarea formatului şi structurii bugetului de venituri şi cheltuieli, precum şi a anexelor de fundamentare a acestuia.</w:t>
      </w:r>
    </w:p>
    <w:p w:rsidR="004914B1" w:rsidRDefault="004914B1" w:rsidP="00C37BEC">
      <w:pPr>
        <w:tabs>
          <w:tab w:val="left" w:pos="2699"/>
        </w:tabs>
        <w:rPr>
          <w:rFonts w:ascii="Arial" w:hAnsi="Arial" w:cs="Arial"/>
          <w:sz w:val="22"/>
          <w:szCs w:val="22"/>
          <w:lang w:val="fr-FR"/>
        </w:rPr>
      </w:pPr>
    </w:p>
    <w:p w:rsidR="004914B1" w:rsidRPr="00C37BEC" w:rsidRDefault="004914B1" w:rsidP="00C37BEC">
      <w:pPr>
        <w:tabs>
          <w:tab w:val="left" w:pos="2699"/>
        </w:tabs>
        <w:rPr>
          <w:rFonts w:ascii="Arial" w:hAnsi="Arial" w:cs="Arial"/>
          <w:sz w:val="22"/>
          <w:szCs w:val="22"/>
          <w:lang w:val="fr-FR"/>
        </w:rPr>
        <w:sectPr w:rsidR="004914B1" w:rsidRPr="00C37BEC" w:rsidSect="00564B3E">
          <w:headerReference w:type="default" r:id="rId34"/>
          <w:footerReference w:type="even" r:id="rId35"/>
          <w:footerReference w:type="default" r:id="rId36"/>
          <w:headerReference w:type="first" r:id="rId37"/>
          <w:footerReference w:type="first" r:id="rId38"/>
          <w:pgSz w:w="11909" w:h="16834" w:code="9"/>
          <w:pgMar w:top="709" w:right="1281" w:bottom="1134" w:left="1281" w:header="709" w:footer="567" w:gutter="0"/>
          <w:pgNumType w:start="1" w:chapStyle="2"/>
          <w:cols w:space="60"/>
          <w:noEndnote/>
          <w:titlePg/>
          <w:docGrid w:linePitch="272"/>
        </w:sectPr>
      </w:pPr>
    </w:p>
    <w:p w:rsidR="00E11120" w:rsidRDefault="00510DDE" w:rsidP="003E033B">
      <w:pPr>
        <w:widowControl/>
        <w:tabs>
          <w:tab w:val="left" w:pos="2190"/>
        </w:tabs>
        <w:autoSpaceDE/>
        <w:autoSpaceDN/>
        <w:adjustRightInd/>
        <w:rPr>
          <w:rFonts w:ascii="Arial" w:hAnsi="Arial" w:cs="Arial"/>
          <w:b/>
          <w:iCs/>
          <w:color w:val="1F4E79" w:themeColor="accent1" w:themeShade="80"/>
          <w:sz w:val="22"/>
          <w:szCs w:val="22"/>
          <w:lang w:val="fr-FR"/>
        </w:rPr>
      </w:pPr>
      <w:r w:rsidRPr="00CA3CF8">
        <w:rPr>
          <w:rFonts w:ascii="Arial" w:hAnsi="Arial" w:cs="Arial"/>
          <w:b/>
          <w:iCs/>
          <w:color w:val="1F4E79" w:themeColor="accent1" w:themeShade="80"/>
          <w:sz w:val="22"/>
          <w:szCs w:val="22"/>
          <w:lang w:val="fr-FR"/>
        </w:rPr>
        <w:lastRenderedPageBreak/>
        <w:t>Anexa nr.</w:t>
      </w:r>
      <w:r w:rsidR="006C1683" w:rsidRPr="00CA3CF8">
        <w:rPr>
          <w:rFonts w:ascii="Arial" w:hAnsi="Arial" w:cs="Arial"/>
          <w:b/>
          <w:iCs/>
          <w:color w:val="1F4E79" w:themeColor="accent1" w:themeShade="80"/>
          <w:sz w:val="22"/>
          <w:szCs w:val="22"/>
          <w:lang w:val="fr-FR"/>
        </w:rPr>
        <w:t>5</w:t>
      </w:r>
    </w:p>
    <w:p w:rsidR="00CA3CF8" w:rsidRPr="00CA3CF8" w:rsidRDefault="00CA3CF8" w:rsidP="003E033B">
      <w:pPr>
        <w:widowControl/>
        <w:tabs>
          <w:tab w:val="left" w:pos="2190"/>
        </w:tabs>
        <w:autoSpaceDE/>
        <w:autoSpaceDN/>
        <w:adjustRightInd/>
        <w:rPr>
          <w:rFonts w:ascii="Arial" w:hAnsi="Arial" w:cs="Arial"/>
          <w:b/>
          <w:iCs/>
          <w:color w:val="1F4E79" w:themeColor="accent1" w:themeShade="80"/>
          <w:sz w:val="22"/>
          <w:szCs w:val="22"/>
          <w:lang w:val="fr-FR"/>
        </w:rPr>
      </w:pPr>
    </w:p>
    <w:tbl>
      <w:tblPr>
        <w:tblW w:w="5000" w:type="pct"/>
        <w:tblCellMar>
          <w:left w:w="0" w:type="dxa"/>
          <w:right w:w="0" w:type="dxa"/>
        </w:tblCellMar>
        <w:tblLook w:val="04A0" w:firstRow="1" w:lastRow="0" w:firstColumn="1" w:lastColumn="0" w:noHBand="0" w:noVBand="1"/>
      </w:tblPr>
      <w:tblGrid>
        <w:gridCol w:w="311"/>
        <w:gridCol w:w="1402"/>
        <w:gridCol w:w="2916"/>
        <w:gridCol w:w="1061"/>
        <w:gridCol w:w="1131"/>
        <w:gridCol w:w="1201"/>
        <w:gridCol w:w="1621"/>
        <w:gridCol w:w="1082"/>
        <w:gridCol w:w="1082"/>
        <w:gridCol w:w="1061"/>
        <w:gridCol w:w="1061"/>
        <w:gridCol w:w="1061"/>
      </w:tblGrid>
      <w:tr w:rsidR="00685BD2" w:rsidRPr="00685BD2" w:rsidTr="007B58D8">
        <w:trPr>
          <w:trHeight w:val="300"/>
        </w:trPr>
        <w:tc>
          <w:tcPr>
            <w:tcW w:w="5000" w:type="pct"/>
            <w:gridSpan w:val="12"/>
            <w:tcBorders>
              <w:top w:val="nil"/>
              <w:left w:val="nil"/>
              <w:bottom w:val="nil"/>
              <w:right w:val="nil"/>
            </w:tcBorders>
            <w:shd w:val="clear" w:color="auto" w:fill="auto"/>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b/>
                <w:bCs/>
                <w:color w:val="000000"/>
                <w:sz w:val="18"/>
                <w:szCs w:val="18"/>
                <w:lang w:eastAsia="en-US"/>
              </w:rPr>
            </w:pPr>
            <w:r w:rsidRPr="00CA3CF8">
              <w:rPr>
                <w:rFonts w:ascii="Arial" w:eastAsiaTheme="minorHAnsi" w:hAnsi="Arial" w:cs="Arial"/>
                <w:b/>
                <w:bCs/>
                <w:color w:val="1F4E79" w:themeColor="accent1" w:themeShade="80"/>
                <w:sz w:val="18"/>
                <w:szCs w:val="18"/>
                <w:lang w:eastAsia="en-US"/>
              </w:rPr>
              <w:t xml:space="preserve">SITUAȚIE CONTRACTE ACHIZIȚIE LUCRĂRI  ȘI PRODUSE CU VALORI MAI MARI DE 500 000 EURO, ÎNCHEIATE ÎN PERIOADA 01.01.2018 - </w:t>
            </w:r>
            <w:r w:rsidR="00A95D99" w:rsidRPr="00CA3CF8">
              <w:rPr>
                <w:rFonts w:ascii="Arial" w:eastAsiaTheme="minorHAnsi" w:hAnsi="Arial" w:cs="Arial"/>
                <w:b/>
                <w:bCs/>
                <w:color w:val="1F4E79" w:themeColor="accent1" w:themeShade="80"/>
                <w:sz w:val="18"/>
                <w:szCs w:val="18"/>
                <w:lang w:eastAsia="en-US"/>
              </w:rPr>
              <w:t>30.06</w:t>
            </w:r>
            <w:r w:rsidRPr="00CA3CF8">
              <w:rPr>
                <w:rFonts w:ascii="Arial" w:eastAsiaTheme="minorHAnsi" w:hAnsi="Arial" w:cs="Arial"/>
                <w:b/>
                <w:bCs/>
                <w:color w:val="1F4E79" w:themeColor="accent1" w:themeShade="80"/>
                <w:sz w:val="18"/>
                <w:szCs w:val="18"/>
                <w:lang w:eastAsia="en-US"/>
              </w:rPr>
              <w:t>.2018</w:t>
            </w:r>
          </w:p>
        </w:tc>
      </w:tr>
      <w:tr w:rsidR="00CA3CF8" w:rsidRPr="00685BD2" w:rsidTr="007B58D8">
        <w:trPr>
          <w:trHeight w:val="300"/>
        </w:trPr>
        <w:tc>
          <w:tcPr>
            <w:tcW w:w="5000" w:type="pct"/>
            <w:gridSpan w:val="12"/>
            <w:tcBorders>
              <w:top w:val="nil"/>
              <w:left w:val="nil"/>
              <w:bottom w:val="nil"/>
              <w:right w:val="nil"/>
            </w:tcBorders>
            <w:shd w:val="clear" w:color="auto" w:fill="auto"/>
            <w:tcMar>
              <w:top w:w="15" w:type="dxa"/>
              <w:left w:w="15" w:type="dxa"/>
              <w:bottom w:w="0" w:type="dxa"/>
              <w:right w:w="15" w:type="dxa"/>
            </w:tcMar>
            <w:vAlign w:val="center"/>
          </w:tcPr>
          <w:p w:rsidR="00CA3CF8" w:rsidRPr="00CA3CF8" w:rsidRDefault="00CA3CF8" w:rsidP="00685BD2">
            <w:pPr>
              <w:widowControl/>
              <w:autoSpaceDE/>
              <w:autoSpaceDN/>
              <w:adjustRightInd/>
              <w:spacing w:after="160" w:line="259" w:lineRule="auto"/>
              <w:jc w:val="center"/>
              <w:rPr>
                <w:rFonts w:ascii="Arial" w:eastAsiaTheme="minorHAnsi" w:hAnsi="Arial" w:cs="Arial"/>
                <w:b/>
                <w:bCs/>
                <w:color w:val="1F4E79" w:themeColor="accent1" w:themeShade="80"/>
                <w:sz w:val="18"/>
                <w:szCs w:val="18"/>
                <w:lang w:eastAsia="en-US"/>
              </w:rPr>
            </w:pPr>
          </w:p>
        </w:tc>
      </w:tr>
      <w:tr w:rsidR="00C95BCC" w:rsidRPr="00685BD2" w:rsidTr="00CA3CF8">
        <w:trPr>
          <w:trHeight w:val="1465"/>
        </w:trPr>
        <w:tc>
          <w:tcPr>
            <w:tcW w:w="104" w:type="pct"/>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b/>
                <w:bCs/>
                <w:color w:val="000000"/>
                <w:sz w:val="18"/>
                <w:szCs w:val="18"/>
                <w:lang w:eastAsia="en-US"/>
              </w:rPr>
            </w:pPr>
            <w:r w:rsidRPr="00685BD2">
              <w:rPr>
                <w:rFonts w:ascii="Arial" w:eastAsiaTheme="minorHAnsi" w:hAnsi="Arial" w:cs="Arial"/>
                <w:b/>
                <w:bCs/>
                <w:color w:val="000000"/>
                <w:sz w:val="18"/>
                <w:szCs w:val="18"/>
                <w:lang w:eastAsia="en-US"/>
              </w:rPr>
              <w:t>Nr. crt.</w:t>
            </w:r>
          </w:p>
        </w:tc>
        <w:tc>
          <w:tcPr>
            <w:tcW w:w="468"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b/>
                <w:bCs/>
                <w:color w:val="000000"/>
                <w:sz w:val="18"/>
                <w:szCs w:val="18"/>
                <w:lang w:eastAsia="en-US"/>
              </w:rPr>
            </w:pPr>
            <w:r w:rsidRPr="00685BD2">
              <w:rPr>
                <w:rFonts w:ascii="Arial" w:eastAsiaTheme="minorHAnsi" w:hAnsi="Arial" w:cs="Arial"/>
                <w:b/>
                <w:bCs/>
                <w:color w:val="000000"/>
                <w:sz w:val="18"/>
                <w:szCs w:val="18"/>
                <w:lang w:eastAsia="en-US"/>
              </w:rPr>
              <w:t>Numele contractorului</w:t>
            </w:r>
          </w:p>
        </w:tc>
        <w:tc>
          <w:tcPr>
            <w:tcW w:w="973"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b/>
                <w:bCs/>
                <w:color w:val="000000"/>
                <w:sz w:val="18"/>
                <w:szCs w:val="18"/>
                <w:lang w:eastAsia="en-US"/>
              </w:rPr>
            </w:pPr>
            <w:r w:rsidRPr="00685BD2">
              <w:rPr>
                <w:rFonts w:ascii="Arial" w:eastAsiaTheme="minorHAnsi" w:hAnsi="Arial" w:cs="Arial"/>
                <w:b/>
                <w:bCs/>
                <w:color w:val="000000"/>
                <w:sz w:val="18"/>
                <w:szCs w:val="18"/>
                <w:lang w:eastAsia="en-US"/>
              </w:rPr>
              <w:t>Obiectul contractului</w:t>
            </w:r>
          </w:p>
        </w:tc>
        <w:tc>
          <w:tcPr>
            <w:tcW w:w="354"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b/>
                <w:bCs/>
                <w:color w:val="000000"/>
                <w:sz w:val="18"/>
                <w:szCs w:val="18"/>
                <w:lang w:eastAsia="en-US"/>
              </w:rPr>
            </w:pPr>
            <w:r w:rsidRPr="00685BD2">
              <w:rPr>
                <w:rFonts w:ascii="Arial" w:eastAsiaTheme="minorHAnsi" w:hAnsi="Arial" w:cs="Arial"/>
                <w:b/>
                <w:bCs/>
                <w:color w:val="000000"/>
                <w:sz w:val="18"/>
                <w:szCs w:val="18"/>
                <w:lang w:eastAsia="en-US"/>
              </w:rPr>
              <w:t>Titlul contractului</w:t>
            </w:r>
          </w:p>
        </w:tc>
        <w:tc>
          <w:tcPr>
            <w:tcW w:w="377"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b/>
                <w:bCs/>
                <w:color w:val="000000"/>
                <w:sz w:val="18"/>
                <w:szCs w:val="18"/>
                <w:lang w:eastAsia="en-US"/>
              </w:rPr>
            </w:pPr>
            <w:r w:rsidRPr="00685BD2">
              <w:rPr>
                <w:rFonts w:ascii="Arial" w:eastAsiaTheme="minorHAnsi" w:hAnsi="Arial" w:cs="Arial"/>
                <w:b/>
                <w:bCs/>
                <w:color w:val="000000"/>
                <w:sz w:val="18"/>
                <w:szCs w:val="18"/>
                <w:lang w:eastAsia="en-US"/>
              </w:rPr>
              <w:t>Procedura de achiziţie aplicată</w:t>
            </w:r>
          </w:p>
        </w:tc>
        <w:tc>
          <w:tcPr>
            <w:tcW w:w="401"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b/>
                <w:bCs/>
                <w:color w:val="000000"/>
                <w:sz w:val="18"/>
                <w:szCs w:val="18"/>
                <w:lang w:eastAsia="en-US"/>
              </w:rPr>
            </w:pPr>
            <w:r w:rsidRPr="00685BD2">
              <w:rPr>
                <w:rFonts w:ascii="Arial" w:eastAsiaTheme="minorHAnsi" w:hAnsi="Arial" w:cs="Arial"/>
                <w:b/>
                <w:bCs/>
                <w:color w:val="000000"/>
                <w:sz w:val="18"/>
                <w:szCs w:val="18"/>
                <w:lang w:eastAsia="en-US"/>
              </w:rPr>
              <w:t>Numele beneficiarului (dacă este diferit de autoritatea contractantă)</w:t>
            </w:r>
          </w:p>
        </w:tc>
        <w:tc>
          <w:tcPr>
            <w:tcW w:w="541"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b/>
                <w:bCs/>
                <w:color w:val="000000"/>
                <w:sz w:val="18"/>
                <w:szCs w:val="18"/>
                <w:lang w:eastAsia="en-US"/>
              </w:rPr>
            </w:pPr>
            <w:r w:rsidRPr="00685BD2">
              <w:rPr>
                <w:rFonts w:ascii="Arial" w:eastAsiaTheme="minorHAnsi" w:hAnsi="Arial" w:cs="Arial"/>
                <w:b/>
                <w:bCs/>
                <w:color w:val="000000"/>
                <w:sz w:val="18"/>
                <w:szCs w:val="18"/>
                <w:lang w:eastAsia="en-US"/>
              </w:rPr>
              <w:t>Numărul anunţului/invitației  de participare</w:t>
            </w:r>
          </w:p>
        </w:tc>
        <w:tc>
          <w:tcPr>
            <w:tcW w:w="361"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b/>
                <w:bCs/>
                <w:color w:val="000000"/>
                <w:sz w:val="18"/>
                <w:szCs w:val="18"/>
                <w:lang w:eastAsia="en-US"/>
              </w:rPr>
            </w:pPr>
            <w:r w:rsidRPr="00685BD2">
              <w:rPr>
                <w:rFonts w:ascii="Arial" w:eastAsiaTheme="minorHAnsi" w:hAnsi="Arial" w:cs="Arial"/>
                <w:b/>
                <w:bCs/>
                <w:color w:val="000000"/>
                <w:sz w:val="18"/>
                <w:szCs w:val="18"/>
                <w:lang w:eastAsia="en-US"/>
              </w:rPr>
              <w:t>Valoare</w:t>
            </w:r>
            <w:r w:rsidR="008B02C1">
              <w:rPr>
                <w:rFonts w:ascii="Arial" w:eastAsiaTheme="minorHAnsi" w:hAnsi="Arial" w:cs="Arial"/>
                <w:b/>
                <w:bCs/>
                <w:color w:val="000000"/>
                <w:sz w:val="18"/>
                <w:szCs w:val="18"/>
                <w:lang w:eastAsia="en-US"/>
              </w:rPr>
              <w:t xml:space="preserve">a iniţială a contractului  </w:t>
            </w:r>
            <w:r w:rsidR="008B02C1">
              <w:rPr>
                <w:rFonts w:ascii="Arial" w:eastAsiaTheme="minorHAnsi" w:hAnsi="Arial" w:cs="Arial"/>
                <w:b/>
                <w:bCs/>
                <w:color w:val="000000"/>
                <w:sz w:val="18"/>
                <w:szCs w:val="18"/>
                <w:lang w:eastAsia="en-US"/>
              </w:rPr>
              <w:br/>
              <w:t>(lei</w:t>
            </w:r>
            <w:r w:rsidRPr="00685BD2">
              <w:rPr>
                <w:rFonts w:ascii="Arial" w:eastAsiaTheme="minorHAnsi" w:hAnsi="Arial" w:cs="Arial"/>
                <w:b/>
                <w:bCs/>
                <w:color w:val="000000"/>
                <w:sz w:val="18"/>
                <w:szCs w:val="18"/>
                <w:lang w:eastAsia="en-US"/>
              </w:rPr>
              <w:t>)</w:t>
            </w:r>
          </w:p>
        </w:tc>
        <w:tc>
          <w:tcPr>
            <w:tcW w:w="361"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685BD2" w:rsidRPr="00685BD2" w:rsidRDefault="008B02C1" w:rsidP="00685BD2">
            <w:pPr>
              <w:widowControl/>
              <w:autoSpaceDE/>
              <w:autoSpaceDN/>
              <w:adjustRightInd/>
              <w:spacing w:after="160" w:line="259" w:lineRule="auto"/>
              <w:jc w:val="center"/>
              <w:rPr>
                <w:rFonts w:ascii="Arial" w:eastAsiaTheme="minorHAnsi" w:hAnsi="Arial" w:cs="Arial"/>
                <w:b/>
                <w:bCs/>
                <w:color w:val="000000"/>
                <w:sz w:val="18"/>
                <w:szCs w:val="18"/>
                <w:lang w:eastAsia="en-US"/>
              </w:rPr>
            </w:pPr>
            <w:r>
              <w:rPr>
                <w:rFonts w:ascii="Arial" w:eastAsiaTheme="minorHAnsi" w:hAnsi="Arial" w:cs="Arial"/>
                <w:b/>
                <w:bCs/>
                <w:color w:val="000000"/>
                <w:sz w:val="18"/>
                <w:szCs w:val="18"/>
                <w:lang w:eastAsia="en-US"/>
              </w:rPr>
              <w:t>Valoarea contractului  după eventuale acte adiț</w:t>
            </w:r>
            <w:r w:rsidR="00685BD2" w:rsidRPr="00685BD2">
              <w:rPr>
                <w:rFonts w:ascii="Arial" w:eastAsiaTheme="minorHAnsi" w:hAnsi="Arial" w:cs="Arial"/>
                <w:b/>
                <w:bCs/>
                <w:color w:val="000000"/>
                <w:sz w:val="18"/>
                <w:szCs w:val="18"/>
                <w:lang w:eastAsia="en-US"/>
              </w:rPr>
              <w:t xml:space="preserve">ionale </w:t>
            </w:r>
            <w:r>
              <w:rPr>
                <w:rFonts w:ascii="Arial" w:eastAsiaTheme="minorHAnsi" w:hAnsi="Arial" w:cs="Arial"/>
                <w:b/>
                <w:bCs/>
                <w:color w:val="000000"/>
                <w:sz w:val="18"/>
                <w:szCs w:val="18"/>
                <w:lang w:eastAsia="en-US"/>
              </w:rPr>
              <w:br/>
              <w:t>(lei</w:t>
            </w:r>
            <w:r w:rsidR="00685BD2" w:rsidRPr="00685BD2">
              <w:rPr>
                <w:rFonts w:ascii="Arial" w:eastAsiaTheme="minorHAnsi" w:hAnsi="Arial" w:cs="Arial"/>
                <w:b/>
                <w:bCs/>
                <w:color w:val="000000"/>
                <w:sz w:val="18"/>
                <w:szCs w:val="18"/>
                <w:lang w:eastAsia="en-US"/>
              </w:rPr>
              <w:t>)</w:t>
            </w:r>
          </w:p>
        </w:tc>
        <w:tc>
          <w:tcPr>
            <w:tcW w:w="354"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b/>
                <w:bCs/>
                <w:color w:val="000000"/>
                <w:sz w:val="18"/>
                <w:szCs w:val="18"/>
                <w:lang w:eastAsia="en-US"/>
              </w:rPr>
            </w:pPr>
            <w:r w:rsidRPr="00685BD2">
              <w:rPr>
                <w:rFonts w:ascii="Arial" w:eastAsiaTheme="minorHAnsi" w:hAnsi="Arial" w:cs="Arial"/>
                <w:b/>
                <w:bCs/>
                <w:color w:val="000000"/>
                <w:sz w:val="18"/>
                <w:szCs w:val="18"/>
                <w:lang w:eastAsia="en-US"/>
              </w:rPr>
              <w:t>Data începerii contractului</w:t>
            </w:r>
          </w:p>
        </w:tc>
        <w:tc>
          <w:tcPr>
            <w:tcW w:w="354"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685BD2" w:rsidRPr="00685BD2" w:rsidRDefault="00CA3CF8" w:rsidP="008B02C1">
            <w:pPr>
              <w:widowControl/>
              <w:autoSpaceDE/>
              <w:autoSpaceDN/>
              <w:adjustRightInd/>
              <w:spacing w:after="160" w:line="259" w:lineRule="auto"/>
              <w:jc w:val="center"/>
              <w:rPr>
                <w:rFonts w:ascii="Arial" w:eastAsiaTheme="minorHAnsi" w:hAnsi="Arial" w:cs="Arial"/>
                <w:b/>
                <w:bCs/>
                <w:color w:val="000000"/>
                <w:sz w:val="18"/>
                <w:szCs w:val="18"/>
                <w:lang w:eastAsia="en-US"/>
              </w:rPr>
            </w:pPr>
            <w:r>
              <w:rPr>
                <w:rFonts w:ascii="Arial" w:eastAsiaTheme="minorHAnsi" w:hAnsi="Arial" w:cs="Arial"/>
                <w:b/>
                <w:bCs/>
                <w:color w:val="000000"/>
                <w:sz w:val="18"/>
                <w:szCs w:val="18"/>
                <w:lang w:eastAsia="en-US"/>
              </w:rPr>
              <w:t>Durata contractului stabilită</w:t>
            </w:r>
            <w:r w:rsidR="00685BD2" w:rsidRPr="00685BD2">
              <w:rPr>
                <w:rFonts w:ascii="Arial" w:eastAsiaTheme="minorHAnsi" w:hAnsi="Arial" w:cs="Arial"/>
                <w:b/>
                <w:bCs/>
                <w:color w:val="000000"/>
                <w:sz w:val="18"/>
                <w:szCs w:val="18"/>
                <w:lang w:eastAsia="en-US"/>
              </w:rPr>
              <w:t xml:space="preserve"> initial </w:t>
            </w:r>
            <w:r w:rsidR="00685BD2" w:rsidRPr="00685BD2">
              <w:rPr>
                <w:rFonts w:ascii="Arial" w:eastAsiaTheme="minorHAnsi" w:hAnsi="Arial" w:cs="Arial"/>
                <w:b/>
                <w:bCs/>
                <w:color w:val="000000"/>
                <w:sz w:val="18"/>
                <w:szCs w:val="18"/>
                <w:lang w:eastAsia="en-US"/>
              </w:rPr>
              <w:br/>
              <w:t>(în luni)</w:t>
            </w:r>
          </w:p>
        </w:tc>
        <w:tc>
          <w:tcPr>
            <w:tcW w:w="354"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b/>
                <w:bCs/>
                <w:color w:val="000000"/>
                <w:sz w:val="18"/>
                <w:szCs w:val="18"/>
                <w:lang w:eastAsia="en-US"/>
              </w:rPr>
            </w:pPr>
            <w:r w:rsidRPr="00685BD2">
              <w:rPr>
                <w:rFonts w:ascii="Arial" w:eastAsiaTheme="minorHAnsi" w:hAnsi="Arial" w:cs="Arial"/>
                <w:b/>
                <w:bCs/>
                <w:color w:val="000000"/>
                <w:sz w:val="18"/>
                <w:szCs w:val="18"/>
                <w:lang w:eastAsia="en-US"/>
              </w:rPr>
              <w:t xml:space="preserve">Durata finală a contractului </w:t>
            </w:r>
            <w:r w:rsidRPr="00685BD2">
              <w:rPr>
                <w:rFonts w:ascii="Arial" w:eastAsiaTheme="minorHAnsi" w:hAnsi="Arial" w:cs="Arial"/>
                <w:b/>
                <w:bCs/>
                <w:color w:val="000000"/>
                <w:sz w:val="18"/>
                <w:szCs w:val="18"/>
                <w:lang w:eastAsia="en-US"/>
              </w:rPr>
              <w:br/>
              <w:t>(în luni).</w:t>
            </w:r>
          </w:p>
        </w:tc>
      </w:tr>
      <w:tr w:rsidR="00C95BCC" w:rsidRPr="00685BD2" w:rsidTr="00CA3CF8">
        <w:trPr>
          <w:trHeight w:val="1641"/>
        </w:trPr>
        <w:tc>
          <w:tcPr>
            <w:tcW w:w="10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color w:val="000000"/>
                <w:sz w:val="18"/>
                <w:szCs w:val="18"/>
                <w:lang w:eastAsia="en-US"/>
              </w:rPr>
            </w:pPr>
            <w:r w:rsidRPr="00685BD2">
              <w:rPr>
                <w:rFonts w:ascii="Arial" w:eastAsiaTheme="minorHAnsi" w:hAnsi="Arial" w:cs="Arial"/>
                <w:color w:val="000000"/>
                <w:sz w:val="18"/>
                <w:szCs w:val="18"/>
                <w:lang w:eastAsia="en-US"/>
              </w:rPr>
              <w:t>1</w:t>
            </w:r>
          </w:p>
        </w:tc>
        <w:tc>
          <w:tcPr>
            <w:tcW w:w="4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BA35E0" w:rsidP="00685BD2">
            <w:pPr>
              <w:widowControl/>
              <w:autoSpaceDE/>
              <w:autoSpaceDN/>
              <w:adjustRightInd/>
              <w:spacing w:after="160" w:line="259" w:lineRule="auto"/>
              <w:jc w:val="center"/>
              <w:rPr>
                <w:rFonts w:ascii="Arial" w:eastAsiaTheme="minorHAnsi" w:hAnsi="Arial" w:cs="Arial"/>
                <w:sz w:val="18"/>
                <w:szCs w:val="18"/>
                <w:lang w:eastAsia="en-US"/>
              </w:rPr>
            </w:pPr>
            <w:r>
              <w:rPr>
                <w:rFonts w:ascii="Arial" w:eastAsiaTheme="minorHAnsi" w:hAnsi="Arial" w:cs="Arial"/>
                <w:sz w:val="18"/>
                <w:szCs w:val="18"/>
                <w:lang w:eastAsia="en-US"/>
              </w:rPr>
              <w:t>CONSTRUCȚII FEROVIARE DRUMURI Ș</w:t>
            </w:r>
            <w:r w:rsidR="00685BD2" w:rsidRPr="00685BD2">
              <w:rPr>
                <w:rFonts w:ascii="Arial" w:eastAsiaTheme="minorHAnsi" w:hAnsi="Arial" w:cs="Arial"/>
                <w:sz w:val="18"/>
                <w:szCs w:val="18"/>
                <w:lang w:eastAsia="en-US"/>
              </w:rPr>
              <w:t>I PODURI</w:t>
            </w:r>
          </w:p>
        </w:tc>
        <w:tc>
          <w:tcPr>
            <w:tcW w:w="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6F1AEC" w:rsidP="006F1AEC">
            <w:pPr>
              <w:widowControl/>
              <w:autoSpaceDE/>
              <w:autoSpaceDN/>
              <w:adjustRightInd/>
              <w:spacing w:after="160" w:line="259" w:lineRule="auto"/>
              <w:jc w:val="center"/>
              <w:rPr>
                <w:rFonts w:ascii="Arial" w:eastAsiaTheme="minorHAnsi" w:hAnsi="Arial" w:cs="Arial"/>
                <w:sz w:val="18"/>
                <w:szCs w:val="18"/>
                <w:lang w:eastAsia="en-US"/>
              </w:rPr>
            </w:pPr>
            <w:r>
              <w:rPr>
                <w:rFonts w:ascii="Arial" w:eastAsiaTheme="minorHAnsi" w:hAnsi="Arial" w:cs="Arial"/>
                <w:sz w:val="18"/>
                <w:szCs w:val="18"/>
                <w:lang w:eastAsia="en-US"/>
              </w:rPr>
              <w:t>Execuție lucrări hidrotehnice de punere în siguranță a traversă</w:t>
            </w:r>
            <w:r w:rsidR="00685BD2" w:rsidRPr="00685BD2">
              <w:rPr>
                <w:rFonts w:ascii="Arial" w:eastAsiaTheme="minorHAnsi" w:hAnsi="Arial" w:cs="Arial"/>
                <w:sz w:val="18"/>
                <w:szCs w:val="18"/>
                <w:lang w:eastAsia="en-US"/>
              </w:rPr>
              <w:t>rii aeri</w:t>
            </w:r>
            <w:r>
              <w:rPr>
                <w:rFonts w:ascii="Arial" w:eastAsiaTheme="minorHAnsi" w:hAnsi="Arial" w:cs="Arial"/>
                <w:sz w:val="18"/>
                <w:szCs w:val="18"/>
                <w:lang w:eastAsia="en-US"/>
              </w:rPr>
              <w:t>ene a râ</w:t>
            </w:r>
            <w:r w:rsidR="00685BD2" w:rsidRPr="00685BD2">
              <w:rPr>
                <w:rFonts w:ascii="Arial" w:eastAsiaTheme="minorHAnsi" w:hAnsi="Arial" w:cs="Arial"/>
                <w:sz w:val="18"/>
                <w:szCs w:val="18"/>
                <w:lang w:eastAsia="en-US"/>
              </w:rPr>
              <w:t>ului Prah</w:t>
            </w:r>
            <w:r>
              <w:rPr>
                <w:rFonts w:ascii="Arial" w:eastAsiaTheme="minorHAnsi" w:hAnsi="Arial" w:cs="Arial"/>
                <w:sz w:val="18"/>
                <w:szCs w:val="18"/>
                <w:lang w:eastAsia="en-US"/>
              </w:rPr>
              <w:t>ova cu conductele de transport ț</w:t>
            </w:r>
            <w:r w:rsidR="00685BD2" w:rsidRPr="00685BD2">
              <w:rPr>
                <w:rFonts w:ascii="Arial" w:eastAsiaTheme="minorHAnsi" w:hAnsi="Arial" w:cs="Arial"/>
                <w:sz w:val="18"/>
                <w:szCs w:val="18"/>
                <w:lang w:eastAsia="en-US"/>
              </w:rPr>
              <w:t>i</w:t>
            </w:r>
            <w:r>
              <w:rPr>
                <w:rFonts w:ascii="Arial" w:eastAsiaTheme="minorHAnsi" w:hAnsi="Arial" w:cs="Arial"/>
                <w:sz w:val="18"/>
                <w:szCs w:val="18"/>
                <w:lang w:eastAsia="en-US"/>
              </w:rPr>
              <w:t>ței aparținâ</w:t>
            </w:r>
            <w:r w:rsidR="00685BD2" w:rsidRPr="00685BD2">
              <w:rPr>
                <w:rFonts w:ascii="Arial" w:eastAsiaTheme="minorHAnsi" w:hAnsi="Arial" w:cs="Arial"/>
                <w:sz w:val="18"/>
                <w:szCs w:val="18"/>
                <w:lang w:eastAsia="en-US"/>
              </w:rPr>
              <w:t>nd CONPET S</w:t>
            </w:r>
            <w:r>
              <w:rPr>
                <w:rFonts w:ascii="Arial" w:eastAsiaTheme="minorHAnsi" w:hAnsi="Arial" w:cs="Arial"/>
                <w:sz w:val="18"/>
                <w:szCs w:val="18"/>
                <w:lang w:eastAsia="en-US"/>
              </w:rPr>
              <w:t>.</w:t>
            </w:r>
            <w:r w:rsidR="00685BD2" w:rsidRPr="00685BD2">
              <w:rPr>
                <w:rFonts w:ascii="Arial" w:eastAsiaTheme="minorHAnsi" w:hAnsi="Arial" w:cs="Arial"/>
                <w:sz w:val="18"/>
                <w:szCs w:val="18"/>
                <w:lang w:eastAsia="en-US"/>
              </w:rPr>
              <w:t>A</w:t>
            </w:r>
            <w:r>
              <w:rPr>
                <w:rFonts w:ascii="Arial" w:eastAsiaTheme="minorHAnsi" w:hAnsi="Arial" w:cs="Arial"/>
                <w:sz w:val="18"/>
                <w:szCs w:val="18"/>
                <w:lang w:eastAsia="en-US"/>
              </w:rPr>
              <w:t>. - lucrări de intervenție în regim de extremă urgență pentru punerea în siguranță a pilelor metalice ce susțin traversarea aeriană a râului Prahova, î</w:t>
            </w:r>
            <w:r w:rsidR="00685BD2" w:rsidRPr="00685BD2">
              <w:rPr>
                <w:rFonts w:ascii="Arial" w:eastAsiaTheme="minorHAnsi" w:hAnsi="Arial" w:cs="Arial"/>
                <w:sz w:val="18"/>
                <w:szCs w:val="18"/>
                <w:lang w:eastAsia="en-US"/>
              </w:rPr>
              <w:t>n zona Stejaru, com. Brazi</w:t>
            </w:r>
          </w:p>
        </w:tc>
        <w:tc>
          <w:tcPr>
            <w:tcW w:w="3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color w:val="000000"/>
                <w:sz w:val="18"/>
                <w:szCs w:val="18"/>
                <w:lang w:eastAsia="en-US"/>
              </w:rPr>
            </w:pPr>
            <w:r w:rsidRPr="00685BD2">
              <w:rPr>
                <w:rFonts w:ascii="Arial" w:eastAsiaTheme="minorHAnsi" w:hAnsi="Arial" w:cs="Arial"/>
                <w:color w:val="000000"/>
                <w:sz w:val="18"/>
                <w:szCs w:val="18"/>
                <w:lang w:eastAsia="en-US"/>
              </w:rPr>
              <w:t>L-CA 171 / 27.03.2018</w:t>
            </w:r>
          </w:p>
        </w:tc>
        <w:tc>
          <w:tcPr>
            <w:tcW w:w="37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6F1AEC" w:rsidP="006F1AEC">
            <w:pPr>
              <w:widowControl/>
              <w:autoSpaceDE/>
              <w:autoSpaceDN/>
              <w:adjustRightInd/>
              <w:spacing w:after="160" w:line="259" w:lineRule="auto"/>
              <w:jc w:val="center"/>
              <w:rPr>
                <w:rFonts w:ascii="Arial" w:eastAsiaTheme="minorHAnsi" w:hAnsi="Arial" w:cs="Arial"/>
                <w:sz w:val="18"/>
                <w:szCs w:val="18"/>
                <w:lang w:eastAsia="en-US"/>
              </w:rPr>
            </w:pPr>
            <w:r>
              <w:rPr>
                <w:rFonts w:ascii="Arial" w:eastAsiaTheme="minorHAnsi" w:hAnsi="Arial" w:cs="Arial"/>
                <w:sz w:val="18"/>
                <w:szCs w:val="18"/>
                <w:lang w:eastAsia="en-US"/>
              </w:rPr>
              <w:t>NEGOCIERE FĂRĂ</w:t>
            </w:r>
            <w:r w:rsidR="00685BD2" w:rsidRPr="00685BD2">
              <w:rPr>
                <w:rFonts w:ascii="Arial" w:eastAsiaTheme="minorHAnsi" w:hAnsi="Arial" w:cs="Arial"/>
                <w:sz w:val="18"/>
                <w:szCs w:val="18"/>
                <w:lang w:eastAsia="en-US"/>
              </w:rPr>
              <w:t xml:space="preserve"> PUBLICARE PREALABIL</w:t>
            </w:r>
            <w:r>
              <w:rPr>
                <w:rFonts w:ascii="Arial" w:eastAsiaTheme="minorHAnsi" w:hAnsi="Arial" w:cs="Arial"/>
                <w:sz w:val="18"/>
                <w:szCs w:val="18"/>
                <w:lang w:eastAsia="en-US"/>
              </w:rPr>
              <w:t>Ă</w:t>
            </w:r>
          </w:p>
        </w:tc>
        <w:tc>
          <w:tcPr>
            <w:tcW w:w="4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sz w:val="18"/>
                <w:szCs w:val="18"/>
                <w:lang w:eastAsia="en-US"/>
              </w:rPr>
            </w:pPr>
            <w:r w:rsidRPr="00685BD2">
              <w:rPr>
                <w:rFonts w:ascii="Arial" w:eastAsiaTheme="minorHAnsi" w:hAnsi="Arial" w:cs="Arial"/>
                <w:sz w:val="18"/>
                <w:szCs w:val="18"/>
                <w:lang w:eastAsia="en-US"/>
              </w:rPr>
              <w:t>-</w:t>
            </w:r>
          </w:p>
        </w:tc>
        <w:tc>
          <w:tcPr>
            <w:tcW w:w="5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A01D90" w:rsidP="00685BD2">
            <w:pPr>
              <w:widowControl/>
              <w:autoSpaceDE/>
              <w:autoSpaceDN/>
              <w:adjustRightInd/>
              <w:spacing w:after="160" w:line="259" w:lineRule="auto"/>
              <w:jc w:val="center"/>
              <w:rPr>
                <w:rFonts w:ascii="Arial" w:eastAsiaTheme="minorHAnsi" w:hAnsi="Arial" w:cs="Arial"/>
                <w:sz w:val="18"/>
                <w:szCs w:val="18"/>
                <w:lang w:eastAsia="en-US"/>
              </w:rPr>
            </w:pPr>
            <w:r>
              <w:rPr>
                <w:rFonts w:ascii="Arial" w:eastAsiaTheme="minorHAnsi" w:hAnsi="Arial" w:cs="Arial"/>
                <w:sz w:val="18"/>
                <w:szCs w:val="18"/>
                <w:lang w:eastAsia="en-US"/>
              </w:rPr>
              <w:t>14660/</w:t>
            </w:r>
            <w:r w:rsidR="00685BD2" w:rsidRPr="00685BD2">
              <w:rPr>
                <w:rFonts w:ascii="Arial" w:eastAsiaTheme="minorHAnsi" w:hAnsi="Arial" w:cs="Arial"/>
                <w:sz w:val="18"/>
                <w:szCs w:val="18"/>
                <w:lang w:eastAsia="en-US"/>
              </w:rPr>
              <w:t>19.04.2018</w:t>
            </w:r>
          </w:p>
        </w:tc>
        <w:tc>
          <w:tcPr>
            <w:tcW w:w="36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sz w:val="18"/>
                <w:szCs w:val="18"/>
                <w:lang w:eastAsia="en-US"/>
              </w:rPr>
            </w:pPr>
            <w:r w:rsidRPr="00685BD2">
              <w:rPr>
                <w:rFonts w:ascii="Arial" w:eastAsiaTheme="minorHAnsi" w:hAnsi="Arial" w:cs="Arial"/>
                <w:sz w:val="18"/>
                <w:szCs w:val="18"/>
                <w:lang w:eastAsia="en-US"/>
              </w:rPr>
              <w:t>2.447.421,06</w:t>
            </w:r>
          </w:p>
        </w:tc>
        <w:tc>
          <w:tcPr>
            <w:tcW w:w="36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sz w:val="18"/>
                <w:szCs w:val="18"/>
                <w:lang w:eastAsia="en-US"/>
              </w:rPr>
            </w:pPr>
            <w:r w:rsidRPr="00685BD2">
              <w:rPr>
                <w:rFonts w:ascii="Arial" w:eastAsiaTheme="minorHAnsi" w:hAnsi="Arial" w:cs="Arial"/>
                <w:sz w:val="18"/>
                <w:szCs w:val="18"/>
                <w:lang w:eastAsia="en-US"/>
              </w:rPr>
              <w:t>2.447.421,06</w:t>
            </w:r>
          </w:p>
        </w:tc>
        <w:tc>
          <w:tcPr>
            <w:tcW w:w="3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sz w:val="18"/>
                <w:szCs w:val="18"/>
                <w:lang w:eastAsia="en-US"/>
              </w:rPr>
            </w:pPr>
            <w:r w:rsidRPr="00685BD2">
              <w:rPr>
                <w:rFonts w:ascii="Arial" w:eastAsiaTheme="minorHAnsi" w:hAnsi="Arial" w:cs="Arial"/>
                <w:sz w:val="18"/>
                <w:szCs w:val="18"/>
                <w:lang w:eastAsia="en-US"/>
              </w:rPr>
              <w:t>30.03.2018</w:t>
            </w:r>
          </w:p>
        </w:tc>
        <w:tc>
          <w:tcPr>
            <w:tcW w:w="3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sz w:val="18"/>
                <w:szCs w:val="18"/>
                <w:lang w:eastAsia="en-US"/>
              </w:rPr>
            </w:pPr>
            <w:r w:rsidRPr="00685BD2">
              <w:rPr>
                <w:rFonts w:ascii="Arial" w:eastAsiaTheme="minorHAnsi" w:hAnsi="Arial" w:cs="Arial"/>
                <w:sz w:val="18"/>
                <w:szCs w:val="18"/>
                <w:lang w:eastAsia="en-US"/>
              </w:rPr>
              <w:t>6</w:t>
            </w:r>
          </w:p>
        </w:tc>
        <w:tc>
          <w:tcPr>
            <w:tcW w:w="3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sz w:val="18"/>
                <w:szCs w:val="18"/>
                <w:lang w:eastAsia="en-US"/>
              </w:rPr>
            </w:pPr>
            <w:r w:rsidRPr="00685BD2">
              <w:rPr>
                <w:rFonts w:ascii="Arial" w:eastAsiaTheme="minorHAnsi" w:hAnsi="Arial" w:cs="Arial"/>
                <w:sz w:val="18"/>
                <w:szCs w:val="18"/>
                <w:lang w:eastAsia="en-US"/>
              </w:rPr>
              <w:t>6</w:t>
            </w:r>
          </w:p>
        </w:tc>
      </w:tr>
      <w:tr w:rsidR="00C95BCC" w:rsidRPr="00685BD2" w:rsidTr="00CA3CF8">
        <w:trPr>
          <w:trHeight w:val="600"/>
        </w:trPr>
        <w:tc>
          <w:tcPr>
            <w:tcW w:w="10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color w:val="000000"/>
                <w:sz w:val="18"/>
                <w:szCs w:val="18"/>
                <w:lang w:eastAsia="en-US"/>
              </w:rPr>
            </w:pPr>
            <w:r w:rsidRPr="00685BD2">
              <w:rPr>
                <w:rFonts w:ascii="Arial" w:eastAsiaTheme="minorHAnsi" w:hAnsi="Arial" w:cs="Arial"/>
                <w:color w:val="000000"/>
                <w:sz w:val="18"/>
                <w:szCs w:val="18"/>
                <w:lang w:eastAsia="en-US"/>
              </w:rPr>
              <w:t>2</w:t>
            </w:r>
          </w:p>
        </w:tc>
        <w:tc>
          <w:tcPr>
            <w:tcW w:w="4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color w:val="000000"/>
                <w:sz w:val="18"/>
                <w:szCs w:val="18"/>
                <w:lang w:eastAsia="en-US"/>
              </w:rPr>
            </w:pPr>
            <w:r w:rsidRPr="00685BD2">
              <w:rPr>
                <w:rFonts w:ascii="Arial" w:eastAsiaTheme="minorHAnsi" w:hAnsi="Arial" w:cs="Arial"/>
                <w:color w:val="000000"/>
                <w:sz w:val="18"/>
                <w:szCs w:val="18"/>
                <w:lang w:eastAsia="en-US"/>
              </w:rPr>
              <w:t>OMV PETROM MARKETING</w:t>
            </w:r>
          </w:p>
        </w:tc>
        <w:tc>
          <w:tcPr>
            <w:tcW w:w="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color w:val="000000"/>
                <w:sz w:val="18"/>
                <w:szCs w:val="18"/>
                <w:lang w:eastAsia="en-US"/>
              </w:rPr>
            </w:pPr>
            <w:r w:rsidRPr="00685BD2">
              <w:rPr>
                <w:rFonts w:ascii="Arial" w:eastAsiaTheme="minorHAnsi" w:hAnsi="Arial" w:cs="Arial"/>
                <w:color w:val="000000"/>
                <w:sz w:val="18"/>
                <w:szCs w:val="18"/>
                <w:lang w:eastAsia="en-US"/>
              </w:rPr>
              <w:t>Furnizare carburant prin sistem card</w:t>
            </w:r>
          </w:p>
        </w:tc>
        <w:tc>
          <w:tcPr>
            <w:tcW w:w="3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color w:val="000000"/>
                <w:sz w:val="18"/>
                <w:szCs w:val="18"/>
                <w:lang w:eastAsia="en-US"/>
              </w:rPr>
            </w:pPr>
            <w:r w:rsidRPr="00685BD2">
              <w:rPr>
                <w:rFonts w:ascii="Arial" w:eastAsiaTheme="minorHAnsi" w:hAnsi="Arial" w:cs="Arial"/>
                <w:color w:val="000000"/>
                <w:sz w:val="18"/>
                <w:szCs w:val="18"/>
                <w:lang w:eastAsia="en-US"/>
              </w:rPr>
              <w:t>P-CA 176 / 30.03.2018</w:t>
            </w:r>
          </w:p>
        </w:tc>
        <w:tc>
          <w:tcPr>
            <w:tcW w:w="37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6F1AEC" w:rsidP="00685BD2">
            <w:pPr>
              <w:widowControl/>
              <w:autoSpaceDE/>
              <w:autoSpaceDN/>
              <w:adjustRightInd/>
              <w:spacing w:after="160" w:line="259" w:lineRule="auto"/>
              <w:jc w:val="center"/>
              <w:rPr>
                <w:rFonts w:ascii="Arial" w:eastAsiaTheme="minorHAnsi" w:hAnsi="Arial" w:cs="Arial"/>
                <w:sz w:val="18"/>
                <w:szCs w:val="18"/>
                <w:lang w:eastAsia="en-US"/>
              </w:rPr>
            </w:pPr>
            <w:r>
              <w:rPr>
                <w:rFonts w:ascii="Arial" w:eastAsiaTheme="minorHAnsi" w:hAnsi="Arial" w:cs="Arial"/>
                <w:sz w:val="18"/>
                <w:szCs w:val="18"/>
                <w:lang w:eastAsia="en-US"/>
              </w:rPr>
              <w:t>LICITAȚ</w:t>
            </w:r>
            <w:r w:rsidR="00685BD2" w:rsidRPr="00685BD2">
              <w:rPr>
                <w:rFonts w:ascii="Arial" w:eastAsiaTheme="minorHAnsi" w:hAnsi="Arial" w:cs="Arial"/>
                <w:sz w:val="18"/>
                <w:szCs w:val="18"/>
                <w:lang w:eastAsia="en-US"/>
              </w:rPr>
              <w:t>IE</w:t>
            </w:r>
          </w:p>
        </w:tc>
        <w:tc>
          <w:tcPr>
            <w:tcW w:w="4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sz w:val="18"/>
                <w:szCs w:val="18"/>
                <w:lang w:eastAsia="en-US"/>
              </w:rPr>
            </w:pPr>
            <w:r w:rsidRPr="00685BD2">
              <w:rPr>
                <w:rFonts w:ascii="Arial" w:eastAsiaTheme="minorHAnsi" w:hAnsi="Arial" w:cs="Arial"/>
                <w:sz w:val="18"/>
                <w:szCs w:val="18"/>
                <w:lang w:eastAsia="en-US"/>
              </w:rPr>
              <w:t>-</w:t>
            </w:r>
          </w:p>
        </w:tc>
        <w:tc>
          <w:tcPr>
            <w:tcW w:w="5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A01D90" w:rsidP="00685BD2">
            <w:pPr>
              <w:widowControl/>
              <w:autoSpaceDE/>
              <w:autoSpaceDN/>
              <w:adjustRightInd/>
              <w:spacing w:after="160" w:line="259" w:lineRule="auto"/>
              <w:jc w:val="center"/>
              <w:rPr>
                <w:rFonts w:ascii="Arial" w:eastAsiaTheme="minorHAnsi" w:hAnsi="Arial" w:cs="Arial"/>
                <w:sz w:val="18"/>
                <w:szCs w:val="18"/>
                <w:lang w:eastAsia="en-US"/>
              </w:rPr>
            </w:pPr>
            <w:r>
              <w:rPr>
                <w:rFonts w:ascii="Arial" w:eastAsiaTheme="minorHAnsi" w:hAnsi="Arial" w:cs="Arial"/>
                <w:sz w:val="18"/>
                <w:szCs w:val="18"/>
                <w:lang w:eastAsia="en-US"/>
              </w:rPr>
              <w:t>5066/</w:t>
            </w:r>
            <w:r w:rsidR="00685BD2" w:rsidRPr="00685BD2">
              <w:rPr>
                <w:rFonts w:ascii="Arial" w:eastAsiaTheme="minorHAnsi" w:hAnsi="Arial" w:cs="Arial"/>
                <w:sz w:val="18"/>
                <w:szCs w:val="18"/>
                <w:lang w:eastAsia="en-US"/>
              </w:rPr>
              <w:t>08.02.2018</w:t>
            </w:r>
          </w:p>
        </w:tc>
        <w:tc>
          <w:tcPr>
            <w:tcW w:w="36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sz w:val="18"/>
                <w:szCs w:val="18"/>
                <w:lang w:eastAsia="en-US"/>
              </w:rPr>
            </w:pPr>
            <w:r w:rsidRPr="00685BD2">
              <w:rPr>
                <w:rFonts w:ascii="Arial" w:eastAsiaTheme="minorHAnsi" w:hAnsi="Arial" w:cs="Arial"/>
                <w:sz w:val="18"/>
                <w:szCs w:val="18"/>
                <w:lang w:eastAsia="en-US"/>
              </w:rPr>
              <w:t>3.925.600,00</w:t>
            </w:r>
          </w:p>
        </w:tc>
        <w:tc>
          <w:tcPr>
            <w:tcW w:w="36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sz w:val="18"/>
                <w:szCs w:val="18"/>
                <w:lang w:eastAsia="en-US"/>
              </w:rPr>
            </w:pPr>
            <w:r w:rsidRPr="00685BD2">
              <w:rPr>
                <w:rFonts w:ascii="Arial" w:eastAsiaTheme="minorHAnsi" w:hAnsi="Arial" w:cs="Arial"/>
                <w:sz w:val="18"/>
                <w:szCs w:val="18"/>
                <w:lang w:eastAsia="en-US"/>
              </w:rPr>
              <w:t>3.925.600,00</w:t>
            </w:r>
          </w:p>
        </w:tc>
        <w:tc>
          <w:tcPr>
            <w:tcW w:w="3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sz w:val="18"/>
                <w:szCs w:val="18"/>
                <w:lang w:eastAsia="en-US"/>
              </w:rPr>
            </w:pPr>
            <w:r w:rsidRPr="00685BD2">
              <w:rPr>
                <w:rFonts w:ascii="Arial" w:eastAsiaTheme="minorHAnsi" w:hAnsi="Arial" w:cs="Arial"/>
                <w:sz w:val="18"/>
                <w:szCs w:val="18"/>
                <w:lang w:eastAsia="en-US"/>
              </w:rPr>
              <w:t>30.03.2018</w:t>
            </w:r>
          </w:p>
        </w:tc>
        <w:tc>
          <w:tcPr>
            <w:tcW w:w="3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sz w:val="18"/>
                <w:szCs w:val="18"/>
                <w:lang w:eastAsia="en-US"/>
              </w:rPr>
            </w:pPr>
            <w:r w:rsidRPr="00685BD2">
              <w:rPr>
                <w:rFonts w:ascii="Arial" w:eastAsiaTheme="minorHAnsi" w:hAnsi="Arial" w:cs="Arial"/>
                <w:sz w:val="18"/>
                <w:szCs w:val="18"/>
                <w:lang w:eastAsia="en-US"/>
              </w:rPr>
              <w:t>36</w:t>
            </w:r>
          </w:p>
        </w:tc>
        <w:tc>
          <w:tcPr>
            <w:tcW w:w="3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jc w:val="center"/>
              <w:rPr>
                <w:rFonts w:ascii="Arial" w:eastAsiaTheme="minorHAnsi" w:hAnsi="Arial" w:cs="Arial"/>
                <w:sz w:val="18"/>
                <w:szCs w:val="18"/>
                <w:lang w:eastAsia="en-US"/>
              </w:rPr>
            </w:pPr>
            <w:r w:rsidRPr="00685BD2">
              <w:rPr>
                <w:rFonts w:ascii="Arial" w:eastAsiaTheme="minorHAnsi" w:hAnsi="Arial" w:cs="Arial"/>
                <w:sz w:val="18"/>
                <w:szCs w:val="18"/>
                <w:lang w:eastAsia="en-US"/>
              </w:rPr>
              <w:t>36</w:t>
            </w:r>
          </w:p>
        </w:tc>
      </w:tr>
      <w:tr w:rsidR="00685BD2" w:rsidRPr="00685BD2" w:rsidTr="006F1AEC">
        <w:trPr>
          <w:trHeight w:val="502"/>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685BD2" w:rsidRPr="00685BD2" w:rsidRDefault="00E733E8" w:rsidP="00685BD2">
            <w:pPr>
              <w:widowControl/>
              <w:autoSpaceDE/>
              <w:autoSpaceDN/>
              <w:adjustRightInd/>
              <w:spacing w:after="160" w:line="259" w:lineRule="auto"/>
              <w:jc w:val="center"/>
              <w:rPr>
                <w:rFonts w:ascii="Arial" w:eastAsiaTheme="minorHAnsi" w:hAnsi="Arial" w:cs="Arial"/>
                <w:b/>
                <w:bCs/>
                <w:sz w:val="18"/>
                <w:szCs w:val="18"/>
                <w:lang w:eastAsia="en-US"/>
              </w:rPr>
            </w:pPr>
            <w:r>
              <w:rPr>
                <w:rFonts w:ascii="Arial" w:eastAsiaTheme="minorHAnsi" w:hAnsi="Arial" w:cs="Arial"/>
                <w:b/>
                <w:bCs/>
                <w:sz w:val="18"/>
                <w:szCs w:val="18"/>
                <w:lang w:eastAsia="en-US"/>
              </w:rPr>
              <w:t>SEM</w:t>
            </w:r>
            <w:r w:rsidR="00685BD2" w:rsidRPr="00685BD2">
              <w:rPr>
                <w:rFonts w:ascii="Arial" w:eastAsiaTheme="minorHAnsi" w:hAnsi="Arial" w:cs="Arial"/>
                <w:b/>
                <w:bCs/>
                <w:sz w:val="18"/>
                <w:szCs w:val="18"/>
                <w:lang w:eastAsia="en-US"/>
              </w:rPr>
              <w:t>ESTRUL I - 2 CONTRACTE</w:t>
            </w:r>
            <w:r w:rsidR="00685BD2" w:rsidRPr="00685BD2">
              <w:rPr>
                <w:rFonts w:ascii="Arial" w:eastAsiaTheme="minorHAnsi" w:hAnsi="Arial" w:cs="Arial"/>
                <w:b/>
                <w:bCs/>
                <w:sz w:val="18"/>
                <w:szCs w:val="18"/>
                <w:lang w:eastAsia="en-US"/>
              </w:rPr>
              <w:br/>
              <w:t xml:space="preserve">VALOARE </w:t>
            </w:r>
            <w:r>
              <w:rPr>
                <w:rFonts w:ascii="Arial" w:eastAsiaTheme="minorHAnsi" w:hAnsi="Arial" w:cs="Arial"/>
                <w:b/>
                <w:bCs/>
                <w:sz w:val="18"/>
                <w:szCs w:val="18"/>
                <w:lang w:eastAsia="en-US"/>
              </w:rPr>
              <w:t>SEM</w:t>
            </w:r>
            <w:r w:rsidR="00685BD2" w:rsidRPr="00685BD2">
              <w:rPr>
                <w:rFonts w:ascii="Arial" w:eastAsiaTheme="minorHAnsi" w:hAnsi="Arial" w:cs="Arial"/>
                <w:b/>
                <w:bCs/>
                <w:sz w:val="18"/>
                <w:szCs w:val="18"/>
                <w:lang w:eastAsia="en-US"/>
              </w:rPr>
              <w:t>ESTRUL I = 6.373.021.06 lei</w:t>
            </w:r>
          </w:p>
        </w:tc>
      </w:tr>
      <w:tr w:rsidR="00C95BCC" w:rsidRPr="00685BD2" w:rsidTr="00CA3CF8">
        <w:trPr>
          <w:trHeight w:val="255"/>
        </w:trPr>
        <w:tc>
          <w:tcPr>
            <w:tcW w:w="104" w:type="pct"/>
            <w:tcBorders>
              <w:top w:val="nil"/>
              <w:left w:val="nil"/>
              <w:bottom w:val="nil"/>
              <w:right w:val="nil"/>
            </w:tcBorders>
            <w:shd w:val="clear" w:color="auto" w:fill="auto"/>
            <w:noWrap/>
            <w:tcMar>
              <w:top w:w="15" w:type="dxa"/>
              <w:left w:w="15" w:type="dxa"/>
              <w:bottom w:w="0" w:type="dxa"/>
              <w:right w:w="15" w:type="dxa"/>
            </w:tcMar>
            <w:vAlign w:val="bottom"/>
            <w:hideMark/>
          </w:tcPr>
          <w:p w:rsidR="00685BD2" w:rsidRPr="00685BD2" w:rsidRDefault="00685BD2" w:rsidP="00685BD2">
            <w:pPr>
              <w:widowControl/>
              <w:autoSpaceDE/>
              <w:autoSpaceDN/>
              <w:adjustRightInd/>
              <w:spacing w:after="160" w:line="259" w:lineRule="auto"/>
              <w:jc w:val="center"/>
              <w:rPr>
                <w:rFonts w:ascii="Arial" w:eastAsiaTheme="minorHAnsi" w:hAnsi="Arial" w:cs="Arial"/>
                <w:b/>
                <w:bCs/>
                <w:sz w:val="18"/>
                <w:szCs w:val="18"/>
                <w:lang w:eastAsia="en-US"/>
              </w:rPr>
            </w:pPr>
          </w:p>
        </w:tc>
        <w:tc>
          <w:tcPr>
            <w:tcW w:w="468" w:type="pct"/>
            <w:tcBorders>
              <w:top w:val="nil"/>
              <w:left w:val="nil"/>
              <w:bottom w:val="nil"/>
              <w:right w:val="nil"/>
            </w:tcBorders>
            <w:shd w:val="clear" w:color="auto" w:fill="auto"/>
            <w:noWrap/>
            <w:tcMar>
              <w:top w:w="15" w:type="dxa"/>
              <w:left w:w="15" w:type="dxa"/>
              <w:bottom w:w="0" w:type="dxa"/>
              <w:right w:w="15" w:type="dxa"/>
            </w:tcMar>
            <w:vAlign w:val="bottom"/>
            <w:hideMark/>
          </w:tcPr>
          <w:p w:rsidR="00685BD2" w:rsidRPr="00685BD2" w:rsidRDefault="00685BD2" w:rsidP="00685BD2">
            <w:pPr>
              <w:widowControl/>
              <w:autoSpaceDE/>
              <w:autoSpaceDN/>
              <w:adjustRightInd/>
              <w:spacing w:after="160" w:line="259" w:lineRule="auto"/>
              <w:rPr>
                <w:rFonts w:ascii="Arial" w:eastAsiaTheme="minorHAnsi" w:hAnsi="Arial" w:cs="Arial"/>
                <w:sz w:val="18"/>
                <w:szCs w:val="18"/>
                <w:lang w:eastAsia="en-US"/>
              </w:rPr>
            </w:pPr>
          </w:p>
        </w:tc>
        <w:tc>
          <w:tcPr>
            <w:tcW w:w="973" w:type="pct"/>
            <w:tcBorders>
              <w:top w:val="nil"/>
              <w:left w:val="nil"/>
              <w:bottom w:val="nil"/>
              <w:right w:val="nil"/>
            </w:tcBorders>
            <w:shd w:val="clear" w:color="auto" w:fill="auto"/>
            <w:noWrap/>
            <w:tcMar>
              <w:top w:w="15" w:type="dxa"/>
              <w:left w:w="15" w:type="dxa"/>
              <w:bottom w:w="0" w:type="dxa"/>
              <w:right w:w="15" w:type="dxa"/>
            </w:tcMar>
            <w:vAlign w:val="bottom"/>
            <w:hideMark/>
          </w:tcPr>
          <w:p w:rsidR="00685BD2" w:rsidRPr="00685BD2" w:rsidRDefault="00685BD2" w:rsidP="00685BD2">
            <w:pPr>
              <w:widowControl/>
              <w:autoSpaceDE/>
              <w:autoSpaceDN/>
              <w:adjustRightInd/>
              <w:spacing w:after="160" w:line="259" w:lineRule="auto"/>
              <w:rPr>
                <w:rFonts w:ascii="Arial" w:eastAsiaTheme="minorHAnsi" w:hAnsi="Arial" w:cs="Arial"/>
                <w:sz w:val="18"/>
                <w:szCs w:val="18"/>
                <w:lang w:eastAsia="en-US"/>
              </w:rPr>
            </w:pPr>
          </w:p>
        </w:tc>
        <w:tc>
          <w:tcPr>
            <w:tcW w:w="354" w:type="pct"/>
            <w:tcBorders>
              <w:top w:val="nil"/>
              <w:left w:val="nil"/>
              <w:bottom w:val="nil"/>
              <w:right w:val="nil"/>
            </w:tcBorders>
            <w:shd w:val="clear" w:color="auto" w:fill="auto"/>
            <w:noWrap/>
            <w:tcMar>
              <w:top w:w="15" w:type="dxa"/>
              <w:left w:w="15" w:type="dxa"/>
              <w:bottom w:w="0" w:type="dxa"/>
              <w:right w:w="15" w:type="dxa"/>
            </w:tcMar>
            <w:vAlign w:val="bottom"/>
            <w:hideMark/>
          </w:tcPr>
          <w:p w:rsidR="00685BD2" w:rsidRPr="00685BD2" w:rsidRDefault="00685BD2" w:rsidP="00685BD2">
            <w:pPr>
              <w:widowControl/>
              <w:autoSpaceDE/>
              <w:autoSpaceDN/>
              <w:adjustRightInd/>
              <w:spacing w:after="160" w:line="259" w:lineRule="auto"/>
              <w:rPr>
                <w:rFonts w:ascii="Arial" w:eastAsiaTheme="minorHAnsi" w:hAnsi="Arial" w:cs="Arial"/>
                <w:sz w:val="18"/>
                <w:szCs w:val="18"/>
                <w:lang w:eastAsia="en-US"/>
              </w:rPr>
            </w:pPr>
          </w:p>
        </w:tc>
        <w:tc>
          <w:tcPr>
            <w:tcW w:w="377" w:type="pct"/>
            <w:tcBorders>
              <w:top w:val="nil"/>
              <w:left w:val="nil"/>
              <w:bottom w:val="nil"/>
              <w:right w:val="nil"/>
            </w:tcBorders>
            <w:shd w:val="clear" w:color="auto" w:fill="auto"/>
            <w:noWrap/>
            <w:tcMar>
              <w:top w:w="15" w:type="dxa"/>
              <w:left w:w="15" w:type="dxa"/>
              <w:bottom w:w="0" w:type="dxa"/>
              <w:right w:w="15" w:type="dxa"/>
            </w:tcMar>
            <w:vAlign w:val="bottom"/>
            <w:hideMark/>
          </w:tcPr>
          <w:p w:rsidR="00685BD2" w:rsidRPr="00685BD2" w:rsidRDefault="00685BD2" w:rsidP="00685BD2">
            <w:pPr>
              <w:widowControl/>
              <w:autoSpaceDE/>
              <w:autoSpaceDN/>
              <w:adjustRightInd/>
              <w:spacing w:after="160" w:line="259" w:lineRule="auto"/>
              <w:rPr>
                <w:rFonts w:ascii="Arial" w:eastAsiaTheme="minorHAnsi" w:hAnsi="Arial" w:cs="Arial"/>
                <w:sz w:val="18"/>
                <w:szCs w:val="18"/>
                <w:lang w:eastAsia="en-US"/>
              </w:rPr>
            </w:pPr>
          </w:p>
        </w:tc>
        <w:tc>
          <w:tcPr>
            <w:tcW w:w="401" w:type="pct"/>
            <w:tcBorders>
              <w:top w:val="nil"/>
              <w:left w:val="nil"/>
              <w:bottom w:val="nil"/>
              <w:right w:val="nil"/>
            </w:tcBorders>
            <w:shd w:val="clear" w:color="auto" w:fill="auto"/>
            <w:noWrap/>
            <w:tcMar>
              <w:top w:w="15" w:type="dxa"/>
              <w:left w:w="15" w:type="dxa"/>
              <w:bottom w:w="0" w:type="dxa"/>
              <w:right w:w="15" w:type="dxa"/>
            </w:tcMar>
            <w:vAlign w:val="bottom"/>
            <w:hideMark/>
          </w:tcPr>
          <w:p w:rsidR="00685BD2" w:rsidRPr="00685BD2" w:rsidRDefault="00685BD2" w:rsidP="00685BD2">
            <w:pPr>
              <w:widowControl/>
              <w:autoSpaceDE/>
              <w:autoSpaceDN/>
              <w:adjustRightInd/>
              <w:spacing w:after="160" w:line="259" w:lineRule="auto"/>
              <w:rPr>
                <w:rFonts w:ascii="Arial" w:eastAsiaTheme="minorHAnsi" w:hAnsi="Arial" w:cs="Arial"/>
                <w:sz w:val="18"/>
                <w:szCs w:val="18"/>
                <w:lang w:eastAsia="en-US"/>
              </w:rPr>
            </w:pPr>
          </w:p>
        </w:tc>
        <w:tc>
          <w:tcPr>
            <w:tcW w:w="541" w:type="pct"/>
            <w:tcBorders>
              <w:top w:val="nil"/>
              <w:left w:val="nil"/>
              <w:bottom w:val="nil"/>
              <w:right w:val="nil"/>
            </w:tcBorders>
            <w:shd w:val="clear" w:color="auto" w:fill="auto"/>
            <w:noWrap/>
            <w:tcMar>
              <w:top w:w="15" w:type="dxa"/>
              <w:left w:w="15" w:type="dxa"/>
              <w:bottom w:w="0" w:type="dxa"/>
              <w:right w:w="15" w:type="dxa"/>
            </w:tcMar>
            <w:vAlign w:val="bottom"/>
            <w:hideMark/>
          </w:tcPr>
          <w:p w:rsidR="00685BD2" w:rsidRPr="00685BD2" w:rsidRDefault="00685BD2" w:rsidP="00685BD2">
            <w:pPr>
              <w:widowControl/>
              <w:autoSpaceDE/>
              <w:autoSpaceDN/>
              <w:adjustRightInd/>
              <w:spacing w:after="160" w:line="259" w:lineRule="auto"/>
              <w:rPr>
                <w:rFonts w:ascii="Arial" w:eastAsiaTheme="minorHAnsi" w:hAnsi="Arial" w:cs="Arial"/>
                <w:sz w:val="18"/>
                <w:szCs w:val="18"/>
                <w:lang w:eastAsia="en-US"/>
              </w:rPr>
            </w:pPr>
          </w:p>
        </w:tc>
        <w:tc>
          <w:tcPr>
            <w:tcW w:w="361" w:type="pct"/>
            <w:tcBorders>
              <w:top w:val="nil"/>
              <w:left w:val="nil"/>
              <w:bottom w:val="nil"/>
              <w:right w:val="nil"/>
            </w:tcBorders>
            <w:shd w:val="clear" w:color="auto" w:fill="auto"/>
            <w:noWrap/>
            <w:tcMar>
              <w:top w:w="15" w:type="dxa"/>
              <w:left w:w="15" w:type="dxa"/>
              <w:bottom w:w="0" w:type="dxa"/>
              <w:right w:w="15" w:type="dxa"/>
            </w:tcMar>
            <w:vAlign w:val="bottom"/>
            <w:hideMark/>
          </w:tcPr>
          <w:p w:rsidR="00685BD2" w:rsidRPr="00685BD2" w:rsidRDefault="00685BD2" w:rsidP="00685BD2">
            <w:pPr>
              <w:widowControl/>
              <w:autoSpaceDE/>
              <w:autoSpaceDN/>
              <w:adjustRightInd/>
              <w:spacing w:after="160" w:line="259" w:lineRule="auto"/>
              <w:rPr>
                <w:rFonts w:ascii="Arial" w:eastAsiaTheme="minorHAnsi" w:hAnsi="Arial" w:cs="Arial"/>
                <w:sz w:val="18"/>
                <w:szCs w:val="18"/>
                <w:lang w:eastAsia="en-US"/>
              </w:rPr>
            </w:pPr>
          </w:p>
        </w:tc>
        <w:tc>
          <w:tcPr>
            <w:tcW w:w="361" w:type="pct"/>
            <w:tcBorders>
              <w:top w:val="nil"/>
              <w:left w:val="nil"/>
              <w:bottom w:val="nil"/>
              <w:right w:val="nil"/>
            </w:tcBorders>
            <w:shd w:val="clear" w:color="auto" w:fill="auto"/>
            <w:noWrap/>
            <w:tcMar>
              <w:top w:w="15" w:type="dxa"/>
              <w:left w:w="15" w:type="dxa"/>
              <w:bottom w:w="0" w:type="dxa"/>
              <w:right w:w="15" w:type="dxa"/>
            </w:tcMar>
            <w:vAlign w:val="bottom"/>
            <w:hideMark/>
          </w:tcPr>
          <w:p w:rsidR="00685BD2" w:rsidRPr="00685BD2" w:rsidRDefault="00685BD2" w:rsidP="00685BD2">
            <w:pPr>
              <w:widowControl/>
              <w:autoSpaceDE/>
              <w:autoSpaceDN/>
              <w:adjustRightInd/>
              <w:spacing w:after="160" w:line="259" w:lineRule="auto"/>
              <w:rPr>
                <w:rFonts w:ascii="Arial" w:eastAsiaTheme="minorHAnsi" w:hAnsi="Arial" w:cs="Arial"/>
                <w:sz w:val="18"/>
                <w:szCs w:val="18"/>
                <w:lang w:eastAsia="en-US"/>
              </w:rPr>
            </w:pPr>
          </w:p>
        </w:tc>
        <w:tc>
          <w:tcPr>
            <w:tcW w:w="354" w:type="pct"/>
            <w:tcBorders>
              <w:top w:val="nil"/>
              <w:left w:val="nil"/>
              <w:bottom w:val="nil"/>
              <w:right w:val="nil"/>
            </w:tcBorders>
            <w:shd w:val="clear" w:color="auto" w:fill="auto"/>
            <w:noWrap/>
            <w:tcMar>
              <w:top w:w="15" w:type="dxa"/>
              <w:left w:w="15" w:type="dxa"/>
              <w:bottom w:w="0" w:type="dxa"/>
              <w:right w:w="15" w:type="dxa"/>
            </w:tcMar>
            <w:vAlign w:val="bottom"/>
            <w:hideMark/>
          </w:tcPr>
          <w:p w:rsidR="00685BD2" w:rsidRPr="00685BD2" w:rsidRDefault="00685BD2" w:rsidP="00685BD2">
            <w:pPr>
              <w:widowControl/>
              <w:autoSpaceDE/>
              <w:autoSpaceDN/>
              <w:adjustRightInd/>
              <w:spacing w:after="160" w:line="259" w:lineRule="auto"/>
              <w:rPr>
                <w:rFonts w:ascii="Arial" w:eastAsiaTheme="minorHAnsi" w:hAnsi="Arial" w:cs="Arial"/>
                <w:sz w:val="18"/>
                <w:szCs w:val="18"/>
                <w:lang w:eastAsia="en-US"/>
              </w:rPr>
            </w:pPr>
          </w:p>
        </w:tc>
        <w:tc>
          <w:tcPr>
            <w:tcW w:w="354" w:type="pct"/>
            <w:tcBorders>
              <w:top w:val="nil"/>
              <w:left w:val="nil"/>
              <w:bottom w:val="nil"/>
              <w:right w:val="nil"/>
            </w:tcBorders>
            <w:shd w:val="clear" w:color="auto" w:fill="auto"/>
            <w:noWrap/>
            <w:tcMar>
              <w:top w:w="15" w:type="dxa"/>
              <w:left w:w="15" w:type="dxa"/>
              <w:bottom w:w="0" w:type="dxa"/>
              <w:right w:w="15" w:type="dxa"/>
            </w:tcMar>
            <w:vAlign w:val="bottom"/>
            <w:hideMark/>
          </w:tcPr>
          <w:p w:rsidR="00685BD2" w:rsidRPr="00685BD2" w:rsidRDefault="00685BD2" w:rsidP="00685BD2">
            <w:pPr>
              <w:widowControl/>
              <w:autoSpaceDE/>
              <w:autoSpaceDN/>
              <w:adjustRightInd/>
              <w:spacing w:after="160" w:line="259" w:lineRule="auto"/>
              <w:rPr>
                <w:rFonts w:ascii="Arial" w:eastAsiaTheme="minorHAnsi" w:hAnsi="Arial" w:cs="Arial"/>
                <w:sz w:val="18"/>
                <w:szCs w:val="18"/>
                <w:lang w:eastAsia="en-US"/>
              </w:rPr>
            </w:pPr>
          </w:p>
        </w:tc>
        <w:tc>
          <w:tcPr>
            <w:tcW w:w="354" w:type="pct"/>
            <w:tcBorders>
              <w:top w:val="nil"/>
              <w:left w:val="nil"/>
              <w:bottom w:val="nil"/>
              <w:right w:val="nil"/>
            </w:tcBorders>
            <w:shd w:val="clear" w:color="auto" w:fill="auto"/>
            <w:noWrap/>
            <w:tcMar>
              <w:top w:w="15" w:type="dxa"/>
              <w:left w:w="15" w:type="dxa"/>
              <w:bottom w:w="0" w:type="dxa"/>
              <w:right w:w="15" w:type="dxa"/>
            </w:tcMar>
            <w:vAlign w:val="bottom"/>
            <w:hideMark/>
          </w:tcPr>
          <w:p w:rsidR="00685BD2" w:rsidRPr="00685BD2" w:rsidRDefault="00685BD2" w:rsidP="00685BD2">
            <w:pPr>
              <w:widowControl/>
              <w:autoSpaceDE/>
              <w:autoSpaceDN/>
              <w:adjustRightInd/>
              <w:spacing w:after="160" w:line="259" w:lineRule="auto"/>
              <w:rPr>
                <w:rFonts w:ascii="Arial" w:eastAsiaTheme="minorHAnsi" w:hAnsi="Arial" w:cs="Arial"/>
                <w:sz w:val="18"/>
                <w:szCs w:val="18"/>
                <w:lang w:eastAsia="en-US"/>
              </w:rPr>
            </w:pPr>
          </w:p>
        </w:tc>
      </w:tr>
      <w:tr w:rsidR="00C95BCC" w:rsidRPr="00685BD2" w:rsidTr="00CA3CF8">
        <w:trPr>
          <w:trHeight w:val="300"/>
        </w:trPr>
        <w:tc>
          <w:tcPr>
            <w:tcW w:w="104" w:type="pct"/>
            <w:tcBorders>
              <w:top w:val="nil"/>
              <w:left w:val="nil"/>
              <w:bottom w:val="nil"/>
              <w:right w:val="nil"/>
            </w:tcBorders>
            <w:shd w:val="clear" w:color="auto" w:fill="auto"/>
            <w:noWrap/>
            <w:tcMar>
              <w:top w:w="15" w:type="dxa"/>
              <w:left w:w="15" w:type="dxa"/>
              <w:bottom w:w="0" w:type="dxa"/>
              <w:right w:w="15" w:type="dxa"/>
            </w:tcMar>
            <w:vAlign w:val="bottom"/>
          </w:tcPr>
          <w:p w:rsidR="00685BD2" w:rsidRPr="00685BD2" w:rsidRDefault="00685BD2" w:rsidP="00685BD2">
            <w:pPr>
              <w:widowControl/>
              <w:autoSpaceDE/>
              <w:autoSpaceDN/>
              <w:adjustRightInd/>
              <w:spacing w:after="160" w:line="259" w:lineRule="auto"/>
              <w:jc w:val="center"/>
              <w:rPr>
                <w:rFonts w:ascii="Arial" w:eastAsiaTheme="minorHAnsi" w:hAnsi="Arial" w:cs="Arial"/>
                <w:sz w:val="18"/>
                <w:szCs w:val="18"/>
                <w:lang w:eastAsia="en-US"/>
              </w:rPr>
            </w:pPr>
          </w:p>
        </w:tc>
        <w:tc>
          <w:tcPr>
            <w:tcW w:w="1440" w:type="pct"/>
            <w:gridSpan w:val="2"/>
            <w:tcBorders>
              <w:top w:val="nil"/>
              <w:left w:val="nil"/>
              <w:bottom w:val="nil"/>
              <w:right w:val="nil"/>
            </w:tcBorders>
            <w:shd w:val="clear" w:color="auto" w:fill="auto"/>
            <w:noWrap/>
            <w:tcMar>
              <w:top w:w="15" w:type="dxa"/>
              <w:left w:w="15" w:type="dxa"/>
              <w:bottom w:w="0" w:type="dxa"/>
              <w:right w:w="15" w:type="dxa"/>
            </w:tcMar>
            <w:vAlign w:val="center"/>
          </w:tcPr>
          <w:p w:rsidR="00685BD2" w:rsidRDefault="00685BD2" w:rsidP="00685BD2">
            <w:pPr>
              <w:widowControl/>
              <w:autoSpaceDE/>
              <w:autoSpaceDN/>
              <w:adjustRightInd/>
              <w:spacing w:after="160" w:line="259" w:lineRule="auto"/>
              <w:rPr>
                <w:rFonts w:ascii="Arial" w:eastAsiaTheme="minorHAnsi" w:hAnsi="Arial" w:cs="Arial"/>
                <w:b/>
                <w:bCs/>
                <w:color w:val="000000"/>
                <w:sz w:val="18"/>
                <w:szCs w:val="18"/>
                <w:lang w:eastAsia="en-US"/>
              </w:rPr>
            </w:pPr>
          </w:p>
          <w:p w:rsidR="00E31579" w:rsidRPr="00685BD2" w:rsidRDefault="00E31579" w:rsidP="00685BD2">
            <w:pPr>
              <w:widowControl/>
              <w:autoSpaceDE/>
              <w:autoSpaceDN/>
              <w:adjustRightInd/>
              <w:spacing w:after="160" w:line="259" w:lineRule="auto"/>
              <w:rPr>
                <w:rFonts w:ascii="Arial" w:eastAsiaTheme="minorHAnsi" w:hAnsi="Arial" w:cs="Arial"/>
                <w:b/>
                <w:bCs/>
                <w:color w:val="000000"/>
                <w:sz w:val="18"/>
                <w:szCs w:val="18"/>
                <w:lang w:eastAsia="en-US"/>
              </w:rPr>
            </w:pPr>
          </w:p>
        </w:tc>
        <w:tc>
          <w:tcPr>
            <w:tcW w:w="354" w:type="pct"/>
            <w:tcBorders>
              <w:top w:val="nil"/>
              <w:left w:val="nil"/>
              <w:bottom w:val="nil"/>
              <w:right w:val="nil"/>
            </w:tcBorders>
            <w:shd w:val="clear" w:color="auto" w:fill="auto"/>
            <w:noWrap/>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rPr>
                <w:rFonts w:ascii="Arial" w:eastAsiaTheme="minorHAnsi" w:hAnsi="Arial" w:cs="Arial"/>
                <w:b/>
                <w:bCs/>
                <w:color w:val="000000"/>
                <w:sz w:val="18"/>
                <w:szCs w:val="18"/>
                <w:lang w:eastAsia="en-US"/>
              </w:rPr>
            </w:pPr>
          </w:p>
        </w:tc>
        <w:tc>
          <w:tcPr>
            <w:tcW w:w="377" w:type="pct"/>
            <w:tcBorders>
              <w:top w:val="nil"/>
              <w:left w:val="nil"/>
              <w:bottom w:val="nil"/>
              <w:right w:val="nil"/>
            </w:tcBorders>
            <w:shd w:val="clear" w:color="auto" w:fill="auto"/>
            <w:noWrap/>
            <w:tcMar>
              <w:top w:w="15" w:type="dxa"/>
              <w:left w:w="15" w:type="dxa"/>
              <w:bottom w:w="0" w:type="dxa"/>
              <w:right w:w="15" w:type="dxa"/>
            </w:tcMar>
            <w:vAlign w:val="center"/>
            <w:hideMark/>
          </w:tcPr>
          <w:p w:rsidR="00685BD2" w:rsidRPr="00685BD2" w:rsidRDefault="00685BD2" w:rsidP="00685BD2">
            <w:pPr>
              <w:widowControl/>
              <w:autoSpaceDE/>
              <w:autoSpaceDN/>
              <w:adjustRightInd/>
              <w:spacing w:after="160" w:line="259" w:lineRule="auto"/>
              <w:rPr>
                <w:rFonts w:ascii="Arial" w:eastAsiaTheme="minorHAnsi" w:hAnsi="Arial" w:cs="Arial"/>
                <w:sz w:val="18"/>
                <w:szCs w:val="18"/>
                <w:lang w:eastAsia="en-US"/>
              </w:rPr>
            </w:pPr>
          </w:p>
        </w:tc>
        <w:tc>
          <w:tcPr>
            <w:tcW w:w="401" w:type="pct"/>
            <w:tcBorders>
              <w:top w:val="nil"/>
              <w:left w:val="nil"/>
              <w:bottom w:val="nil"/>
              <w:right w:val="nil"/>
            </w:tcBorders>
            <w:shd w:val="clear" w:color="auto" w:fill="auto"/>
            <w:noWrap/>
            <w:tcMar>
              <w:top w:w="15" w:type="dxa"/>
              <w:left w:w="15" w:type="dxa"/>
              <w:bottom w:w="0" w:type="dxa"/>
              <w:right w:w="15" w:type="dxa"/>
            </w:tcMar>
            <w:vAlign w:val="bottom"/>
            <w:hideMark/>
          </w:tcPr>
          <w:p w:rsidR="00685BD2" w:rsidRPr="00685BD2" w:rsidRDefault="00685BD2" w:rsidP="00685BD2">
            <w:pPr>
              <w:widowControl/>
              <w:autoSpaceDE/>
              <w:autoSpaceDN/>
              <w:adjustRightInd/>
              <w:spacing w:after="160" w:line="259" w:lineRule="auto"/>
              <w:rPr>
                <w:rFonts w:ascii="Arial" w:eastAsiaTheme="minorHAnsi" w:hAnsi="Arial" w:cs="Arial"/>
                <w:sz w:val="18"/>
                <w:szCs w:val="18"/>
                <w:lang w:eastAsia="en-US"/>
              </w:rPr>
            </w:pPr>
          </w:p>
        </w:tc>
        <w:tc>
          <w:tcPr>
            <w:tcW w:w="541" w:type="pct"/>
            <w:tcBorders>
              <w:top w:val="nil"/>
              <w:left w:val="nil"/>
              <w:bottom w:val="nil"/>
              <w:right w:val="nil"/>
            </w:tcBorders>
            <w:shd w:val="clear" w:color="auto" w:fill="auto"/>
            <w:noWrap/>
            <w:tcMar>
              <w:top w:w="15" w:type="dxa"/>
              <w:left w:w="15" w:type="dxa"/>
              <w:bottom w:w="0" w:type="dxa"/>
              <w:right w:w="15" w:type="dxa"/>
            </w:tcMar>
            <w:vAlign w:val="bottom"/>
            <w:hideMark/>
          </w:tcPr>
          <w:p w:rsidR="00685BD2" w:rsidRPr="00685BD2" w:rsidRDefault="00685BD2" w:rsidP="00685BD2">
            <w:pPr>
              <w:widowControl/>
              <w:autoSpaceDE/>
              <w:autoSpaceDN/>
              <w:adjustRightInd/>
              <w:spacing w:after="160" w:line="259" w:lineRule="auto"/>
              <w:rPr>
                <w:rFonts w:ascii="Arial" w:eastAsiaTheme="minorHAnsi" w:hAnsi="Arial" w:cs="Arial"/>
                <w:sz w:val="18"/>
                <w:szCs w:val="18"/>
                <w:lang w:eastAsia="en-US"/>
              </w:rPr>
            </w:pPr>
          </w:p>
        </w:tc>
        <w:tc>
          <w:tcPr>
            <w:tcW w:w="361" w:type="pct"/>
            <w:tcBorders>
              <w:top w:val="nil"/>
              <w:left w:val="nil"/>
              <w:bottom w:val="nil"/>
              <w:right w:val="nil"/>
            </w:tcBorders>
            <w:shd w:val="clear" w:color="auto" w:fill="auto"/>
            <w:noWrap/>
            <w:tcMar>
              <w:top w:w="15" w:type="dxa"/>
              <w:left w:w="15" w:type="dxa"/>
              <w:bottom w:w="0" w:type="dxa"/>
              <w:right w:w="15" w:type="dxa"/>
            </w:tcMar>
            <w:vAlign w:val="bottom"/>
            <w:hideMark/>
          </w:tcPr>
          <w:p w:rsidR="00685BD2" w:rsidRPr="00685BD2" w:rsidRDefault="00685BD2" w:rsidP="00685BD2">
            <w:pPr>
              <w:widowControl/>
              <w:autoSpaceDE/>
              <w:autoSpaceDN/>
              <w:adjustRightInd/>
              <w:spacing w:after="160" w:line="259" w:lineRule="auto"/>
              <w:jc w:val="center"/>
              <w:rPr>
                <w:rFonts w:ascii="Arial" w:eastAsiaTheme="minorHAnsi" w:hAnsi="Arial" w:cs="Arial"/>
                <w:sz w:val="18"/>
                <w:szCs w:val="18"/>
                <w:lang w:eastAsia="en-US"/>
              </w:rPr>
            </w:pPr>
          </w:p>
        </w:tc>
        <w:tc>
          <w:tcPr>
            <w:tcW w:w="361" w:type="pct"/>
            <w:tcBorders>
              <w:top w:val="nil"/>
              <w:left w:val="nil"/>
              <w:bottom w:val="nil"/>
              <w:right w:val="nil"/>
            </w:tcBorders>
            <w:shd w:val="clear" w:color="auto" w:fill="auto"/>
            <w:noWrap/>
            <w:tcMar>
              <w:top w:w="15" w:type="dxa"/>
              <w:left w:w="15" w:type="dxa"/>
              <w:bottom w:w="0" w:type="dxa"/>
              <w:right w:w="15" w:type="dxa"/>
            </w:tcMar>
            <w:vAlign w:val="bottom"/>
            <w:hideMark/>
          </w:tcPr>
          <w:p w:rsidR="00685BD2" w:rsidRPr="00685BD2" w:rsidRDefault="00685BD2" w:rsidP="00685BD2">
            <w:pPr>
              <w:widowControl/>
              <w:autoSpaceDE/>
              <w:autoSpaceDN/>
              <w:adjustRightInd/>
              <w:spacing w:after="160" w:line="259" w:lineRule="auto"/>
              <w:jc w:val="center"/>
              <w:rPr>
                <w:rFonts w:ascii="Arial" w:eastAsiaTheme="minorHAnsi" w:hAnsi="Arial" w:cs="Arial"/>
                <w:sz w:val="18"/>
                <w:szCs w:val="18"/>
                <w:lang w:eastAsia="en-US"/>
              </w:rPr>
            </w:pPr>
          </w:p>
        </w:tc>
        <w:tc>
          <w:tcPr>
            <w:tcW w:w="354" w:type="pct"/>
            <w:tcBorders>
              <w:top w:val="nil"/>
              <w:left w:val="nil"/>
              <w:bottom w:val="nil"/>
              <w:right w:val="nil"/>
            </w:tcBorders>
            <w:shd w:val="clear" w:color="auto" w:fill="auto"/>
            <w:noWrap/>
            <w:tcMar>
              <w:top w:w="15" w:type="dxa"/>
              <w:left w:w="15" w:type="dxa"/>
              <w:bottom w:w="0" w:type="dxa"/>
              <w:right w:w="15" w:type="dxa"/>
            </w:tcMar>
            <w:vAlign w:val="bottom"/>
            <w:hideMark/>
          </w:tcPr>
          <w:p w:rsidR="00685BD2" w:rsidRPr="00685BD2" w:rsidRDefault="00685BD2" w:rsidP="00685BD2">
            <w:pPr>
              <w:widowControl/>
              <w:autoSpaceDE/>
              <w:autoSpaceDN/>
              <w:adjustRightInd/>
              <w:spacing w:after="160" w:line="259" w:lineRule="auto"/>
              <w:rPr>
                <w:rFonts w:ascii="Arial" w:eastAsiaTheme="minorHAnsi" w:hAnsi="Arial" w:cs="Arial"/>
                <w:sz w:val="18"/>
                <w:szCs w:val="18"/>
                <w:lang w:eastAsia="en-US"/>
              </w:rPr>
            </w:pPr>
          </w:p>
        </w:tc>
        <w:tc>
          <w:tcPr>
            <w:tcW w:w="354" w:type="pct"/>
            <w:tcBorders>
              <w:top w:val="nil"/>
              <w:left w:val="nil"/>
              <w:bottom w:val="nil"/>
              <w:right w:val="nil"/>
            </w:tcBorders>
            <w:shd w:val="clear" w:color="auto" w:fill="auto"/>
            <w:noWrap/>
            <w:tcMar>
              <w:top w:w="15" w:type="dxa"/>
              <w:left w:w="15" w:type="dxa"/>
              <w:bottom w:w="0" w:type="dxa"/>
              <w:right w:w="15" w:type="dxa"/>
            </w:tcMar>
            <w:vAlign w:val="bottom"/>
            <w:hideMark/>
          </w:tcPr>
          <w:p w:rsidR="00685BD2" w:rsidRPr="00685BD2" w:rsidRDefault="00685BD2" w:rsidP="00685BD2">
            <w:pPr>
              <w:widowControl/>
              <w:autoSpaceDE/>
              <w:autoSpaceDN/>
              <w:adjustRightInd/>
              <w:spacing w:after="160" w:line="259" w:lineRule="auto"/>
              <w:rPr>
                <w:rFonts w:ascii="Arial" w:eastAsiaTheme="minorHAnsi" w:hAnsi="Arial" w:cs="Arial"/>
                <w:sz w:val="18"/>
                <w:szCs w:val="18"/>
                <w:lang w:eastAsia="en-US"/>
              </w:rPr>
            </w:pPr>
          </w:p>
        </w:tc>
        <w:tc>
          <w:tcPr>
            <w:tcW w:w="354" w:type="pct"/>
            <w:tcBorders>
              <w:top w:val="nil"/>
              <w:left w:val="nil"/>
              <w:bottom w:val="nil"/>
              <w:right w:val="nil"/>
            </w:tcBorders>
            <w:shd w:val="clear" w:color="auto" w:fill="auto"/>
            <w:noWrap/>
            <w:tcMar>
              <w:top w:w="15" w:type="dxa"/>
              <w:left w:w="15" w:type="dxa"/>
              <w:bottom w:w="0" w:type="dxa"/>
              <w:right w:w="15" w:type="dxa"/>
            </w:tcMar>
            <w:vAlign w:val="bottom"/>
            <w:hideMark/>
          </w:tcPr>
          <w:p w:rsidR="00685BD2" w:rsidRPr="00685BD2" w:rsidRDefault="00685BD2" w:rsidP="00685BD2">
            <w:pPr>
              <w:widowControl/>
              <w:autoSpaceDE/>
              <w:autoSpaceDN/>
              <w:adjustRightInd/>
              <w:spacing w:after="160" w:line="259" w:lineRule="auto"/>
              <w:rPr>
                <w:rFonts w:ascii="Arial" w:eastAsiaTheme="minorHAnsi" w:hAnsi="Arial" w:cs="Arial"/>
                <w:sz w:val="18"/>
                <w:szCs w:val="18"/>
                <w:lang w:eastAsia="en-US"/>
              </w:rPr>
            </w:pPr>
          </w:p>
        </w:tc>
      </w:tr>
    </w:tbl>
    <w:p w:rsidR="00C95BCC" w:rsidRPr="00CA3CF8" w:rsidRDefault="00BE2A32" w:rsidP="00B41D8C">
      <w:pPr>
        <w:widowControl/>
        <w:tabs>
          <w:tab w:val="left" w:pos="1293"/>
        </w:tabs>
        <w:autoSpaceDE/>
        <w:autoSpaceDN/>
        <w:adjustRightInd/>
        <w:rPr>
          <w:rFonts w:ascii="Arial" w:hAnsi="Arial" w:cs="Arial"/>
          <w:b/>
          <w:bCs/>
          <w:color w:val="1F4E79" w:themeColor="accent1" w:themeShade="80"/>
          <w:szCs w:val="22"/>
          <w:lang w:val="en-US" w:eastAsia="en-US"/>
        </w:rPr>
      </w:pPr>
      <w:r>
        <w:rPr>
          <w:rFonts w:ascii="Arial" w:hAnsi="Arial" w:cs="Arial"/>
          <w:b/>
          <w:iCs/>
          <w:sz w:val="22"/>
          <w:szCs w:val="22"/>
          <w:lang w:val="fr-FR"/>
        </w:rPr>
        <w:tab/>
      </w:r>
      <w:r w:rsidR="007C399D">
        <w:rPr>
          <w:rFonts w:ascii="Arial" w:hAnsi="Arial" w:cs="Arial"/>
          <w:b/>
          <w:iCs/>
          <w:sz w:val="22"/>
          <w:szCs w:val="22"/>
          <w:lang w:val="fr-FR"/>
        </w:rPr>
        <w:br w:type="page"/>
      </w:r>
      <w:r w:rsidR="00807844" w:rsidRPr="00A74CF5">
        <w:rPr>
          <w:rFonts w:ascii="Arial" w:hAnsi="Arial" w:cs="Arial"/>
          <w:b/>
          <w:iCs/>
          <w:sz w:val="22"/>
          <w:szCs w:val="22"/>
          <w:lang w:val="fr-FR"/>
        </w:rPr>
        <w:lastRenderedPageBreak/>
        <w:t xml:space="preserve"> </w:t>
      </w:r>
      <w:r w:rsidR="00807844" w:rsidRPr="00CA3CF8">
        <w:rPr>
          <w:rFonts w:ascii="Arial" w:hAnsi="Arial" w:cs="Arial"/>
          <w:b/>
          <w:bCs/>
          <w:iCs/>
          <w:color w:val="1F4E79" w:themeColor="accent1" w:themeShade="80"/>
          <w:sz w:val="22"/>
          <w:szCs w:val="22"/>
          <w:lang w:val="fr-FR" w:eastAsia="en-US"/>
        </w:rPr>
        <w:t>Anexa nr.</w:t>
      </w:r>
      <w:r w:rsidR="006C1683" w:rsidRPr="00CA3CF8">
        <w:rPr>
          <w:rFonts w:ascii="Arial" w:hAnsi="Arial" w:cs="Arial"/>
          <w:b/>
          <w:bCs/>
          <w:iCs/>
          <w:color w:val="1F4E79" w:themeColor="accent1" w:themeShade="80"/>
          <w:sz w:val="22"/>
          <w:szCs w:val="22"/>
          <w:lang w:val="fr-FR" w:eastAsia="en-US"/>
        </w:rPr>
        <w:t>6</w:t>
      </w:r>
      <w:r w:rsidR="00807844" w:rsidRPr="00CA3CF8">
        <w:rPr>
          <w:rFonts w:ascii="Arial" w:hAnsi="Arial" w:cs="Arial"/>
          <w:b/>
          <w:bCs/>
          <w:iCs/>
          <w:color w:val="1F4E79" w:themeColor="accent1" w:themeShade="80"/>
          <w:sz w:val="22"/>
          <w:szCs w:val="22"/>
          <w:lang w:val="fr-FR" w:eastAsia="en-US"/>
        </w:rPr>
        <w:t xml:space="preserve"> </w:t>
      </w:r>
    </w:p>
    <w:tbl>
      <w:tblPr>
        <w:tblW w:w="5406" w:type="pct"/>
        <w:jc w:val="center"/>
        <w:tblCellMar>
          <w:left w:w="0" w:type="dxa"/>
          <w:right w:w="0" w:type="dxa"/>
        </w:tblCellMar>
        <w:tblLook w:val="04A0" w:firstRow="1" w:lastRow="0" w:firstColumn="1" w:lastColumn="0" w:noHBand="0" w:noVBand="1"/>
      </w:tblPr>
      <w:tblGrid>
        <w:gridCol w:w="611"/>
        <w:gridCol w:w="2144"/>
        <w:gridCol w:w="3442"/>
        <w:gridCol w:w="1061"/>
        <w:gridCol w:w="921"/>
        <w:gridCol w:w="1201"/>
        <w:gridCol w:w="1482"/>
        <w:gridCol w:w="1081"/>
        <w:gridCol w:w="1081"/>
        <w:gridCol w:w="1061"/>
        <w:gridCol w:w="1061"/>
        <w:gridCol w:w="1061"/>
      </w:tblGrid>
      <w:tr w:rsidR="00C95BCC" w:rsidRPr="00CA3CF8" w:rsidTr="00A01D90">
        <w:trPr>
          <w:trHeight w:val="289"/>
          <w:jc w:val="center"/>
        </w:trPr>
        <w:tc>
          <w:tcPr>
            <w:tcW w:w="5000" w:type="pct"/>
            <w:gridSpan w:val="12"/>
            <w:tcBorders>
              <w:top w:val="nil"/>
              <w:left w:val="nil"/>
              <w:bottom w:val="nil"/>
              <w:right w:val="nil"/>
            </w:tcBorders>
            <w:shd w:val="clear" w:color="auto" w:fill="auto"/>
            <w:tcMar>
              <w:top w:w="15" w:type="dxa"/>
              <w:left w:w="15" w:type="dxa"/>
              <w:bottom w:w="0" w:type="dxa"/>
              <w:right w:w="15" w:type="dxa"/>
            </w:tcMar>
            <w:vAlign w:val="center"/>
            <w:hideMark/>
          </w:tcPr>
          <w:p w:rsidR="00C95BCC" w:rsidRPr="00CA3CF8" w:rsidRDefault="00C95BCC" w:rsidP="00C95BCC">
            <w:pPr>
              <w:widowControl/>
              <w:autoSpaceDE/>
              <w:autoSpaceDN/>
              <w:adjustRightInd/>
              <w:spacing w:after="160" w:line="259" w:lineRule="auto"/>
              <w:jc w:val="center"/>
              <w:rPr>
                <w:rFonts w:ascii="Arial" w:eastAsiaTheme="minorHAnsi" w:hAnsi="Arial" w:cs="Arial"/>
                <w:b/>
                <w:bCs/>
                <w:color w:val="1F4E79" w:themeColor="accent1" w:themeShade="80"/>
                <w:sz w:val="18"/>
                <w:szCs w:val="18"/>
                <w:lang w:eastAsia="en-US"/>
              </w:rPr>
            </w:pPr>
            <w:r w:rsidRPr="00CA3CF8">
              <w:rPr>
                <w:rFonts w:ascii="Arial" w:eastAsiaTheme="minorHAnsi" w:hAnsi="Arial" w:cs="Arial"/>
                <w:b/>
                <w:bCs/>
                <w:color w:val="1F4E79" w:themeColor="accent1" w:themeShade="80"/>
                <w:sz w:val="18"/>
                <w:szCs w:val="18"/>
                <w:lang w:eastAsia="en-US"/>
              </w:rPr>
              <w:t xml:space="preserve">SITUAȚIE CONTRACTE ACHIZIȚIE SERVICII CU VALORI MAI MARI DE 100 000 EURO, ÎNCHEIATE ÎN PERIOADA 01.01.2018 - </w:t>
            </w:r>
            <w:r w:rsidR="00A95D99" w:rsidRPr="00CA3CF8">
              <w:rPr>
                <w:rFonts w:ascii="Arial" w:eastAsiaTheme="minorHAnsi" w:hAnsi="Arial" w:cs="Arial"/>
                <w:b/>
                <w:bCs/>
                <w:color w:val="1F4E79" w:themeColor="accent1" w:themeShade="80"/>
                <w:sz w:val="18"/>
                <w:szCs w:val="18"/>
                <w:lang w:eastAsia="en-US"/>
              </w:rPr>
              <w:t>30.06</w:t>
            </w:r>
            <w:r w:rsidRPr="00CA3CF8">
              <w:rPr>
                <w:rFonts w:ascii="Arial" w:eastAsiaTheme="minorHAnsi" w:hAnsi="Arial" w:cs="Arial"/>
                <w:b/>
                <w:bCs/>
                <w:color w:val="1F4E79" w:themeColor="accent1" w:themeShade="80"/>
                <w:sz w:val="18"/>
                <w:szCs w:val="18"/>
                <w:lang w:eastAsia="en-US"/>
              </w:rPr>
              <w:t>.2018</w:t>
            </w:r>
          </w:p>
        </w:tc>
      </w:tr>
      <w:tr w:rsidR="00C95BCC" w:rsidRPr="00C95BCC" w:rsidTr="00A01D90">
        <w:trPr>
          <w:trHeight w:val="289"/>
          <w:jc w:val="center"/>
        </w:trPr>
        <w:tc>
          <w:tcPr>
            <w:tcW w:w="188" w:type="pct"/>
            <w:tcBorders>
              <w:top w:val="nil"/>
              <w:left w:val="nil"/>
              <w:bottom w:val="nil"/>
              <w:right w:val="nil"/>
            </w:tcBorders>
            <w:shd w:val="clear" w:color="auto" w:fill="auto"/>
            <w:noWrap/>
            <w:tcMar>
              <w:top w:w="15" w:type="dxa"/>
              <w:left w:w="15" w:type="dxa"/>
              <w:bottom w:w="0" w:type="dxa"/>
              <w:right w:w="15" w:type="dxa"/>
            </w:tcMar>
            <w:vAlign w:val="bottom"/>
            <w:hideMark/>
          </w:tcPr>
          <w:p w:rsidR="00C95BCC" w:rsidRPr="00C95BCC" w:rsidRDefault="00C95BCC" w:rsidP="00C95BCC">
            <w:pPr>
              <w:widowControl/>
              <w:autoSpaceDE/>
              <w:autoSpaceDN/>
              <w:adjustRightInd/>
              <w:spacing w:after="160" w:line="259" w:lineRule="auto"/>
              <w:jc w:val="center"/>
              <w:rPr>
                <w:rFonts w:ascii="Arial" w:eastAsiaTheme="minorHAnsi" w:hAnsi="Arial" w:cs="Arial"/>
                <w:b/>
                <w:bCs/>
                <w:color w:val="000000"/>
                <w:sz w:val="18"/>
                <w:szCs w:val="18"/>
                <w:lang w:eastAsia="en-US"/>
              </w:rPr>
            </w:pP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rsidR="00C95BCC" w:rsidRPr="00C95BCC" w:rsidRDefault="00C95BCC" w:rsidP="00C95BCC">
            <w:pPr>
              <w:widowControl/>
              <w:autoSpaceDE/>
              <w:autoSpaceDN/>
              <w:adjustRightInd/>
              <w:spacing w:after="160" w:line="259" w:lineRule="auto"/>
              <w:rPr>
                <w:rFonts w:ascii="Arial" w:eastAsiaTheme="minorHAnsi" w:hAnsi="Arial" w:cs="Arial"/>
                <w:sz w:val="18"/>
                <w:szCs w:val="18"/>
                <w:lang w:eastAsia="en-US"/>
              </w:rPr>
            </w:pPr>
          </w:p>
        </w:tc>
        <w:tc>
          <w:tcPr>
            <w:tcW w:w="1103" w:type="pct"/>
            <w:tcBorders>
              <w:top w:val="nil"/>
              <w:left w:val="nil"/>
              <w:bottom w:val="nil"/>
              <w:right w:val="nil"/>
            </w:tcBorders>
            <w:shd w:val="clear" w:color="auto" w:fill="auto"/>
            <w:noWrap/>
            <w:tcMar>
              <w:top w:w="15" w:type="dxa"/>
              <w:left w:w="15" w:type="dxa"/>
              <w:bottom w:w="0" w:type="dxa"/>
              <w:right w:w="15" w:type="dxa"/>
            </w:tcMar>
            <w:vAlign w:val="bottom"/>
            <w:hideMark/>
          </w:tcPr>
          <w:p w:rsidR="00C95BCC" w:rsidRPr="00C95BCC" w:rsidRDefault="00C95BCC" w:rsidP="00C95BCC">
            <w:pPr>
              <w:widowControl/>
              <w:autoSpaceDE/>
              <w:autoSpaceDN/>
              <w:adjustRightInd/>
              <w:spacing w:after="160" w:line="259" w:lineRule="auto"/>
              <w:rPr>
                <w:rFonts w:ascii="Arial" w:eastAsiaTheme="minorHAnsi" w:hAnsi="Arial" w:cs="Arial"/>
                <w:sz w:val="18"/>
                <w:szCs w:val="18"/>
                <w:lang w:eastAsia="en-US"/>
              </w:rPr>
            </w:pPr>
          </w:p>
        </w:tc>
        <w:tc>
          <w:tcPr>
            <w:tcW w:w="327" w:type="pct"/>
            <w:tcBorders>
              <w:top w:val="nil"/>
              <w:left w:val="nil"/>
              <w:bottom w:val="nil"/>
              <w:right w:val="nil"/>
            </w:tcBorders>
            <w:shd w:val="clear" w:color="auto" w:fill="auto"/>
            <w:noWrap/>
            <w:tcMar>
              <w:top w:w="15" w:type="dxa"/>
              <w:left w:w="15" w:type="dxa"/>
              <w:bottom w:w="0" w:type="dxa"/>
              <w:right w:w="15" w:type="dxa"/>
            </w:tcMar>
            <w:vAlign w:val="bottom"/>
            <w:hideMark/>
          </w:tcPr>
          <w:p w:rsidR="00C95BCC" w:rsidRPr="00C95BCC" w:rsidRDefault="00C95BCC" w:rsidP="00C95BCC">
            <w:pPr>
              <w:widowControl/>
              <w:autoSpaceDE/>
              <w:autoSpaceDN/>
              <w:adjustRightInd/>
              <w:spacing w:after="160" w:line="259" w:lineRule="auto"/>
              <w:rPr>
                <w:rFonts w:ascii="Arial" w:eastAsiaTheme="minorHAnsi" w:hAnsi="Arial" w:cs="Arial"/>
                <w:sz w:val="18"/>
                <w:szCs w:val="18"/>
                <w:lang w:eastAsia="en-US"/>
              </w:rPr>
            </w:pPr>
          </w:p>
        </w:tc>
        <w:tc>
          <w:tcPr>
            <w:tcW w:w="312" w:type="pct"/>
            <w:tcBorders>
              <w:top w:val="nil"/>
              <w:left w:val="nil"/>
              <w:bottom w:val="nil"/>
              <w:right w:val="nil"/>
            </w:tcBorders>
            <w:shd w:val="clear" w:color="auto" w:fill="auto"/>
            <w:noWrap/>
            <w:tcMar>
              <w:top w:w="15" w:type="dxa"/>
              <w:left w:w="15" w:type="dxa"/>
              <w:bottom w:w="0" w:type="dxa"/>
              <w:right w:w="15" w:type="dxa"/>
            </w:tcMar>
            <w:vAlign w:val="bottom"/>
            <w:hideMark/>
          </w:tcPr>
          <w:p w:rsidR="00C95BCC" w:rsidRPr="00C95BCC" w:rsidRDefault="00C95BCC" w:rsidP="00C95BCC">
            <w:pPr>
              <w:widowControl/>
              <w:autoSpaceDE/>
              <w:autoSpaceDN/>
              <w:adjustRightInd/>
              <w:spacing w:after="160" w:line="259" w:lineRule="auto"/>
              <w:rPr>
                <w:rFonts w:ascii="Arial" w:eastAsiaTheme="minorHAnsi" w:hAnsi="Arial" w:cs="Arial"/>
                <w:sz w:val="18"/>
                <w:szCs w:val="18"/>
                <w:lang w:eastAsia="en-US"/>
              </w:rPr>
            </w:pPr>
          </w:p>
        </w:tc>
        <w:tc>
          <w:tcPr>
            <w:tcW w:w="370" w:type="pct"/>
            <w:tcBorders>
              <w:top w:val="nil"/>
              <w:left w:val="nil"/>
              <w:bottom w:val="nil"/>
              <w:right w:val="nil"/>
            </w:tcBorders>
            <w:shd w:val="clear" w:color="auto" w:fill="auto"/>
            <w:noWrap/>
            <w:tcMar>
              <w:top w:w="15" w:type="dxa"/>
              <w:left w:w="15" w:type="dxa"/>
              <w:bottom w:w="0" w:type="dxa"/>
              <w:right w:w="15" w:type="dxa"/>
            </w:tcMar>
            <w:vAlign w:val="bottom"/>
            <w:hideMark/>
          </w:tcPr>
          <w:p w:rsidR="00C95BCC" w:rsidRPr="00C95BCC" w:rsidRDefault="00C95BCC" w:rsidP="00C95BCC">
            <w:pPr>
              <w:widowControl/>
              <w:autoSpaceDE/>
              <w:autoSpaceDN/>
              <w:adjustRightInd/>
              <w:spacing w:after="160" w:line="259" w:lineRule="auto"/>
              <w:rPr>
                <w:rFonts w:ascii="Arial" w:eastAsiaTheme="minorHAnsi" w:hAnsi="Arial" w:cs="Arial"/>
                <w:sz w:val="18"/>
                <w:szCs w:val="18"/>
                <w:lang w:eastAsia="en-US"/>
              </w:rPr>
            </w:pPr>
          </w:p>
        </w:tc>
        <w:tc>
          <w:tcPr>
            <w:tcW w:w="459" w:type="pct"/>
            <w:tcBorders>
              <w:top w:val="nil"/>
              <w:left w:val="nil"/>
              <w:bottom w:val="nil"/>
              <w:right w:val="nil"/>
            </w:tcBorders>
            <w:shd w:val="clear" w:color="auto" w:fill="auto"/>
            <w:noWrap/>
            <w:tcMar>
              <w:top w:w="15" w:type="dxa"/>
              <w:left w:w="15" w:type="dxa"/>
              <w:bottom w:w="0" w:type="dxa"/>
              <w:right w:w="15" w:type="dxa"/>
            </w:tcMar>
            <w:vAlign w:val="bottom"/>
            <w:hideMark/>
          </w:tcPr>
          <w:p w:rsidR="00C95BCC" w:rsidRPr="00C95BCC" w:rsidRDefault="00C95BCC" w:rsidP="00C95BCC">
            <w:pPr>
              <w:widowControl/>
              <w:autoSpaceDE/>
              <w:autoSpaceDN/>
              <w:adjustRightInd/>
              <w:spacing w:after="160" w:line="259" w:lineRule="auto"/>
              <w:rPr>
                <w:rFonts w:ascii="Arial" w:eastAsiaTheme="minorHAnsi" w:hAnsi="Arial" w:cs="Arial"/>
                <w:sz w:val="18"/>
                <w:szCs w:val="18"/>
                <w:lang w:eastAsia="en-US"/>
              </w:rPr>
            </w:pPr>
          </w:p>
        </w:tc>
        <w:tc>
          <w:tcPr>
            <w:tcW w:w="341" w:type="pct"/>
            <w:tcBorders>
              <w:top w:val="nil"/>
              <w:left w:val="nil"/>
              <w:bottom w:val="nil"/>
              <w:right w:val="nil"/>
            </w:tcBorders>
            <w:shd w:val="clear" w:color="auto" w:fill="auto"/>
            <w:noWrap/>
            <w:tcMar>
              <w:top w:w="15" w:type="dxa"/>
              <w:left w:w="15" w:type="dxa"/>
              <w:bottom w:w="0" w:type="dxa"/>
              <w:right w:w="15" w:type="dxa"/>
            </w:tcMar>
            <w:vAlign w:val="bottom"/>
            <w:hideMark/>
          </w:tcPr>
          <w:p w:rsidR="00C95BCC" w:rsidRPr="00C95BCC" w:rsidRDefault="00C95BCC" w:rsidP="00C95BCC">
            <w:pPr>
              <w:widowControl/>
              <w:autoSpaceDE/>
              <w:autoSpaceDN/>
              <w:adjustRightInd/>
              <w:spacing w:after="160" w:line="259" w:lineRule="auto"/>
              <w:rPr>
                <w:rFonts w:ascii="Arial" w:eastAsiaTheme="minorHAnsi" w:hAnsi="Arial" w:cs="Arial"/>
                <w:sz w:val="18"/>
                <w:szCs w:val="18"/>
                <w:lang w:eastAsia="en-US"/>
              </w:rPr>
            </w:pPr>
          </w:p>
        </w:tc>
        <w:tc>
          <w:tcPr>
            <w:tcW w:w="341" w:type="pct"/>
            <w:tcBorders>
              <w:top w:val="nil"/>
              <w:left w:val="nil"/>
              <w:bottom w:val="nil"/>
              <w:right w:val="nil"/>
            </w:tcBorders>
            <w:shd w:val="clear" w:color="auto" w:fill="auto"/>
            <w:noWrap/>
            <w:tcMar>
              <w:top w:w="15" w:type="dxa"/>
              <w:left w:w="15" w:type="dxa"/>
              <w:bottom w:w="0" w:type="dxa"/>
              <w:right w:w="15" w:type="dxa"/>
            </w:tcMar>
            <w:vAlign w:val="bottom"/>
            <w:hideMark/>
          </w:tcPr>
          <w:p w:rsidR="00C95BCC" w:rsidRPr="00C95BCC" w:rsidRDefault="00C95BCC" w:rsidP="00C95BCC">
            <w:pPr>
              <w:widowControl/>
              <w:autoSpaceDE/>
              <w:autoSpaceDN/>
              <w:adjustRightInd/>
              <w:spacing w:after="160" w:line="259" w:lineRule="auto"/>
              <w:rPr>
                <w:rFonts w:ascii="Arial" w:eastAsiaTheme="minorHAnsi" w:hAnsi="Arial" w:cs="Arial"/>
                <w:sz w:val="18"/>
                <w:szCs w:val="18"/>
                <w:lang w:eastAsia="en-US"/>
              </w:rPr>
            </w:pPr>
          </w:p>
        </w:tc>
        <w:tc>
          <w:tcPr>
            <w:tcW w:w="327" w:type="pct"/>
            <w:tcBorders>
              <w:top w:val="nil"/>
              <w:left w:val="nil"/>
              <w:bottom w:val="nil"/>
              <w:right w:val="nil"/>
            </w:tcBorders>
            <w:shd w:val="clear" w:color="auto" w:fill="auto"/>
            <w:noWrap/>
            <w:tcMar>
              <w:top w:w="15" w:type="dxa"/>
              <w:left w:w="15" w:type="dxa"/>
              <w:bottom w:w="0" w:type="dxa"/>
              <w:right w:w="15" w:type="dxa"/>
            </w:tcMar>
            <w:vAlign w:val="bottom"/>
            <w:hideMark/>
          </w:tcPr>
          <w:p w:rsidR="00C95BCC" w:rsidRPr="00C95BCC" w:rsidRDefault="00C95BCC" w:rsidP="00C95BCC">
            <w:pPr>
              <w:widowControl/>
              <w:autoSpaceDE/>
              <w:autoSpaceDN/>
              <w:adjustRightInd/>
              <w:spacing w:after="160" w:line="259" w:lineRule="auto"/>
              <w:rPr>
                <w:rFonts w:ascii="Arial" w:eastAsiaTheme="minorHAnsi" w:hAnsi="Arial" w:cs="Arial"/>
                <w:sz w:val="18"/>
                <w:szCs w:val="18"/>
                <w:lang w:eastAsia="en-US"/>
              </w:rPr>
            </w:pPr>
          </w:p>
        </w:tc>
        <w:tc>
          <w:tcPr>
            <w:tcW w:w="327" w:type="pct"/>
            <w:tcBorders>
              <w:top w:val="nil"/>
              <w:left w:val="nil"/>
              <w:bottom w:val="nil"/>
              <w:right w:val="nil"/>
            </w:tcBorders>
            <w:shd w:val="clear" w:color="auto" w:fill="auto"/>
            <w:noWrap/>
            <w:tcMar>
              <w:top w:w="15" w:type="dxa"/>
              <w:left w:w="15" w:type="dxa"/>
              <w:bottom w:w="0" w:type="dxa"/>
              <w:right w:w="15" w:type="dxa"/>
            </w:tcMar>
            <w:vAlign w:val="bottom"/>
            <w:hideMark/>
          </w:tcPr>
          <w:p w:rsidR="00C95BCC" w:rsidRPr="00C95BCC" w:rsidRDefault="00C95BCC" w:rsidP="00C95BCC">
            <w:pPr>
              <w:widowControl/>
              <w:autoSpaceDE/>
              <w:autoSpaceDN/>
              <w:adjustRightInd/>
              <w:spacing w:after="160" w:line="259" w:lineRule="auto"/>
              <w:rPr>
                <w:rFonts w:ascii="Arial" w:eastAsiaTheme="minorHAnsi" w:hAnsi="Arial" w:cs="Arial"/>
                <w:sz w:val="18"/>
                <w:szCs w:val="18"/>
                <w:lang w:eastAsia="en-US"/>
              </w:rPr>
            </w:pPr>
          </w:p>
        </w:tc>
        <w:tc>
          <w:tcPr>
            <w:tcW w:w="199" w:type="pct"/>
            <w:tcBorders>
              <w:top w:val="nil"/>
              <w:left w:val="nil"/>
              <w:bottom w:val="nil"/>
              <w:right w:val="nil"/>
            </w:tcBorders>
            <w:shd w:val="clear" w:color="auto" w:fill="auto"/>
            <w:noWrap/>
            <w:tcMar>
              <w:top w:w="15" w:type="dxa"/>
              <w:left w:w="15" w:type="dxa"/>
              <w:bottom w:w="0" w:type="dxa"/>
              <w:right w:w="15" w:type="dxa"/>
            </w:tcMar>
            <w:vAlign w:val="bottom"/>
            <w:hideMark/>
          </w:tcPr>
          <w:p w:rsidR="00C95BCC" w:rsidRPr="00C95BCC" w:rsidRDefault="00C95BCC" w:rsidP="00C95BCC">
            <w:pPr>
              <w:widowControl/>
              <w:autoSpaceDE/>
              <w:autoSpaceDN/>
              <w:adjustRightInd/>
              <w:spacing w:after="160" w:line="259" w:lineRule="auto"/>
              <w:rPr>
                <w:rFonts w:ascii="Arial" w:eastAsiaTheme="minorHAnsi" w:hAnsi="Arial" w:cs="Arial"/>
                <w:sz w:val="18"/>
                <w:szCs w:val="18"/>
                <w:lang w:eastAsia="en-US"/>
              </w:rPr>
            </w:pPr>
          </w:p>
        </w:tc>
      </w:tr>
      <w:tr w:rsidR="00C95BCC" w:rsidRPr="00C95BCC" w:rsidTr="00A01D90">
        <w:trPr>
          <w:trHeight w:val="1477"/>
          <w:jc w:val="center"/>
        </w:trPr>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b/>
                <w:bCs/>
                <w:color w:val="000000"/>
                <w:sz w:val="18"/>
                <w:szCs w:val="18"/>
                <w:lang w:eastAsia="en-US"/>
              </w:rPr>
            </w:pPr>
            <w:r w:rsidRPr="00C95BCC">
              <w:rPr>
                <w:rFonts w:ascii="Arial" w:eastAsiaTheme="minorHAnsi" w:hAnsi="Arial" w:cs="Arial"/>
                <w:b/>
                <w:bCs/>
                <w:color w:val="000000"/>
                <w:sz w:val="18"/>
                <w:szCs w:val="18"/>
                <w:lang w:eastAsia="en-US"/>
              </w:rPr>
              <w:t>Nr. crt.</w:t>
            </w:r>
          </w:p>
        </w:tc>
        <w:tc>
          <w:tcPr>
            <w:tcW w:w="703"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b/>
                <w:bCs/>
                <w:color w:val="000000"/>
                <w:sz w:val="18"/>
                <w:szCs w:val="18"/>
                <w:lang w:eastAsia="en-US"/>
              </w:rPr>
            </w:pPr>
            <w:r w:rsidRPr="00C95BCC">
              <w:rPr>
                <w:rFonts w:ascii="Arial" w:eastAsiaTheme="minorHAnsi" w:hAnsi="Arial" w:cs="Arial"/>
                <w:b/>
                <w:bCs/>
                <w:color w:val="000000"/>
                <w:sz w:val="18"/>
                <w:szCs w:val="18"/>
                <w:lang w:eastAsia="en-US"/>
              </w:rPr>
              <w:t>Numele contractorului</w:t>
            </w:r>
          </w:p>
        </w:tc>
        <w:tc>
          <w:tcPr>
            <w:tcW w:w="1103"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b/>
                <w:bCs/>
                <w:color w:val="000000"/>
                <w:sz w:val="18"/>
                <w:szCs w:val="18"/>
                <w:lang w:eastAsia="en-US"/>
              </w:rPr>
            </w:pPr>
            <w:r w:rsidRPr="00C95BCC">
              <w:rPr>
                <w:rFonts w:ascii="Arial" w:eastAsiaTheme="minorHAnsi" w:hAnsi="Arial" w:cs="Arial"/>
                <w:b/>
                <w:bCs/>
                <w:color w:val="000000"/>
                <w:sz w:val="18"/>
                <w:szCs w:val="18"/>
                <w:lang w:eastAsia="en-US"/>
              </w:rPr>
              <w:t>Obiectul contractului</w:t>
            </w:r>
          </w:p>
        </w:tc>
        <w:tc>
          <w:tcPr>
            <w:tcW w:w="327"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b/>
                <w:bCs/>
                <w:color w:val="000000"/>
                <w:sz w:val="18"/>
                <w:szCs w:val="18"/>
                <w:lang w:eastAsia="en-US"/>
              </w:rPr>
            </w:pPr>
            <w:r w:rsidRPr="00C95BCC">
              <w:rPr>
                <w:rFonts w:ascii="Arial" w:eastAsiaTheme="minorHAnsi" w:hAnsi="Arial" w:cs="Arial"/>
                <w:b/>
                <w:bCs/>
                <w:color w:val="000000"/>
                <w:sz w:val="18"/>
                <w:szCs w:val="18"/>
                <w:lang w:eastAsia="en-US"/>
              </w:rPr>
              <w:t>Titlul contractului</w:t>
            </w:r>
          </w:p>
        </w:tc>
        <w:tc>
          <w:tcPr>
            <w:tcW w:w="312"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b/>
                <w:bCs/>
                <w:color w:val="000000"/>
                <w:sz w:val="18"/>
                <w:szCs w:val="18"/>
                <w:lang w:eastAsia="en-US"/>
              </w:rPr>
            </w:pPr>
            <w:r w:rsidRPr="00C95BCC">
              <w:rPr>
                <w:rFonts w:ascii="Arial" w:eastAsiaTheme="minorHAnsi" w:hAnsi="Arial" w:cs="Arial"/>
                <w:b/>
                <w:bCs/>
                <w:color w:val="000000"/>
                <w:sz w:val="18"/>
                <w:szCs w:val="18"/>
                <w:lang w:eastAsia="en-US"/>
              </w:rPr>
              <w:t>Procedura de achiziţie aplicată</w:t>
            </w:r>
          </w:p>
        </w:tc>
        <w:tc>
          <w:tcPr>
            <w:tcW w:w="370"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b/>
                <w:bCs/>
                <w:color w:val="000000"/>
                <w:sz w:val="18"/>
                <w:szCs w:val="18"/>
                <w:lang w:eastAsia="en-US"/>
              </w:rPr>
            </w:pPr>
            <w:r w:rsidRPr="00C95BCC">
              <w:rPr>
                <w:rFonts w:ascii="Arial" w:eastAsiaTheme="minorHAnsi" w:hAnsi="Arial" w:cs="Arial"/>
                <w:b/>
                <w:bCs/>
                <w:color w:val="000000"/>
                <w:sz w:val="18"/>
                <w:szCs w:val="18"/>
                <w:lang w:eastAsia="en-US"/>
              </w:rPr>
              <w:t>Numele beneficiarului (dacă este diferit de autoritatea contractantă)</w:t>
            </w:r>
          </w:p>
        </w:tc>
        <w:tc>
          <w:tcPr>
            <w:tcW w:w="459"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C95BCC" w:rsidRPr="00C95BCC" w:rsidRDefault="008B02C1" w:rsidP="00C95BCC">
            <w:pPr>
              <w:widowControl/>
              <w:autoSpaceDE/>
              <w:autoSpaceDN/>
              <w:adjustRightInd/>
              <w:spacing w:after="160" w:line="259" w:lineRule="auto"/>
              <w:jc w:val="center"/>
              <w:rPr>
                <w:rFonts w:ascii="Arial" w:eastAsiaTheme="minorHAnsi" w:hAnsi="Arial" w:cs="Arial"/>
                <w:b/>
                <w:bCs/>
                <w:color w:val="000000"/>
                <w:sz w:val="18"/>
                <w:szCs w:val="18"/>
                <w:lang w:eastAsia="en-US"/>
              </w:rPr>
            </w:pPr>
            <w:r>
              <w:rPr>
                <w:rFonts w:ascii="Arial" w:eastAsiaTheme="minorHAnsi" w:hAnsi="Arial" w:cs="Arial"/>
                <w:b/>
                <w:bCs/>
                <w:color w:val="000000"/>
                <w:sz w:val="18"/>
                <w:szCs w:val="18"/>
                <w:lang w:eastAsia="en-US"/>
              </w:rPr>
              <w:t>Numărul anunţului/ invitației</w:t>
            </w:r>
            <w:r w:rsidR="00C95BCC" w:rsidRPr="00C95BCC">
              <w:rPr>
                <w:rFonts w:ascii="Arial" w:eastAsiaTheme="minorHAnsi" w:hAnsi="Arial" w:cs="Arial"/>
                <w:b/>
                <w:bCs/>
                <w:color w:val="000000"/>
                <w:sz w:val="18"/>
                <w:szCs w:val="18"/>
                <w:lang w:eastAsia="en-US"/>
              </w:rPr>
              <w:t xml:space="preserve"> de participare</w:t>
            </w:r>
          </w:p>
        </w:tc>
        <w:tc>
          <w:tcPr>
            <w:tcW w:w="341"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b/>
                <w:bCs/>
                <w:color w:val="000000"/>
                <w:sz w:val="18"/>
                <w:szCs w:val="18"/>
                <w:lang w:eastAsia="en-US"/>
              </w:rPr>
            </w:pPr>
            <w:r w:rsidRPr="00C95BCC">
              <w:rPr>
                <w:rFonts w:ascii="Arial" w:eastAsiaTheme="minorHAnsi" w:hAnsi="Arial" w:cs="Arial"/>
                <w:b/>
                <w:bCs/>
                <w:color w:val="000000"/>
                <w:sz w:val="18"/>
                <w:szCs w:val="18"/>
                <w:lang w:eastAsia="en-US"/>
              </w:rPr>
              <w:t xml:space="preserve">Valoarea </w:t>
            </w:r>
            <w:r w:rsidR="008B02C1">
              <w:rPr>
                <w:rFonts w:ascii="Arial" w:eastAsiaTheme="minorHAnsi" w:hAnsi="Arial" w:cs="Arial"/>
                <w:b/>
                <w:bCs/>
                <w:color w:val="000000"/>
                <w:sz w:val="18"/>
                <w:szCs w:val="18"/>
                <w:lang w:eastAsia="en-US"/>
              </w:rPr>
              <w:t>iniţială a contractului  (în lei</w:t>
            </w:r>
            <w:r w:rsidRPr="00C95BCC">
              <w:rPr>
                <w:rFonts w:ascii="Arial" w:eastAsiaTheme="minorHAnsi" w:hAnsi="Arial" w:cs="Arial"/>
                <w:b/>
                <w:bCs/>
                <w:color w:val="000000"/>
                <w:sz w:val="18"/>
                <w:szCs w:val="18"/>
                <w:lang w:eastAsia="en-US"/>
              </w:rPr>
              <w:t>)</w:t>
            </w:r>
          </w:p>
        </w:tc>
        <w:tc>
          <w:tcPr>
            <w:tcW w:w="341"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C95BCC" w:rsidRPr="00C95BCC" w:rsidRDefault="008B02C1" w:rsidP="00C95BCC">
            <w:pPr>
              <w:widowControl/>
              <w:autoSpaceDE/>
              <w:autoSpaceDN/>
              <w:adjustRightInd/>
              <w:spacing w:after="160" w:line="259" w:lineRule="auto"/>
              <w:jc w:val="center"/>
              <w:rPr>
                <w:rFonts w:ascii="Arial" w:eastAsiaTheme="minorHAnsi" w:hAnsi="Arial" w:cs="Arial"/>
                <w:b/>
                <w:bCs/>
                <w:color w:val="000000"/>
                <w:sz w:val="18"/>
                <w:szCs w:val="18"/>
                <w:lang w:eastAsia="en-US"/>
              </w:rPr>
            </w:pPr>
            <w:r>
              <w:rPr>
                <w:rFonts w:ascii="Arial" w:eastAsiaTheme="minorHAnsi" w:hAnsi="Arial" w:cs="Arial"/>
                <w:b/>
                <w:bCs/>
                <w:color w:val="000000"/>
                <w:sz w:val="18"/>
                <w:szCs w:val="18"/>
                <w:lang w:eastAsia="en-US"/>
              </w:rPr>
              <w:t>Valoarea contractului  după eventuale acte adiționale (în lei</w:t>
            </w:r>
            <w:r w:rsidR="00C95BCC" w:rsidRPr="00C95BCC">
              <w:rPr>
                <w:rFonts w:ascii="Arial" w:eastAsiaTheme="minorHAnsi" w:hAnsi="Arial" w:cs="Arial"/>
                <w:b/>
                <w:bCs/>
                <w:color w:val="000000"/>
                <w:sz w:val="18"/>
                <w:szCs w:val="18"/>
                <w:lang w:eastAsia="en-US"/>
              </w:rPr>
              <w:t>)</w:t>
            </w:r>
          </w:p>
        </w:tc>
        <w:tc>
          <w:tcPr>
            <w:tcW w:w="327"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b/>
                <w:bCs/>
                <w:color w:val="000000"/>
                <w:sz w:val="18"/>
                <w:szCs w:val="18"/>
                <w:lang w:eastAsia="en-US"/>
              </w:rPr>
            </w:pPr>
            <w:r w:rsidRPr="00C95BCC">
              <w:rPr>
                <w:rFonts w:ascii="Arial" w:eastAsiaTheme="minorHAnsi" w:hAnsi="Arial" w:cs="Arial"/>
                <w:b/>
                <w:bCs/>
                <w:color w:val="000000"/>
                <w:sz w:val="18"/>
                <w:szCs w:val="18"/>
                <w:lang w:eastAsia="en-US"/>
              </w:rPr>
              <w:t>Data începerii contractului</w:t>
            </w:r>
          </w:p>
        </w:tc>
        <w:tc>
          <w:tcPr>
            <w:tcW w:w="327"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C95BCC" w:rsidRPr="00C95BCC" w:rsidRDefault="00C95BCC" w:rsidP="008B02C1">
            <w:pPr>
              <w:widowControl/>
              <w:autoSpaceDE/>
              <w:autoSpaceDN/>
              <w:adjustRightInd/>
              <w:spacing w:after="160" w:line="259" w:lineRule="auto"/>
              <w:jc w:val="center"/>
              <w:rPr>
                <w:rFonts w:ascii="Arial" w:eastAsiaTheme="minorHAnsi" w:hAnsi="Arial" w:cs="Arial"/>
                <w:b/>
                <w:bCs/>
                <w:color w:val="000000"/>
                <w:sz w:val="18"/>
                <w:szCs w:val="18"/>
                <w:lang w:eastAsia="en-US"/>
              </w:rPr>
            </w:pPr>
            <w:r w:rsidRPr="00C95BCC">
              <w:rPr>
                <w:rFonts w:ascii="Arial" w:eastAsiaTheme="minorHAnsi" w:hAnsi="Arial" w:cs="Arial"/>
                <w:b/>
                <w:bCs/>
                <w:color w:val="000000"/>
                <w:sz w:val="18"/>
                <w:szCs w:val="18"/>
                <w:lang w:eastAsia="en-US"/>
              </w:rPr>
              <w:t>Durata contractului stabilit</w:t>
            </w:r>
            <w:r w:rsidR="008B02C1">
              <w:rPr>
                <w:rFonts w:ascii="Arial" w:eastAsiaTheme="minorHAnsi" w:hAnsi="Arial" w:cs="Arial"/>
                <w:b/>
                <w:bCs/>
                <w:color w:val="000000"/>
                <w:sz w:val="18"/>
                <w:szCs w:val="18"/>
                <w:lang w:eastAsia="en-US"/>
              </w:rPr>
              <w:t>ă iniț</w:t>
            </w:r>
            <w:r w:rsidRPr="00C95BCC">
              <w:rPr>
                <w:rFonts w:ascii="Arial" w:eastAsiaTheme="minorHAnsi" w:hAnsi="Arial" w:cs="Arial"/>
                <w:b/>
                <w:bCs/>
                <w:color w:val="000000"/>
                <w:sz w:val="18"/>
                <w:szCs w:val="18"/>
                <w:lang w:eastAsia="en-US"/>
              </w:rPr>
              <w:t>ial (în luni)</w:t>
            </w:r>
          </w:p>
        </w:tc>
        <w:tc>
          <w:tcPr>
            <w:tcW w:w="199"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b/>
                <w:bCs/>
                <w:color w:val="000000"/>
                <w:sz w:val="18"/>
                <w:szCs w:val="18"/>
                <w:lang w:eastAsia="en-US"/>
              </w:rPr>
            </w:pPr>
            <w:r w:rsidRPr="00C95BCC">
              <w:rPr>
                <w:rFonts w:ascii="Arial" w:eastAsiaTheme="minorHAnsi" w:hAnsi="Arial" w:cs="Arial"/>
                <w:b/>
                <w:bCs/>
                <w:color w:val="000000"/>
                <w:sz w:val="18"/>
                <w:szCs w:val="18"/>
                <w:lang w:eastAsia="en-US"/>
              </w:rPr>
              <w:t>Durata finală a contractului (în luni).</w:t>
            </w:r>
          </w:p>
        </w:tc>
      </w:tr>
      <w:tr w:rsidR="00C95BCC" w:rsidRPr="00C95BCC" w:rsidTr="00A01D90">
        <w:trPr>
          <w:trHeight w:val="1515"/>
          <w:jc w:val="center"/>
        </w:trPr>
        <w:tc>
          <w:tcPr>
            <w:tcW w:w="18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color w:val="000000"/>
                <w:sz w:val="18"/>
                <w:szCs w:val="18"/>
                <w:lang w:eastAsia="en-US"/>
              </w:rPr>
            </w:pPr>
            <w:r w:rsidRPr="00C95BCC">
              <w:rPr>
                <w:rFonts w:ascii="Arial" w:eastAsiaTheme="minorHAnsi" w:hAnsi="Arial" w:cs="Arial"/>
                <w:color w:val="000000"/>
                <w:sz w:val="18"/>
                <w:szCs w:val="18"/>
                <w:lang w:eastAsia="en-US"/>
              </w:rPr>
              <w:t>1</w:t>
            </w:r>
          </w:p>
        </w:tc>
        <w:tc>
          <w:tcPr>
            <w:tcW w:w="70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6F1AEC" w:rsidP="00C95BCC">
            <w:pPr>
              <w:widowControl/>
              <w:autoSpaceDE/>
              <w:autoSpaceDN/>
              <w:adjustRightInd/>
              <w:spacing w:after="160" w:line="259" w:lineRule="auto"/>
              <w:jc w:val="center"/>
              <w:rPr>
                <w:rFonts w:ascii="Arial" w:eastAsiaTheme="minorHAnsi" w:hAnsi="Arial" w:cs="Arial"/>
                <w:sz w:val="18"/>
                <w:szCs w:val="18"/>
                <w:lang w:eastAsia="en-US"/>
              </w:rPr>
            </w:pPr>
            <w:r>
              <w:rPr>
                <w:rFonts w:ascii="Arial" w:eastAsiaTheme="minorHAnsi" w:hAnsi="Arial" w:cs="Arial"/>
                <w:sz w:val="18"/>
                <w:szCs w:val="18"/>
                <w:lang w:eastAsia="en-US"/>
              </w:rPr>
              <w:t>SOCIETATEA COMERCIALĂ</w:t>
            </w:r>
            <w:r w:rsidR="00C95BCC" w:rsidRPr="00C95BCC">
              <w:rPr>
                <w:rFonts w:ascii="Arial" w:eastAsiaTheme="minorHAnsi" w:hAnsi="Arial" w:cs="Arial"/>
                <w:sz w:val="18"/>
                <w:szCs w:val="18"/>
                <w:lang w:eastAsia="en-US"/>
              </w:rPr>
              <w:t xml:space="preserve"> DE REPARAT MATERIAL RULANT REVA SA SIMERIA</w:t>
            </w:r>
          </w:p>
        </w:tc>
        <w:tc>
          <w:tcPr>
            <w:tcW w:w="110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6F1AEC" w:rsidP="006F1AEC">
            <w:pPr>
              <w:widowControl/>
              <w:autoSpaceDE/>
              <w:autoSpaceDN/>
              <w:adjustRightInd/>
              <w:spacing w:after="160" w:line="259" w:lineRule="auto"/>
              <w:jc w:val="center"/>
              <w:rPr>
                <w:rFonts w:ascii="Arial" w:eastAsiaTheme="minorHAnsi" w:hAnsi="Arial" w:cs="Arial"/>
                <w:sz w:val="18"/>
                <w:szCs w:val="18"/>
                <w:lang w:eastAsia="en-US"/>
              </w:rPr>
            </w:pPr>
            <w:r>
              <w:rPr>
                <w:rFonts w:ascii="Arial" w:eastAsiaTheme="minorHAnsi" w:hAnsi="Arial" w:cs="Arial"/>
                <w:sz w:val="18"/>
                <w:szCs w:val="18"/>
                <w:lang w:eastAsia="en-US"/>
              </w:rPr>
              <w:t>Reparații ș</w:t>
            </w:r>
            <w:r w:rsidR="00C95BCC" w:rsidRPr="00C95BCC">
              <w:rPr>
                <w:rFonts w:ascii="Arial" w:eastAsiaTheme="minorHAnsi" w:hAnsi="Arial" w:cs="Arial"/>
                <w:sz w:val="18"/>
                <w:szCs w:val="18"/>
                <w:lang w:eastAsia="en-US"/>
              </w:rPr>
              <w:t xml:space="preserve">i revizii </w:t>
            </w:r>
            <w:r>
              <w:rPr>
                <w:rFonts w:ascii="Arial" w:eastAsiaTheme="minorHAnsi" w:hAnsi="Arial" w:cs="Arial"/>
                <w:sz w:val="18"/>
                <w:szCs w:val="18"/>
                <w:lang w:eastAsia="en-US"/>
              </w:rPr>
              <w:t>planificate RP-CIR (cu intervenț</w:t>
            </w:r>
            <w:r w:rsidR="00C95BCC" w:rsidRPr="00C95BCC">
              <w:rPr>
                <w:rFonts w:ascii="Arial" w:eastAsiaTheme="minorHAnsi" w:hAnsi="Arial" w:cs="Arial"/>
                <w:sz w:val="18"/>
                <w:szCs w:val="18"/>
                <w:lang w:eastAsia="en-US"/>
              </w:rPr>
              <w:t>ie la recipient + revizie CIR) la 38 vag</w:t>
            </w:r>
            <w:r>
              <w:rPr>
                <w:rFonts w:ascii="Arial" w:eastAsiaTheme="minorHAnsi" w:hAnsi="Arial" w:cs="Arial"/>
                <w:sz w:val="18"/>
                <w:szCs w:val="18"/>
                <w:lang w:eastAsia="en-US"/>
              </w:rPr>
              <w:t>oane de 60 mc pentru transport ț</w:t>
            </w:r>
            <w:r w:rsidR="00C95BCC" w:rsidRPr="00C95BCC">
              <w:rPr>
                <w:rFonts w:ascii="Arial" w:eastAsiaTheme="minorHAnsi" w:hAnsi="Arial" w:cs="Arial"/>
                <w:sz w:val="18"/>
                <w:szCs w:val="18"/>
                <w:lang w:eastAsia="en-US"/>
              </w:rPr>
              <w:t>i</w:t>
            </w:r>
            <w:r>
              <w:rPr>
                <w:rFonts w:ascii="Arial" w:eastAsiaTheme="minorHAnsi" w:hAnsi="Arial" w:cs="Arial"/>
                <w:sz w:val="18"/>
                <w:szCs w:val="18"/>
                <w:lang w:eastAsia="en-US"/>
              </w:rPr>
              <w:t>ț</w:t>
            </w:r>
            <w:r w:rsidR="00C95BCC" w:rsidRPr="00C95BCC">
              <w:rPr>
                <w:rFonts w:ascii="Arial" w:eastAsiaTheme="minorHAnsi" w:hAnsi="Arial" w:cs="Arial"/>
                <w:sz w:val="18"/>
                <w:szCs w:val="18"/>
                <w:lang w:eastAsia="en-US"/>
              </w:rPr>
              <w:t>ei, RP-FIR (f</w:t>
            </w:r>
            <w:r>
              <w:rPr>
                <w:rFonts w:ascii="Arial" w:eastAsiaTheme="minorHAnsi" w:hAnsi="Arial" w:cs="Arial"/>
                <w:sz w:val="18"/>
                <w:szCs w:val="18"/>
                <w:lang w:eastAsia="en-US"/>
              </w:rPr>
              <w:t>ă</w:t>
            </w:r>
            <w:r w:rsidR="00C95BCC" w:rsidRPr="00C95BCC">
              <w:rPr>
                <w:rFonts w:ascii="Arial" w:eastAsiaTheme="minorHAnsi" w:hAnsi="Arial" w:cs="Arial"/>
                <w:sz w:val="18"/>
                <w:szCs w:val="18"/>
                <w:lang w:eastAsia="en-US"/>
              </w:rPr>
              <w:t>r</w:t>
            </w:r>
            <w:r>
              <w:rPr>
                <w:rFonts w:ascii="Arial" w:eastAsiaTheme="minorHAnsi" w:hAnsi="Arial" w:cs="Arial"/>
                <w:sz w:val="18"/>
                <w:szCs w:val="18"/>
                <w:lang w:eastAsia="en-US"/>
              </w:rPr>
              <w:t>ă intervenț</w:t>
            </w:r>
            <w:r w:rsidR="00C95BCC" w:rsidRPr="00C95BCC">
              <w:rPr>
                <w:rFonts w:ascii="Arial" w:eastAsiaTheme="minorHAnsi" w:hAnsi="Arial" w:cs="Arial"/>
                <w:sz w:val="18"/>
                <w:szCs w:val="18"/>
                <w:lang w:eastAsia="en-US"/>
              </w:rPr>
              <w:t>ie la recipient) la 3 v</w:t>
            </w:r>
            <w:r>
              <w:rPr>
                <w:rFonts w:ascii="Arial" w:eastAsiaTheme="minorHAnsi" w:hAnsi="Arial" w:cs="Arial"/>
                <w:sz w:val="18"/>
                <w:szCs w:val="18"/>
                <w:lang w:eastAsia="en-US"/>
              </w:rPr>
              <w:t>agoane pentru transport gazolină</w:t>
            </w:r>
            <w:r w:rsidR="00C95BCC" w:rsidRPr="00C95BCC">
              <w:rPr>
                <w:rFonts w:ascii="Arial" w:eastAsiaTheme="minorHAnsi" w:hAnsi="Arial" w:cs="Arial"/>
                <w:sz w:val="18"/>
                <w:szCs w:val="18"/>
                <w:lang w:eastAsia="en-US"/>
              </w:rPr>
              <w:t>, revizie ISCIR la 2 vagoane pentru transp</w:t>
            </w:r>
            <w:r>
              <w:rPr>
                <w:rFonts w:ascii="Arial" w:eastAsiaTheme="minorHAnsi" w:hAnsi="Arial" w:cs="Arial"/>
                <w:sz w:val="18"/>
                <w:szCs w:val="18"/>
                <w:lang w:eastAsia="en-US"/>
              </w:rPr>
              <w:t>ort ț</w:t>
            </w:r>
            <w:r w:rsidR="00C95BCC" w:rsidRPr="00C95BCC">
              <w:rPr>
                <w:rFonts w:ascii="Arial" w:eastAsiaTheme="minorHAnsi" w:hAnsi="Arial" w:cs="Arial"/>
                <w:sz w:val="18"/>
                <w:szCs w:val="18"/>
                <w:lang w:eastAsia="en-US"/>
              </w:rPr>
              <w:t>i</w:t>
            </w:r>
            <w:r>
              <w:rPr>
                <w:rFonts w:ascii="Arial" w:eastAsiaTheme="minorHAnsi" w:hAnsi="Arial" w:cs="Arial"/>
                <w:sz w:val="18"/>
                <w:szCs w:val="18"/>
                <w:lang w:eastAsia="en-US"/>
              </w:rPr>
              <w:t>ț</w:t>
            </w:r>
            <w:r w:rsidR="00C95BCC" w:rsidRPr="00C95BCC">
              <w:rPr>
                <w:rFonts w:ascii="Arial" w:eastAsiaTheme="minorHAnsi" w:hAnsi="Arial" w:cs="Arial"/>
                <w:sz w:val="18"/>
                <w:szCs w:val="18"/>
                <w:lang w:eastAsia="en-US"/>
              </w:rPr>
              <w:t xml:space="preserve">ei </w:t>
            </w:r>
            <w:r>
              <w:rPr>
                <w:rFonts w:ascii="Arial" w:eastAsiaTheme="minorHAnsi" w:hAnsi="Arial" w:cs="Arial"/>
                <w:sz w:val="18"/>
                <w:szCs w:val="18"/>
                <w:lang w:eastAsia="en-US"/>
              </w:rPr>
              <w:t>și 1 vagon transport gazolină și î</w:t>
            </w:r>
            <w:r w:rsidR="00C95BCC" w:rsidRPr="00C95BCC">
              <w:rPr>
                <w:rFonts w:ascii="Arial" w:eastAsiaTheme="minorHAnsi" w:hAnsi="Arial" w:cs="Arial"/>
                <w:sz w:val="18"/>
                <w:szCs w:val="18"/>
                <w:lang w:eastAsia="en-US"/>
              </w:rPr>
              <w:t>nlocuire 88 de osii uzate la cele 41 de vagoane</w:t>
            </w:r>
          </w:p>
        </w:tc>
        <w:tc>
          <w:tcPr>
            <w:tcW w:w="32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sz w:val="18"/>
                <w:szCs w:val="18"/>
                <w:lang w:eastAsia="en-US"/>
              </w:rPr>
            </w:pPr>
            <w:r w:rsidRPr="00C95BCC">
              <w:rPr>
                <w:rFonts w:ascii="Arial" w:eastAsiaTheme="minorHAnsi" w:hAnsi="Arial" w:cs="Arial"/>
                <w:sz w:val="18"/>
                <w:szCs w:val="18"/>
                <w:lang w:eastAsia="en-US"/>
              </w:rPr>
              <w:t>S-CA 29 / 31.01.2018</w:t>
            </w:r>
          </w:p>
        </w:tc>
        <w:tc>
          <w:tcPr>
            <w:tcW w:w="31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6F1AEC" w:rsidP="00C95BCC">
            <w:pPr>
              <w:widowControl/>
              <w:autoSpaceDE/>
              <w:autoSpaceDN/>
              <w:adjustRightInd/>
              <w:spacing w:after="160" w:line="259" w:lineRule="auto"/>
              <w:jc w:val="center"/>
              <w:rPr>
                <w:rFonts w:ascii="Arial" w:eastAsiaTheme="minorHAnsi" w:hAnsi="Arial" w:cs="Arial"/>
                <w:sz w:val="18"/>
                <w:szCs w:val="18"/>
                <w:lang w:eastAsia="en-US"/>
              </w:rPr>
            </w:pPr>
            <w:r>
              <w:rPr>
                <w:rFonts w:ascii="Arial" w:eastAsiaTheme="minorHAnsi" w:hAnsi="Arial" w:cs="Arial"/>
                <w:sz w:val="18"/>
                <w:szCs w:val="18"/>
                <w:lang w:eastAsia="en-US"/>
              </w:rPr>
              <w:t>LICITAȚ</w:t>
            </w:r>
            <w:r w:rsidR="00C95BCC" w:rsidRPr="00C95BCC">
              <w:rPr>
                <w:rFonts w:ascii="Arial" w:eastAsiaTheme="minorHAnsi" w:hAnsi="Arial" w:cs="Arial"/>
                <w:sz w:val="18"/>
                <w:szCs w:val="18"/>
                <w:lang w:eastAsia="en-US"/>
              </w:rPr>
              <w:t>IE</w:t>
            </w:r>
          </w:p>
        </w:tc>
        <w:tc>
          <w:tcPr>
            <w:tcW w:w="37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sz w:val="18"/>
                <w:szCs w:val="18"/>
                <w:lang w:eastAsia="en-US"/>
              </w:rPr>
            </w:pPr>
            <w:r w:rsidRPr="00C95BCC">
              <w:rPr>
                <w:rFonts w:ascii="Arial" w:eastAsiaTheme="minorHAnsi" w:hAnsi="Arial" w:cs="Arial"/>
                <w:sz w:val="18"/>
                <w:szCs w:val="18"/>
                <w:lang w:eastAsia="en-US"/>
              </w:rPr>
              <w:t>-</w:t>
            </w:r>
          </w:p>
        </w:tc>
        <w:tc>
          <w:tcPr>
            <w:tcW w:w="4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A01D90" w:rsidP="00A01D90">
            <w:pPr>
              <w:widowControl/>
              <w:autoSpaceDE/>
              <w:autoSpaceDN/>
              <w:adjustRightInd/>
              <w:spacing w:after="160" w:line="259" w:lineRule="auto"/>
              <w:jc w:val="center"/>
              <w:rPr>
                <w:rFonts w:ascii="Arial" w:eastAsiaTheme="minorHAnsi" w:hAnsi="Arial" w:cs="Arial"/>
                <w:sz w:val="18"/>
                <w:szCs w:val="18"/>
                <w:lang w:eastAsia="en-US"/>
              </w:rPr>
            </w:pPr>
            <w:r>
              <w:rPr>
                <w:rFonts w:ascii="Arial" w:eastAsiaTheme="minorHAnsi" w:hAnsi="Arial" w:cs="Arial"/>
                <w:sz w:val="18"/>
                <w:szCs w:val="18"/>
                <w:lang w:eastAsia="en-US"/>
              </w:rPr>
              <w:t>46623</w:t>
            </w:r>
            <w:r w:rsidR="00C95BCC" w:rsidRPr="00C95BCC">
              <w:rPr>
                <w:rFonts w:ascii="Arial" w:eastAsiaTheme="minorHAnsi" w:hAnsi="Arial" w:cs="Arial"/>
                <w:sz w:val="18"/>
                <w:szCs w:val="18"/>
                <w:lang w:eastAsia="en-US"/>
              </w:rPr>
              <w:t>/16.11.2017</w:t>
            </w:r>
          </w:p>
        </w:tc>
        <w:tc>
          <w:tcPr>
            <w:tcW w:w="3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sz w:val="18"/>
                <w:szCs w:val="18"/>
                <w:lang w:eastAsia="en-US"/>
              </w:rPr>
            </w:pPr>
            <w:r w:rsidRPr="00C95BCC">
              <w:rPr>
                <w:rFonts w:ascii="Arial" w:eastAsiaTheme="minorHAnsi" w:hAnsi="Arial" w:cs="Arial"/>
                <w:sz w:val="18"/>
                <w:szCs w:val="18"/>
                <w:lang w:eastAsia="en-US"/>
              </w:rPr>
              <w:t>1.432.500,00</w:t>
            </w:r>
          </w:p>
        </w:tc>
        <w:tc>
          <w:tcPr>
            <w:tcW w:w="3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sz w:val="18"/>
                <w:szCs w:val="18"/>
                <w:lang w:eastAsia="en-US"/>
              </w:rPr>
            </w:pPr>
            <w:r w:rsidRPr="00C95BCC">
              <w:rPr>
                <w:rFonts w:ascii="Arial" w:eastAsiaTheme="minorHAnsi" w:hAnsi="Arial" w:cs="Arial"/>
                <w:sz w:val="18"/>
                <w:szCs w:val="18"/>
                <w:lang w:eastAsia="en-US"/>
              </w:rPr>
              <w:t>1.432.500,00</w:t>
            </w:r>
          </w:p>
        </w:tc>
        <w:tc>
          <w:tcPr>
            <w:tcW w:w="32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sz w:val="18"/>
                <w:szCs w:val="18"/>
                <w:lang w:eastAsia="en-US"/>
              </w:rPr>
            </w:pPr>
            <w:r w:rsidRPr="00C95BCC">
              <w:rPr>
                <w:rFonts w:ascii="Arial" w:eastAsiaTheme="minorHAnsi" w:hAnsi="Arial" w:cs="Arial"/>
                <w:sz w:val="18"/>
                <w:szCs w:val="18"/>
                <w:lang w:eastAsia="en-US"/>
              </w:rPr>
              <w:t>31.01.2018</w:t>
            </w:r>
          </w:p>
        </w:tc>
        <w:tc>
          <w:tcPr>
            <w:tcW w:w="32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sz w:val="18"/>
                <w:szCs w:val="18"/>
                <w:lang w:eastAsia="en-US"/>
              </w:rPr>
            </w:pPr>
            <w:r w:rsidRPr="00C95BCC">
              <w:rPr>
                <w:rFonts w:ascii="Arial" w:eastAsiaTheme="minorHAnsi" w:hAnsi="Arial" w:cs="Arial"/>
                <w:sz w:val="18"/>
                <w:szCs w:val="18"/>
                <w:lang w:eastAsia="en-US"/>
              </w:rPr>
              <w:t>12</w:t>
            </w:r>
          </w:p>
        </w:tc>
        <w:tc>
          <w:tcPr>
            <w:tcW w:w="19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sz w:val="18"/>
                <w:szCs w:val="18"/>
                <w:lang w:eastAsia="en-US"/>
              </w:rPr>
            </w:pPr>
            <w:r w:rsidRPr="00C95BCC">
              <w:rPr>
                <w:rFonts w:ascii="Arial" w:eastAsiaTheme="minorHAnsi" w:hAnsi="Arial" w:cs="Arial"/>
                <w:sz w:val="18"/>
                <w:szCs w:val="18"/>
                <w:lang w:eastAsia="en-US"/>
              </w:rPr>
              <w:t>12</w:t>
            </w:r>
          </w:p>
        </w:tc>
      </w:tr>
      <w:tr w:rsidR="00C95BCC" w:rsidRPr="00C95BCC" w:rsidTr="00A01D90">
        <w:trPr>
          <w:trHeight w:val="706"/>
          <w:jc w:val="center"/>
        </w:trPr>
        <w:tc>
          <w:tcPr>
            <w:tcW w:w="18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color w:val="000000"/>
                <w:sz w:val="18"/>
                <w:szCs w:val="18"/>
                <w:lang w:eastAsia="en-US"/>
              </w:rPr>
            </w:pPr>
            <w:r w:rsidRPr="00C95BCC">
              <w:rPr>
                <w:rFonts w:ascii="Arial" w:eastAsiaTheme="minorHAnsi" w:hAnsi="Arial" w:cs="Arial"/>
                <w:color w:val="000000"/>
                <w:sz w:val="18"/>
                <w:szCs w:val="18"/>
                <w:lang w:eastAsia="en-US"/>
              </w:rPr>
              <w:t>2</w:t>
            </w:r>
          </w:p>
        </w:tc>
        <w:tc>
          <w:tcPr>
            <w:tcW w:w="70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C95BCC" w:rsidP="006F1AEC">
            <w:pPr>
              <w:widowControl/>
              <w:autoSpaceDE/>
              <w:autoSpaceDN/>
              <w:adjustRightInd/>
              <w:spacing w:after="160" w:line="259" w:lineRule="auto"/>
              <w:jc w:val="center"/>
              <w:rPr>
                <w:rFonts w:ascii="Arial" w:eastAsiaTheme="minorHAnsi" w:hAnsi="Arial" w:cs="Arial"/>
                <w:sz w:val="18"/>
                <w:szCs w:val="18"/>
                <w:lang w:eastAsia="en-US"/>
              </w:rPr>
            </w:pPr>
            <w:r w:rsidRPr="00C95BCC">
              <w:rPr>
                <w:rFonts w:ascii="Arial" w:eastAsiaTheme="minorHAnsi" w:hAnsi="Arial" w:cs="Arial"/>
                <w:sz w:val="18"/>
                <w:szCs w:val="18"/>
                <w:lang w:eastAsia="en-US"/>
              </w:rPr>
              <w:t>SERVICE IMPLEMENTARE PRODUC</w:t>
            </w:r>
            <w:r w:rsidR="006F1AEC">
              <w:rPr>
                <w:rFonts w:ascii="Arial" w:eastAsiaTheme="minorHAnsi" w:hAnsi="Arial" w:cs="Arial"/>
                <w:sz w:val="18"/>
                <w:szCs w:val="18"/>
                <w:lang w:eastAsia="en-US"/>
              </w:rPr>
              <w:t>Ț</w:t>
            </w:r>
            <w:r w:rsidRPr="00C95BCC">
              <w:rPr>
                <w:rFonts w:ascii="Arial" w:eastAsiaTheme="minorHAnsi" w:hAnsi="Arial" w:cs="Arial"/>
                <w:sz w:val="18"/>
                <w:szCs w:val="18"/>
                <w:lang w:eastAsia="en-US"/>
              </w:rPr>
              <w:t>IE SA</w:t>
            </w:r>
          </w:p>
        </w:tc>
        <w:tc>
          <w:tcPr>
            <w:tcW w:w="110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C95BCC" w:rsidP="006F1AEC">
            <w:pPr>
              <w:widowControl/>
              <w:autoSpaceDE/>
              <w:autoSpaceDN/>
              <w:adjustRightInd/>
              <w:spacing w:after="160" w:line="259" w:lineRule="auto"/>
              <w:jc w:val="center"/>
              <w:rPr>
                <w:rFonts w:ascii="Arial" w:eastAsiaTheme="minorHAnsi" w:hAnsi="Arial" w:cs="Arial"/>
                <w:sz w:val="18"/>
                <w:szCs w:val="18"/>
                <w:lang w:eastAsia="en-US"/>
              </w:rPr>
            </w:pPr>
            <w:r w:rsidRPr="00C95BCC">
              <w:rPr>
                <w:rFonts w:ascii="Arial" w:eastAsiaTheme="minorHAnsi" w:hAnsi="Arial" w:cs="Arial"/>
                <w:sz w:val="18"/>
                <w:szCs w:val="18"/>
                <w:lang w:eastAsia="en-US"/>
              </w:rPr>
              <w:t xml:space="preserve">Servicii de atestare/reatestare </w:t>
            </w:r>
            <w:r w:rsidR="006F1AEC">
              <w:rPr>
                <w:rFonts w:ascii="Arial" w:eastAsiaTheme="minorHAnsi" w:hAnsi="Arial" w:cs="Arial"/>
                <w:sz w:val="18"/>
                <w:szCs w:val="18"/>
                <w:lang w:eastAsia="en-US"/>
              </w:rPr>
              <w:t>pentru întocmirea documentaț</w:t>
            </w:r>
            <w:r w:rsidRPr="00C95BCC">
              <w:rPr>
                <w:rFonts w:ascii="Arial" w:eastAsiaTheme="minorHAnsi" w:hAnsi="Arial" w:cs="Arial"/>
                <w:sz w:val="18"/>
                <w:szCs w:val="18"/>
                <w:lang w:eastAsia="en-US"/>
              </w:rPr>
              <w:t>iilor de reexaminare periodic</w:t>
            </w:r>
            <w:r w:rsidR="006F1AEC">
              <w:rPr>
                <w:rFonts w:ascii="Arial" w:eastAsiaTheme="minorHAnsi" w:hAnsi="Arial" w:cs="Arial"/>
                <w:sz w:val="18"/>
                <w:szCs w:val="18"/>
                <w:lang w:eastAsia="en-US"/>
              </w:rPr>
              <w:t>ă</w:t>
            </w:r>
            <w:r w:rsidRPr="00C95BCC">
              <w:rPr>
                <w:rFonts w:ascii="Arial" w:eastAsiaTheme="minorHAnsi" w:hAnsi="Arial" w:cs="Arial"/>
                <w:sz w:val="18"/>
                <w:szCs w:val="18"/>
                <w:lang w:eastAsia="en-US"/>
              </w:rPr>
              <w:t xml:space="preserve"> din punct de vedere Ex</w:t>
            </w:r>
          </w:p>
        </w:tc>
        <w:tc>
          <w:tcPr>
            <w:tcW w:w="32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sz w:val="18"/>
                <w:szCs w:val="18"/>
                <w:lang w:eastAsia="en-US"/>
              </w:rPr>
            </w:pPr>
            <w:r w:rsidRPr="00C95BCC">
              <w:rPr>
                <w:rFonts w:ascii="Arial" w:eastAsiaTheme="minorHAnsi" w:hAnsi="Arial" w:cs="Arial"/>
                <w:sz w:val="18"/>
                <w:szCs w:val="18"/>
                <w:lang w:eastAsia="en-US"/>
              </w:rPr>
              <w:t>S-CA 91 / 07.03.2018</w:t>
            </w:r>
          </w:p>
        </w:tc>
        <w:tc>
          <w:tcPr>
            <w:tcW w:w="31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6F1AEC" w:rsidP="00C95BCC">
            <w:pPr>
              <w:widowControl/>
              <w:autoSpaceDE/>
              <w:autoSpaceDN/>
              <w:adjustRightInd/>
              <w:spacing w:after="160" w:line="259" w:lineRule="auto"/>
              <w:jc w:val="center"/>
              <w:rPr>
                <w:rFonts w:ascii="Arial" w:eastAsiaTheme="minorHAnsi" w:hAnsi="Arial" w:cs="Arial"/>
                <w:sz w:val="18"/>
                <w:szCs w:val="18"/>
                <w:lang w:eastAsia="en-US"/>
              </w:rPr>
            </w:pPr>
            <w:r>
              <w:rPr>
                <w:rFonts w:ascii="Arial" w:eastAsiaTheme="minorHAnsi" w:hAnsi="Arial" w:cs="Arial"/>
                <w:sz w:val="18"/>
                <w:szCs w:val="18"/>
                <w:lang w:eastAsia="en-US"/>
              </w:rPr>
              <w:t>LICITAȚ</w:t>
            </w:r>
            <w:r w:rsidR="00C95BCC" w:rsidRPr="00C95BCC">
              <w:rPr>
                <w:rFonts w:ascii="Arial" w:eastAsiaTheme="minorHAnsi" w:hAnsi="Arial" w:cs="Arial"/>
                <w:sz w:val="18"/>
                <w:szCs w:val="18"/>
                <w:lang w:eastAsia="en-US"/>
              </w:rPr>
              <w:t>IE</w:t>
            </w:r>
          </w:p>
        </w:tc>
        <w:tc>
          <w:tcPr>
            <w:tcW w:w="37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sz w:val="18"/>
                <w:szCs w:val="18"/>
                <w:lang w:eastAsia="en-US"/>
              </w:rPr>
            </w:pPr>
            <w:r w:rsidRPr="00C95BCC">
              <w:rPr>
                <w:rFonts w:ascii="Arial" w:eastAsiaTheme="minorHAnsi" w:hAnsi="Arial" w:cs="Arial"/>
                <w:sz w:val="18"/>
                <w:szCs w:val="18"/>
                <w:lang w:eastAsia="en-US"/>
              </w:rPr>
              <w:t>-</w:t>
            </w:r>
          </w:p>
        </w:tc>
        <w:tc>
          <w:tcPr>
            <w:tcW w:w="4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A01D90" w:rsidP="00A01D90">
            <w:pPr>
              <w:widowControl/>
              <w:autoSpaceDE/>
              <w:autoSpaceDN/>
              <w:adjustRightInd/>
              <w:spacing w:after="160" w:line="259" w:lineRule="auto"/>
              <w:jc w:val="center"/>
              <w:rPr>
                <w:rFonts w:ascii="Arial" w:eastAsiaTheme="minorHAnsi" w:hAnsi="Arial" w:cs="Arial"/>
                <w:sz w:val="18"/>
                <w:szCs w:val="18"/>
                <w:lang w:eastAsia="en-US"/>
              </w:rPr>
            </w:pPr>
            <w:r>
              <w:rPr>
                <w:rFonts w:ascii="Arial" w:eastAsiaTheme="minorHAnsi" w:hAnsi="Arial" w:cs="Arial"/>
                <w:sz w:val="18"/>
                <w:szCs w:val="18"/>
                <w:lang w:eastAsia="en-US"/>
              </w:rPr>
              <w:t>1870</w:t>
            </w:r>
            <w:r w:rsidR="00C95BCC" w:rsidRPr="00C95BCC">
              <w:rPr>
                <w:rFonts w:ascii="Arial" w:eastAsiaTheme="minorHAnsi" w:hAnsi="Arial" w:cs="Arial"/>
                <w:sz w:val="18"/>
                <w:szCs w:val="18"/>
                <w:lang w:eastAsia="en-US"/>
              </w:rPr>
              <w:t>/15.01.2018</w:t>
            </w:r>
          </w:p>
        </w:tc>
        <w:tc>
          <w:tcPr>
            <w:tcW w:w="3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sz w:val="18"/>
                <w:szCs w:val="18"/>
                <w:lang w:eastAsia="en-US"/>
              </w:rPr>
            </w:pPr>
            <w:r w:rsidRPr="00C95BCC">
              <w:rPr>
                <w:rFonts w:ascii="Arial" w:eastAsiaTheme="minorHAnsi" w:hAnsi="Arial" w:cs="Arial"/>
                <w:sz w:val="18"/>
                <w:szCs w:val="18"/>
                <w:lang w:eastAsia="en-US"/>
              </w:rPr>
              <w:t>479.380,00</w:t>
            </w:r>
          </w:p>
        </w:tc>
        <w:tc>
          <w:tcPr>
            <w:tcW w:w="3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sz w:val="18"/>
                <w:szCs w:val="18"/>
                <w:lang w:eastAsia="en-US"/>
              </w:rPr>
            </w:pPr>
            <w:r w:rsidRPr="00C95BCC">
              <w:rPr>
                <w:rFonts w:ascii="Arial" w:eastAsiaTheme="minorHAnsi" w:hAnsi="Arial" w:cs="Arial"/>
                <w:sz w:val="18"/>
                <w:szCs w:val="18"/>
                <w:lang w:eastAsia="en-US"/>
              </w:rPr>
              <w:t>479.380,00</w:t>
            </w:r>
          </w:p>
        </w:tc>
        <w:tc>
          <w:tcPr>
            <w:tcW w:w="32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sz w:val="18"/>
                <w:szCs w:val="18"/>
                <w:lang w:eastAsia="en-US"/>
              </w:rPr>
            </w:pPr>
            <w:r w:rsidRPr="00C95BCC">
              <w:rPr>
                <w:rFonts w:ascii="Arial" w:eastAsiaTheme="minorHAnsi" w:hAnsi="Arial" w:cs="Arial"/>
                <w:sz w:val="18"/>
                <w:szCs w:val="18"/>
                <w:lang w:eastAsia="en-US"/>
              </w:rPr>
              <w:t>07.03.2018</w:t>
            </w:r>
          </w:p>
        </w:tc>
        <w:tc>
          <w:tcPr>
            <w:tcW w:w="32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sz w:val="18"/>
                <w:szCs w:val="18"/>
                <w:lang w:eastAsia="en-US"/>
              </w:rPr>
            </w:pPr>
            <w:r w:rsidRPr="00C95BCC">
              <w:rPr>
                <w:rFonts w:ascii="Arial" w:eastAsiaTheme="minorHAnsi" w:hAnsi="Arial" w:cs="Arial"/>
                <w:sz w:val="18"/>
                <w:szCs w:val="18"/>
                <w:lang w:eastAsia="en-US"/>
              </w:rPr>
              <w:t>12</w:t>
            </w:r>
          </w:p>
        </w:tc>
        <w:tc>
          <w:tcPr>
            <w:tcW w:w="19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sz w:val="18"/>
                <w:szCs w:val="18"/>
                <w:lang w:eastAsia="en-US"/>
              </w:rPr>
            </w:pPr>
            <w:r w:rsidRPr="00C95BCC">
              <w:rPr>
                <w:rFonts w:ascii="Arial" w:eastAsiaTheme="minorHAnsi" w:hAnsi="Arial" w:cs="Arial"/>
                <w:sz w:val="18"/>
                <w:szCs w:val="18"/>
                <w:lang w:eastAsia="en-US"/>
              </w:rPr>
              <w:t>12</w:t>
            </w:r>
          </w:p>
        </w:tc>
      </w:tr>
      <w:tr w:rsidR="00C95BCC" w:rsidRPr="00C95BCC" w:rsidTr="00A01D90">
        <w:trPr>
          <w:trHeight w:val="493"/>
          <w:jc w:val="center"/>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C95BCC" w:rsidRPr="00C95BCC" w:rsidRDefault="00E733E8" w:rsidP="00C95BCC">
            <w:pPr>
              <w:widowControl/>
              <w:autoSpaceDE/>
              <w:autoSpaceDN/>
              <w:adjustRightInd/>
              <w:spacing w:after="160" w:line="259" w:lineRule="auto"/>
              <w:jc w:val="center"/>
              <w:rPr>
                <w:rFonts w:ascii="Arial" w:eastAsiaTheme="minorHAnsi" w:hAnsi="Arial" w:cs="Arial"/>
                <w:b/>
                <w:bCs/>
                <w:sz w:val="18"/>
                <w:szCs w:val="18"/>
                <w:lang w:eastAsia="en-US"/>
              </w:rPr>
            </w:pPr>
            <w:r>
              <w:rPr>
                <w:rFonts w:ascii="Arial" w:eastAsiaTheme="minorHAnsi" w:hAnsi="Arial" w:cs="Arial"/>
                <w:b/>
                <w:bCs/>
                <w:sz w:val="18"/>
                <w:szCs w:val="18"/>
                <w:lang w:eastAsia="en-US"/>
              </w:rPr>
              <w:t>SEM</w:t>
            </w:r>
            <w:r w:rsidR="00C95BCC" w:rsidRPr="00C95BCC">
              <w:rPr>
                <w:rFonts w:ascii="Arial" w:eastAsiaTheme="minorHAnsi" w:hAnsi="Arial" w:cs="Arial"/>
                <w:b/>
                <w:bCs/>
                <w:sz w:val="18"/>
                <w:szCs w:val="18"/>
                <w:lang w:eastAsia="en-US"/>
              </w:rPr>
              <w:t>ESTRUL I - 2 CONTRACTE</w:t>
            </w:r>
            <w:r w:rsidR="00C95BCC" w:rsidRPr="00C95BCC">
              <w:rPr>
                <w:rFonts w:ascii="Arial" w:eastAsiaTheme="minorHAnsi" w:hAnsi="Arial" w:cs="Arial"/>
                <w:b/>
                <w:bCs/>
                <w:sz w:val="18"/>
                <w:szCs w:val="18"/>
                <w:lang w:eastAsia="en-US"/>
              </w:rPr>
              <w:br/>
              <w:t xml:space="preserve">VALOARE </w:t>
            </w:r>
            <w:r>
              <w:rPr>
                <w:rFonts w:ascii="Arial" w:eastAsiaTheme="minorHAnsi" w:hAnsi="Arial" w:cs="Arial"/>
                <w:b/>
                <w:bCs/>
                <w:sz w:val="18"/>
                <w:szCs w:val="18"/>
                <w:lang w:eastAsia="en-US"/>
              </w:rPr>
              <w:t>SEM</w:t>
            </w:r>
            <w:r w:rsidR="00C95BCC" w:rsidRPr="00C95BCC">
              <w:rPr>
                <w:rFonts w:ascii="Arial" w:eastAsiaTheme="minorHAnsi" w:hAnsi="Arial" w:cs="Arial"/>
                <w:b/>
                <w:bCs/>
                <w:sz w:val="18"/>
                <w:szCs w:val="18"/>
                <w:lang w:eastAsia="en-US"/>
              </w:rPr>
              <w:t>ESTRUL I = 1.911.880,00 lei</w:t>
            </w:r>
          </w:p>
        </w:tc>
      </w:tr>
      <w:tr w:rsidR="00C95BCC" w:rsidRPr="00C95BCC" w:rsidTr="00A01D90">
        <w:trPr>
          <w:trHeight w:val="289"/>
          <w:jc w:val="center"/>
        </w:trPr>
        <w:tc>
          <w:tcPr>
            <w:tcW w:w="188" w:type="pct"/>
            <w:tcBorders>
              <w:top w:val="nil"/>
              <w:left w:val="nil"/>
              <w:bottom w:val="nil"/>
              <w:right w:val="nil"/>
            </w:tcBorders>
            <w:shd w:val="clear" w:color="auto" w:fill="auto"/>
            <w:noWrap/>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b/>
                <w:bCs/>
                <w:sz w:val="18"/>
                <w:szCs w:val="18"/>
                <w:lang w:eastAsia="en-US"/>
              </w:rPr>
            </w:pPr>
          </w:p>
        </w:tc>
        <w:tc>
          <w:tcPr>
            <w:tcW w:w="703" w:type="pct"/>
            <w:tcBorders>
              <w:top w:val="nil"/>
              <w:left w:val="nil"/>
              <w:bottom w:val="nil"/>
              <w:right w:val="nil"/>
            </w:tcBorders>
            <w:shd w:val="clear" w:color="DDEBF7" w:fill="FFFFFF"/>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color w:val="FF0000"/>
                <w:sz w:val="18"/>
                <w:szCs w:val="18"/>
                <w:lang w:eastAsia="en-US"/>
              </w:rPr>
            </w:pPr>
            <w:r w:rsidRPr="00C95BCC">
              <w:rPr>
                <w:rFonts w:ascii="Arial" w:eastAsiaTheme="minorHAnsi" w:hAnsi="Arial" w:cs="Arial"/>
                <w:color w:val="FF0000"/>
                <w:sz w:val="18"/>
                <w:szCs w:val="18"/>
                <w:lang w:eastAsia="en-US"/>
              </w:rPr>
              <w:t> </w:t>
            </w:r>
          </w:p>
        </w:tc>
        <w:tc>
          <w:tcPr>
            <w:tcW w:w="1103" w:type="pct"/>
            <w:tcBorders>
              <w:top w:val="nil"/>
              <w:left w:val="nil"/>
              <w:bottom w:val="nil"/>
              <w:right w:val="nil"/>
            </w:tcBorders>
            <w:shd w:val="clear" w:color="DDEBF7" w:fill="FFFFFF"/>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color w:val="FF0000"/>
                <w:sz w:val="18"/>
                <w:szCs w:val="18"/>
                <w:lang w:eastAsia="en-US"/>
              </w:rPr>
            </w:pPr>
            <w:r w:rsidRPr="00C95BCC">
              <w:rPr>
                <w:rFonts w:ascii="Arial" w:eastAsiaTheme="minorHAnsi" w:hAnsi="Arial" w:cs="Arial"/>
                <w:color w:val="FF0000"/>
                <w:sz w:val="18"/>
                <w:szCs w:val="18"/>
                <w:lang w:eastAsia="en-US"/>
              </w:rPr>
              <w:t> </w:t>
            </w:r>
          </w:p>
        </w:tc>
        <w:tc>
          <w:tcPr>
            <w:tcW w:w="327" w:type="pct"/>
            <w:tcBorders>
              <w:top w:val="nil"/>
              <w:left w:val="nil"/>
              <w:bottom w:val="nil"/>
              <w:right w:val="nil"/>
            </w:tcBorders>
            <w:shd w:val="clear" w:color="auto" w:fill="auto"/>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color w:val="FF0000"/>
                <w:sz w:val="18"/>
                <w:szCs w:val="18"/>
                <w:lang w:eastAsia="en-US"/>
              </w:rPr>
            </w:pPr>
          </w:p>
        </w:tc>
        <w:tc>
          <w:tcPr>
            <w:tcW w:w="312" w:type="pct"/>
            <w:tcBorders>
              <w:top w:val="nil"/>
              <w:left w:val="nil"/>
              <w:bottom w:val="nil"/>
              <w:right w:val="nil"/>
            </w:tcBorders>
            <w:shd w:val="clear" w:color="auto" w:fill="auto"/>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sz w:val="18"/>
                <w:szCs w:val="18"/>
                <w:lang w:eastAsia="en-US"/>
              </w:rPr>
            </w:pPr>
          </w:p>
        </w:tc>
        <w:tc>
          <w:tcPr>
            <w:tcW w:w="370" w:type="pct"/>
            <w:tcBorders>
              <w:top w:val="nil"/>
              <w:left w:val="nil"/>
              <w:bottom w:val="nil"/>
              <w:right w:val="nil"/>
            </w:tcBorders>
            <w:shd w:val="clear" w:color="auto" w:fill="auto"/>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sz w:val="18"/>
                <w:szCs w:val="18"/>
                <w:lang w:eastAsia="en-US"/>
              </w:rPr>
            </w:pPr>
          </w:p>
        </w:tc>
        <w:tc>
          <w:tcPr>
            <w:tcW w:w="459" w:type="pct"/>
            <w:tcBorders>
              <w:top w:val="nil"/>
              <w:left w:val="nil"/>
              <w:bottom w:val="nil"/>
              <w:right w:val="nil"/>
            </w:tcBorders>
            <w:shd w:val="clear" w:color="auto" w:fill="auto"/>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sz w:val="18"/>
                <w:szCs w:val="18"/>
                <w:lang w:eastAsia="en-US"/>
              </w:rPr>
            </w:pPr>
          </w:p>
        </w:tc>
        <w:tc>
          <w:tcPr>
            <w:tcW w:w="341" w:type="pct"/>
            <w:tcBorders>
              <w:top w:val="nil"/>
              <w:left w:val="nil"/>
              <w:bottom w:val="nil"/>
              <w:right w:val="nil"/>
            </w:tcBorders>
            <w:shd w:val="clear" w:color="DDEBF7" w:fill="FFFFFF"/>
            <w:noWrap/>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color w:val="FF0000"/>
                <w:sz w:val="18"/>
                <w:szCs w:val="18"/>
                <w:lang w:eastAsia="en-US"/>
              </w:rPr>
            </w:pPr>
            <w:r w:rsidRPr="00C95BCC">
              <w:rPr>
                <w:rFonts w:ascii="Arial" w:eastAsiaTheme="minorHAnsi" w:hAnsi="Arial" w:cs="Arial"/>
                <w:color w:val="FF0000"/>
                <w:sz w:val="18"/>
                <w:szCs w:val="18"/>
                <w:lang w:eastAsia="en-US"/>
              </w:rPr>
              <w:t> </w:t>
            </w:r>
          </w:p>
        </w:tc>
        <w:tc>
          <w:tcPr>
            <w:tcW w:w="341" w:type="pct"/>
            <w:tcBorders>
              <w:top w:val="nil"/>
              <w:left w:val="nil"/>
              <w:bottom w:val="nil"/>
              <w:right w:val="nil"/>
            </w:tcBorders>
            <w:shd w:val="clear" w:color="auto" w:fill="auto"/>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color w:val="FF0000"/>
                <w:sz w:val="18"/>
                <w:szCs w:val="18"/>
                <w:lang w:eastAsia="en-US"/>
              </w:rPr>
            </w:pPr>
          </w:p>
        </w:tc>
        <w:tc>
          <w:tcPr>
            <w:tcW w:w="327" w:type="pct"/>
            <w:tcBorders>
              <w:top w:val="nil"/>
              <w:left w:val="nil"/>
              <w:bottom w:val="nil"/>
              <w:right w:val="nil"/>
            </w:tcBorders>
            <w:shd w:val="clear" w:color="auto" w:fill="auto"/>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sz w:val="18"/>
                <w:szCs w:val="18"/>
                <w:lang w:eastAsia="en-US"/>
              </w:rPr>
            </w:pPr>
          </w:p>
        </w:tc>
        <w:tc>
          <w:tcPr>
            <w:tcW w:w="327" w:type="pct"/>
            <w:tcBorders>
              <w:top w:val="nil"/>
              <w:left w:val="nil"/>
              <w:bottom w:val="nil"/>
              <w:right w:val="nil"/>
            </w:tcBorders>
            <w:shd w:val="clear" w:color="auto" w:fill="auto"/>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sz w:val="18"/>
                <w:szCs w:val="18"/>
                <w:lang w:eastAsia="en-US"/>
              </w:rPr>
            </w:pPr>
          </w:p>
        </w:tc>
        <w:tc>
          <w:tcPr>
            <w:tcW w:w="199" w:type="pct"/>
            <w:tcBorders>
              <w:top w:val="nil"/>
              <w:left w:val="nil"/>
              <w:bottom w:val="nil"/>
              <w:right w:val="nil"/>
            </w:tcBorders>
            <w:shd w:val="clear" w:color="auto" w:fill="auto"/>
            <w:tcMar>
              <w:top w:w="15" w:type="dxa"/>
              <w:left w:w="15" w:type="dxa"/>
              <w:bottom w:w="0" w:type="dxa"/>
              <w:right w:w="15" w:type="dxa"/>
            </w:tcMar>
            <w:vAlign w:val="center"/>
            <w:hideMark/>
          </w:tcPr>
          <w:p w:rsidR="00C95BCC" w:rsidRPr="00C95BCC" w:rsidRDefault="00C95BCC" w:rsidP="00C95BCC">
            <w:pPr>
              <w:widowControl/>
              <w:autoSpaceDE/>
              <w:autoSpaceDN/>
              <w:adjustRightInd/>
              <w:spacing w:after="160" w:line="259" w:lineRule="auto"/>
              <w:jc w:val="center"/>
              <w:rPr>
                <w:rFonts w:ascii="Arial" w:eastAsiaTheme="minorHAnsi" w:hAnsi="Arial" w:cs="Arial"/>
                <w:sz w:val="18"/>
                <w:szCs w:val="18"/>
                <w:lang w:eastAsia="en-US"/>
              </w:rPr>
            </w:pPr>
          </w:p>
        </w:tc>
      </w:tr>
    </w:tbl>
    <w:p w:rsidR="00C95BCC" w:rsidRPr="00A74CF5" w:rsidRDefault="00C95BCC" w:rsidP="003E033B">
      <w:pPr>
        <w:widowControl/>
        <w:tabs>
          <w:tab w:val="left" w:pos="2190"/>
        </w:tabs>
        <w:autoSpaceDE/>
        <w:autoSpaceDN/>
        <w:adjustRightInd/>
        <w:rPr>
          <w:rFonts w:ascii="Arial" w:hAnsi="Arial" w:cs="Arial"/>
          <w:b/>
          <w:i/>
          <w:iCs/>
          <w:color w:val="FF0000"/>
          <w:sz w:val="22"/>
          <w:szCs w:val="22"/>
          <w:lang w:val="fr-FR"/>
        </w:rPr>
      </w:pPr>
    </w:p>
    <w:p w:rsidR="00EA3E9D" w:rsidRDefault="00EA3E9D" w:rsidP="003E033B">
      <w:pPr>
        <w:widowControl/>
        <w:tabs>
          <w:tab w:val="left" w:pos="2190"/>
        </w:tabs>
        <w:autoSpaceDE/>
        <w:autoSpaceDN/>
        <w:adjustRightInd/>
        <w:rPr>
          <w:rFonts w:ascii="Arial" w:hAnsi="Arial" w:cs="Arial"/>
          <w:b/>
          <w:i/>
          <w:iCs/>
          <w:color w:val="FF0000"/>
          <w:sz w:val="22"/>
          <w:szCs w:val="22"/>
          <w:lang w:val="fr-FR"/>
        </w:rPr>
      </w:pPr>
    </w:p>
    <w:p w:rsidR="00EA3E9D" w:rsidRPr="00EA3E9D" w:rsidRDefault="00EA3E9D" w:rsidP="00EA3E9D">
      <w:pPr>
        <w:rPr>
          <w:rFonts w:ascii="Arial" w:hAnsi="Arial" w:cs="Arial"/>
          <w:sz w:val="22"/>
          <w:szCs w:val="22"/>
          <w:lang w:val="fr-FR"/>
        </w:rPr>
      </w:pPr>
    </w:p>
    <w:p w:rsidR="00EA3E9D" w:rsidRPr="00EA3E9D" w:rsidRDefault="00EA3E9D" w:rsidP="00EA3E9D">
      <w:pPr>
        <w:rPr>
          <w:rFonts w:ascii="Arial" w:hAnsi="Arial" w:cs="Arial"/>
          <w:sz w:val="22"/>
          <w:szCs w:val="22"/>
          <w:lang w:val="fr-FR"/>
        </w:rPr>
      </w:pPr>
    </w:p>
    <w:p w:rsidR="00EA3E9D" w:rsidRDefault="00EA3E9D" w:rsidP="00EA3E9D">
      <w:pPr>
        <w:rPr>
          <w:rFonts w:ascii="Arial" w:hAnsi="Arial" w:cs="Arial"/>
          <w:sz w:val="22"/>
          <w:szCs w:val="22"/>
          <w:lang w:val="fr-FR"/>
        </w:rPr>
      </w:pPr>
    </w:p>
    <w:p w:rsidR="0078266F" w:rsidRDefault="00EA3E9D" w:rsidP="00EA3E9D">
      <w:pPr>
        <w:tabs>
          <w:tab w:val="left" w:pos="3538"/>
        </w:tabs>
        <w:rPr>
          <w:rFonts w:ascii="Arial" w:hAnsi="Arial" w:cs="Arial"/>
          <w:sz w:val="22"/>
          <w:szCs w:val="22"/>
          <w:lang w:val="fr-FR"/>
        </w:rPr>
      </w:pPr>
      <w:r>
        <w:rPr>
          <w:rFonts w:ascii="Arial" w:hAnsi="Arial" w:cs="Arial"/>
          <w:sz w:val="22"/>
          <w:szCs w:val="22"/>
          <w:lang w:val="fr-FR"/>
        </w:rPr>
        <w:tab/>
      </w:r>
    </w:p>
    <w:p w:rsidR="00022D5C" w:rsidRDefault="00022D5C" w:rsidP="00022D5C">
      <w:pPr>
        <w:tabs>
          <w:tab w:val="left" w:pos="3538"/>
        </w:tabs>
        <w:rPr>
          <w:b/>
        </w:rPr>
        <w:sectPr w:rsidR="00022D5C" w:rsidSect="00A9171A">
          <w:pgSz w:w="16834" w:h="11909" w:orient="landscape" w:code="9"/>
          <w:pgMar w:top="1138" w:right="706" w:bottom="1282" w:left="1138" w:header="706" w:footer="562" w:gutter="0"/>
          <w:pgNumType w:start="54"/>
          <w:cols w:space="60"/>
          <w:noEndnote/>
          <w:docGrid w:linePitch="272"/>
        </w:sectPr>
      </w:pPr>
    </w:p>
    <w:p w:rsidR="00022D5C" w:rsidRPr="00C60341" w:rsidRDefault="00C60341" w:rsidP="00EA3E9D">
      <w:pPr>
        <w:tabs>
          <w:tab w:val="left" w:pos="3538"/>
        </w:tabs>
        <w:rPr>
          <w:rFonts w:ascii="Arial" w:hAnsi="Arial" w:cs="Arial"/>
          <w:b/>
          <w:color w:val="1F4E79" w:themeColor="accent1" w:themeShade="80"/>
          <w:sz w:val="22"/>
          <w:szCs w:val="22"/>
          <w:lang w:val="fr-FR"/>
        </w:rPr>
      </w:pPr>
      <w:r w:rsidRPr="00C60341">
        <w:rPr>
          <w:rFonts w:ascii="Arial" w:hAnsi="Arial" w:cs="Arial"/>
          <w:b/>
          <w:color w:val="1F4E79" w:themeColor="accent1" w:themeShade="80"/>
          <w:sz w:val="22"/>
          <w:szCs w:val="22"/>
          <w:lang w:val="fr-FR"/>
        </w:rPr>
        <w:lastRenderedPageBreak/>
        <w:t>Anexa nr. 7</w:t>
      </w:r>
    </w:p>
    <w:p w:rsidR="00022D5C" w:rsidRDefault="00022D5C" w:rsidP="00EA3E9D">
      <w:pPr>
        <w:tabs>
          <w:tab w:val="left" w:pos="3538"/>
        </w:tabs>
        <w:rPr>
          <w:rFonts w:ascii="Arial" w:hAnsi="Arial" w:cs="Arial"/>
          <w:sz w:val="22"/>
          <w:szCs w:val="22"/>
          <w:lang w:val="fr-FR"/>
        </w:rPr>
      </w:pPr>
    </w:p>
    <w:p w:rsidR="00022D5C" w:rsidRDefault="00022D5C" w:rsidP="00EA3E9D">
      <w:pPr>
        <w:tabs>
          <w:tab w:val="left" w:pos="3538"/>
        </w:tabs>
        <w:rPr>
          <w:rFonts w:ascii="Arial" w:hAnsi="Arial" w:cs="Arial"/>
          <w:sz w:val="22"/>
          <w:szCs w:val="22"/>
          <w:lang w:val="fr-FR"/>
        </w:rPr>
      </w:pPr>
    </w:p>
    <w:p w:rsidR="00022D5C" w:rsidRPr="008952C3" w:rsidRDefault="00022D5C" w:rsidP="00022D5C">
      <w:pPr>
        <w:ind w:left="1440" w:firstLine="720"/>
        <w:rPr>
          <w:rFonts w:ascii="Arial" w:hAnsi="Arial" w:cs="Arial"/>
          <w:b/>
          <w:color w:val="1F4E79" w:themeColor="accent1" w:themeShade="80"/>
          <w:sz w:val="22"/>
          <w:szCs w:val="22"/>
        </w:rPr>
      </w:pPr>
      <w:r w:rsidRPr="008952C3">
        <w:rPr>
          <w:rFonts w:ascii="Arial" w:hAnsi="Arial" w:cs="Arial"/>
          <w:b/>
          <w:color w:val="1F4E79" w:themeColor="accent1" w:themeShade="80"/>
          <w:sz w:val="22"/>
          <w:szCs w:val="22"/>
        </w:rPr>
        <w:t>SITUAȚIA LITIGIILOR LA DATA DE 30 IUNIE 2018</w:t>
      </w:r>
    </w:p>
    <w:p w:rsidR="00022D5C" w:rsidRPr="00022D5C" w:rsidRDefault="00022D5C" w:rsidP="00022D5C">
      <w:pPr>
        <w:rPr>
          <w:rFonts w:ascii="Arial" w:hAnsi="Arial" w:cs="Arial"/>
          <w:b/>
          <w:sz w:val="22"/>
          <w:szCs w:val="22"/>
        </w:rPr>
      </w:pPr>
    </w:p>
    <w:p w:rsidR="00022D5C" w:rsidRPr="00022D5C" w:rsidRDefault="00022D5C" w:rsidP="00022D5C">
      <w:pPr>
        <w:jc w:val="both"/>
        <w:rPr>
          <w:rFonts w:ascii="Arial" w:hAnsi="Arial" w:cs="Arial"/>
          <w:b/>
          <w:sz w:val="22"/>
          <w:szCs w:val="22"/>
        </w:rPr>
      </w:pPr>
    </w:p>
    <w:p w:rsidR="00022D5C" w:rsidRPr="00022D5C" w:rsidRDefault="008952C3" w:rsidP="00022D5C">
      <w:pPr>
        <w:spacing w:after="200" w:line="276" w:lineRule="auto"/>
        <w:rPr>
          <w:rFonts w:ascii="Arial" w:hAnsi="Arial" w:cs="Arial"/>
          <w:sz w:val="22"/>
          <w:szCs w:val="22"/>
        </w:rPr>
      </w:pPr>
      <w:r>
        <w:rPr>
          <w:rFonts w:ascii="Arial" w:eastAsia="Calibri" w:hAnsi="Arial" w:cs="Arial"/>
          <w:b/>
          <w:sz w:val="22"/>
          <w:szCs w:val="22"/>
        </w:rPr>
        <w:t>A) LITIGII Î</w:t>
      </w:r>
      <w:r w:rsidR="00022D5C" w:rsidRPr="00022D5C">
        <w:rPr>
          <w:rFonts w:ascii="Arial" w:eastAsia="Calibri" w:hAnsi="Arial" w:cs="Arial"/>
          <w:b/>
          <w:sz w:val="22"/>
          <w:szCs w:val="22"/>
        </w:rPr>
        <w:t>N CARE SOCIETATEA CONPET S.A. ARE CALITATEA DE RECLAMANTĂ:</w:t>
      </w:r>
    </w:p>
    <w:p w:rsidR="00022D5C" w:rsidRPr="00022D5C" w:rsidRDefault="00022D5C" w:rsidP="00022D5C">
      <w:pPr>
        <w:jc w:val="both"/>
        <w:rPr>
          <w:rFonts w:ascii="Arial" w:hAnsi="Arial" w:cs="Arial"/>
          <w:sz w:val="22"/>
          <w:szCs w:val="22"/>
        </w:rPr>
      </w:pPr>
    </w:p>
    <w:p w:rsidR="00022D5C" w:rsidRPr="00022D5C" w:rsidRDefault="00022D5C" w:rsidP="00022D5C">
      <w:pPr>
        <w:jc w:val="both"/>
        <w:rPr>
          <w:rFonts w:ascii="Arial" w:hAnsi="Arial" w:cs="Arial"/>
          <w:b/>
          <w:sz w:val="22"/>
          <w:szCs w:val="22"/>
          <w:lang w:val="pt-BR"/>
        </w:rPr>
      </w:pPr>
      <w:r w:rsidRPr="00022D5C">
        <w:rPr>
          <w:rFonts w:ascii="Arial" w:hAnsi="Arial" w:cs="Arial"/>
          <w:b/>
          <w:sz w:val="22"/>
          <w:szCs w:val="22"/>
          <w:lang w:val="pt-BR"/>
        </w:rPr>
        <w:t xml:space="preserve">1. Dosar nr. 11921/105/2011 – Tribunalul Bacău </w:t>
      </w:r>
    </w:p>
    <w:p w:rsidR="00022D5C" w:rsidRPr="00022D5C" w:rsidRDefault="008952C3" w:rsidP="00022D5C">
      <w:pPr>
        <w:jc w:val="both"/>
        <w:rPr>
          <w:rFonts w:ascii="Arial" w:hAnsi="Arial" w:cs="Arial"/>
          <w:sz w:val="22"/>
          <w:szCs w:val="22"/>
          <w:lang w:val="pt-BR"/>
        </w:rPr>
      </w:pPr>
      <w:r>
        <w:rPr>
          <w:rFonts w:ascii="Arial" w:hAnsi="Arial" w:cs="Arial"/>
          <w:b/>
          <w:sz w:val="22"/>
          <w:szCs w:val="22"/>
          <w:lang w:val="pt-BR"/>
        </w:rPr>
        <w:t>Părț</w:t>
      </w:r>
      <w:r w:rsidR="00022D5C" w:rsidRPr="00022D5C">
        <w:rPr>
          <w:rFonts w:ascii="Arial" w:hAnsi="Arial" w:cs="Arial"/>
          <w:b/>
          <w:sz w:val="22"/>
          <w:szCs w:val="22"/>
          <w:lang w:val="pt-BR"/>
        </w:rPr>
        <w:t xml:space="preserve">i: </w:t>
      </w:r>
      <w:r w:rsidR="00022D5C" w:rsidRPr="00022D5C">
        <w:rPr>
          <w:rFonts w:ascii="Arial" w:hAnsi="Arial" w:cs="Arial"/>
          <w:sz w:val="22"/>
          <w:szCs w:val="22"/>
          <w:lang w:val="pt-BR"/>
        </w:rPr>
        <w:t xml:space="preserve"> Conpet S.A. - reclamant</w:t>
      </w:r>
    </w:p>
    <w:p w:rsidR="00022D5C" w:rsidRPr="00022D5C" w:rsidRDefault="00022D5C" w:rsidP="00022D5C">
      <w:pPr>
        <w:jc w:val="both"/>
        <w:rPr>
          <w:rFonts w:ascii="Arial" w:hAnsi="Arial" w:cs="Arial"/>
          <w:sz w:val="22"/>
          <w:szCs w:val="22"/>
          <w:lang w:val="pt-BR"/>
        </w:rPr>
      </w:pPr>
      <w:r w:rsidRPr="00022D5C">
        <w:rPr>
          <w:rFonts w:ascii="Arial" w:hAnsi="Arial" w:cs="Arial"/>
          <w:sz w:val="22"/>
          <w:szCs w:val="22"/>
          <w:lang w:val="pt-BR"/>
        </w:rPr>
        <w:t xml:space="preserve">           Biodiesel S.R.L. - pârât</w:t>
      </w:r>
    </w:p>
    <w:p w:rsidR="00022D5C" w:rsidRPr="00022D5C" w:rsidRDefault="00022D5C" w:rsidP="00022D5C">
      <w:pPr>
        <w:jc w:val="both"/>
        <w:rPr>
          <w:rFonts w:ascii="Arial" w:hAnsi="Arial" w:cs="Arial"/>
          <w:sz w:val="22"/>
          <w:szCs w:val="22"/>
          <w:lang w:val="pt-BR"/>
        </w:rPr>
      </w:pPr>
      <w:r w:rsidRPr="00022D5C">
        <w:rPr>
          <w:rFonts w:ascii="Arial" w:hAnsi="Arial" w:cs="Arial"/>
          <w:b/>
          <w:sz w:val="22"/>
          <w:szCs w:val="22"/>
          <w:lang w:val="pt-BR"/>
        </w:rPr>
        <w:t>Obiect:</w:t>
      </w:r>
      <w:r w:rsidRPr="00022D5C">
        <w:rPr>
          <w:rFonts w:ascii="Arial" w:hAnsi="Arial" w:cs="Arial"/>
          <w:sz w:val="22"/>
          <w:szCs w:val="22"/>
          <w:lang w:val="pt-BR"/>
        </w:rPr>
        <w:t xml:space="preserve">  </w:t>
      </w:r>
      <w:r w:rsidRPr="00022D5C">
        <w:rPr>
          <w:rFonts w:ascii="Arial" w:hAnsi="Arial" w:cs="Arial"/>
          <w:b/>
          <w:sz w:val="22"/>
          <w:szCs w:val="22"/>
          <w:lang w:val="pt-BR"/>
        </w:rPr>
        <w:t xml:space="preserve">Pretenții. </w:t>
      </w:r>
      <w:r w:rsidRPr="00022D5C">
        <w:rPr>
          <w:rFonts w:ascii="Arial" w:hAnsi="Arial" w:cs="Arial"/>
          <w:sz w:val="22"/>
          <w:szCs w:val="22"/>
          <w:lang w:val="pt-BR"/>
        </w:rPr>
        <w:t>Conpet S.A. formulează cerere de chemare în judecată solicitând:</w:t>
      </w:r>
    </w:p>
    <w:p w:rsidR="00022D5C" w:rsidRPr="00022D5C" w:rsidRDefault="008952C3" w:rsidP="00022D5C">
      <w:pPr>
        <w:jc w:val="both"/>
        <w:rPr>
          <w:rFonts w:ascii="Arial" w:hAnsi="Arial" w:cs="Arial"/>
          <w:sz w:val="22"/>
          <w:szCs w:val="22"/>
          <w:lang w:val="it-IT"/>
        </w:rPr>
      </w:pPr>
      <w:r>
        <w:rPr>
          <w:rFonts w:ascii="Arial" w:hAnsi="Arial" w:cs="Arial"/>
          <w:sz w:val="22"/>
          <w:szCs w:val="22"/>
          <w:lang w:val="it-IT"/>
        </w:rPr>
        <w:t>- o</w:t>
      </w:r>
      <w:r w:rsidR="00022D5C" w:rsidRPr="00022D5C">
        <w:rPr>
          <w:rFonts w:ascii="Arial" w:hAnsi="Arial" w:cs="Arial"/>
          <w:sz w:val="22"/>
          <w:szCs w:val="22"/>
          <w:lang w:val="it-IT"/>
        </w:rPr>
        <w:t>bligarea pârâtei Biodiesel S.R.L la plata către Conpet S.A. a sumei de 216.821,44 lei, reprezentând contravaloare chirie teren pentru perioada iunie 2009 – aprilie 2011;</w:t>
      </w:r>
    </w:p>
    <w:p w:rsidR="00022D5C" w:rsidRPr="00022D5C" w:rsidRDefault="008952C3" w:rsidP="00022D5C">
      <w:pPr>
        <w:jc w:val="both"/>
        <w:rPr>
          <w:rFonts w:ascii="Arial" w:hAnsi="Arial" w:cs="Arial"/>
          <w:sz w:val="22"/>
          <w:szCs w:val="22"/>
          <w:lang w:val="it-IT"/>
        </w:rPr>
      </w:pPr>
      <w:r>
        <w:rPr>
          <w:rFonts w:ascii="Arial" w:hAnsi="Arial" w:cs="Arial"/>
          <w:sz w:val="22"/>
          <w:szCs w:val="22"/>
          <w:lang w:val="it-IT"/>
        </w:rPr>
        <w:t>-  o</w:t>
      </w:r>
      <w:r w:rsidR="00022D5C" w:rsidRPr="00022D5C">
        <w:rPr>
          <w:rFonts w:ascii="Arial" w:hAnsi="Arial" w:cs="Arial"/>
          <w:sz w:val="22"/>
          <w:szCs w:val="22"/>
          <w:lang w:val="it-IT"/>
        </w:rPr>
        <w:t>bligarea pârâtei Biodiesel S.R.L  la plata către Conpet S.A. a penalităților de întârziere datorate de pârâtă în temeiul art. 11 din Contractul nr. ADM 89/27.04.2009 încheiat între părți ca urmare a neîndeplinirii de către pârâtă a obligației de plată a chiriei. Conpet solicită obligarea pârâtei la plata penalităților de întarziere datorate de la data scadenței până la data efectivă a plații (data îndeplinirii obligației de plată a contravalorii debitului principal reprezentând chirie datorată pe perioada mai 2009 – aprilie 2011). Precizăm că până la data de 11.11.2011 suma datorată de pârâtă cu titlu de penalități de întârziere este în cuantum de 30.653,77 lei;</w:t>
      </w:r>
    </w:p>
    <w:p w:rsidR="00022D5C" w:rsidRPr="00022D5C" w:rsidRDefault="00022D5C" w:rsidP="00022D5C">
      <w:pPr>
        <w:jc w:val="both"/>
        <w:rPr>
          <w:rFonts w:ascii="Arial" w:hAnsi="Arial" w:cs="Arial"/>
          <w:sz w:val="22"/>
          <w:szCs w:val="22"/>
          <w:lang w:val="it-IT"/>
        </w:rPr>
      </w:pPr>
      <w:r w:rsidRPr="00022D5C">
        <w:rPr>
          <w:rFonts w:ascii="Arial" w:hAnsi="Arial" w:cs="Arial"/>
          <w:sz w:val="22"/>
          <w:szCs w:val="22"/>
          <w:lang w:val="it-IT"/>
        </w:rPr>
        <w:t xml:space="preserve">-  </w:t>
      </w:r>
      <w:r w:rsidR="008952C3">
        <w:rPr>
          <w:rFonts w:ascii="Arial" w:hAnsi="Arial" w:cs="Arial"/>
          <w:sz w:val="22"/>
          <w:szCs w:val="22"/>
          <w:lang w:val="it-IT"/>
        </w:rPr>
        <w:t>o</w:t>
      </w:r>
      <w:r w:rsidRPr="00022D5C">
        <w:rPr>
          <w:rFonts w:ascii="Arial" w:hAnsi="Arial" w:cs="Arial"/>
          <w:sz w:val="22"/>
          <w:szCs w:val="22"/>
          <w:lang w:val="it-IT"/>
        </w:rPr>
        <w:t>bligarea pârâtei la plata de daune-interese pentru lipsa de folosință a terenului  de la data expirării contractului (28.04.2011) și până în prezent. La evaluarea daunelor-interese pentru lipsa de folosință am avut în vedere cuantumul chiriei convenită cu pârâta prin contractul de închiriere nr. ADM 89/27.04.2009;</w:t>
      </w:r>
    </w:p>
    <w:p w:rsidR="00022D5C" w:rsidRPr="00022D5C" w:rsidRDefault="008952C3" w:rsidP="00022D5C">
      <w:pPr>
        <w:jc w:val="both"/>
        <w:rPr>
          <w:rFonts w:ascii="Arial" w:hAnsi="Arial" w:cs="Arial"/>
          <w:sz w:val="22"/>
          <w:szCs w:val="22"/>
          <w:lang w:val="it-IT"/>
        </w:rPr>
      </w:pPr>
      <w:r>
        <w:rPr>
          <w:rFonts w:ascii="Arial" w:hAnsi="Arial" w:cs="Arial"/>
          <w:sz w:val="22"/>
          <w:szCs w:val="22"/>
        </w:rPr>
        <w:t>- o</w:t>
      </w:r>
      <w:r w:rsidR="00022D5C" w:rsidRPr="00022D5C">
        <w:rPr>
          <w:rFonts w:ascii="Arial" w:hAnsi="Arial" w:cs="Arial"/>
          <w:sz w:val="22"/>
          <w:szCs w:val="22"/>
        </w:rPr>
        <w:t xml:space="preserve">bligarea pârâtei </w:t>
      </w:r>
      <w:r w:rsidR="00022D5C" w:rsidRPr="00022D5C">
        <w:rPr>
          <w:rFonts w:ascii="Arial" w:hAnsi="Arial" w:cs="Arial"/>
          <w:sz w:val="22"/>
          <w:szCs w:val="22"/>
          <w:lang w:val="it-IT"/>
        </w:rPr>
        <w:t>Biodiesel S.R.L. la plata cheltuielilor de judecată pe care le vom avansa în prezenta cauză.</w:t>
      </w:r>
    </w:p>
    <w:p w:rsidR="00022D5C" w:rsidRPr="00022D5C" w:rsidRDefault="00022D5C" w:rsidP="00022D5C">
      <w:pPr>
        <w:jc w:val="both"/>
        <w:rPr>
          <w:rFonts w:ascii="Arial" w:hAnsi="Arial" w:cs="Arial"/>
          <w:sz w:val="22"/>
          <w:szCs w:val="22"/>
          <w:lang w:val="it-IT"/>
        </w:rPr>
      </w:pPr>
      <w:r w:rsidRPr="00022D5C">
        <w:rPr>
          <w:rFonts w:ascii="Arial" w:hAnsi="Arial" w:cs="Arial"/>
          <w:b/>
          <w:sz w:val="22"/>
          <w:szCs w:val="22"/>
          <w:lang w:val="it-IT"/>
        </w:rPr>
        <w:t>Precizări:</w:t>
      </w:r>
      <w:r w:rsidRPr="00022D5C">
        <w:rPr>
          <w:rFonts w:ascii="Arial" w:hAnsi="Arial" w:cs="Arial"/>
          <w:sz w:val="22"/>
          <w:szCs w:val="22"/>
          <w:lang w:val="it-IT"/>
        </w:rPr>
        <w:t xml:space="preserve"> Prin </w:t>
      </w:r>
      <w:r w:rsidRPr="00022D5C">
        <w:rPr>
          <w:rFonts w:ascii="Arial" w:hAnsi="Arial" w:cs="Arial"/>
          <w:b/>
          <w:sz w:val="22"/>
          <w:szCs w:val="22"/>
          <w:lang w:val="it-IT"/>
        </w:rPr>
        <w:t>sentința nr. 445/04.03.2015</w:t>
      </w:r>
      <w:r w:rsidRPr="00022D5C">
        <w:rPr>
          <w:rFonts w:ascii="Arial" w:hAnsi="Arial" w:cs="Arial"/>
          <w:sz w:val="22"/>
          <w:szCs w:val="22"/>
          <w:lang w:val="it-IT"/>
        </w:rPr>
        <w:t xml:space="preserve"> Judecătoria Moinești respinge excepţia de neexecutare a contractului. Admite în</w:t>
      </w:r>
      <w:r w:rsidR="00C60341">
        <w:rPr>
          <w:rFonts w:ascii="Arial" w:hAnsi="Arial" w:cs="Arial"/>
          <w:sz w:val="22"/>
          <w:szCs w:val="22"/>
          <w:lang w:val="it-IT"/>
        </w:rPr>
        <w:t xml:space="preserve"> </w:t>
      </w:r>
      <w:r w:rsidRPr="00022D5C">
        <w:rPr>
          <w:rFonts w:ascii="Arial" w:hAnsi="Arial" w:cs="Arial"/>
          <w:sz w:val="22"/>
          <w:szCs w:val="22"/>
          <w:lang w:val="it-IT"/>
        </w:rPr>
        <w:t>parte cererea formulată de reclamanta Conpet S</w:t>
      </w:r>
      <w:r w:rsidR="008952C3">
        <w:rPr>
          <w:rFonts w:ascii="Arial" w:hAnsi="Arial" w:cs="Arial"/>
          <w:sz w:val="22"/>
          <w:szCs w:val="22"/>
          <w:lang w:val="it-IT"/>
        </w:rPr>
        <w:t>.</w:t>
      </w:r>
      <w:r w:rsidRPr="00022D5C">
        <w:rPr>
          <w:rFonts w:ascii="Arial" w:hAnsi="Arial" w:cs="Arial"/>
          <w:sz w:val="22"/>
          <w:szCs w:val="22"/>
          <w:lang w:val="it-IT"/>
        </w:rPr>
        <w:t>A</w:t>
      </w:r>
      <w:r w:rsidR="008952C3">
        <w:rPr>
          <w:rFonts w:ascii="Arial" w:hAnsi="Arial" w:cs="Arial"/>
          <w:sz w:val="22"/>
          <w:szCs w:val="22"/>
          <w:lang w:val="it-IT"/>
        </w:rPr>
        <w:t>.</w:t>
      </w:r>
      <w:r w:rsidRPr="00022D5C">
        <w:rPr>
          <w:rFonts w:ascii="Arial" w:hAnsi="Arial" w:cs="Arial"/>
          <w:sz w:val="22"/>
          <w:szCs w:val="22"/>
          <w:lang w:val="it-IT"/>
        </w:rPr>
        <w:t xml:space="preserve"> </w:t>
      </w:r>
      <w:r w:rsidR="008952C3">
        <w:rPr>
          <w:rFonts w:ascii="Arial" w:hAnsi="Arial" w:cs="Arial"/>
          <w:sz w:val="22"/>
          <w:szCs w:val="22"/>
          <w:lang w:val="it-IT"/>
        </w:rPr>
        <w:t>Ploieşti în contradictoriu cu pârâ</w:t>
      </w:r>
      <w:r w:rsidRPr="00022D5C">
        <w:rPr>
          <w:rFonts w:ascii="Arial" w:hAnsi="Arial" w:cs="Arial"/>
          <w:sz w:val="22"/>
          <w:szCs w:val="22"/>
          <w:lang w:val="it-IT"/>
        </w:rPr>
        <w:t>ta Biodiesel SRL. Obligă pârâta către reclamantă la plata sumei de 191.554,60 lei reprezentând contravaloare chirie. Obligă pârâta către reclamantă la plata sumei de 106.026,58 lei reprezentând contravaloare penalităţi de întârziere, c</w:t>
      </w:r>
      <w:r w:rsidR="008952C3">
        <w:rPr>
          <w:rFonts w:ascii="Arial" w:hAnsi="Arial" w:cs="Arial"/>
          <w:sz w:val="22"/>
          <w:szCs w:val="22"/>
          <w:lang w:val="it-IT"/>
        </w:rPr>
        <w:t>e vor fi datorate în continuare</w:t>
      </w:r>
      <w:r w:rsidRPr="00022D5C">
        <w:rPr>
          <w:rFonts w:ascii="Arial" w:hAnsi="Arial" w:cs="Arial"/>
          <w:sz w:val="22"/>
          <w:szCs w:val="22"/>
          <w:lang w:val="it-IT"/>
        </w:rPr>
        <w:t xml:space="preserve">, începând cu data de 20.11.2014 până la data plăţii efective a contravalorii chiriei. Respinge capătul de cerere </w:t>
      </w:r>
      <w:r w:rsidR="00AC3B46">
        <w:rPr>
          <w:rFonts w:ascii="Arial" w:hAnsi="Arial" w:cs="Arial"/>
          <w:sz w:val="22"/>
          <w:szCs w:val="22"/>
          <w:lang w:val="it-IT"/>
        </w:rPr>
        <w:t>privind daunele-interese. Obligă pâ</w:t>
      </w:r>
      <w:r w:rsidRPr="00022D5C">
        <w:rPr>
          <w:rFonts w:ascii="Arial" w:hAnsi="Arial" w:cs="Arial"/>
          <w:sz w:val="22"/>
          <w:szCs w:val="22"/>
          <w:lang w:val="it-IT"/>
        </w:rPr>
        <w:t>r</w:t>
      </w:r>
      <w:r w:rsidR="00AC3B46">
        <w:rPr>
          <w:rFonts w:ascii="Arial" w:hAnsi="Arial" w:cs="Arial"/>
          <w:sz w:val="22"/>
          <w:szCs w:val="22"/>
          <w:lang w:val="it-IT"/>
        </w:rPr>
        <w:t>âta către reclamantă</w:t>
      </w:r>
      <w:r w:rsidRPr="00022D5C">
        <w:rPr>
          <w:rFonts w:ascii="Arial" w:hAnsi="Arial" w:cs="Arial"/>
          <w:sz w:val="22"/>
          <w:szCs w:val="22"/>
          <w:lang w:val="it-IT"/>
        </w:rPr>
        <w:t xml:space="preserve"> la plata s</w:t>
      </w:r>
      <w:r w:rsidR="00AC3B46">
        <w:rPr>
          <w:rFonts w:ascii="Arial" w:hAnsi="Arial" w:cs="Arial"/>
          <w:sz w:val="22"/>
          <w:szCs w:val="22"/>
          <w:lang w:val="it-IT"/>
        </w:rPr>
        <w:t>umei de 10.599,31 lei reprezentând taxa judiciară de timbru în măsura admiterii acțiunii ș</w:t>
      </w:r>
      <w:r w:rsidRPr="00022D5C">
        <w:rPr>
          <w:rFonts w:ascii="Arial" w:hAnsi="Arial" w:cs="Arial"/>
          <w:sz w:val="22"/>
          <w:szCs w:val="22"/>
          <w:lang w:val="it-IT"/>
        </w:rPr>
        <w:t xml:space="preserve">i onorariu expert. Hotărârea a fost atacată cu apel de Conpet și Biodiesel. </w:t>
      </w:r>
    </w:p>
    <w:p w:rsidR="00022D5C" w:rsidRPr="00022D5C" w:rsidRDefault="00022D5C" w:rsidP="00022D5C">
      <w:pPr>
        <w:jc w:val="both"/>
        <w:rPr>
          <w:rFonts w:ascii="Arial" w:hAnsi="Arial" w:cs="Arial"/>
          <w:b/>
          <w:sz w:val="22"/>
          <w:szCs w:val="22"/>
          <w:lang w:val="pt-BR"/>
        </w:rPr>
      </w:pPr>
      <w:r w:rsidRPr="00022D5C">
        <w:rPr>
          <w:rFonts w:ascii="Arial" w:hAnsi="Arial" w:cs="Arial"/>
          <w:sz w:val="22"/>
          <w:szCs w:val="22"/>
          <w:lang w:val="pt-BR"/>
        </w:rPr>
        <w:t xml:space="preserve">Prin </w:t>
      </w:r>
      <w:r w:rsidRPr="00022D5C">
        <w:rPr>
          <w:rFonts w:ascii="Arial" w:hAnsi="Arial" w:cs="Arial"/>
          <w:b/>
          <w:sz w:val="22"/>
          <w:szCs w:val="22"/>
          <w:lang w:val="pt-BR"/>
        </w:rPr>
        <w:t>Încheierea din 08.03.2016</w:t>
      </w:r>
      <w:r w:rsidRPr="00022D5C">
        <w:rPr>
          <w:rFonts w:ascii="Arial" w:hAnsi="Arial" w:cs="Arial"/>
          <w:sz w:val="22"/>
          <w:szCs w:val="22"/>
          <w:lang w:val="pt-BR"/>
        </w:rPr>
        <w:t xml:space="preserve"> Tribunalul Bacău d</w:t>
      </w:r>
      <w:r w:rsidRPr="00022D5C">
        <w:rPr>
          <w:rFonts w:ascii="Arial" w:hAnsi="Arial" w:cs="Arial"/>
          <w:sz w:val="22"/>
          <w:szCs w:val="22"/>
        </w:rPr>
        <w:t>ispune suspendarea judecării apelului în conformitate cu art. 244(1)1 Cod Procedură civilă (vechi), până la soluţionarea definitivă a dosarului nr. 5119/260/2014. Conpet a formulat recurs împotriva încheierii de suspendare. Acesta se va judeca la Curtea de Apel Bacău. Prin hotărârea din 07.09.2016 recursul a fost respins.</w:t>
      </w:r>
    </w:p>
    <w:p w:rsidR="00022D5C" w:rsidRPr="00022D5C" w:rsidRDefault="00022D5C" w:rsidP="00022D5C">
      <w:pPr>
        <w:jc w:val="both"/>
        <w:rPr>
          <w:rFonts w:ascii="Arial" w:hAnsi="Arial" w:cs="Arial"/>
          <w:b/>
          <w:sz w:val="22"/>
          <w:szCs w:val="22"/>
          <w:lang w:val="pt-BR"/>
        </w:rPr>
      </w:pPr>
      <w:r w:rsidRPr="00022D5C">
        <w:rPr>
          <w:rFonts w:ascii="Arial" w:hAnsi="Arial" w:cs="Arial"/>
          <w:b/>
          <w:sz w:val="22"/>
          <w:szCs w:val="22"/>
          <w:lang w:val="pt-BR"/>
        </w:rPr>
        <w:t>Stadiu procesual:</w:t>
      </w:r>
      <w:r w:rsidRPr="00022D5C">
        <w:rPr>
          <w:rFonts w:ascii="Arial" w:hAnsi="Arial" w:cs="Arial"/>
          <w:sz w:val="22"/>
          <w:szCs w:val="22"/>
          <w:lang w:val="pt-BR"/>
        </w:rPr>
        <w:t xml:space="preserve"> Apel – </w:t>
      </w:r>
      <w:r w:rsidRPr="00022D5C">
        <w:rPr>
          <w:rFonts w:ascii="Arial" w:hAnsi="Arial" w:cs="Arial"/>
          <w:b/>
          <w:sz w:val="22"/>
          <w:szCs w:val="22"/>
          <w:lang w:val="pt-BR"/>
        </w:rPr>
        <w:t>Suspendat</w:t>
      </w:r>
    </w:p>
    <w:p w:rsidR="00022D5C" w:rsidRPr="00022D5C" w:rsidRDefault="00022D5C" w:rsidP="00022D5C">
      <w:pPr>
        <w:jc w:val="both"/>
        <w:rPr>
          <w:rFonts w:ascii="Arial" w:hAnsi="Arial" w:cs="Arial"/>
          <w:b/>
          <w:sz w:val="22"/>
          <w:szCs w:val="22"/>
        </w:rPr>
      </w:pPr>
      <w:r w:rsidRPr="00022D5C">
        <w:rPr>
          <w:rFonts w:ascii="Arial" w:hAnsi="Arial" w:cs="Arial"/>
          <w:b/>
          <w:sz w:val="22"/>
          <w:szCs w:val="22"/>
          <w:lang w:val="pt-BR"/>
        </w:rPr>
        <w:t>Termen: --</w:t>
      </w:r>
    </w:p>
    <w:p w:rsidR="00022D5C" w:rsidRPr="00022D5C" w:rsidRDefault="00022D5C" w:rsidP="00022D5C">
      <w:pPr>
        <w:jc w:val="both"/>
        <w:rPr>
          <w:rFonts w:ascii="Arial" w:hAnsi="Arial" w:cs="Arial"/>
          <w:b/>
          <w:sz w:val="22"/>
          <w:szCs w:val="22"/>
          <w:lang w:val="pt-BR"/>
        </w:rPr>
      </w:pPr>
    </w:p>
    <w:p w:rsidR="00022D5C" w:rsidRPr="00022D5C" w:rsidRDefault="00022D5C" w:rsidP="00022D5C">
      <w:pPr>
        <w:jc w:val="both"/>
        <w:rPr>
          <w:rFonts w:ascii="Arial" w:hAnsi="Arial" w:cs="Arial"/>
          <w:b/>
          <w:sz w:val="22"/>
          <w:szCs w:val="22"/>
          <w:lang w:val="pt-BR"/>
        </w:rPr>
      </w:pPr>
      <w:r w:rsidRPr="00022D5C">
        <w:rPr>
          <w:rFonts w:ascii="Arial" w:hAnsi="Arial" w:cs="Arial"/>
          <w:b/>
          <w:sz w:val="22"/>
          <w:szCs w:val="22"/>
          <w:lang w:val="pt-BR"/>
        </w:rPr>
        <w:t xml:space="preserve">2. Dosar nr. 19024/281/2009 - Judecătoria Ploiești </w:t>
      </w:r>
    </w:p>
    <w:p w:rsidR="00022D5C" w:rsidRPr="00022D5C" w:rsidRDefault="00022D5C" w:rsidP="00022D5C">
      <w:pPr>
        <w:jc w:val="both"/>
        <w:rPr>
          <w:rFonts w:ascii="Arial" w:hAnsi="Arial" w:cs="Arial"/>
          <w:sz w:val="22"/>
          <w:szCs w:val="22"/>
          <w:lang w:val="pt-BR"/>
        </w:rPr>
      </w:pPr>
      <w:r w:rsidRPr="00022D5C">
        <w:rPr>
          <w:rFonts w:ascii="Arial" w:hAnsi="Arial" w:cs="Arial"/>
          <w:b/>
          <w:sz w:val="22"/>
          <w:szCs w:val="22"/>
          <w:lang w:val="pt-BR"/>
        </w:rPr>
        <w:t>Părți:</w:t>
      </w:r>
      <w:r w:rsidRPr="00022D5C">
        <w:rPr>
          <w:rFonts w:ascii="Arial" w:hAnsi="Arial" w:cs="Arial"/>
          <w:sz w:val="22"/>
          <w:szCs w:val="22"/>
          <w:lang w:val="pt-BR"/>
        </w:rPr>
        <w:t xml:space="preserve"> Conpet S.A. - reclamant </w:t>
      </w:r>
    </w:p>
    <w:p w:rsidR="00022D5C" w:rsidRPr="00022D5C" w:rsidRDefault="00022D5C" w:rsidP="00022D5C">
      <w:pPr>
        <w:jc w:val="both"/>
        <w:rPr>
          <w:rFonts w:ascii="Arial" w:hAnsi="Arial" w:cs="Arial"/>
          <w:sz w:val="22"/>
          <w:szCs w:val="22"/>
          <w:lang w:val="pt-BR"/>
        </w:rPr>
      </w:pPr>
      <w:r w:rsidRPr="00022D5C">
        <w:rPr>
          <w:rFonts w:ascii="Arial" w:hAnsi="Arial" w:cs="Arial"/>
          <w:sz w:val="22"/>
          <w:szCs w:val="22"/>
          <w:lang w:val="pt-BR"/>
        </w:rPr>
        <w:t xml:space="preserve">           Compania de Transport Feroviar S.A. Ploiești - pârât</w:t>
      </w:r>
    </w:p>
    <w:p w:rsidR="00022D5C" w:rsidRPr="00022D5C" w:rsidRDefault="00022D5C" w:rsidP="00022D5C">
      <w:pPr>
        <w:jc w:val="both"/>
        <w:rPr>
          <w:rFonts w:ascii="Arial" w:hAnsi="Arial" w:cs="Arial"/>
          <w:sz w:val="22"/>
          <w:szCs w:val="22"/>
          <w:lang w:val="pt-BR"/>
        </w:rPr>
      </w:pPr>
      <w:r w:rsidRPr="00022D5C">
        <w:rPr>
          <w:rFonts w:ascii="Arial" w:hAnsi="Arial" w:cs="Arial"/>
          <w:b/>
          <w:sz w:val="22"/>
          <w:szCs w:val="22"/>
          <w:lang w:val="pt-BR"/>
        </w:rPr>
        <w:t>Obiect:</w:t>
      </w:r>
      <w:r w:rsidRPr="00022D5C">
        <w:rPr>
          <w:rFonts w:ascii="Arial" w:hAnsi="Arial" w:cs="Arial"/>
          <w:sz w:val="22"/>
          <w:szCs w:val="22"/>
          <w:lang w:val="pt-BR"/>
        </w:rPr>
        <w:t xml:space="preserve"> Conpet formulează cerere de chemare în judecată solicitând obligarea pârâtei la plata sumei de 50.511,6 lei reprezentând diferența de plată din contravaloarea reparației motorului locomotivei LDH 70-675 în sumă de 60.381,60 lei, precum și a cheltuielilor de judecată.</w:t>
      </w:r>
    </w:p>
    <w:p w:rsidR="00022D5C" w:rsidRPr="00022D5C" w:rsidRDefault="00022D5C" w:rsidP="00022D5C">
      <w:pPr>
        <w:jc w:val="both"/>
        <w:rPr>
          <w:rFonts w:ascii="Arial" w:hAnsi="Arial" w:cs="Arial"/>
          <w:sz w:val="22"/>
          <w:szCs w:val="22"/>
          <w:lang w:val="pt-BR"/>
        </w:rPr>
      </w:pPr>
      <w:r w:rsidRPr="00022D5C">
        <w:rPr>
          <w:rFonts w:ascii="Arial" w:hAnsi="Arial" w:cs="Arial"/>
          <w:b/>
          <w:sz w:val="22"/>
          <w:szCs w:val="22"/>
          <w:lang w:val="pt-BR"/>
        </w:rPr>
        <w:t>Precizări:</w:t>
      </w:r>
      <w:r w:rsidRPr="00022D5C">
        <w:rPr>
          <w:rFonts w:ascii="Arial" w:hAnsi="Arial" w:cs="Arial"/>
          <w:sz w:val="22"/>
          <w:szCs w:val="22"/>
          <w:lang w:val="pt-BR"/>
        </w:rPr>
        <w:t xml:space="preserve"> Prin încheierea din data de 02.09.2011 instanța a </w:t>
      </w:r>
      <w:r w:rsidRPr="00022D5C">
        <w:rPr>
          <w:rFonts w:ascii="Arial" w:hAnsi="Arial" w:cs="Arial"/>
          <w:b/>
          <w:sz w:val="22"/>
          <w:szCs w:val="22"/>
          <w:lang w:val="pt-BR"/>
        </w:rPr>
        <w:t>suspendat</w:t>
      </w:r>
      <w:r w:rsidRPr="00022D5C">
        <w:rPr>
          <w:rFonts w:ascii="Arial" w:hAnsi="Arial" w:cs="Arial"/>
          <w:sz w:val="22"/>
          <w:szCs w:val="22"/>
          <w:lang w:val="pt-BR"/>
        </w:rPr>
        <w:t xml:space="preserve"> cauza în temeiul art. 36 din Legea 85/2006.</w:t>
      </w:r>
    </w:p>
    <w:p w:rsidR="00022D5C" w:rsidRPr="00022D5C" w:rsidRDefault="00022D5C" w:rsidP="00022D5C">
      <w:pPr>
        <w:jc w:val="both"/>
        <w:rPr>
          <w:rFonts w:ascii="Arial" w:hAnsi="Arial" w:cs="Arial"/>
          <w:sz w:val="22"/>
          <w:szCs w:val="22"/>
          <w:lang w:val="pt-BR"/>
        </w:rPr>
      </w:pPr>
      <w:r w:rsidRPr="00022D5C">
        <w:rPr>
          <w:rFonts w:ascii="Arial" w:hAnsi="Arial" w:cs="Arial"/>
          <w:b/>
          <w:sz w:val="22"/>
          <w:szCs w:val="22"/>
          <w:lang w:val="pt-BR"/>
        </w:rPr>
        <w:t>Stadiu procesual:</w:t>
      </w:r>
      <w:r w:rsidRPr="00022D5C">
        <w:rPr>
          <w:rFonts w:ascii="Arial" w:hAnsi="Arial" w:cs="Arial"/>
          <w:sz w:val="22"/>
          <w:szCs w:val="22"/>
          <w:lang w:val="pt-BR"/>
        </w:rPr>
        <w:t xml:space="preserve"> Fond</w:t>
      </w:r>
    </w:p>
    <w:p w:rsidR="00022D5C" w:rsidRPr="00022D5C" w:rsidRDefault="00022D5C" w:rsidP="00022D5C">
      <w:pPr>
        <w:jc w:val="both"/>
        <w:rPr>
          <w:rFonts w:ascii="Arial" w:hAnsi="Arial" w:cs="Arial"/>
          <w:sz w:val="22"/>
          <w:szCs w:val="22"/>
          <w:lang w:val="pt-BR"/>
        </w:rPr>
      </w:pPr>
      <w:r w:rsidRPr="00022D5C">
        <w:rPr>
          <w:rFonts w:ascii="Arial" w:hAnsi="Arial" w:cs="Arial"/>
          <w:b/>
          <w:sz w:val="22"/>
          <w:szCs w:val="22"/>
          <w:lang w:val="pt-BR"/>
        </w:rPr>
        <w:t>Termen:</w:t>
      </w:r>
      <w:r w:rsidRPr="00022D5C">
        <w:rPr>
          <w:rFonts w:ascii="Arial" w:hAnsi="Arial" w:cs="Arial"/>
          <w:sz w:val="22"/>
          <w:szCs w:val="22"/>
          <w:lang w:val="pt-BR"/>
        </w:rPr>
        <w:t xml:space="preserve"> --</w:t>
      </w:r>
    </w:p>
    <w:p w:rsidR="00022D5C" w:rsidRDefault="00022D5C" w:rsidP="00022D5C">
      <w:pPr>
        <w:jc w:val="both"/>
        <w:rPr>
          <w:rFonts w:ascii="Arial" w:hAnsi="Arial" w:cs="Arial"/>
          <w:sz w:val="22"/>
          <w:szCs w:val="22"/>
          <w:lang w:val="pt-BR"/>
        </w:rPr>
      </w:pPr>
    </w:p>
    <w:p w:rsidR="009834AC" w:rsidRPr="00022D5C" w:rsidRDefault="009834AC" w:rsidP="00022D5C">
      <w:pPr>
        <w:jc w:val="both"/>
        <w:rPr>
          <w:rFonts w:ascii="Arial" w:hAnsi="Arial" w:cs="Arial"/>
          <w:sz w:val="22"/>
          <w:szCs w:val="22"/>
          <w:lang w:val="pt-BR"/>
        </w:rPr>
      </w:pPr>
    </w:p>
    <w:p w:rsidR="00022D5C" w:rsidRPr="00022D5C" w:rsidRDefault="00022D5C" w:rsidP="00022D5C">
      <w:pPr>
        <w:jc w:val="both"/>
        <w:rPr>
          <w:rFonts w:ascii="Arial" w:hAnsi="Arial" w:cs="Arial"/>
          <w:sz w:val="22"/>
          <w:szCs w:val="22"/>
          <w:lang w:val="pt-BR"/>
        </w:rPr>
      </w:pPr>
    </w:p>
    <w:p w:rsidR="00022D5C" w:rsidRPr="00022D5C" w:rsidRDefault="00022D5C" w:rsidP="00022D5C">
      <w:pPr>
        <w:jc w:val="both"/>
        <w:rPr>
          <w:rFonts w:ascii="Arial" w:hAnsi="Arial" w:cs="Arial"/>
          <w:b/>
          <w:sz w:val="22"/>
          <w:szCs w:val="22"/>
          <w:lang w:val="it-IT"/>
        </w:rPr>
      </w:pPr>
      <w:r w:rsidRPr="00022D5C">
        <w:rPr>
          <w:rFonts w:ascii="Arial" w:hAnsi="Arial" w:cs="Arial"/>
          <w:b/>
          <w:sz w:val="22"/>
          <w:szCs w:val="22"/>
          <w:lang w:val="it-IT"/>
        </w:rPr>
        <w:t xml:space="preserve">3. Dosar nr. 6179/105/2009 -  Tribunalul Prahova </w:t>
      </w:r>
    </w:p>
    <w:p w:rsidR="00022D5C" w:rsidRPr="00022D5C" w:rsidRDefault="00022D5C" w:rsidP="00022D5C">
      <w:pPr>
        <w:jc w:val="both"/>
        <w:rPr>
          <w:rFonts w:ascii="Arial" w:hAnsi="Arial" w:cs="Arial"/>
          <w:sz w:val="22"/>
          <w:szCs w:val="22"/>
          <w:lang w:val="it-IT"/>
        </w:rPr>
      </w:pPr>
      <w:r w:rsidRPr="00022D5C">
        <w:rPr>
          <w:rFonts w:ascii="Arial" w:hAnsi="Arial" w:cs="Arial"/>
          <w:b/>
          <w:sz w:val="22"/>
          <w:szCs w:val="22"/>
          <w:lang w:val="it-IT"/>
        </w:rPr>
        <w:t>Parti:</w:t>
      </w:r>
      <w:r w:rsidRPr="00022D5C">
        <w:rPr>
          <w:rFonts w:ascii="Arial" w:hAnsi="Arial" w:cs="Arial"/>
          <w:sz w:val="22"/>
          <w:szCs w:val="22"/>
          <w:lang w:val="it-IT"/>
        </w:rPr>
        <w:t xml:space="preserve">  Conpet S.A. - creditor</w:t>
      </w:r>
    </w:p>
    <w:p w:rsidR="00022D5C" w:rsidRPr="00022D5C" w:rsidRDefault="00022D5C" w:rsidP="00022D5C">
      <w:pPr>
        <w:jc w:val="both"/>
        <w:rPr>
          <w:rFonts w:ascii="Arial" w:hAnsi="Arial" w:cs="Arial"/>
          <w:sz w:val="22"/>
          <w:szCs w:val="22"/>
          <w:lang w:val="it-IT"/>
        </w:rPr>
      </w:pPr>
      <w:r w:rsidRPr="00022D5C">
        <w:rPr>
          <w:rFonts w:ascii="Arial" w:hAnsi="Arial" w:cs="Arial"/>
          <w:sz w:val="22"/>
          <w:szCs w:val="22"/>
          <w:lang w:val="it-IT"/>
        </w:rPr>
        <w:t xml:space="preserve">      Petroconduct S.A. – debitor</w:t>
      </w:r>
    </w:p>
    <w:p w:rsidR="00022D5C" w:rsidRPr="00022D5C" w:rsidRDefault="00022D5C" w:rsidP="00022D5C">
      <w:pPr>
        <w:jc w:val="both"/>
        <w:rPr>
          <w:rFonts w:ascii="Arial" w:hAnsi="Arial" w:cs="Arial"/>
          <w:sz w:val="22"/>
          <w:szCs w:val="22"/>
          <w:lang w:val="it-IT"/>
        </w:rPr>
      </w:pPr>
      <w:r w:rsidRPr="00022D5C">
        <w:rPr>
          <w:rFonts w:ascii="Arial" w:hAnsi="Arial" w:cs="Arial"/>
          <w:b/>
          <w:sz w:val="22"/>
          <w:szCs w:val="22"/>
          <w:lang w:val="it-IT"/>
        </w:rPr>
        <w:t>Obiect:</w:t>
      </w:r>
      <w:r w:rsidRPr="00022D5C">
        <w:rPr>
          <w:rFonts w:ascii="Arial" w:hAnsi="Arial" w:cs="Arial"/>
          <w:sz w:val="22"/>
          <w:szCs w:val="22"/>
          <w:lang w:val="it-IT"/>
        </w:rPr>
        <w:t xml:space="preserve"> </w:t>
      </w:r>
      <w:r w:rsidRPr="00022D5C">
        <w:rPr>
          <w:rFonts w:ascii="Arial" w:hAnsi="Arial" w:cs="Arial"/>
          <w:b/>
          <w:sz w:val="22"/>
          <w:szCs w:val="22"/>
          <w:lang w:val="it-IT"/>
        </w:rPr>
        <w:t>Faliment.</w:t>
      </w:r>
      <w:r w:rsidRPr="00022D5C">
        <w:rPr>
          <w:rFonts w:ascii="Arial" w:hAnsi="Arial" w:cs="Arial"/>
          <w:sz w:val="22"/>
          <w:szCs w:val="22"/>
          <w:lang w:val="it-IT"/>
        </w:rPr>
        <w:t xml:space="preserve"> Conpe</w:t>
      </w:r>
      <w:r w:rsidR="00AC3B46">
        <w:rPr>
          <w:rFonts w:ascii="Arial" w:hAnsi="Arial" w:cs="Arial"/>
          <w:sz w:val="22"/>
          <w:szCs w:val="22"/>
          <w:lang w:val="it-IT"/>
        </w:rPr>
        <w:t>t S.A. prin Declarația de creanț</w:t>
      </w:r>
      <w:r w:rsidRPr="00022D5C">
        <w:rPr>
          <w:rFonts w:ascii="Arial" w:hAnsi="Arial" w:cs="Arial"/>
          <w:sz w:val="22"/>
          <w:szCs w:val="22"/>
          <w:lang w:val="it-IT"/>
        </w:rPr>
        <w:t>ă nr. 5949/23.02.2010 a solicitat înscrierea la masa credală cu suma de 202.890,47 lei reprezentând penalități pentru neexecutarea la termen a obligațiilor asumate prin contractul nr. L45/18.03.2004 și MST9/09.06.2004, contravaloare material tubula</w:t>
      </w:r>
      <w:r w:rsidR="00AC3B46">
        <w:rPr>
          <w:rFonts w:ascii="Arial" w:hAnsi="Arial" w:cs="Arial"/>
          <w:sz w:val="22"/>
          <w:szCs w:val="22"/>
          <w:lang w:val="it-IT"/>
        </w:rPr>
        <w:t>r, cheltuieli de transport, încă</w:t>
      </w:r>
      <w:r w:rsidRPr="00022D5C">
        <w:rPr>
          <w:rFonts w:ascii="Arial" w:hAnsi="Arial" w:cs="Arial"/>
          <w:sz w:val="22"/>
          <w:szCs w:val="22"/>
          <w:lang w:val="it-IT"/>
        </w:rPr>
        <w:t>rcat, desc</w:t>
      </w:r>
      <w:r w:rsidR="00AC3B46">
        <w:rPr>
          <w:rFonts w:ascii="Arial" w:hAnsi="Arial" w:cs="Arial"/>
          <w:sz w:val="22"/>
          <w:szCs w:val="22"/>
          <w:lang w:val="it-IT"/>
        </w:rPr>
        <w:t>ă</w:t>
      </w:r>
      <w:r w:rsidRPr="00022D5C">
        <w:rPr>
          <w:rFonts w:ascii="Arial" w:hAnsi="Arial" w:cs="Arial"/>
          <w:sz w:val="22"/>
          <w:szCs w:val="22"/>
          <w:lang w:val="it-IT"/>
        </w:rPr>
        <w:t>rcat material tubular, cheltuieli de judecată. Conpet S</w:t>
      </w:r>
      <w:r w:rsidR="00AC3B46">
        <w:rPr>
          <w:rFonts w:ascii="Arial" w:hAnsi="Arial" w:cs="Arial"/>
          <w:sz w:val="22"/>
          <w:szCs w:val="22"/>
          <w:lang w:val="it-IT"/>
        </w:rPr>
        <w:t>.</w:t>
      </w:r>
      <w:r w:rsidRPr="00022D5C">
        <w:rPr>
          <w:rFonts w:ascii="Arial" w:hAnsi="Arial" w:cs="Arial"/>
          <w:sz w:val="22"/>
          <w:szCs w:val="22"/>
          <w:lang w:val="it-IT"/>
        </w:rPr>
        <w:t>A</w:t>
      </w:r>
      <w:r w:rsidR="00AC3B46">
        <w:rPr>
          <w:rFonts w:ascii="Arial" w:hAnsi="Arial" w:cs="Arial"/>
          <w:sz w:val="22"/>
          <w:szCs w:val="22"/>
          <w:lang w:val="it-IT"/>
        </w:rPr>
        <w:t>.</w:t>
      </w:r>
      <w:r w:rsidRPr="00022D5C">
        <w:rPr>
          <w:rFonts w:ascii="Arial" w:hAnsi="Arial" w:cs="Arial"/>
          <w:sz w:val="22"/>
          <w:szCs w:val="22"/>
          <w:lang w:val="it-IT"/>
        </w:rPr>
        <w:t xml:space="preserve"> a fost înscrisă pe tabelul creditorilor al debitoarei S.C. Petroconduct S.A. cu suma de 62.739,06 lei.</w:t>
      </w:r>
    </w:p>
    <w:p w:rsidR="00022D5C" w:rsidRPr="00022D5C" w:rsidRDefault="00022D5C" w:rsidP="00022D5C">
      <w:pPr>
        <w:jc w:val="both"/>
        <w:rPr>
          <w:rFonts w:ascii="Arial" w:hAnsi="Arial" w:cs="Arial"/>
          <w:sz w:val="22"/>
          <w:szCs w:val="22"/>
          <w:lang w:val="it-IT"/>
        </w:rPr>
      </w:pPr>
      <w:r w:rsidRPr="00022D5C">
        <w:rPr>
          <w:rFonts w:ascii="Arial" w:hAnsi="Arial" w:cs="Arial"/>
          <w:b/>
          <w:sz w:val="22"/>
          <w:szCs w:val="22"/>
          <w:lang w:val="it-IT"/>
        </w:rPr>
        <w:t>Precizări:</w:t>
      </w:r>
      <w:r w:rsidRPr="00022D5C">
        <w:rPr>
          <w:rFonts w:ascii="Arial" w:hAnsi="Arial" w:cs="Arial"/>
          <w:sz w:val="22"/>
          <w:szCs w:val="22"/>
          <w:lang w:val="it-IT"/>
        </w:rPr>
        <w:t xml:space="preserve"> Lichidatorul judiciar al debitoarei a înscris societatea pe tabelul preliminar al debitoarei numai cu o parte din creanța pretinsă de Conpet, respectiv 62.739,06 lei din totalul creanței în sumă de 216.412,56 lei, deși societatea noastră a formulat toate căile de atac pe care le-a avut la dispoziție . </w:t>
      </w:r>
    </w:p>
    <w:p w:rsidR="00022D5C" w:rsidRPr="00022D5C" w:rsidRDefault="00022D5C" w:rsidP="00022D5C">
      <w:pPr>
        <w:jc w:val="both"/>
        <w:rPr>
          <w:rFonts w:ascii="Arial" w:hAnsi="Arial" w:cs="Arial"/>
          <w:sz w:val="22"/>
          <w:szCs w:val="22"/>
          <w:lang w:val="it-IT"/>
        </w:rPr>
      </w:pPr>
      <w:r w:rsidRPr="00022D5C">
        <w:rPr>
          <w:rFonts w:ascii="Arial" w:hAnsi="Arial" w:cs="Arial"/>
          <w:b/>
          <w:sz w:val="22"/>
          <w:szCs w:val="22"/>
          <w:lang w:val="it-IT"/>
        </w:rPr>
        <w:t>Termen:</w:t>
      </w:r>
      <w:r w:rsidRPr="00022D5C">
        <w:rPr>
          <w:rFonts w:ascii="Arial" w:hAnsi="Arial" w:cs="Arial"/>
          <w:sz w:val="22"/>
          <w:szCs w:val="22"/>
          <w:lang w:val="it-IT"/>
        </w:rPr>
        <w:t xml:space="preserve"> 10.10.2018</w:t>
      </w:r>
    </w:p>
    <w:p w:rsidR="00022D5C" w:rsidRPr="00022D5C" w:rsidRDefault="00022D5C" w:rsidP="00022D5C">
      <w:pPr>
        <w:jc w:val="both"/>
        <w:rPr>
          <w:rFonts w:ascii="Arial" w:hAnsi="Arial" w:cs="Arial"/>
          <w:sz w:val="22"/>
          <w:szCs w:val="22"/>
          <w:lang w:val="it-IT"/>
        </w:rPr>
      </w:pPr>
    </w:p>
    <w:p w:rsidR="00022D5C" w:rsidRPr="00022D5C" w:rsidRDefault="00022D5C" w:rsidP="00022D5C">
      <w:pPr>
        <w:jc w:val="both"/>
        <w:rPr>
          <w:rFonts w:ascii="Arial" w:hAnsi="Arial" w:cs="Arial"/>
          <w:b/>
          <w:bCs/>
          <w:sz w:val="22"/>
          <w:szCs w:val="22"/>
          <w:lang w:val="it-IT"/>
        </w:rPr>
      </w:pPr>
      <w:r w:rsidRPr="00022D5C">
        <w:rPr>
          <w:rFonts w:ascii="Arial" w:hAnsi="Arial" w:cs="Arial"/>
          <w:b/>
          <w:sz w:val="22"/>
          <w:szCs w:val="22"/>
          <w:lang w:val="it-IT"/>
        </w:rPr>
        <w:t>4</w:t>
      </w:r>
      <w:r w:rsidRPr="00022D5C">
        <w:rPr>
          <w:rFonts w:ascii="Arial" w:hAnsi="Arial" w:cs="Arial"/>
          <w:b/>
          <w:bCs/>
          <w:sz w:val="22"/>
          <w:szCs w:val="22"/>
          <w:lang w:val="it-IT"/>
        </w:rPr>
        <w:t xml:space="preserve">. Dosar nr. 2811/105/2010* – Curtea de Apel Ploiesti </w:t>
      </w:r>
    </w:p>
    <w:p w:rsidR="00022D5C" w:rsidRPr="00022D5C" w:rsidRDefault="00022D5C" w:rsidP="00022D5C">
      <w:pPr>
        <w:jc w:val="both"/>
        <w:rPr>
          <w:rFonts w:ascii="Arial" w:hAnsi="Arial" w:cs="Arial"/>
          <w:bCs/>
          <w:sz w:val="22"/>
          <w:szCs w:val="22"/>
          <w:lang w:val="it-IT"/>
        </w:rPr>
      </w:pPr>
      <w:r w:rsidRPr="00022D5C">
        <w:rPr>
          <w:rFonts w:ascii="Arial" w:hAnsi="Arial" w:cs="Arial"/>
          <w:b/>
          <w:bCs/>
          <w:sz w:val="22"/>
          <w:szCs w:val="22"/>
          <w:lang w:val="it-IT"/>
        </w:rPr>
        <w:t>Parti :</w:t>
      </w:r>
      <w:r w:rsidRPr="00022D5C">
        <w:rPr>
          <w:rFonts w:ascii="Arial" w:hAnsi="Arial" w:cs="Arial"/>
          <w:bCs/>
          <w:sz w:val="22"/>
          <w:szCs w:val="22"/>
          <w:lang w:val="it-IT"/>
        </w:rPr>
        <w:t xml:space="preserve"> </w:t>
      </w:r>
      <w:r w:rsidRPr="00022D5C">
        <w:rPr>
          <w:rFonts w:ascii="Arial" w:hAnsi="Arial" w:cs="Arial"/>
          <w:bCs/>
          <w:sz w:val="22"/>
          <w:szCs w:val="22"/>
          <w:lang w:val="fr-FR"/>
        </w:rPr>
        <w:t xml:space="preserve">Conpet S.A. </w:t>
      </w:r>
      <w:r w:rsidRPr="00022D5C">
        <w:rPr>
          <w:rFonts w:ascii="Arial" w:hAnsi="Arial" w:cs="Arial"/>
          <w:bCs/>
          <w:sz w:val="22"/>
          <w:szCs w:val="22"/>
          <w:lang w:val="it-IT"/>
        </w:rPr>
        <w:t>–</w:t>
      </w:r>
      <w:r w:rsidRPr="00022D5C">
        <w:rPr>
          <w:rFonts w:ascii="Arial" w:hAnsi="Arial" w:cs="Arial"/>
          <w:b/>
          <w:bCs/>
          <w:sz w:val="22"/>
          <w:szCs w:val="22"/>
          <w:lang w:val="it-IT"/>
        </w:rPr>
        <w:t xml:space="preserve"> </w:t>
      </w:r>
      <w:r w:rsidRPr="00022D5C">
        <w:rPr>
          <w:rFonts w:ascii="Arial" w:hAnsi="Arial" w:cs="Arial"/>
          <w:bCs/>
          <w:sz w:val="22"/>
          <w:szCs w:val="22"/>
          <w:lang w:val="it-IT"/>
        </w:rPr>
        <w:t>reclamant</w:t>
      </w:r>
    </w:p>
    <w:p w:rsidR="00022D5C" w:rsidRPr="00022D5C" w:rsidRDefault="00022D5C" w:rsidP="00022D5C">
      <w:pPr>
        <w:jc w:val="both"/>
        <w:rPr>
          <w:rFonts w:ascii="Arial" w:hAnsi="Arial" w:cs="Arial"/>
          <w:bCs/>
          <w:sz w:val="22"/>
          <w:szCs w:val="22"/>
          <w:lang w:val="fr-FR"/>
        </w:rPr>
      </w:pPr>
      <w:r w:rsidRPr="00022D5C">
        <w:rPr>
          <w:rFonts w:ascii="Arial" w:hAnsi="Arial" w:cs="Arial"/>
          <w:bCs/>
          <w:sz w:val="22"/>
          <w:szCs w:val="22"/>
          <w:lang w:val="fr-FR"/>
        </w:rPr>
        <w:t xml:space="preserve">            ICIM S.A. – pârât</w:t>
      </w:r>
    </w:p>
    <w:p w:rsidR="00022D5C" w:rsidRPr="00022D5C" w:rsidRDefault="00022D5C" w:rsidP="00022D5C">
      <w:pPr>
        <w:jc w:val="both"/>
        <w:rPr>
          <w:rFonts w:ascii="Arial" w:hAnsi="Arial" w:cs="Arial"/>
          <w:bCs/>
          <w:sz w:val="22"/>
          <w:szCs w:val="22"/>
          <w:lang w:val="it-IT"/>
        </w:rPr>
      </w:pPr>
      <w:r w:rsidRPr="00022D5C">
        <w:rPr>
          <w:rFonts w:ascii="Arial" w:hAnsi="Arial" w:cs="Arial"/>
          <w:b/>
          <w:bCs/>
          <w:sz w:val="22"/>
          <w:szCs w:val="22"/>
          <w:lang w:val="it-IT"/>
        </w:rPr>
        <w:t>Obiect :</w:t>
      </w:r>
      <w:r w:rsidRPr="00022D5C">
        <w:rPr>
          <w:rFonts w:ascii="Arial" w:hAnsi="Arial" w:cs="Arial"/>
          <w:bCs/>
          <w:sz w:val="22"/>
          <w:szCs w:val="22"/>
          <w:lang w:val="it-IT"/>
        </w:rPr>
        <w:t xml:space="preserve"> Conpet S.A. formulează cerere de chemare în judecată solicitând obligarea ICIM la plata sumei de 338.144,32 lei reprezent</w:t>
      </w:r>
      <w:r w:rsidR="00AC3B46">
        <w:rPr>
          <w:rFonts w:ascii="Arial" w:hAnsi="Arial" w:cs="Arial"/>
          <w:bCs/>
          <w:sz w:val="22"/>
          <w:szCs w:val="22"/>
          <w:lang w:val="it-IT"/>
        </w:rPr>
        <w:t>ând penalități datorate societă</w:t>
      </w:r>
      <w:r w:rsidRPr="00022D5C">
        <w:rPr>
          <w:rFonts w:ascii="Arial" w:hAnsi="Arial" w:cs="Arial"/>
          <w:bCs/>
          <w:sz w:val="22"/>
          <w:szCs w:val="22"/>
          <w:lang w:val="it-IT"/>
        </w:rPr>
        <w:t>ți noastre, aferente executării cu întarziere a lucrărilor la executarea cărora pârâta s-a obligat potrivit contractului nr. 0135/1995, încheiat între părți, precum și la plata cheltuielilor de judecată.</w:t>
      </w:r>
    </w:p>
    <w:p w:rsidR="00022D5C" w:rsidRPr="00022D5C" w:rsidRDefault="00022D5C" w:rsidP="00022D5C">
      <w:pPr>
        <w:jc w:val="both"/>
        <w:rPr>
          <w:rFonts w:ascii="Arial" w:hAnsi="Arial" w:cs="Arial"/>
          <w:bCs/>
          <w:sz w:val="22"/>
          <w:szCs w:val="22"/>
        </w:rPr>
      </w:pPr>
      <w:r w:rsidRPr="00022D5C">
        <w:rPr>
          <w:rFonts w:ascii="Arial" w:hAnsi="Arial" w:cs="Arial"/>
          <w:b/>
          <w:bCs/>
          <w:sz w:val="22"/>
          <w:szCs w:val="22"/>
          <w:lang w:val="it-IT"/>
        </w:rPr>
        <w:t>Precizări:</w:t>
      </w:r>
      <w:r w:rsidRPr="00022D5C">
        <w:rPr>
          <w:rFonts w:ascii="Arial" w:hAnsi="Arial" w:cs="Arial"/>
          <w:bCs/>
          <w:sz w:val="22"/>
          <w:szCs w:val="22"/>
          <w:lang w:val="it-IT"/>
        </w:rPr>
        <w:t xml:space="preserve"> Prin </w:t>
      </w:r>
      <w:r w:rsidRPr="00022D5C">
        <w:rPr>
          <w:rFonts w:ascii="Arial" w:hAnsi="Arial" w:cs="Arial"/>
          <w:b/>
          <w:bCs/>
          <w:sz w:val="22"/>
          <w:szCs w:val="22"/>
          <w:lang w:val="it-IT"/>
        </w:rPr>
        <w:t xml:space="preserve">sentința nr. </w:t>
      </w:r>
      <w:r w:rsidRPr="00022D5C">
        <w:rPr>
          <w:rFonts w:ascii="Arial" w:hAnsi="Arial" w:cs="Arial"/>
          <w:b/>
          <w:bCs/>
          <w:sz w:val="22"/>
          <w:szCs w:val="22"/>
        </w:rPr>
        <w:t>594/05.03.2014</w:t>
      </w:r>
      <w:r w:rsidRPr="00022D5C">
        <w:rPr>
          <w:rFonts w:ascii="Arial" w:hAnsi="Arial" w:cs="Arial"/>
          <w:bCs/>
          <w:sz w:val="22"/>
          <w:szCs w:val="22"/>
        </w:rPr>
        <w:t xml:space="preserve"> Tribunalul Prahova respinge excepţia prescripţiei. Respinge acțiunea ca neîntemeiată. Hotărârea a fost atacată cu apel de către Conpet.</w:t>
      </w:r>
    </w:p>
    <w:p w:rsidR="00022D5C" w:rsidRPr="00022D5C" w:rsidRDefault="00022D5C" w:rsidP="00022D5C">
      <w:pPr>
        <w:jc w:val="both"/>
        <w:rPr>
          <w:rFonts w:ascii="Arial" w:hAnsi="Arial" w:cs="Arial"/>
          <w:bCs/>
          <w:sz w:val="22"/>
          <w:szCs w:val="22"/>
          <w:lang w:val="it-IT"/>
        </w:rPr>
      </w:pPr>
      <w:r w:rsidRPr="00022D5C">
        <w:rPr>
          <w:rFonts w:ascii="Arial" w:hAnsi="Arial" w:cs="Arial"/>
          <w:bCs/>
          <w:sz w:val="22"/>
          <w:szCs w:val="22"/>
          <w:lang w:val="it-IT"/>
        </w:rPr>
        <w:t xml:space="preserve">Prin </w:t>
      </w:r>
      <w:r w:rsidRPr="00022D5C">
        <w:rPr>
          <w:rFonts w:ascii="Arial" w:hAnsi="Arial" w:cs="Arial"/>
          <w:b/>
          <w:bCs/>
          <w:sz w:val="22"/>
          <w:szCs w:val="22"/>
          <w:lang w:val="it-IT"/>
        </w:rPr>
        <w:t>decizia nr. 73/04.02.2015</w:t>
      </w:r>
      <w:r w:rsidRPr="00022D5C">
        <w:rPr>
          <w:rFonts w:ascii="Arial" w:hAnsi="Arial" w:cs="Arial"/>
          <w:bCs/>
          <w:sz w:val="22"/>
          <w:szCs w:val="22"/>
          <w:lang w:val="it-IT"/>
        </w:rPr>
        <w:t xml:space="preserve"> Curtea de Apel Ploiești admite apelul reclamantei. Desfiinţează sentinţa apelată şi trimite cauza spre rejudecare instanţei de fond. </w:t>
      </w:r>
    </w:p>
    <w:p w:rsidR="00022D5C" w:rsidRPr="00022D5C" w:rsidRDefault="00022D5C" w:rsidP="00022D5C">
      <w:pPr>
        <w:jc w:val="both"/>
        <w:rPr>
          <w:rFonts w:ascii="Arial" w:hAnsi="Arial" w:cs="Arial"/>
          <w:bCs/>
          <w:sz w:val="22"/>
          <w:szCs w:val="22"/>
          <w:lang w:val="it-IT"/>
        </w:rPr>
      </w:pPr>
      <w:r w:rsidRPr="00022D5C">
        <w:rPr>
          <w:rFonts w:ascii="Arial" w:hAnsi="Arial" w:cs="Arial"/>
          <w:bCs/>
          <w:sz w:val="22"/>
          <w:szCs w:val="22"/>
          <w:lang w:val="it-IT"/>
        </w:rPr>
        <w:t xml:space="preserve">Prin </w:t>
      </w:r>
      <w:r w:rsidR="00AC3B46">
        <w:rPr>
          <w:rFonts w:ascii="Arial" w:hAnsi="Arial" w:cs="Arial"/>
          <w:b/>
          <w:bCs/>
          <w:sz w:val="22"/>
          <w:szCs w:val="22"/>
          <w:lang w:val="it-IT"/>
        </w:rPr>
        <w:t>sentinț</w:t>
      </w:r>
      <w:r w:rsidRPr="00022D5C">
        <w:rPr>
          <w:rFonts w:ascii="Arial" w:hAnsi="Arial" w:cs="Arial"/>
          <w:b/>
          <w:bCs/>
          <w:sz w:val="22"/>
          <w:szCs w:val="22"/>
          <w:lang w:val="it-IT"/>
        </w:rPr>
        <w:t>a nr. 1447/22.06.2015</w:t>
      </w:r>
      <w:r w:rsidRPr="00022D5C">
        <w:rPr>
          <w:rFonts w:ascii="Arial" w:hAnsi="Arial" w:cs="Arial"/>
          <w:bCs/>
          <w:sz w:val="22"/>
          <w:szCs w:val="22"/>
          <w:lang w:val="it-IT"/>
        </w:rPr>
        <w:t xml:space="preserve"> Tribunalul Prahova respinge excepţia prescripţiei dreptului material la acţiune. Admite acţiunea. Obligă pârâta la plata către reclamantă a sumei de 292.754,68 lei, reprezentând penalităţi de întârziere, precum şi la plata cheltuielilor de judecată în fond şi în apel în cuantum de 12.568 lei, reprezentând taxă judiciară de timbru, timbru judi</w:t>
      </w:r>
      <w:r w:rsidR="00AC3B46">
        <w:rPr>
          <w:rFonts w:ascii="Arial" w:hAnsi="Arial" w:cs="Arial"/>
          <w:bCs/>
          <w:sz w:val="22"/>
          <w:szCs w:val="22"/>
          <w:lang w:val="it-IT"/>
        </w:rPr>
        <w:t>ciar şi onorariu expertiză. Hotărârea a fost atacată</w:t>
      </w:r>
      <w:r w:rsidRPr="00022D5C">
        <w:rPr>
          <w:rFonts w:ascii="Arial" w:hAnsi="Arial" w:cs="Arial"/>
          <w:bCs/>
          <w:sz w:val="22"/>
          <w:szCs w:val="22"/>
          <w:lang w:val="it-IT"/>
        </w:rPr>
        <w:t xml:space="preserve"> cu apel de  ICIM S.A. </w:t>
      </w:r>
    </w:p>
    <w:p w:rsidR="00022D5C" w:rsidRPr="00022D5C" w:rsidRDefault="00022D5C" w:rsidP="00022D5C">
      <w:pPr>
        <w:jc w:val="both"/>
        <w:rPr>
          <w:rFonts w:ascii="Arial" w:hAnsi="Arial" w:cs="Arial"/>
          <w:bCs/>
          <w:sz w:val="22"/>
          <w:szCs w:val="22"/>
        </w:rPr>
      </w:pPr>
      <w:r w:rsidRPr="00022D5C">
        <w:rPr>
          <w:rFonts w:ascii="Arial" w:hAnsi="Arial" w:cs="Arial"/>
          <w:bCs/>
          <w:sz w:val="22"/>
          <w:szCs w:val="22"/>
        </w:rPr>
        <w:t xml:space="preserve">Prin </w:t>
      </w:r>
      <w:r w:rsidRPr="00022D5C">
        <w:rPr>
          <w:rFonts w:ascii="Arial" w:hAnsi="Arial" w:cs="Arial"/>
          <w:b/>
          <w:bCs/>
          <w:sz w:val="22"/>
          <w:szCs w:val="22"/>
        </w:rPr>
        <w:t>decizia nr. 223/04.05.2018</w:t>
      </w:r>
      <w:r w:rsidRPr="00022D5C">
        <w:rPr>
          <w:rFonts w:ascii="Arial" w:hAnsi="Arial" w:cs="Arial"/>
          <w:bCs/>
          <w:sz w:val="22"/>
          <w:szCs w:val="22"/>
        </w:rPr>
        <w:t xml:space="preserve"> Curtea de Apel Ploiești respinge apelul ca nefondat. Hotărârea poate fi atacată cu recurs după comunicare.</w:t>
      </w:r>
    </w:p>
    <w:p w:rsidR="00022D5C" w:rsidRPr="00022D5C" w:rsidRDefault="00022D5C" w:rsidP="00022D5C">
      <w:pPr>
        <w:jc w:val="both"/>
        <w:rPr>
          <w:rFonts w:ascii="Arial" w:hAnsi="Arial" w:cs="Arial"/>
          <w:bCs/>
          <w:sz w:val="22"/>
          <w:szCs w:val="22"/>
          <w:lang w:val="it-IT"/>
        </w:rPr>
      </w:pPr>
      <w:r w:rsidRPr="00022D5C">
        <w:rPr>
          <w:rFonts w:ascii="Arial" w:hAnsi="Arial" w:cs="Arial"/>
          <w:b/>
          <w:bCs/>
          <w:sz w:val="22"/>
          <w:szCs w:val="22"/>
          <w:lang w:val="it-IT"/>
        </w:rPr>
        <w:t>Stadiu procesual:</w:t>
      </w:r>
      <w:r w:rsidRPr="00022D5C">
        <w:rPr>
          <w:rFonts w:ascii="Arial" w:hAnsi="Arial" w:cs="Arial"/>
          <w:bCs/>
          <w:sz w:val="22"/>
          <w:szCs w:val="22"/>
          <w:lang w:val="it-IT"/>
        </w:rPr>
        <w:t xml:space="preserve"> --</w:t>
      </w:r>
    </w:p>
    <w:p w:rsidR="00022D5C" w:rsidRPr="00C60341" w:rsidRDefault="00022D5C" w:rsidP="00022D5C">
      <w:pPr>
        <w:jc w:val="both"/>
        <w:rPr>
          <w:rFonts w:ascii="Arial" w:hAnsi="Arial" w:cs="Arial"/>
          <w:b/>
          <w:bCs/>
          <w:sz w:val="22"/>
          <w:szCs w:val="22"/>
          <w:lang w:val="it-IT"/>
        </w:rPr>
      </w:pPr>
      <w:r w:rsidRPr="00022D5C">
        <w:rPr>
          <w:rFonts w:ascii="Arial" w:hAnsi="Arial" w:cs="Arial"/>
          <w:b/>
          <w:bCs/>
          <w:sz w:val="22"/>
          <w:szCs w:val="22"/>
          <w:lang w:val="it-IT"/>
        </w:rPr>
        <w:t xml:space="preserve">Termen : </w:t>
      </w:r>
      <w:r w:rsidRPr="00022D5C">
        <w:rPr>
          <w:rFonts w:ascii="Arial" w:hAnsi="Arial" w:cs="Arial"/>
          <w:bCs/>
          <w:sz w:val="22"/>
          <w:szCs w:val="22"/>
          <w:lang w:val="it-IT"/>
        </w:rPr>
        <w:t>--</w:t>
      </w:r>
    </w:p>
    <w:p w:rsidR="00022D5C" w:rsidRPr="00022D5C" w:rsidRDefault="00022D5C" w:rsidP="00022D5C">
      <w:pPr>
        <w:jc w:val="both"/>
        <w:rPr>
          <w:rFonts w:ascii="Arial" w:hAnsi="Arial" w:cs="Arial"/>
          <w:b/>
          <w:sz w:val="22"/>
          <w:szCs w:val="22"/>
          <w:lang w:val="it-IT"/>
        </w:rPr>
      </w:pPr>
    </w:p>
    <w:p w:rsidR="00022D5C" w:rsidRPr="00022D5C" w:rsidRDefault="00022D5C" w:rsidP="00022D5C">
      <w:pPr>
        <w:jc w:val="both"/>
        <w:rPr>
          <w:rFonts w:ascii="Arial" w:hAnsi="Arial" w:cs="Arial"/>
          <w:b/>
          <w:sz w:val="22"/>
          <w:szCs w:val="22"/>
        </w:rPr>
      </w:pPr>
      <w:r w:rsidRPr="00022D5C">
        <w:rPr>
          <w:rFonts w:ascii="Arial" w:hAnsi="Arial" w:cs="Arial"/>
          <w:b/>
          <w:sz w:val="22"/>
          <w:szCs w:val="22"/>
          <w:lang w:val="it-IT"/>
        </w:rPr>
        <w:t xml:space="preserve">5. </w:t>
      </w:r>
      <w:r w:rsidRPr="00022D5C">
        <w:rPr>
          <w:rFonts w:ascii="Arial" w:hAnsi="Arial" w:cs="Arial"/>
          <w:b/>
          <w:sz w:val="22"/>
          <w:szCs w:val="22"/>
        </w:rPr>
        <w:t xml:space="preserve">Dosar nr. 29201/3/2012* – Curtea de Apel Bucuresti </w:t>
      </w:r>
    </w:p>
    <w:p w:rsidR="00022D5C" w:rsidRPr="00022D5C" w:rsidRDefault="00022D5C" w:rsidP="00022D5C">
      <w:pPr>
        <w:jc w:val="both"/>
        <w:rPr>
          <w:rFonts w:ascii="Arial" w:hAnsi="Arial" w:cs="Arial"/>
          <w:sz w:val="22"/>
          <w:szCs w:val="22"/>
        </w:rPr>
      </w:pPr>
      <w:r w:rsidRPr="00022D5C">
        <w:rPr>
          <w:rFonts w:ascii="Arial" w:hAnsi="Arial" w:cs="Arial"/>
          <w:b/>
          <w:sz w:val="22"/>
          <w:szCs w:val="22"/>
        </w:rPr>
        <w:t>Parti:</w:t>
      </w:r>
      <w:r w:rsidRPr="00022D5C">
        <w:rPr>
          <w:rFonts w:ascii="Arial" w:hAnsi="Arial" w:cs="Arial"/>
          <w:sz w:val="22"/>
          <w:szCs w:val="22"/>
        </w:rPr>
        <w:t xml:space="preserve"> Conpet S</w:t>
      </w:r>
      <w:r w:rsidR="00AC3B46">
        <w:rPr>
          <w:rFonts w:ascii="Arial" w:hAnsi="Arial" w:cs="Arial"/>
          <w:sz w:val="22"/>
          <w:szCs w:val="22"/>
        </w:rPr>
        <w:t>.</w:t>
      </w:r>
      <w:r w:rsidRPr="00022D5C">
        <w:rPr>
          <w:rFonts w:ascii="Arial" w:hAnsi="Arial" w:cs="Arial"/>
          <w:sz w:val="22"/>
          <w:szCs w:val="22"/>
        </w:rPr>
        <w:t>A</w:t>
      </w:r>
      <w:r w:rsidR="00AC3B46">
        <w:rPr>
          <w:rFonts w:ascii="Arial" w:hAnsi="Arial" w:cs="Arial"/>
          <w:sz w:val="22"/>
          <w:szCs w:val="22"/>
        </w:rPr>
        <w:t>.</w:t>
      </w:r>
      <w:r w:rsidRPr="00022D5C">
        <w:rPr>
          <w:rFonts w:ascii="Arial" w:hAnsi="Arial" w:cs="Arial"/>
          <w:sz w:val="22"/>
          <w:szCs w:val="22"/>
        </w:rPr>
        <w:t xml:space="preserve"> - parte civilă</w:t>
      </w:r>
    </w:p>
    <w:p w:rsidR="00022D5C" w:rsidRPr="00022D5C" w:rsidRDefault="00022D5C" w:rsidP="00022D5C">
      <w:pPr>
        <w:jc w:val="both"/>
        <w:rPr>
          <w:rFonts w:ascii="Arial" w:hAnsi="Arial" w:cs="Arial"/>
          <w:sz w:val="22"/>
          <w:szCs w:val="22"/>
        </w:rPr>
      </w:pPr>
      <w:r w:rsidRPr="00022D5C">
        <w:rPr>
          <w:rFonts w:ascii="Arial" w:hAnsi="Arial" w:cs="Arial"/>
          <w:sz w:val="22"/>
          <w:szCs w:val="22"/>
        </w:rPr>
        <w:t xml:space="preserve">           Dinu Ion, Petrișor Marius Sever, Petrișor Dumitru Valeriu, Pavel Vasile, Benim Nicolae, Dumitru Gabriel, Tinca Florinel Mircea, Costachi Constantin, Spirea Geon, Dragut Marian, Cobzaru Eugen Constantin, Niță Sorin, Constantin George Alin, Marin Georgian Ciprian, Chelaru Ioan Iulian, Dumitru Constantin, Sandu Marian, Toncu Ștefan – inculpați</w:t>
      </w:r>
    </w:p>
    <w:p w:rsidR="00022D5C" w:rsidRPr="00022D5C" w:rsidRDefault="00022D5C" w:rsidP="00022D5C">
      <w:pPr>
        <w:jc w:val="both"/>
        <w:rPr>
          <w:rFonts w:ascii="Arial" w:hAnsi="Arial" w:cs="Arial"/>
          <w:sz w:val="22"/>
          <w:szCs w:val="22"/>
          <w:lang w:val="pt-BR"/>
        </w:rPr>
      </w:pPr>
      <w:r w:rsidRPr="00022D5C">
        <w:rPr>
          <w:rFonts w:ascii="Arial" w:hAnsi="Arial" w:cs="Arial"/>
          <w:b/>
          <w:sz w:val="22"/>
          <w:szCs w:val="22"/>
        </w:rPr>
        <w:t>Obiect:</w:t>
      </w:r>
      <w:r w:rsidRPr="00022D5C">
        <w:rPr>
          <w:rFonts w:ascii="Arial" w:hAnsi="Arial" w:cs="Arial"/>
          <w:sz w:val="22"/>
          <w:szCs w:val="22"/>
        </w:rPr>
        <w:t xml:space="preserve"> </w:t>
      </w:r>
      <w:r w:rsidRPr="00022D5C">
        <w:rPr>
          <w:rFonts w:ascii="Arial" w:hAnsi="Arial" w:cs="Arial"/>
          <w:b/>
          <w:sz w:val="22"/>
          <w:szCs w:val="22"/>
          <w:lang w:val="pt-BR"/>
        </w:rPr>
        <w:t>Furt. Dare de mită. Lg. 78/2000, Uz de fals. Asocierea pentru săvârșirea de infracțiuni.</w:t>
      </w:r>
      <w:r w:rsidRPr="00022D5C">
        <w:rPr>
          <w:rFonts w:ascii="Arial" w:hAnsi="Arial" w:cs="Arial"/>
          <w:sz w:val="22"/>
          <w:szCs w:val="22"/>
          <w:lang w:val="pt-BR"/>
        </w:rPr>
        <w:t xml:space="preserve"> Conpet S</w:t>
      </w:r>
      <w:r w:rsidR="00AC3B46">
        <w:rPr>
          <w:rFonts w:ascii="Arial" w:hAnsi="Arial" w:cs="Arial"/>
          <w:sz w:val="22"/>
          <w:szCs w:val="22"/>
          <w:lang w:val="pt-BR"/>
        </w:rPr>
        <w:t>.</w:t>
      </w:r>
      <w:r w:rsidRPr="00022D5C">
        <w:rPr>
          <w:rFonts w:ascii="Arial" w:hAnsi="Arial" w:cs="Arial"/>
          <w:sz w:val="22"/>
          <w:szCs w:val="22"/>
          <w:lang w:val="pt-BR"/>
        </w:rPr>
        <w:t>A</w:t>
      </w:r>
      <w:r w:rsidR="00AC3B46">
        <w:rPr>
          <w:rFonts w:ascii="Arial" w:hAnsi="Arial" w:cs="Arial"/>
          <w:sz w:val="22"/>
          <w:szCs w:val="22"/>
          <w:lang w:val="pt-BR"/>
        </w:rPr>
        <w:t>.</w:t>
      </w:r>
      <w:r w:rsidRPr="00022D5C">
        <w:rPr>
          <w:rFonts w:ascii="Arial" w:hAnsi="Arial" w:cs="Arial"/>
          <w:sz w:val="22"/>
          <w:szCs w:val="22"/>
          <w:lang w:val="pt-BR"/>
        </w:rPr>
        <w:t xml:space="preserve"> s-a constituit parte civilă pentru suma de 6.267.625,71 lei, reprezentând contravaloarea țițeiului sustras.</w:t>
      </w:r>
    </w:p>
    <w:p w:rsidR="00022D5C" w:rsidRPr="00022D5C" w:rsidRDefault="00022D5C" w:rsidP="00022D5C">
      <w:pPr>
        <w:jc w:val="both"/>
        <w:rPr>
          <w:rFonts w:ascii="Arial" w:hAnsi="Arial" w:cs="Arial"/>
          <w:sz w:val="22"/>
          <w:szCs w:val="22"/>
        </w:rPr>
      </w:pPr>
      <w:r w:rsidRPr="00022D5C">
        <w:rPr>
          <w:rFonts w:ascii="Arial" w:hAnsi="Arial" w:cs="Arial"/>
          <w:b/>
          <w:sz w:val="22"/>
          <w:szCs w:val="22"/>
          <w:lang w:val="pt-BR"/>
        </w:rPr>
        <w:t>Precizări:</w:t>
      </w:r>
      <w:r w:rsidR="00AC3B46">
        <w:rPr>
          <w:rFonts w:ascii="Arial" w:hAnsi="Arial" w:cs="Arial"/>
          <w:sz w:val="22"/>
          <w:szCs w:val="22"/>
          <w:lang w:val="pt-BR"/>
        </w:rPr>
        <w:t xml:space="preserve"> Prin sentinț</w:t>
      </w:r>
      <w:r w:rsidRPr="00022D5C">
        <w:rPr>
          <w:rFonts w:ascii="Arial" w:hAnsi="Arial" w:cs="Arial"/>
          <w:sz w:val="22"/>
          <w:szCs w:val="22"/>
          <w:lang w:val="pt-BR"/>
        </w:rPr>
        <w:t xml:space="preserve">a nr. </w:t>
      </w:r>
      <w:r w:rsidRPr="00022D5C">
        <w:rPr>
          <w:rFonts w:ascii="Arial" w:hAnsi="Arial" w:cs="Arial"/>
          <w:sz w:val="22"/>
          <w:szCs w:val="22"/>
        </w:rPr>
        <w:t>1072/25.05.2017 Tribunalul București admite acțiunea civilă și oblig</w:t>
      </w:r>
      <w:r w:rsidR="00AC3B46">
        <w:rPr>
          <w:rFonts w:ascii="Arial" w:hAnsi="Arial" w:cs="Arial"/>
          <w:sz w:val="22"/>
          <w:szCs w:val="22"/>
        </w:rPr>
        <w:t>ă</w:t>
      </w:r>
      <w:r w:rsidRPr="00022D5C">
        <w:rPr>
          <w:rFonts w:ascii="Arial" w:hAnsi="Arial" w:cs="Arial"/>
          <w:sz w:val="22"/>
          <w:szCs w:val="22"/>
        </w:rPr>
        <w:t xml:space="preserve"> inculpații astfel: </w:t>
      </w:r>
    </w:p>
    <w:p w:rsidR="00022D5C" w:rsidRPr="00022D5C" w:rsidRDefault="00022D5C" w:rsidP="00022D5C">
      <w:pPr>
        <w:jc w:val="both"/>
        <w:rPr>
          <w:rFonts w:ascii="Arial" w:hAnsi="Arial" w:cs="Arial"/>
          <w:sz w:val="22"/>
          <w:szCs w:val="22"/>
        </w:rPr>
      </w:pPr>
      <w:r w:rsidRPr="00022D5C">
        <w:rPr>
          <w:rFonts w:ascii="Arial" w:hAnsi="Arial" w:cs="Arial"/>
          <w:sz w:val="22"/>
          <w:szCs w:val="22"/>
        </w:rPr>
        <w:t>1. la plata sumei de 3.962.725,98 lei reprezentând contravaloarea a 2.420,595 tone ţiţei sustrase, la care se adaugă dobânda legală de la data comiterii fiecărei fapte în parte şi până la plata integrală a prejudiciului</w:t>
      </w:r>
      <w:r w:rsidR="00AC3B46">
        <w:rPr>
          <w:rFonts w:ascii="Arial" w:hAnsi="Arial" w:cs="Arial"/>
          <w:sz w:val="22"/>
          <w:szCs w:val="22"/>
        </w:rPr>
        <w:t>;</w:t>
      </w:r>
    </w:p>
    <w:p w:rsidR="00022D5C" w:rsidRPr="00022D5C" w:rsidRDefault="00022D5C" w:rsidP="00022D5C">
      <w:pPr>
        <w:jc w:val="both"/>
        <w:rPr>
          <w:rFonts w:ascii="Arial" w:hAnsi="Arial" w:cs="Arial"/>
          <w:sz w:val="22"/>
          <w:szCs w:val="22"/>
        </w:rPr>
      </w:pPr>
      <w:r w:rsidRPr="00022D5C">
        <w:rPr>
          <w:rFonts w:ascii="Arial" w:hAnsi="Arial" w:cs="Arial"/>
          <w:sz w:val="22"/>
          <w:szCs w:val="22"/>
        </w:rPr>
        <w:t>2. la plata sumei de 8.233,99 lei, la care se adaugă dobânda legală, reprezentând contravaloarea lucrărilor de remediere necesare aducerii conductei 14 „Călăreţi-Mavrodin”, a conductei 200 „Bărăganu-Călăreţi” şi conductei F1 Silişte-Ploieşti la starea iniţială</w:t>
      </w:r>
      <w:r w:rsidR="00AC3B46">
        <w:rPr>
          <w:rFonts w:ascii="Arial" w:hAnsi="Arial" w:cs="Arial"/>
          <w:sz w:val="22"/>
          <w:szCs w:val="22"/>
        </w:rPr>
        <w:t xml:space="preserve"> dinaintea săvârşirii faptelor;</w:t>
      </w:r>
      <w:r w:rsidRPr="00022D5C">
        <w:rPr>
          <w:rFonts w:ascii="Arial" w:hAnsi="Arial" w:cs="Arial"/>
          <w:sz w:val="22"/>
          <w:szCs w:val="22"/>
        </w:rPr>
        <w:t xml:space="preserve"> </w:t>
      </w:r>
    </w:p>
    <w:p w:rsidR="00022D5C" w:rsidRPr="00022D5C" w:rsidRDefault="00022D5C" w:rsidP="00022D5C">
      <w:pPr>
        <w:jc w:val="both"/>
        <w:rPr>
          <w:rFonts w:ascii="Arial" w:hAnsi="Arial" w:cs="Arial"/>
          <w:sz w:val="22"/>
          <w:szCs w:val="22"/>
        </w:rPr>
      </w:pPr>
      <w:r w:rsidRPr="00022D5C">
        <w:rPr>
          <w:rFonts w:ascii="Arial" w:hAnsi="Arial" w:cs="Arial"/>
          <w:sz w:val="22"/>
          <w:szCs w:val="22"/>
        </w:rPr>
        <w:t>3. obligă, în solidar, pe toţi inculpaţii, la plata sumei de 47.915,77 lei, la care se adaugă dobânda legală, reprezentând contravaloarea costului de transport aferent celor 2.420,595 tone sustrase.</w:t>
      </w:r>
    </w:p>
    <w:p w:rsidR="00022D5C" w:rsidRPr="00022D5C" w:rsidRDefault="00022D5C" w:rsidP="00022D5C">
      <w:pPr>
        <w:jc w:val="both"/>
        <w:rPr>
          <w:rFonts w:ascii="Arial" w:hAnsi="Arial" w:cs="Arial"/>
          <w:sz w:val="22"/>
          <w:szCs w:val="22"/>
          <w:lang w:val="pt-BR"/>
        </w:rPr>
      </w:pPr>
      <w:r w:rsidRPr="00022D5C">
        <w:rPr>
          <w:rFonts w:ascii="Arial" w:hAnsi="Arial" w:cs="Arial"/>
          <w:sz w:val="22"/>
          <w:szCs w:val="22"/>
        </w:rPr>
        <w:lastRenderedPageBreak/>
        <w:t>Hotărârea a fost atacată cu apel de inculpați și de Conpet S</w:t>
      </w:r>
      <w:r w:rsidR="00AC3B46">
        <w:rPr>
          <w:rFonts w:ascii="Arial" w:hAnsi="Arial" w:cs="Arial"/>
          <w:sz w:val="22"/>
          <w:szCs w:val="22"/>
        </w:rPr>
        <w:t>.</w:t>
      </w:r>
      <w:r w:rsidRPr="00022D5C">
        <w:rPr>
          <w:rFonts w:ascii="Arial" w:hAnsi="Arial" w:cs="Arial"/>
          <w:sz w:val="22"/>
          <w:szCs w:val="22"/>
        </w:rPr>
        <w:t>A.</w:t>
      </w:r>
    </w:p>
    <w:p w:rsidR="00022D5C" w:rsidRPr="00022D5C" w:rsidRDefault="00022D5C" w:rsidP="00022D5C">
      <w:pPr>
        <w:jc w:val="both"/>
        <w:rPr>
          <w:rFonts w:ascii="Arial" w:hAnsi="Arial" w:cs="Arial"/>
          <w:sz w:val="22"/>
          <w:szCs w:val="22"/>
          <w:lang w:val="pt-BR"/>
        </w:rPr>
      </w:pPr>
      <w:r w:rsidRPr="00022D5C">
        <w:rPr>
          <w:rFonts w:ascii="Arial" w:hAnsi="Arial" w:cs="Arial"/>
          <w:b/>
          <w:sz w:val="22"/>
          <w:szCs w:val="22"/>
          <w:lang w:val="pt-BR"/>
        </w:rPr>
        <w:t>Stadiu procesual:</w:t>
      </w:r>
      <w:r w:rsidRPr="00022D5C">
        <w:rPr>
          <w:rFonts w:ascii="Arial" w:hAnsi="Arial" w:cs="Arial"/>
          <w:sz w:val="22"/>
          <w:szCs w:val="22"/>
          <w:lang w:val="pt-BR"/>
        </w:rPr>
        <w:t xml:space="preserve"> Apel</w:t>
      </w:r>
    </w:p>
    <w:p w:rsidR="00022D5C" w:rsidRPr="00022D5C" w:rsidRDefault="00022D5C" w:rsidP="00022D5C">
      <w:pPr>
        <w:jc w:val="both"/>
        <w:rPr>
          <w:rFonts w:ascii="Arial" w:hAnsi="Arial" w:cs="Arial"/>
          <w:sz w:val="22"/>
          <w:szCs w:val="22"/>
          <w:lang w:val="pt-BR"/>
        </w:rPr>
      </w:pPr>
      <w:r w:rsidRPr="00022D5C">
        <w:rPr>
          <w:rFonts w:ascii="Arial" w:hAnsi="Arial" w:cs="Arial"/>
          <w:b/>
          <w:sz w:val="22"/>
          <w:szCs w:val="22"/>
          <w:lang w:val="pt-BR"/>
        </w:rPr>
        <w:t>Termen:</w:t>
      </w:r>
      <w:r w:rsidRPr="00022D5C">
        <w:rPr>
          <w:rFonts w:ascii="Arial" w:hAnsi="Arial" w:cs="Arial"/>
          <w:sz w:val="22"/>
          <w:szCs w:val="22"/>
          <w:lang w:val="pt-BR"/>
        </w:rPr>
        <w:t xml:space="preserve"> 05.09.2018</w:t>
      </w:r>
    </w:p>
    <w:p w:rsidR="00022D5C" w:rsidRPr="00022D5C" w:rsidRDefault="00022D5C" w:rsidP="00022D5C">
      <w:pPr>
        <w:jc w:val="both"/>
        <w:rPr>
          <w:rFonts w:ascii="Arial" w:hAnsi="Arial" w:cs="Arial"/>
          <w:b/>
          <w:sz w:val="22"/>
          <w:szCs w:val="22"/>
          <w:lang w:val="it-IT"/>
        </w:rPr>
      </w:pPr>
    </w:p>
    <w:p w:rsidR="00022D5C" w:rsidRPr="00022D5C" w:rsidRDefault="00022D5C" w:rsidP="00022D5C">
      <w:pPr>
        <w:jc w:val="both"/>
        <w:rPr>
          <w:rFonts w:ascii="Arial" w:hAnsi="Arial" w:cs="Arial"/>
          <w:b/>
          <w:sz w:val="22"/>
          <w:szCs w:val="22"/>
        </w:rPr>
      </w:pPr>
      <w:r w:rsidRPr="00022D5C">
        <w:rPr>
          <w:rFonts w:ascii="Arial" w:hAnsi="Arial" w:cs="Arial"/>
          <w:b/>
          <w:sz w:val="22"/>
          <w:szCs w:val="22"/>
        </w:rPr>
        <w:t>6.</w:t>
      </w:r>
      <w:r w:rsidRPr="00022D5C">
        <w:rPr>
          <w:rFonts w:ascii="Arial" w:hAnsi="Arial" w:cs="Arial"/>
          <w:sz w:val="22"/>
          <w:szCs w:val="22"/>
        </w:rPr>
        <w:t xml:space="preserve"> </w:t>
      </w:r>
      <w:r w:rsidRPr="00022D5C">
        <w:rPr>
          <w:rFonts w:ascii="Arial" w:hAnsi="Arial" w:cs="Arial"/>
          <w:b/>
          <w:sz w:val="22"/>
          <w:szCs w:val="22"/>
        </w:rPr>
        <w:t xml:space="preserve">Dosar  nr. 3033/105/2012 – Tribunalul Prahova </w:t>
      </w:r>
    </w:p>
    <w:p w:rsidR="00022D5C" w:rsidRPr="00022D5C" w:rsidRDefault="00022D5C" w:rsidP="00022D5C">
      <w:pPr>
        <w:jc w:val="both"/>
        <w:rPr>
          <w:rFonts w:ascii="Arial" w:hAnsi="Arial" w:cs="Arial"/>
          <w:sz w:val="22"/>
          <w:szCs w:val="22"/>
        </w:rPr>
      </w:pPr>
      <w:r w:rsidRPr="00022D5C">
        <w:rPr>
          <w:rFonts w:ascii="Arial" w:hAnsi="Arial" w:cs="Arial"/>
          <w:b/>
          <w:sz w:val="22"/>
          <w:szCs w:val="22"/>
        </w:rPr>
        <w:t xml:space="preserve">Parti: </w:t>
      </w:r>
      <w:r w:rsidRPr="00022D5C">
        <w:rPr>
          <w:rFonts w:ascii="Arial" w:hAnsi="Arial" w:cs="Arial"/>
          <w:sz w:val="22"/>
          <w:szCs w:val="22"/>
        </w:rPr>
        <w:t>Conpet S</w:t>
      </w:r>
      <w:r w:rsidR="006B1E2B">
        <w:rPr>
          <w:rFonts w:ascii="Arial" w:hAnsi="Arial" w:cs="Arial"/>
          <w:sz w:val="22"/>
          <w:szCs w:val="22"/>
        </w:rPr>
        <w:t>.</w:t>
      </w:r>
      <w:r w:rsidRPr="00022D5C">
        <w:rPr>
          <w:rFonts w:ascii="Arial" w:hAnsi="Arial" w:cs="Arial"/>
          <w:sz w:val="22"/>
          <w:szCs w:val="22"/>
        </w:rPr>
        <w:t>A</w:t>
      </w:r>
      <w:r w:rsidR="006B1E2B">
        <w:rPr>
          <w:rFonts w:ascii="Arial" w:hAnsi="Arial" w:cs="Arial"/>
          <w:sz w:val="22"/>
          <w:szCs w:val="22"/>
        </w:rPr>
        <w:t>.</w:t>
      </w:r>
      <w:r w:rsidRPr="00022D5C">
        <w:rPr>
          <w:rFonts w:ascii="Arial" w:hAnsi="Arial" w:cs="Arial"/>
          <w:sz w:val="22"/>
          <w:szCs w:val="22"/>
        </w:rPr>
        <w:t xml:space="preserve"> – creditor</w:t>
      </w:r>
      <w:r w:rsidRPr="00022D5C">
        <w:rPr>
          <w:rFonts w:ascii="Arial" w:hAnsi="Arial" w:cs="Arial"/>
          <w:b/>
          <w:sz w:val="22"/>
          <w:szCs w:val="22"/>
        </w:rPr>
        <w:t xml:space="preserve"> </w:t>
      </w:r>
    </w:p>
    <w:p w:rsidR="00022D5C" w:rsidRPr="00022D5C" w:rsidRDefault="00022D5C" w:rsidP="00022D5C">
      <w:pPr>
        <w:jc w:val="both"/>
        <w:rPr>
          <w:rFonts w:ascii="Arial" w:hAnsi="Arial" w:cs="Arial"/>
          <w:sz w:val="22"/>
          <w:szCs w:val="22"/>
        </w:rPr>
      </w:pPr>
      <w:r w:rsidRPr="00022D5C">
        <w:rPr>
          <w:rFonts w:ascii="Arial" w:hAnsi="Arial" w:cs="Arial"/>
          <w:b/>
          <w:sz w:val="22"/>
          <w:szCs w:val="22"/>
        </w:rPr>
        <w:t xml:space="preserve">           </w:t>
      </w:r>
      <w:r w:rsidRPr="00022D5C">
        <w:rPr>
          <w:rFonts w:ascii="Arial" w:hAnsi="Arial" w:cs="Arial"/>
          <w:sz w:val="22"/>
          <w:szCs w:val="22"/>
        </w:rPr>
        <w:t>Vasrep Petro Construct SRL – debitor</w:t>
      </w:r>
    </w:p>
    <w:p w:rsidR="00022D5C" w:rsidRPr="00022D5C" w:rsidRDefault="00022D5C" w:rsidP="00022D5C">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w:t>
      </w:r>
      <w:r w:rsidRPr="00022D5C">
        <w:rPr>
          <w:rFonts w:ascii="Arial" w:hAnsi="Arial" w:cs="Arial"/>
          <w:b/>
          <w:sz w:val="22"/>
          <w:szCs w:val="22"/>
        </w:rPr>
        <w:t>Faliment.</w:t>
      </w:r>
      <w:r w:rsidRPr="00022D5C">
        <w:rPr>
          <w:rFonts w:ascii="Arial" w:hAnsi="Arial" w:cs="Arial"/>
          <w:sz w:val="22"/>
          <w:szCs w:val="22"/>
        </w:rPr>
        <w:t xml:space="preserve">  Conpet S</w:t>
      </w:r>
      <w:r w:rsidR="006B1E2B">
        <w:rPr>
          <w:rFonts w:ascii="Arial" w:hAnsi="Arial" w:cs="Arial"/>
          <w:sz w:val="22"/>
          <w:szCs w:val="22"/>
        </w:rPr>
        <w:t>.</w:t>
      </w:r>
      <w:r w:rsidRPr="00022D5C">
        <w:rPr>
          <w:rFonts w:ascii="Arial" w:hAnsi="Arial" w:cs="Arial"/>
          <w:sz w:val="22"/>
          <w:szCs w:val="22"/>
        </w:rPr>
        <w:t>A</w:t>
      </w:r>
      <w:r w:rsidR="006B1E2B">
        <w:rPr>
          <w:rFonts w:ascii="Arial" w:hAnsi="Arial" w:cs="Arial"/>
          <w:sz w:val="22"/>
          <w:szCs w:val="22"/>
        </w:rPr>
        <w:t>.</w:t>
      </w:r>
      <w:r w:rsidRPr="00022D5C">
        <w:rPr>
          <w:rFonts w:ascii="Arial" w:hAnsi="Arial" w:cs="Arial"/>
          <w:sz w:val="22"/>
          <w:szCs w:val="22"/>
        </w:rPr>
        <w:t xml:space="preserve"> formulează cerere de admitere a creanței solicitând înscrierea pe tabelul creditorilor Vasrep Petro Construct SRL cu suma de 126.877 lei, inclusiv T</w:t>
      </w:r>
      <w:r w:rsidR="006B1E2B">
        <w:rPr>
          <w:rFonts w:ascii="Arial" w:hAnsi="Arial" w:cs="Arial"/>
          <w:sz w:val="22"/>
          <w:szCs w:val="22"/>
        </w:rPr>
        <w:t>.</w:t>
      </w:r>
      <w:r w:rsidRPr="00022D5C">
        <w:rPr>
          <w:rFonts w:ascii="Arial" w:hAnsi="Arial" w:cs="Arial"/>
          <w:sz w:val="22"/>
          <w:szCs w:val="22"/>
        </w:rPr>
        <w:t>V</w:t>
      </w:r>
      <w:r w:rsidR="006B1E2B">
        <w:rPr>
          <w:rFonts w:ascii="Arial" w:hAnsi="Arial" w:cs="Arial"/>
          <w:sz w:val="22"/>
          <w:szCs w:val="22"/>
        </w:rPr>
        <w:t>.</w:t>
      </w:r>
      <w:r w:rsidRPr="00022D5C">
        <w:rPr>
          <w:rFonts w:ascii="Arial" w:hAnsi="Arial" w:cs="Arial"/>
          <w:sz w:val="22"/>
          <w:szCs w:val="22"/>
        </w:rPr>
        <w:t>A., reprezentând contravaloarea cheltuielilor cu material, manoperă și utilaje necesare  aducerii conductei la starea de dinaintea săvârșirii faptei ilicite de către debitoare, faptă constând în distrugerea și sustragerea fără drept a două tronsoane în lungime de 4.120 m.l. din conducta Ø 10¾" Iancu Jianu – Ghercești. Conpet formulează contestație împotriva măsurii neînscrierii Conpet S</w:t>
      </w:r>
      <w:r w:rsidR="006B1E2B">
        <w:rPr>
          <w:rFonts w:ascii="Arial" w:hAnsi="Arial" w:cs="Arial"/>
          <w:sz w:val="22"/>
          <w:szCs w:val="22"/>
        </w:rPr>
        <w:t>.</w:t>
      </w:r>
      <w:r w:rsidRPr="00022D5C">
        <w:rPr>
          <w:rFonts w:ascii="Arial" w:hAnsi="Arial" w:cs="Arial"/>
          <w:sz w:val="22"/>
          <w:szCs w:val="22"/>
        </w:rPr>
        <w:t>A</w:t>
      </w:r>
      <w:r w:rsidR="006B1E2B">
        <w:rPr>
          <w:rFonts w:ascii="Arial" w:hAnsi="Arial" w:cs="Arial"/>
          <w:sz w:val="22"/>
          <w:szCs w:val="22"/>
        </w:rPr>
        <w:t>.</w:t>
      </w:r>
      <w:r w:rsidRPr="00022D5C">
        <w:rPr>
          <w:rFonts w:ascii="Arial" w:hAnsi="Arial" w:cs="Arial"/>
          <w:sz w:val="22"/>
          <w:szCs w:val="22"/>
        </w:rPr>
        <w:t xml:space="preserve"> pe Tabelul preliminar cu această  creanță, care face obiectul dosarului nr. 3033/105/2012/a1. Prin Sentința nr. 1958/19.11.2012, Tribunalul Prahova a respins contestația formulată de Conpet. Conpet a formulat recurs. Curtea de Apel Ploiești a admis recursul, a casat sentința pronunțată în fond și a trimis spre rejudecare.</w:t>
      </w:r>
      <w:r w:rsidRPr="00022D5C">
        <w:rPr>
          <w:rFonts w:ascii="Arial" w:hAnsi="Arial" w:cs="Arial"/>
          <w:sz w:val="22"/>
          <w:szCs w:val="22"/>
        </w:rPr>
        <w:tab/>
      </w:r>
    </w:p>
    <w:p w:rsidR="00022D5C" w:rsidRPr="00022D5C" w:rsidRDefault="00022D5C" w:rsidP="00022D5C">
      <w:pPr>
        <w:jc w:val="both"/>
        <w:rPr>
          <w:rFonts w:ascii="Arial" w:hAnsi="Arial" w:cs="Arial"/>
          <w:sz w:val="22"/>
          <w:szCs w:val="22"/>
        </w:rPr>
      </w:pPr>
      <w:r w:rsidRPr="00022D5C">
        <w:rPr>
          <w:rFonts w:ascii="Arial" w:hAnsi="Arial" w:cs="Arial"/>
          <w:sz w:val="22"/>
          <w:szCs w:val="22"/>
        </w:rPr>
        <w:t xml:space="preserve">Prin sentința nr. </w:t>
      </w:r>
      <w:r w:rsidRPr="00022D5C">
        <w:rPr>
          <w:rFonts w:ascii="Arial" w:hAnsi="Arial" w:cs="Arial"/>
          <w:b/>
          <w:sz w:val="22"/>
          <w:szCs w:val="22"/>
        </w:rPr>
        <w:t>1008/17.09.2014</w:t>
      </w:r>
      <w:r w:rsidR="006B1E2B">
        <w:rPr>
          <w:rFonts w:ascii="Arial" w:hAnsi="Arial" w:cs="Arial"/>
          <w:sz w:val="22"/>
          <w:szCs w:val="22"/>
        </w:rPr>
        <w:t xml:space="preserve"> (dosar </w:t>
      </w:r>
      <w:r w:rsidRPr="00022D5C">
        <w:rPr>
          <w:rFonts w:ascii="Arial" w:hAnsi="Arial" w:cs="Arial"/>
          <w:sz w:val="22"/>
          <w:szCs w:val="22"/>
        </w:rPr>
        <w:t>nr. 3033/105/2012/a1*) Tribunalul Prahova admite contestaţia la titlul preliminar. Dispune înscrierea creditoarei contestatoare Conpet S.A. în tabelul definitiv de creanţe al debitoarei cu suma de 1.473.628 lei c/val materiale, manoperă şi utilaje cât şi 120 lei taxă judiciară de timbru recurs şi 2</w:t>
      </w:r>
      <w:r w:rsidR="006B1E2B">
        <w:rPr>
          <w:rFonts w:ascii="Arial" w:hAnsi="Arial" w:cs="Arial"/>
          <w:sz w:val="22"/>
          <w:szCs w:val="22"/>
        </w:rPr>
        <w:t>.</w:t>
      </w:r>
      <w:r w:rsidRPr="00022D5C">
        <w:rPr>
          <w:rFonts w:ascii="Arial" w:hAnsi="Arial" w:cs="Arial"/>
          <w:sz w:val="22"/>
          <w:szCs w:val="22"/>
        </w:rPr>
        <w:t>500 lei onorariu expert. Vasrep a formulat recurs.</w:t>
      </w:r>
    </w:p>
    <w:p w:rsidR="00022D5C" w:rsidRPr="00022D5C" w:rsidRDefault="00022D5C" w:rsidP="00022D5C">
      <w:pPr>
        <w:jc w:val="both"/>
        <w:rPr>
          <w:rFonts w:ascii="Arial" w:hAnsi="Arial" w:cs="Arial"/>
          <w:sz w:val="22"/>
          <w:szCs w:val="22"/>
        </w:rPr>
      </w:pPr>
      <w:r w:rsidRPr="00022D5C">
        <w:rPr>
          <w:rFonts w:ascii="Arial" w:hAnsi="Arial" w:cs="Arial"/>
          <w:sz w:val="22"/>
          <w:szCs w:val="22"/>
        </w:rPr>
        <w:t xml:space="preserve">Prin </w:t>
      </w:r>
      <w:r w:rsidRPr="00022D5C">
        <w:rPr>
          <w:rFonts w:ascii="Arial" w:hAnsi="Arial" w:cs="Arial"/>
          <w:b/>
          <w:sz w:val="22"/>
          <w:szCs w:val="22"/>
        </w:rPr>
        <w:t>decizia nr. 141/15.01.2015</w:t>
      </w:r>
      <w:r w:rsidRPr="00022D5C">
        <w:rPr>
          <w:rFonts w:ascii="Arial" w:hAnsi="Arial" w:cs="Arial"/>
          <w:sz w:val="22"/>
          <w:szCs w:val="22"/>
        </w:rPr>
        <w:t xml:space="preserve"> Curtea de Apel Ploiești respinge recursul ca nefondat.</w:t>
      </w:r>
    </w:p>
    <w:p w:rsidR="00022D5C" w:rsidRPr="00022D5C" w:rsidRDefault="00022D5C" w:rsidP="00022D5C">
      <w:pPr>
        <w:jc w:val="both"/>
        <w:rPr>
          <w:rFonts w:ascii="Arial" w:hAnsi="Arial" w:cs="Arial"/>
          <w:sz w:val="22"/>
          <w:szCs w:val="22"/>
        </w:rPr>
      </w:pPr>
      <w:r w:rsidRPr="00022D5C">
        <w:rPr>
          <w:rFonts w:ascii="Arial" w:hAnsi="Arial" w:cs="Arial"/>
          <w:b/>
          <w:sz w:val="22"/>
          <w:szCs w:val="22"/>
        </w:rPr>
        <w:t xml:space="preserve">Stadiu procesual: </w:t>
      </w:r>
      <w:r w:rsidRPr="00022D5C">
        <w:rPr>
          <w:rFonts w:ascii="Arial" w:hAnsi="Arial" w:cs="Arial"/>
          <w:sz w:val="22"/>
          <w:szCs w:val="22"/>
        </w:rPr>
        <w:t>Fond</w:t>
      </w:r>
    </w:p>
    <w:p w:rsidR="00022D5C" w:rsidRPr="00022D5C" w:rsidRDefault="00022D5C" w:rsidP="00022D5C">
      <w:pPr>
        <w:jc w:val="both"/>
        <w:rPr>
          <w:rFonts w:ascii="Arial" w:hAnsi="Arial" w:cs="Arial"/>
          <w:sz w:val="22"/>
          <w:szCs w:val="22"/>
        </w:rPr>
      </w:pPr>
      <w:r w:rsidRPr="00022D5C">
        <w:rPr>
          <w:rFonts w:ascii="Arial" w:hAnsi="Arial" w:cs="Arial"/>
          <w:b/>
          <w:sz w:val="22"/>
          <w:szCs w:val="22"/>
        </w:rPr>
        <w:t>Termen:</w:t>
      </w:r>
      <w:r w:rsidRPr="00022D5C">
        <w:rPr>
          <w:rFonts w:ascii="Arial" w:hAnsi="Arial" w:cs="Arial"/>
          <w:sz w:val="22"/>
          <w:szCs w:val="22"/>
        </w:rPr>
        <w:t xml:space="preserve"> 26.09.2018</w:t>
      </w:r>
    </w:p>
    <w:p w:rsidR="00022D5C" w:rsidRPr="00022D5C" w:rsidRDefault="00022D5C" w:rsidP="00022D5C">
      <w:pPr>
        <w:jc w:val="both"/>
        <w:rPr>
          <w:rFonts w:ascii="Arial" w:hAnsi="Arial" w:cs="Arial"/>
          <w:sz w:val="22"/>
          <w:szCs w:val="22"/>
        </w:rPr>
      </w:pPr>
    </w:p>
    <w:p w:rsidR="00022D5C" w:rsidRPr="00022D5C" w:rsidRDefault="00022D5C" w:rsidP="00022D5C">
      <w:pPr>
        <w:jc w:val="both"/>
        <w:rPr>
          <w:rFonts w:ascii="Arial" w:hAnsi="Arial" w:cs="Arial"/>
          <w:sz w:val="22"/>
          <w:szCs w:val="22"/>
          <w:lang w:val="pt-BR"/>
        </w:rPr>
      </w:pPr>
      <w:r w:rsidRPr="00022D5C">
        <w:rPr>
          <w:rFonts w:ascii="Arial" w:hAnsi="Arial" w:cs="Arial"/>
          <w:b/>
          <w:sz w:val="22"/>
          <w:szCs w:val="22"/>
        </w:rPr>
        <w:t>7.</w:t>
      </w:r>
      <w:r w:rsidRPr="00022D5C">
        <w:rPr>
          <w:rFonts w:ascii="Arial" w:hAnsi="Arial" w:cs="Arial"/>
          <w:sz w:val="22"/>
          <w:szCs w:val="22"/>
        </w:rPr>
        <w:t xml:space="preserve"> </w:t>
      </w:r>
      <w:r w:rsidRPr="00022D5C">
        <w:rPr>
          <w:rFonts w:ascii="Arial" w:hAnsi="Arial" w:cs="Arial"/>
          <w:b/>
          <w:sz w:val="22"/>
          <w:szCs w:val="22"/>
          <w:lang w:val="it-IT"/>
        </w:rPr>
        <w:t xml:space="preserve">Dosar nr. 2803/120/2013 - Tribunalul Dambovita </w:t>
      </w:r>
    </w:p>
    <w:p w:rsidR="00022D5C" w:rsidRPr="00022D5C" w:rsidRDefault="00022D5C" w:rsidP="00022D5C">
      <w:pPr>
        <w:jc w:val="both"/>
        <w:rPr>
          <w:rFonts w:ascii="Arial" w:hAnsi="Arial" w:cs="Arial"/>
          <w:sz w:val="22"/>
          <w:szCs w:val="22"/>
          <w:lang w:val="pt-BR"/>
        </w:rPr>
      </w:pPr>
      <w:r w:rsidRPr="00022D5C">
        <w:rPr>
          <w:rFonts w:ascii="Arial" w:hAnsi="Arial" w:cs="Arial"/>
          <w:b/>
          <w:sz w:val="22"/>
          <w:szCs w:val="22"/>
          <w:lang w:val="pt-BR"/>
        </w:rPr>
        <w:t>Parti:</w:t>
      </w:r>
      <w:r w:rsidRPr="00022D5C">
        <w:rPr>
          <w:rFonts w:ascii="Arial" w:hAnsi="Arial" w:cs="Arial"/>
          <w:sz w:val="22"/>
          <w:szCs w:val="22"/>
          <w:lang w:val="pt-BR"/>
        </w:rPr>
        <w:t xml:space="preserve"> Conpet S</w:t>
      </w:r>
      <w:r w:rsidR="006B1E2B">
        <w:rPr>
          <w:rFonts w:ascii="Arial" w:hAnsi="Arial" w:cs="Arial"/>
          <w:sz w:val="22"/>
          <w:szCs w:val="22"/>
          <w:lang w:val="pt-BR"/>
        </w:rPr>
        <w:t>.</w:t>
      </w:r>
      <w:r w:rsidRPr="00022D5C">
        <w:rPr>
          <w:rFonts w:ascii="Arial" w:hAnsi="Arial" w:cs="Arial"/>
          <w:sz w:val="22"/>
          <w:szCs w:val="22"/>
          <w:lang w:val="pt-BR"/>
        </w:rPr>
        <w:t>A</w:t>
      </w:r>
      <w:r w:rsidR="006B1E2B">
        <w:rPr>
          <w:rFonts w:ascii="Arial" w:hAnsi="Arial" w:cs="Arial"/>
          <w:sz w:val="22"/>
          <w:szCs w:val="22"/>
          <w:lang w:val="pt-BR"/>
        </w:rPr>
        <w:t>.</w:t>
      </w:r>
      <w:r w:rsidRPr="00022D5C">
        <w:rPr>
          <w:rFonts w:ascii="Arial" w:hAnsi="Arial" w:cs="Arial"/>
          <w:sz w:val="22"/>
          <w:szCs w:val="22"/>
          <w:lang w:val="pt-BR"/>
        </w:rPr>
        <w:t xml:space="preserve"> – creditor</w:t>
      </w:r>
    </w:p>
    <w:p w:rsidR="00022D5C" w:rsidRPr="00022D5C" w:rsidRDefault="00022D5C" w:rsidP="00022D5C">
      <w:pPr>
        <w:jc w:val="both"/>
        <w:rPr>
          <w:rFonts w:ascii="Arial" w:hAnsi="Arial" w:cs="Arial"/>
          <w:sz w:val="22"/>
          <w:szCs w:val="22"/>
          <w:lang w:val="pt-BR"/>
        </w:rPr>
      </w:pPr>
      <w:r w:rsidRPr="00022D5C">
        <w:rPr>
          <w:rFonts w:ascii="Arial" w:hAnsi="Arial" w:cs="Arial"/>
          <w:sz w:val="22"/>
          <w:szCs w:val="22"/>
          <w:lang w:val="pt-BR"/>
        </w:rPr>
        <w:t xml:space="preserve">           Ecprod S</w:t>
      </w:r>
      <w:r w:rsidR="006B1E2B">
        <w:rPr>
          <w:rFonts w:ascii="Arial" w:hAnsi="Arial" w:cs="Arial"/>
          <w:sz w:val="22"/>
          <w:szCs w:val="22"/>
          <w:lang w:val="pt-BR"/>
        </w:rPr>
        <w:t>.</w:t>
      </w:r>
      <w:r w:rsidRPr="00022D5C">
        <w:rPr>
          <w:rFonts w:ascii="Arial" w:hAnsi="Arial" w:cs="Arial"/>
          <w:sz w:val="22"/>
          <w:szCs w:val="22"/>
          <w:lang w:val="pt-BR"/>
        </w:rPr>
        <w:t>R</w:t>
      </w:r>
      <w:r w:rsidR="006B1E2B">
        <w:rPr>
          <w:rFonts w:ascii="Arial" w:hAnsi="Arial" w:cs="Arial"/>
          <w:sz w:val="22"/>
          <w:szCs w:val="22"/>
          <w:lang w:val="pt-BR"/>
        </w:rPr>
        <w:t>.</w:t>
      </w:r>
      <w:r w:rsidRPr="00022D5C">
        <w:rPr>
          <w:rFonts w:ascii="Arial" w:hAnsi="Arial" w:cs="Arial"/>
          <w:sz w:val="22"/>
          <w:szCs w:val="22"/>
          <w:lang w:val="pt-BR"/>
        </w:rPr>
        <w:t>L</w:t>
      </w:r>
      <w:r w:rsidR="006B1E2B">
        <w:rPr>
          <w:rFonts w:ascii="Arial" w:hAnsi="Arial" w:cs="Arial"/>
          <w:sz w:val="22"/>
          <w:szCs w:val="22"/>
          <w:lang w:val="pt-BR"/>
        </w:rPr>
        <w:t>.</w:t>
      </w:r>
      <w:r w:rsidRPr="00022D5C">
        <w:rPr>
          <w:rFonts w:ascii="Arial" w:hAnsi="Arial" w:cs="Arial"/>
          <w:sz w:val="22"/>
          <w:szCs w:val="22"/>
          <w:lang w:val="pt-BR"/>
        </w:rPr>
        <w:t xml:space="preserve"> - debitor</w:t>
      </w:r>
    </w:p>
    <w:p w:rsidR="00022D5C" w:rsidRPr="00022D5C" w:rsidRDefault="00022D5C" w:rsidP="00022D5C">
      <w:pPr>
        <w:jc w:val="both"/>
        <w:rPr>
          <w:rFonts w:ascii="Arial" w:hAnsi="Arial" w:cs="Arial"/>
          <w:sz w:val="22"/>
          <w:szCs w:val="22"/>
        </w:rPr>
      </w:pPr>
      <w:r w:rsidRPr="00022D5C">
        <w:rPr>
          <w:rFonts w:ascii="Arial" w:hAnsi="Arial" w:cs="Arial"/>
          <w:b/>
          <w:sz w:val="22"/>
          <w:szCs w:val="22"/>
        </w:rPr>
        <w:t xml:space="preserve">Obiect: Insolvență. Cerere admitere creanță. </w:t>
      </w:r>
      <w:r w:rsidRPr="00022D5C">
        <w:rPr>
          <w:rFonts w:ascii="Arial" w:hAnsi="Arial" w:cs="Arial"/>
          <w:sz w:val="22"/>
          <w:szCs w:val="22"/>
        </w:rPr>
        <w:t>Conpet S</w:t>
      </w:r>
      <w:r w:rsidR="006B1E2B">
        <w:rPr>
          <w:rFonts w:ascii="Arial" w:hAnsi="Arial" w:cs="Arial"/>
          <w:sz w:val="22"/>
          <w:szCs w:val="22"/>
        </w:rPr>
        <w:t>.</w:t>
      </w:r>
      <w:r w:rsidRPr="00022D5C">
        <w:rPr>
          <w:rFonts w:ascii="Arial" w:hAnsi="Arial" w:cs="Arial"/>
          <w:sz w:val="22"/>
          <w:szCs w:val="22"/>
        </w:rPr>
        <w:t>A</w:t>
      </w:r>
      <w:r w:rsidR="006B1E2B">
        <w:rPr>
          <w:rFonts w:ascii="Arial" w:hAnsi="Arial" w:cs="Arial"/>
          <w:sz w:val="22"/>
          <w:szCs w:val="22"/>
        </w:rPr>
        <w:t>.</w:t>
      </w:r>
      <w:r w:rsidRPr="00022D5C">
        <w:rPr>
          <w:rFonts w:ascii="Arial" w:hAnsi="Arial" w:cs="Arial"/>
          <w:sz w:val="22"/>
          <w:szCs w:val="22"/>
        </w:rPr>
        <w:t xml:space="preserve"> a formulat cerere admitere creanță asupra averii debitorului Ecprod în cuantum de 25.728,89 lei. Conpet este înscrisă pe Tabelul Creditorilor cu suma de 25.728,89 lei.</w:t>
      </w:r>
    </w:p>
    <w:p w:rsidR="00022D5C" w:rsidRPr="00022D5C" w:rsidRDefault="00022D5C" w:rsidP="00022D5C">
      <w:pPr>
        <w:jc w:val="both"/>
        <w:rPr>
          <w:rFonts w:ascii="Arial" w:hAnsi="Arial" w:cs="Arial"/>
          <w:sz w:val="22"/>
          <w:szCs w:val="22"/>
        </w:rPr>
      </w:pPr>
      <w:r w:rsidRPr="00022D5C">
        <w:rPr>
          <w:rFonts w:ascii="Arial" w:hAnsi="Arial" w:cs="Arial"/>
          <w:b/>
          <w:sz w:val="22"/>
          <w:szCs w:val="22"/>
        </w:rPr>
        <w:t>Stadiu procesual:</w:t>
      </w:r>
      <w:r w:rsidRPr="00022D5C">
        <w:rPr>
          <w:rFonts w:ascii="Arial" w:hAnsi="Arial" w:cs="Arial"/>
          <w:sz w:val="22"/>
          <w:szCs w:val="22"/>
        </w:rPr>
        <w:t xml:space="preserve"> Fond</w:t>
      </w:r>
    </w:p>
    <w:p w:rsidR="00022D5C" w:rsidRPr="00022D5C" w:rsidRDefault="00022D5C" w:rsidP="00022D5C">
      <w:pPr>
        <w:jc w:val="both"/>
        <w:rPr>
          <w:rFonts w:ascii="Arial" w:hAnsi="Arial" w:cs="Arial"/>
          <w:sz w:val="22"/>
          <w:szCs w:val="22"/>
        </w:rPr>
      </w:pPr>
      <w:r w:rsidRPr="00022D5C">
        <w:rPr>
          <w:rFonts w:ascii="Arial" w:hAnsi="Arial" w:cs="Arial"/>
          <w:b/>
          <w:sz w:val="22"/>
          <w:szCs w:val="22"/>
        </w:rPr>
        <w:t>Termen:</w:t>
      </w:r>
      <w:r w:rsidR="00C60341">
        <w:rPr>
          <w:rFonts w:ascii="Arial" w:hAnsi="Arial" w:cs="Arial"/>
          <w:sz w:val="22"/>
          <w:szCs w:val="22"/>
        </w:rPr>
        <w:t xml:space="preserve"> 15.10.2018</w:t>
      </w:r>
    </w:p>
    <w:p w:rsidR="00022D5C" w:rsidRPr="00022D5C" w:rsidRDefault="00022D5C" w:rsidP="00022D5C">
      <w:pPr>
        <w:jc w:val="both"/>
        <w:rPr>
          <w:rFonts w:ascii="Arial" w:hAnsi="Arial" w:cs="Arial"/>
          <w:b/>
          <w:sz w:val="22"/>
          <w:szCs w:val="22"/>
          <w:lang w:val="it-IT"/>
        </w:rPr>
      </w:pPr>
    </w:p>
    <w:p w:rsidR="00022D5C" w:rsidRPr="00022D5C" w:rsidRDefault="00022D5C" w:rsidP="00022D5C">
      <w:pPr>
        <w:jc w:val="both"/>
        <w:rPr>
          <w:rFonts w:ascii="Arial" w:hAnsi="Arial" w:cs="Arial"/>
          <w:sz w:val="22"/>
          <w:szCs w:val="22"/>
          <w:lang w:val="pt-BR"/>
        </w:rPr>
      </w:pPr>
      <w:r w:rsidRPr="00022D5C">
        <w:rPr>
          <w:rFonts w:ascii="Arial" w:hAnsi="Arial" w:cs="Arial"/>
          <w:b/>
          <w:sz w:val="22"/>
          <w:szCs w:val="22"/>
          <w:lang w:val="it-IT"/>
        </w:rPr>
        <w:t xml:space="preserve">8. Dosar nr. 7932/118/2013* </w:t>
      </w:r>
      <w:r w:rsidRPr="00022D5C">
        <w:rPr>
          <w:rFonts w:ascii="Arial" w:hAnsi="Arial" w:cs="Arial"/>
          <w:sz w:val="22"/>
          <w:szCs w:val="22"/>
        </w:rPr>
        <w:t xml:space="preserve">– </w:t>
      </w:r>
      <w:r w:rsidRPr="00022D5C">
        <w:rPr>
          <w:rFonts w:ascii="Arial" w:hAnsi="Arial" w:cs="Arial"/>
          <w:b/>
          <w:sz w:val="22"/>
          <w:szCs w:val="22"/>
          <w:lang w:val="it-IT"/>
        </w:rPr>
        <w:t xml:space="preserve">Tribunalul Constanța </w:t>
      </w:r>
    </w:p>
    <w:p w:rsidR="00022D5C" w:rsidRPr="00022D5C" w:rsidRDefault="00022D5C" w:rsidP="00022D5C">
      <w:pPr>
        <w:jc w:val="both"/>
        <w:rPr>
          <w:rFonts w:ascii="Arial" w:hAnsi="Arial" w:cs="Arial"/>
          <w:sz w:val="22"/>
          <w:szCs w:val="22"/>
          <w:lang w:val="pt-BR"/>
        </w:rPr>
      </w:pPr>
      <w:r w:rsidRPr="00022D5C">
        <w:rPr>
          <w:rFonts w:ascii="Arial" w:hAnsi="Arial" w:cs="Arial"/>
          <w:b/>
          <w:sz w:val="22"/>
          <w:szCs w:val="22"/>
          <w:lang w:val="pt-BR"/>
        </w:rPr>
        <w:t>Părți:</w:t>
      </w:r>
      <w:r w:rsidRPr="00022D5C">
        <w:rPr>
          <w:rFonts w:ascii="Arial" w:hAnsi="Arial" w:cs="Arial"/>
          <w:sz w:val="22"/>
          <w:szCs w:val="22"/>
          <w:lang w:val="pt-BR"/>
        </w:rPr>
        <w:t xml:space="preserve"> Conpet S</w:t>
      </w:r>
      <w:r w:rsidR="006B1E2B">
        <w:rPr>
          <w:rFonts w:ascii="Arial" w:hAnsi="Arial" w:cs="Arial"/>
          <w:sz w:val="22"/>
          <w:szCs w:val="22"/>
          <w:lang w:val="pt-BR"/>
        </w:rPr>
        <w:t>.</w:t>
      </w:r>
      <w:r w:rsidRPr="00022D5C">
        <w:rPr>
          <w:rFonts w:ascii="Arial" w:hAnsi="Arial" w:cs="Arial"/>
          <w:sz w:val="22"/>
          <w:szCs w:val="22"/>
          <w:lang w:val="pt-BR"/>
        </w:rPr>
        <w:t>A</w:t>
      </w:r>
      <w:r w:rsidR="006B1E2B">
        <w:rPr>
          <w:rFonts w:ascii="Arial" w:hAnsi="Arial" w:cs="Arial"/>
          <w:sz w:val="22"/>
          <w:szCs w:val="22"/>
          <w:lang w:val="pt-BR"/>
        </w:rPr>
        <w:t>.</w:t>
      </w:r>
      <w:r w:rsidRPr="00022D5C">
        <w:rPr>
          <w:rFonts w:ascii="Arial" w:hAnsi="Arial" w:cs="Arial"/>
          <w:sz w:val="22"/>
          <w:szCs w:val="22"/>
          <w:lang w:val="pt-BR"/>
        </w:rPr>
        <w:t xml:space="preserve"> - parte civilă</w:t>
      </w:r>
    </w:p>
    <w:p w:rsidR="00022D5C" w:rsidRPr="00022D5C" w:rsidRDefault="00022D5C" w:rsidP="00022D5C">
      <w:pPr>
        <w:jc w:val="both"/>
        <w:rPr>
          <w:rFonts w:ascii="Arial" w:hAnsi="Arial" w:cs="Arial"/>
          <w:sz w:val="22"/>
          <w:szCs w:val="22"/>
          <w:lang w:val="pt-BR"/>
        </w:rPr>
      </w:pPr>
      <w:r w:rsidRPr="00022D5C">
        <w:rPr>
          <w:rFonts w:ascii="Arial" w:hAnsi="Arial" w:cs="Arial"/>
          <w:sz w:val="22"/>
          <w:szCs w:val="22"/>
          <w:lang w:val="pt-BR"/>
        </w:rPr>
        <w:t xml:space="preserve">           Bivolaru Gabriel, Chihaia Marin, Mangalea Gheorghe, Arhire Adrian, Poenaru Marius Ciprian, Boamfa Paul, Luca Viorel, Meridicos Romeo Ovidiu, Dimo</w:t>
      </w:r>
      <w:r w:rsidR="006B1E2B">
        <w:rPr>
          <w:rFonts w:ascii="Arial" w:hAnsi="Arial" w:cs="Arial"/>
          <w:sz w:val="22"/>
          <w:szCs w:val="22"/>
          <w:lang w:val="pt-BR"/>
        </w:rPr>
        <w:t>fte Petronel, Matei Marius Ionuț</w:t>
      </w:r>
      <w:r w:rsidRPr="00022D5C">
        <w:rPr>
          <w:rFonts w:ascii="Arial" w:hAnsi="Arial" w:cs="Arial"/>
          <w:sz w:val="22"/>
          <w:szCs w:val="22"/>
          <w:lang w:val="pt-BR"/>
        </w:rPr>
        <w:t>, Ahălanei Ioan - inculpați</w:t>
      </w:r>
    </w:p>
    <w:p w:rsidR="00022D5C" w:rsidRPr="00022D5C" w:rsidRDefault="00022D5C" w:rsidP="00022D5C">
      <w:pPr>
        <w:jc w:val="both"/>
        <w:rPr>
          <w:rFonts w:ascii="Arial" w:hAnsi="Arial" w:cs="Arial"/>
          <w:sz w:val="22"/>
          <w:szCs w:val="22"/>
          <w:lang w:val="pt-BR"/>
        </w:rPr>
      </w:pPr>
      <w:r w:rsidRPr="00022D5C">
        <w:rPr>
          <w:rFonts w:ascii="Arial" w:hAnsi="Arial" w:cs="Arial"/>
          <w:sz w:val="22"/>
          <w:szCs w:val="22"/>
          <w:lang w:val="pt-BR"/>
        </w:rPr>
        <w:t>Romeo International Service Company SRL Năvodari - inculpat</w:t>
      </w:r>
    </w:p>
    <w:p w:rsidR="00022D5C" w:rsidRPr="00022D5C" w:rsidRDefault="00022D5C" w:rsidP="00022D5C">
      <w:pPr>
        <w:jc w:val="both"/>
        <w:rPr>
          <w:rFonts w:ascii="Arial" w:hAnsi="Arial" w:cs="Arial"/>
          <w:sz w:val="22"/>
          <w:szCs w:val="22"/>
          <w:lang w:val="pt-BR"/>
        </w:rPr>
      </w:pPr>
      <w:r w:rsidRPr="00022D5C">
        <w:rPr>
          <w:rFonts w:ascii="Arial" w:hAnsi="Arial" w:cs="Arial"/>
          <w:sz w:val="22"/>
          <w:szCs w:val="22"/>
          <w:lang w:val="pt-BR"/>
        </w:rPr>
        <w:t>Romeo International Service Company SRL Năvodari reprezentată de  Nicolaidis Constantin - inculpat</w:t>
      </w:r>
    </w:p>
    <w:p w:rsidR="00022D5C" w:rsidRPr="00022D5C" w:rsidRDefault="00022D5C" w:rsidP="00022D5C">
      <w:pPr>
        <w:jc w:val="both"/>
        <w:rPr>
          <w:rFonts w:ascii="Arial" w:hAnsi="Arial" w:cs="Arial"/>
          <w:sz w:val="22"/>
          <w:szCs w:val="22"/>
          <w:lang w:val="pt-BR"/>
        </w:rPr>
      </w:pPr>
      <w:r w:rsidRPr="00022D5C">
        <w:rPr>
          <w:rFonts w:ascii="Arial" w:hAnsi="Arial" w:cs="Arial"/>
          <w:sz w:val="22"/>
          <w:szCs w:val="22"/>
          <w:lang w:val="pt-BR"/>
        </w:rPr>
        <w:t>Ministerul Finanțelor Publice - ANAF - parte civilă</w:t>
      </w:r>
    </w:p>
    <w:p w:rsidR="00022D5C" w:rsidRPr="00022D5C" w:rsidRDefault="00022D5C" w:rsidP="00022D5C">
      <w:pPr>
        <w:jc w:val="both"/>
        <w:rPr>
          <w:rFonts w:ascii="Arial" w:hAnsi="Arial" w:cs="Arial"/>
          <w:sz w:val="22"/>
          <w:szCs w:val="22"/>
          <w:lang w:val="pt-BR"/>
        </w:rPr>
      </w:pPr>
      <w:r w:rsidRPr="00022D5C">
        <w:rPr>
          <w:rFonts w:ascii="Arial" w:hAnsi="Arial" w:cs="Arial"/>
          <w:sz w:val="22"/>
          <w:szCs w:val="22"/>
          <w:lang w:val="pt-BR"/>
        </w:rPr>
        <w:t>DGFP - parte civilă</w:t>
      </w:r>
    </w:p>
    <w:p w:rsidR="00022D5C" w:rsidRPr="00022D5C" w:rsidRDefault="00022D5C" w:rsidP="00022D5C">
      <w:pPr>
        <w:jc w:val="both"/>
        <w:rPr>
          <w:rFonts w:ascii="Arial" w:hAnsi="Arial" w:cs="Arial"/>
          <w:sz w:val="22"/>
          <w:szCs w:val="22"/>
        </w:rPr>
      </w:pPr>
      <w:r w:rsidRPr="00022D5C">
        <w:rPr>
          <w:rFonts w:ascii="Arial" w:hAnsi="Arial" w:cs="Arial"/>
          <w:b/>
          <w:sz w:val="22"/>
          <w:szCs w:val="22"/>
        </w:rPr>
        <w:t xml:space="preserve">Obiect: Infracțiuni de evaziune fiscală (Legea 87/1994, Legea 241/2005), art. 323 C.pen., Furt calificat (art. 208-209 C.pen.). </w:t>
      </w:r>
      <w:r w:rsidRPr="00022D5C">
        <w:rPr>
          <w:rFonts w:ascii="Arial" w:hAnsi="Arial" w:cs="Arial"/>
          <w:sz w:val="22"/>
          <w:szCs w:val="22"/>
        </w:rPr>
        <w:t xml:space="preserve">Conpet SA s-a constituit parte civilă pentru suma de de 928.785,94 lei reprezentând contravaloarea cantității de țiței sustrase (277 tone), a lucrărilor de remediere conducte și a analizelor de laborator. </w:t>
      </w:r>
    </w:p>
    <w:p w:rsidR="00022D5C" w:rsidRPr="00022D5C" w:rsidRDefault="00022D5C" w:rsidP="00022D5C">
      <w:pPr>
        <w:jc w:val="both"/>
        <w:rPr>
          <w:rFonts w:ascii="Arial" w:hAnsi="Arial" w:cs="Arial"/>
          <w:sz w:val="22"/>
          <w:szCs w:val="22"/>
        </w:rPr>
      </w:pPr>
      <w:r w:rsidRPr="00022D5C">
        <w:rPr>
          <w:rFonts w:ascii="Arial" w:hAnsi="Arial" w:cs="Arial"/>
          <w:b/>
          <w:sz w:val="22"/>
          <w:szCs w:val="22"/>
        </w:rPr>
        <w:t>Precizări:</w:t>
      </w:r>
      <w:r w:rsidRPr="00022D5C">
        <w:rPr>
          <w:rFonts w:ascii="Arial" w:hAnsi="Arial" w:cs="Arial"/>
          <w:sz w:val="22"/>
          <w:szCs w:val="22"/>
        </w:rPr>
        <w:t xml:space="preserve"> Prin </w:t>
      </w:r>
      <w:r w:rsidRPr="00022D5C">
        <w:rPr>
          <w:rFonts w:ascii="Arial" w:hAnsi="Arial" w:cs="Arial"/>
          <w:b/>
          <w:sz w:val="22"/>
          <w:szCs w:val="22"/>
        </w:rPr>
        <w:t>sentința nr. 472/17.12.2015</w:t>
      </w:r>
      <w:r w:rsidRPr="00022D5C">
        <w:rPr>
          <w:rFonts w:ascii="Arial" w:hAnsi="Arial" w:cs="Arial"/>
          <w:sz w:val="22"/>
          <w:szCs w:val="22"/>
        </w:rPr>
        <w:t xml:space="preserve"> Tribunalul Constanța admite acţiunea civilă formulată de partea civilă Conpet S</w:t>
      </w:r>
      <w:r w:rsidR="006B1E2B">
        <w:rPr>
          <w:rFonts w:ascii="Arial" w:hAnsi="Arial" w:cs="Arial"/>
          <w:sz w:val="22"/>
          <w:szCs w:val="22"/>
        </w:rPr>
        <w:t>.</w:t>
      </w:r>
      <w:r w:rsidRPr="00022D5C">
        <w:rPr>
          <w:rFonts w:ascii="Arial" w:hAnsi="Arial" w:cs="Arial"/>
          <w:sz w:val="22"/>
          <w:szCs w:val="22"/>
        </w:rPr>
        <w:t>A. Ploieşti. Obligă în solidar inculpaţii Bivolaru Gabriel, Chihaia Marin, Mangalea Gheorghe, Ahalanei Ioan, Arhire Adrian, Poenaru Marius Ciprian, Boamfa Paul, Merdicos Romeo Ovidiu, Dimofte Petronel, Luca Viorel şi Matei Marius Ionut la plata către partea civilă Conpet S</w:t>
      </w:r>
      <w:r w:rsidR="006B1E2B">
        <w:rPr>
          <w:rFonts w:ascii="Arial" w:hAnsi="Arial" w:cs="Arial"/>
          <w:sz w:val="22"/>
          <w:szCs w:val="22"/>
        </w:rPr>
        <w:t>.</w:t>
      </w:r>
      <w:r w:rsidRPr="00022D5C">
        <w:rPr>
          <w:rFonts w:ascii="Arial" w:hAnsi="Arial" w:cs="Arial"/>
          <w:sz w:val="22"/>
          <w:szCs w:val="22"/>
        </w:rPr>
        <w:t>A. a sumei de 90.814,50 lei(c/val a 30 tone ţiţei sustrase în 27.05.2013). Obligă în solidar inculpaţii Bivolaru Gabriel, Chihaia Marin, Mangalea Gheorghe, Ahalanei Ioan, Arhire Adrian, Poenaru Marius Ciprian, Boamfa Paul, Merdicos Romeo Ovidiu, Dimofte Petronel, L</w:t>
      </w:r>
      <w:r w:rsidR="004E577E">
        <w:rPr>
          <w:rFonts w:ascii="Arial" w:hAnsi="Arial" w:cs="Arial"/>
          <w:sz w:val="22"/>
          <w:szCs w:val="22"/>
        </w:rPr>
        <w:t>uca Viorel şi Matei Marius Ionuț</w:t>
      </w:r>
      <w:r w:rsidRPr="00022D5C">
        <w:rPr>
          <w:rFonts w:ascii="Arial" w:hAnsi="Arial" w:cs="Arial"/>
          <w:sz w:val="22"/>
          <w:szCs w:val="22"/>
        </w:rPr>
        <w:t xml:space="preserve"> la plata către partea civilă Conpet S</w:t>
      </w:r>
      <w:r w:rsidR="006B1E2B">
        <w:rPr>
          <w:rFonts w:ascii="Arial" w:hAnsi="Arial" w:cs="Arial"/>
          <w:sz w:val="22"/>
          <w:szCs w:val="22"/>
        </w:rPr>
        <w:t>.</w:t>
      </w:r>
      <w:r w:rsidRPr="00022D5C">
        <w:rPr>
          <w:rFonts w:ascii="Arial" w:hAnsi="Arial" w:cs="Arial"/>
          <w:sz w:val="22"/>
          <w:szCs w:val="22"/>
        </w:rPr>
        <w:t xml:space="preserve">A. a sumei de 93.841,65 lei(c/val </w:t>
      </w:r>
      <w:r w:rsidRPr="00022D5C">
        <w:rPr>
          <w:rFonts w:ascii="Arial" w:hAnsi="Arial" w:cs="Arial"/>
          <w:sz w:val="22"/>
          <w:szCs w:val="22"/>
        </w:rPr>
        <w:lastRenderedPageBreak/>
        <w:t>a 31 tone ţiţei sustrase în 31.05.2013). Obligă în solidar inculpaţii Bivolaru Gabriel, Chihaia Marin, Mangalea Gheorghe, Ahalanei Ioan, Arhire Adrian, Poenaru Marius Ciprian, Boamfa Paul, Merdicos Romeo Ovidiu, Dimofte Petronel, L</w:t>
      </w:r>
      <w:r w:rsidR="004E577E">
        <w:rPr>
          <w:rFonts w:ascii="Arial" w:hAnsi="Arial" w:cs="Arial"/>
          <w:sz w:val="22"/>
          <w:szCs w:val="22"/>
        </w:rPr>
        <w:t>uca Viorel şi Matei Marius Ionuț</w:t>
      </w:r>
      <w:r w:rsidRPr="00022D5C">
        <w:rPr>
          <w:rFonts w:ascii="Arial" w:hAnsi="Arial" w:cs="Arial"/>
          <w:sz w:val="22"/>
          <w:szCs w:val="22"/>
        </w:rPr>
        <w:t xml:space="preserve"> la plata către partea civilă Conpet S</w:t>
      </w:r>
      <w:r w:rsidR="004E577E">
        <w:rPr>
          <w:rFonts w:ascii="Arial" w:hAnsi="Arial" w:cs="Arial"/>
          <w:sz w:val="22"/>
          <w:szCs w:val="22"/>
        </w:rPr>
        <w:t>.</w:t>
      </w:r>
      <w:r w:rsidRPr="00022D5C">
        <w:rPr>
          <w:rFonts w:ascii="Arial" w:hAnsi="Arial" w:cs="Arial"/>
          <w:sz w:val="22"/>
          <w:szCs w:val="22"/>
        </w:rPr>
        <w:t>A. a sumei de 111.027,27 lei(c/val a 36 tone ţiţei sustrase în 03.06.2013). Obligă în solidar inculpaţii Bivolaru Gabriel, Chihaia Marin, Mangalea Gheorghe, Ahalanei Ioan, Arhire Adrian, Poenaru Marius Ciprian, Boamfa Paul, Merdicos Romeo Ovidiu, Dimofte Petronel, L</w:t>
      </w:r>
      <w:r w:rsidR="00A53EA5">
        <w:rPr>
          <w:rFonts w:ascii="Arial" w:hAnsi="Arial" w:cs="Arial"/>
          <w:sz w:val="22"/>
          <w:szCs w:val="22"/>
        </w:rPr>
        <w:t>uca Viorel şi Matei Marius Ionuț</w:t>
      </w:r>
      <w:r w:rsidRPr="00022D5C">
        <w:rPr>
          <w:rFonts w:ascii="Arial" w:hAnsi="Arial" w:cs="Arial"/>
          <w:sz w:val="22"/>
          <w:szCs w:val="22"/>
        </w:rPr>
        <w:t xml:space="preserve"> la plata către partea civilă Conpet SA. a sumei de 585.977,25 lei (c/val a 190 tone ţiţei sustrase în 04.06.2013 şi 05.06.2013). Obligă în solidar inculpaţii Bivolaru Gabriel, Chihaia Marin, Mangalea Gheorghe, Ahalanei Ioan, Arhire Adrian, Poenaru Marius Ciprian, Boamfa Paul, Merdicos Romeo Ovidiu, Dimofte Petronel, L</w:t>
      </w:r>
      <w:r w:rsidR="004E577E">
        <w:rPr>
          <w:rFonts w:ascii="Arial" w:hAnsi="Arial" w:cs="Arial"/>
          <w:sz w:val="22"/>
          <w:szCs w:val="22"/>
        </w:rPr>
        <w:t>uca Viorel şi Matei Marius Ionuț</w:t>
      </w:r>
      <w:r w:rsidRPr="00022D5C">
        <w:rPr>
          <w:rFonts w:ascii="Arial" w:hAnsi="Arial" w:cs="Arial"/>
          <w:sz w:val="22"/>
          <w:szCs w:val="22"/>
        </w:rPr>
        <w:t xml:space="preserve"> la plata către partea civilă Conpet S</w:t>
      </w:r>
      <w:r w:rsidR="004E577E">
        <w:rPr>
          <w:rFonts w:ascii="Arial" w:hAnsi="Arial" w:cs="Arial"/>
          <w:sz w:val="22"/>
          <w:szCs w:val="22"/>
        </w:rPr>
        <w:t>.</w:t>
      </w:r>
      <w:r w:rsidRPr="00022D5C">
        <w:rPr>
          <w:rFonts w:ascii="Arial" w:hAnsi="Arial" w:cs="Arial"/>
          <w:sz w:val="22"/>
          <w:szCs w:val="22"/>
        </w:rPr>
        <w:t>A. a sumei de 17.289,32 lei reprezentând c/val lucrărilor de dezafectare a instalaţiei artizanale şi pentru aducerea conductei în starea iniţială. Obligă în solidar inculpaţii Bivolaru Gabriel, Chihaia Marin, Mangalea Gheorghe, Ahalanei Ioan, Arhire Adrian, Poenaru Marius Ciprian, Boamfa Paul, Merdicos Romeo Ovidiu, Dimofte Petronel, Luca Viorel şi Matei Marius Ionut la plata către partea civilă Conpet S</w:t>
      </w:r>
      <w:r w:rsidR="004E577E">
        <w:rPr>
          <w:rFonts w:ascii="Arial" w:hAnsi="Arial" w:cs="Arial"/>
          <w:sz w:val="22"/>
          <w:szCs w:val="22"/>
        </w:rPr>
        <w:t>.</w:t>
      </w:r>
      <w:r w:rsidRPr="00022D5C">
        <w:rPr>
          <w:rFonts w:ascii="Arial" w:hAnsi="Arial" w:cs="Arial"/>
          <w:sz w:val="22"/>
          <w:szCs w:val="22"/>
        </w:rPr>
        <w:t>A. a sumei de 9.576,84 lei reprezentând c/val analizelor de laborator, pentru 17 probe produs petrolier. Ia act că partea civilă Conpet S</w:t>
      </w:r>
      <w:r w:rsidR="004E577E">
        <w:rPr>
          <w:rFonts w:ascii="Arial" w:hAnsi="Arial" w:cs="Arial"/>
          <w:sz w:val="22"/>
          <w:szCs w:val="22"/>
        </w:rPr>
        <w:t>.</w:t>
      </w:r>
      <w:r w:rsidRPr="00022D5C">
        <w:rPr>
          <w:rFonts w:ascii="Arial" w:hAnsi="Arial" w:cs="Arial"/>
          <w:sz w:val="22"/>
          <w:szCs w:val="22"/>
        </w:rPr>
        <w:t xml:space="preserve">A. a renunţat la pretenţiile civile în cuantum de 20.268,11 lei pentru fapta din 03.08.2013 deoarece prejudiciul a fost recuperat integral. Hotărârea a fost atacată cu apel de către inculpați. </w:t>
      </w:r>
    </w:p>
    <w:p w:rsidR="00022D5C" w:rsidRPr="00022D5C" w:rsidRDefault="00022D5C" w:rsidP="00022D5C">
      <w:pPr>
        <w:jc w:val="both"/>
        <w:rPr>
          <w:rFonts w:ascii="Arial" w:hAnsi="Arial" w:cs="Arial"/>
          <w:sz w:val="22"/>
          <w:szCs w:val="22"/>
        </w:rPr>
      </w:pPr>
      <w:r w:rsidRPr="00022D5C">
        <w:rPr>
          <w:rFonts w:ascii="Arial" w:hAnsi="Arial" w:cs="Arial"/>
          <w:sz w:val="22"/>
          <w:szCs w:val="22"/>
        </w:rPr>
        <w:t xml:space="preserve">Prin </w:t>
      </w:r>
      <w:r w:rsidRPr="00022D5C">
        <w:rPr>
          <w:rFonts w:ascii="Arial" w:hAnsi="Arial" w:cs="Arial"/>
          <w:b/>
          <w:sz w:val="22"/>
          <w:szCs w:val="22"/>
        </w:rPr>
        <w:t>decizia nr. 675/10.06.2016</w:t>
      </w:r>
      <w:r w:rsidRPr="00022D5C">
        <w:rPr>
          <w:rFonts w:ascii="Arial" w:hAnsi="Arial" w:cs="Arial"/>
          <w:sz w:val="22"/>
          <w:szCs w:val="22"/>
        </w:rPr>
        <w:t xml:space="preserve"> Curtea de Apel Constanța admite apelurile formulate de Parchetul de pe lângă Tribunalul Constanta și de apelanții inculpați Bivolaru Gabriel, Chihaia Marin, Mangalea Gheorghe, Arhire Adrian, Poenaru Marius Ciprian, Boamfă Paul, Luca Viorel, Meridicos Romeo Ovidiu, Dimofte Petronel, Matei Marius Ionut, Ahălanei Ioan si SC Romeo International Service Company SRL Năvodari. Desfiinţează în tot sentinţa penală nr. 472/17.12.2015 pronunţată de Tribunalul Constanța în dosar nr. 7932/118/2013 și dispune trimiterea cauzei spre rejudecare la Tribunalul Constanța. Aici primește * și se dispune trimiterea cauzei la judecătorul de cameră preliminară (</w:t>
      </w:r>
      <w:r w:rsidRPr="00022D5C">
        <w:rPr>
          <w:rFonts w:ascii="Arial" w:hAnsi="Arial" w:cs="Arial"/>
          <w:sz w:val="22"/>
          <w:szCs w:val="22"/>
          <w:lang w:val="it-IT"/>
        </w:rPr>
        <w:t>7932/118/2013*/a1).</w:t>
      </w:r>
      <w:r w:rsidRPr="00022D5C">
        <w:rPr>
          <w:rFonts w:ascii="Arial" w:hAnsi="Arial" w:cs="Arial"/>
          <w:sz w:val="22"/>
          <w:szCs w:val="22"/>
        </w:rPr>
        <w:t xml:space="preserve"> </w:t>
      </w:r>
    </w:p>
    <w:p w:rsidR="00022D5C" w:rsidRPr="00022D5C" w:rsidRDefault="00022D5C" w:rsidP="00022D5C">
      <w:pPr>
        <w:jc w:val="both"/>
        <w:rPr>
          <w:rFonts w:ascii="Arial" w:hAnsi="Arial" w:cs="Arial"/>
          <w:sz w:val="22"/>
          <w:szCs w:val="22"/>
        </w:rPr>
      </w:pPr>
      <w:r w:rsidRPr="00022D5C">
        <w:rPr>
          <w:rFonts w:ascii="Arial" w:hAnsi="Arial" w:cs="Arial"/>
          <w:sz w:val="22"/>
          <w:szCs w:val="22"/>
        </w:rPr>
        <w:t xml:space="preserve">Prin </w:t>
      </w:r>
      <w:r w:rsidRPr="00022D5C">
        <w:rPr>
          <w:rFonts w:ascii="Arial" w:hAnsi="Arial" w:cs="Arial"/>
          <w:b/>
          <w:sz w:val="22"/>
          <w:szCs w:val="22"/>
        </w:rPr>
        <w:t>Încheierea nr. 93/28.02.2017</w:t>
      </w:r>
      <w:r w:rsidRPr="00022D5C">
        <w:rPr>
          <w:rFonts w:ascii="Arial" w:hAnsi="Arial" w:cs="Arial"/>
          <w:sz w:val="22"/>
          <w:szCs w:val="22"/>
        </w:rPr>
        <w:t xml:space="preserve"> Tribunalul Constanța respinge ca nefondate cererile şi excepţiile formulate de inculpaţii Bivolaru Gabriel , Chihaia Marin , Merdicos Romeo Ovidiu , Arhire Adrian şi Mangalea Gheorghe. Constată legalitatea sesizării instanţei cu Rechizitoriul nr. 569/P/2013 din data 30.08.2013 emis de Parchetul de pe lângă Curtea de Apel Constanţa prin care s-a dispus trimiterea în judecată a inculpaţilor. Constată legalitatea administrării probelor şi a efectuării actelor de urmărire penală. Dispune începerea judecăţii cauzei. Încheierea a fost atacată cu constestație, respinsă de CA Constanța.</w:t>
      </w:r>
    </w:p>
    <w:p w:rsidR="00022D5C" w:rsidRPr="00022D5C" w:rsidRDefault="00022D5C" w:rsidP="00022D5C">
      <w:pPr>
        <w:jc w:val="both"/>
        <w:rPr>
          <w:rFonts w:ascii="Arial" w:hAnsi="Arial" w:cs="Arial"/>
          <w:sz w:val="22"/>
          <w:szCs w:val="22"/>
        </w:rPr>
      </w:pPr>
      <w:r w:rsidRPr="00022D5C">
        <w:rPr>
          <w:rFonts w:ascii="Arial" w:hAnsi="Arial" w:cs="Arial"/>
          <w:sz w:val="22"/>
          <w:szCs w:val="22"/>
        </w:rPr>
        <w:t>De asemenea, prin Încheierea din 28.02.2017 Tribunalul Constanța constată admisibilă excepţia de neconstituţionalitate. Sesizează Curtea Constituţională cu soluţionarea excepţiei de neconstituţionalitate invocată de inculpatul Bivolaru Gabriel, în dosar nr. 7932/118/2013* al Tribunalului Constanţa, cu privire la neconstituţionalitatea dispoziţiilor disp. art. 280 alin.1, art. 281 alin.1 şi art. 282 alin.1 si 2 din Codul de Procedura Penală – dosar nr. 812D/2017 – termen: 14.12.2017. Excepția a fost respinsă ca inadmisibilă.</w:t>
      </w:r>
    </w:p>
    <w:p w:rsidR="00022D5C" w:rsidRPr="00022D5C" w:rsidRDefault="00022D5C" w:rsidP="00022D5C">
      <w:pPr>
        <w:jc w:val="both"/>
        <w:rPr>
          <w:rFonts w:ascii="Arial" w:hAnsi="Arial" w:cs="Arial"/>
          <w:sz w:val="22"/>
          <w:szCs w:val="22"/>
        </w:rPr>
      </w:pPr>
      <w:r w:rsidRPr="00022D5C">
        <w:rPr>
          <w:rFonts w:ascii="Arial" w:hAnsi="Arial" w:cs="Arial"/>
          <w:b/>
          <w:sz w:val="22"/>
          <w:szCs w:val="22"/>
        </w:rPr>
        <w:t>Stadiu procesual:</w:t>
      </w:r>
      <w:r w:rsidRPr="00022D5C">
        <w:rPr>
          <w:rFonts w:ascii="Arial" w:hAnsi="Arial" w:cs="Arial"/>
          <w:sz w:val="22"/>
          <w:szCs w:val="22"/>
        </w:rPr>
        <w:t xml:space="preserve"> Fond-rejudecare</w:t>
      </w:r>
    </w:p>
    <w:p w:rsidR="00022D5C" w:rsidRDefault="00022D5C" w:rsidP="00022D5C">
      <w:pPr>
        <w:jc w:val="both"/>
        <w:rPr>
          <w:rFonts w:ascii="Arial" w:hAnsi="Arial" w:cs="Arial"/>
          <w:sz w:val="22"/>
          <w:szCs w:val="22"/>
        </w:rPr>
      </w:pPr>
      <w:r w:rsidRPr="00022D5C">
        <w:rPr>
          <w:rFonts w:ascii="Arial" w:hAnsi="Arial" w:cs="Arial"/>
          <w:b/>
          <w:sz w:val="22"/>
          <w:szCs w:val="22"/>
        </w:rPr>
        <w:t>Termen:</w:t>
      </w:r>
      <w:r w:rsidRPr="00022D5C">
        <w:rPr>
          <w:rFonts w:ascii="Arial" w:hAnsi="Arial" w:cs="Arial"/>
          <w:sz w:val="22"/>
          <w:szCs w:val="22"/>
        </w:rPr>
        <w:t xml:space="preserve"> 05.09.2018</w:t>
      </w:r>
    </w:p>
    <w:p w:rsidR="00C60341" w:rsidRDefault="00C60341" w:rsidP="00022D5C">
      <w:pPr>
        <w:jc w:val="both"/>
        <w:rPr>
          <w:rFonts w:ascii="Arial" w:hAnsi="Arial" w:cs="Arial"/>
          <w:sz w:val="22"/>
          <w:szCs w:val="22"/>
        </w:rPr>
      </w:pPr>
    </w:p>
    <w:p w:rsidR="00C60341" w:rsidRPr="00022D5C" w:rsidRDefault="00C60341" w:rsidP="00C60341">
      <w:pPr>
        <w:jc w:val="both"/>
        <w:rPr>
          <w:rFonts w:ascii="Arial" w:hAnsi="Arial" w:cs="Arial"/>
          <w:b/>
          <w:sz w:val="22"/>
          <w:szCs w:val="22"/>
          <w:lang w:val="pt-BR"/>
        </w:rPr>
      </w:pPr>
      <w:r w:rsidRPr="00022D5C">
        <w:rPr>
          <w:rFonts w:ascii="Arial" w:hAnsi="Arial" w:cs="Arial"/>
          <w:b/>
          <w:sz w:val="22"/>
          <w:szCs w:val="22"/>
          <w:lang w:val="it-IT"/>
        </w:rPr>
        <w:t xml:space="preserve">9. Dosar nr. 1862/114/2014 – Tribunalul Buzău </w:t>
      </w:r>
    </w:p>
    <w:p w:rsidR="00C60341" w:rsidRPr="00022D5C" w:rsidRDefault="00A53EA5" w:rsidP="00C60341">
      <w:pPr>
        <w:jc w:val="both"/>
        <w:rPr>
          <w:rFonts w:ascii="Arial" w:hAnsi="Arial" w:cs="Arial"/>
          <w:sz w:val="22"/>
          <w:szCs w:val="22"/>
          <w:lang w:val="pt-BR"/>
        </w:rPr>
      </w:pPr>
      <w:r>
        <w:rPr>
          <w:rFonts w:ascii="Arial" w:hAnsi="Arial" w:cs="Arial"/>
          <w:b/>
          <w:sz w:val="22"/>
          <w:szCs w:val="22"/>
          <w:lang w:val="pt-BR"/>
        </w:rPr>
        <w:t>Părț</w:t>
      </w:r>
      <w:r w:rsidR="00C60341" w:rsidRPr="00022D5C">
        <w:rPr>
          <w:rFonts w:ascii="Arial" w:hAnsi="Arial" w:cs="Arial"/>
          <w:b/>
          <w:sz w:val="22"/>
          <w:szCs w:val="22"/>
          <w:lang w:val="pt-BR"/>
        </w:rPr>
        <w:t xml:space="preserve">i: </w:t>
      </w:r>
      <w:r w:rsidR="00C60341" w:rsidRPr="00022D5C">
        <w:rPr>
          <w:rFonts w:ascii="Arial" w:hAnsi="Arial" w:cs="Arial"/>
          <w:sz w:val="22"/>
          <w:szCs w:val="22"/>
          <w:lang w:val="pt-BR"/>
        </w:rPr>
        <w:t>Conpet S</w:t>
      </w:r>
      <w:r>
        <w:rPr>
          <w:rFonts w:ascii="Arial" w:hAnsi="Arial" w:cs="Arial"/>
          <w:sz w:val="22"/>
          <w:szCs w:val="22"/>
          <w:lang w:val="pt-BR"/>
        </w:rPr>
        <w:t>.</w:t>
      </w:r>
      <w:r w:rsidR="00C60341" w:rsidRPr="00022D5C">
        <w:rPr>
          <w:rFonts w:ascii="Arial" w:hAnsi="Arial" w:cs="Arial"/>
          <w:sz w:val="22"/>
          <w:szCs w:val="22"/>
          <w:lang w:val="pt-BR"/>
        </w:rPr>
        <w:t>A</w:t>
      </w:r>
      <w:r>
        <w:rPr>
          <w:rFonts w:ascii="Arial" w:hAnsi="Arial" w:cs="Arial"/>
          <w:sz w:val="22"/>
          <w:szCs w:val="22"/>
          <w:lang w:val="pt-BR"/>
        </w:rPr>
        <w:t>.</w:t>
      </w:r>
      <w:r w:rsidR="00C60341" w:rsidRPr="00022D5C">
        <w:rPr>
          <w:rFonts w:ascii="Arial" w:hAnsi="Arial" w:cs="Arial"/>
          <w:sz w:val="22"/>
          <w:szCs w:val="22"/>
          <w:lang w:val="pt-BR"/>
        </w:rPr>
        <w:t xml:space="preserve"> – creditor</w:t>
      </w:r>
    </w:p>
    <w:p w:rsidR="00C60341" w:rsidRPr="00022D5C" w:rsidRDefault="00C60341" w:rsidP="00C60341">
      <w:pPr>
        <w:jc w:val="both"/>
        <w:rPr>
          <w:rFonts w:ascii="Arial" w:hAnsi="Arial" w:cs="Arial"/>
          <w:sz w:val="22"/>
          <w:szCs w:val="22"/>
          <w:lang w:val="pt-BR"/>
        </w:rPr>
      </w:pPr>
      <w:r w:rsidRPr="00022D5C">
        <w:rPr>
          <w:rFonts w:ascii="Arial" w:hAnsi="Arial" w:cs="Arial"/>
          <w:sz w:val="22"/>
          <w:szCs w:val="22"/>
          <w:lang w:val="pt-BR"/>
        </w:rPr>
        <w:t xml:space="preserve">           Geluval Stor S</w:t>
      </w:r>
      <w:r w:rsidR="00A53EA5">
        <w:rPr>
          <w:rFonts w:ascii="Arial" w:hAnsi="Arial" w:cs="Arial"/>
          <w:sz w:val="22"/>
          <w:szCs w:val="22"/>
          <w:lang w:val="pt-BR"/>
        </w:rPr>
        <w:t>.</w:t>
      </w:r>
      <w:r w:rsidRPr="00022D5C">
        <w:rPr>
          <w:rFonts w:ascii="Arial" w:hAnsi="Arial" w:cs="Arial"/>
          <w:sz w:val="22"/>
          <w:szCs w:val="22"/>
          <w:lang w:val="pt-BR"/>
        </w:rPr>
        <w:t>R</w:t>
      </w:r>
      <w:r w:rsidR="00A53EA5">
        <w:rPr>
          <w:rFonts w:ascii="Arial" w:hAnsi="Arial" w:cs="Arial"/>
          <w:sz w:val="22"/>
          <w:szCs w:val="22"/>
          <w:lang w:val="pt-BR"/>
        </w:rPr>
        <w:t>.</w:t>
      </w:r>
      <w:r w:rsidRPr="00022D5C">
        <w:rPr>
          <w:rFonts w:ascii="Arial" w:hAnsi="Arial" w:cs="Arial"/>
          <w:sz w:val="22"/>
          <w:szCs w:val="22"/>
          <w:lang w:val="pt-BR"/>
        </w:rPr>
        <w:t>L</w:t>
      </w:r>
      <w:r w:rsidR="00A53EA5">
        <w:rPr>
          <w:rFonts w:ascii="Arial" w:hAnsi="Arial" w:cs="Arial"/>
          <w:sz w:val="22"/>
          <w:szCs w:val="22"/>
          <w:lang w:val="pt-BR"/>
        </w:rPr>
        <w:t>.</w:t>
      </w:r>
      <w:r w:rsidRPr="00022D5C">
        <w:rPr>
          <w:rFonts w:ascii="Arial" w:hAnsi="Arial" w:cs="Arial"/>
          <w:sz w:val="22"/>
          <w:szCs w:val="22"/>
          <w:lang w:val="pt-BR"/>
        </w:rPr>
        <w:t xml:space="preserve"> – debitor</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Obiect: </w:t>
      </w:r>
      <w:r w:rsidRPr="00022D5C">
        <w:rPr>
          <w:rFonts w:ascii="Arial" w:hAnsi="Arial" w:cs="Arial"/>
          <w:sz w:val="22"/>
          <w:szCs w:val="22"/>
        </w:rPr>
        <w:t>Conpet S</w:t>
      </w:r>
      <w:r w:rsidR="00A53EA5">
        <w:rPr>
          <w:rFonts w:ascii="Arial" w:hAnsi="Arial" w:cs="Arial"/>
          <w:sz w:val="22"/>
          <w:szCs w:val="22"/>
        </w:rPr>
        <w:t>.</w:t>
      </w:r>
      <w:r w:rsidRPr="00022D5C">
        <w:rPr>
          <w:rFonts w:ascii="Arial" w:hAnsi="Arial" w:cs="Arial"/>
          <w:sz w:val="22"/>
          <w:szCs w:val="22"/>
        </w:rPr>
        <w:t>A</w:t>
      </w:r>
      <w:r w:rsidR="00A53EA5">
        <w:rPr>
          <w:rFonts w:ascii="Arial" w:hAnsi="Arial" w:cs="Arial"/>
          <w:sz w:val="22"/>
          <w:szCs w:val="22"/>
        </w:rPr>
        <w:t>.</w:t>
      </w:r>
      <w:r w:rsidRPr="00022D5C">
        <w:rPr>
          <w:rFonts w:ascii="Arial" w:hAnsi="Arial" w:cs="Arial"/>
          <w:sz w:val="22"/>
          <w:szCs w:val="22"/>
        </w:rPr>
        <w:t xml:space="preserve"> formulează cerere de admitere a creanței solicitând înscrierea pe tabelul creditorilor Geluval Stor SRL cu suma de 1.440,90 lei, reprezentând penalități de întarziere datorate pentru plata peste termenul prevăzut în contract a contravalorii unui număr de 7 facturi emise de Conpet pentru serviciile prestate în temeiul Contractului nr. STA 101/20.03.2012 încheiat cu pârâta, sumă la plata căreia debitoarea a fost obligată prin sentința nr. 8867/16.06.2014 pronunțată de Judecătoria Ploiești în dosarul nr. 109/281/21014, ramasă definitivă prin neapelare. </w:t>
      </w:r>
    </w:p>
    <w:p w:rsidR="00C60341" w:rsidRPr="00022D5C" w:rsidRDefault="00C60341" w:rsidP="00C60341">
      <w:pPr>
        <w:jc w:val="both"/>
        <w:rPr>
          <w:rFonts w:ascii="Arial" w:hAnsi="Arial" w:cs="Arial"/>
          <w:sz w:val="22"/>
          <w:szCs w:val="22"/>
        </w:rPr>
      </w:pPr>
      <w:r w:rsidRPr="00022D5C">
        <w:rPr>
          <w:rFonts w:ascii="Arial" w:hAnsi="Arial" w:cs="Arial"/>
          <w:sz w:val="22"/>
          <w:szCs w:val="22"/>
        </w:rPr>
        <w:t>Conpet a fost înscrisă pe tabelul preliminar al creanțelor creditorilor  împotriva debitoarei Geluval Stor S</w:t>
      </w:r>
      <w:r w:rsidR="005C40D7">
        <w:rPr>
          <w:rFonts w:ascii="Arial" w:hAnsi="Arial" w:cs="Arial"/>
          <w:sz w:val="22"/>
          <w:szCs w:val="22"/>
        </w:rPr>
        <w:t>.</w:t>
      </w:r>
      <w:r w:rsidRPr="00022D5C">
        <w:rPr>
          <w:rFonts w:ascii="Arial" w:hAnsi="Arial" w:cs="Arial"/>
          <w:sz w:val="22"/>
          <w:szCs w:val="22"/>
        </w:rPr>
        <w:t>R</w:t>
      </w:r>
      <w:r w:rsidR="005C40D7">
        <w:rPr>
          <w:rFonts w:ascii="Arial" w:hAnsi="Arial" w:cs="Arial"/>
          <w:sz w:val="22"/>
          <w:szCs w:val="22"/>
        </w:rPr>
        <w:t>.</w:t>
      </w:r>
      <w:r w:rsidRPr="00022D5C">
        <w:rPr>
          <w:rFonts w:ascii="Arial" w:hAnsi="Arial" w:cs="Arial"/>
          <w:sz w:val="22"/>
          <w:szCs w:val="22"/>
        </w:rPr>
        <w:t>L</w:t>
      </w:r>
      <w:r w:rsidR="005C40D7">
        <w:rPr>
          <w:rFonts w:ascii="Arial" w:hAnsi="Arial" w:cs="Arial"/>
          <w:sz w:val="22"/>
          <w:szCs w:val="22"/>
        </w:rPr>
        <w:t>.</w:t>
      </w:r>
      <w:r w:rsidRPr="00022D5C">
        <w:rPr>
          <w:rFonts w:ascii="Arial" w:hAnsi="Arial" w:cs="Arial"/>
          <w:sz w:val="22"/>
          <w:szCs w:val="22"/>
        </w:rPr>
        <w:t xml:space="preserve"> cu suma de 1.440,90 lei.</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Stadiu procesual: </w:t>
      </w:r>
      <w:r w:rsidRPr="00022D5C">
        <w:rPr>
          <w:rFonts w:ascii="Arial" w:hAnsi="Arial" w:cs="Arial"/>
          <w:sz w:val="22"/>
          <w:szCs w:val="22"/>
        </w:rPr>
        <w:t>Fond</w:t>
      </w:r>
    </w:p>
    <w:p w:rsidR="00C60341" w:rsidRPr="00022D5C" w:rsidRDefault="00C60341" w:rsidP="00C60341">
      <w:pPr>
        <w:jc w:val="both"/>
        <w:rPr>
          <w:rFonts w:ascii="Arial" w:hAnsi="Arial" w:cs="Arial"/>
          <w:sz w:val="22"/>
          <w:szCs w:val="22"/>
        </w:rPr>
      </w:pPr>
      <w:r w:rsidRPr="00022D5C">
        <w:rPr>
          <w:rFonts w:ascii="Arial" w:hAnsi="Arial" w:cs="Arial"/>
          <w:b/>
          <w:sz w:val="22"/>
          <w:szCs w:val="22"/>
        </w:rPr>
        <w:t>Termen:</w:t>
      </w:r>
      <w:r w:rsidRPr="00022D5C">
        <w:rPr>
          <w:rFonts w:ascii="Arial" w:hAnsi="Arial" w:cs="Arial"/>
          <w:sz w:val="22"/>
          <w:szCs w:val="22"/>
        </w:rPr>
        <w:t xml:space="preserve"> 09.10.2018</w:t>
      </w:r>
    </w:p>
    <w:p w:rsidR="00C60341" w:rsidRPr="00022D5C" w:rsidRDefault="00C60341" w:rsidP="00C60341">
      <w:pPr>
        <w:jc w:val="both"/>
        <w:rPr>
          <w:rFonts w:ascii="Arial" w:hAnsi="Arial" w:cs="Arial"/>
          <w:sz w:val="22"/>
          <w:szCs w:val="22"/>
          <w:lang w:val="it-IT"/>
        </w:rPr>
      </w:pPr>
    </w:p>
    <w:p w:rsidR="00C60341" w:rsidRPr="00022D5C" w:rsidRDefault="00C60341" w:rsidP="00C60341">
      <w:pPr>
        <w:jc w:val="both"/>
        <w:rPr>
          <w:rFonts w:ascii="Arial" w:hAnsi="Arial" w:cs="Arial"/>
          <w:b/>
          <w:sz w:val="22"/>
          <w:szCs w:val="22"/>
          <w:lang w:val="pt-BR"/>
        </w:rPr>
      </w:pPr>
      <w:r w:rsidRPr="00022D5C">
        <w:rPr>
          <w:rFonts w:ascii="Arial" w:hAnsi="Arial" w:cs="Arial"/>
          <w:b/>
          <w:sz w:val="22"/>
          <w:szCs w:val="22"/>
          <w:lang w:val="it-IT"/>
        </w:rPr>
        <w:lastRenderedPageBreak/>
        <w:t xml:space="preserve">10. Dosar nr. 6625/120/2013 - Tribunalul Dâmbovița  </w:t>
      </w:r>
    </w:p>
    <w:p w:rsidR="00C60341" w:rsidRPr="00022D5C" w:rsidRDefault="00C60341" w:rsidP="00C60341">
      <w:pPr>
        <w:jc w:val="both"/>
        <w:rPr>
          <w:rFonts w:ascii="Arial" w:hAnsi="Arial" w:cs="Arial"/>
          <w:sz w:val="22"/>
          <w:szCs w:val="22"/>
          <w:lang w:val="pt-BR"/>
        </w:rPr>
      </w:pPr>
      <w:r w:rsidRPr="00022D5C">
        <w:rPr>
          <w:rFonts w:ascii="Arial" w:hAnsi="Arial" w:cs="Arial"/>
          <w:b/>
          <w:sz w:val="22"/>
          <w:szCs w:val="22"/>
          <w:lang w:val="pt-BR"/>
        </w:rPr>
        <w:t>Părți:</w:t>
      </w:r>
      <w:r w:rsidRPr="00022D5C">
        <w:rPr>
          <w:rFonts w:ascii="Arial" w:hAnsi="Arial" w:cs="Arial"/>
          <w:sz w:val="22"/>
          <w:szCs w:val="22"/>
          <w:lang w:val="pt-BR"/>
        </w:rPr>
        <w:t xml:space="preserve"> Conpet S</w:t>
      </w:r>
      <w:r w:rsidR="005C40D7">
        <w:rPr>
          <w:rFonts w:ascii="Arial" w:hAnsi="Arial" w:cs="Arial"/>
          <w:sz w:val="22"/>
          <w:szCs w:val="22"/>
          <w:lang w:val="pt-BR"/>
        </w:rPr>
        <w:t>.</w:t>
      </w:r>
      <w:r w:rsidRPr="00022D5C">
        <w:rPr>
          <w:rFonts w:ascii="Arial" w:hAnsi="Arial" w:cs="Arial"/>
          <w:sz w:val="22"/>
          <w:szCs w:val="22"/>
          <w:lang w:val="pt-BR"/>
        </w:rPr>
        <w:t>A</w:t>
      </w:r>
      <w:r w:rsidR="005C40D7">
        <w:rPr>
          <w:rFonts w:ascii="Arial" w:hAnsi="Arial" w:cs="Arial"/>
          <w:sz w:val="22"/>
          <w:szCs w:val="22"/>
          <w:lang w:val="pt-BR"/>
        </w:rPr>
        <w:t>.</w:t>
      </w:r>
      <w:r w:rsidR="00A53EA5">
        <w:rPr>
          <w:rFonts w:ascii="Arial" w:hAnsi="Arial" w:cs="Arial"/>
          <w:sz w:val="22"/>
          <w:szCs w:val="22"/>
          <w:lang w:val="pt-BR"/>
        </w:rPr>
        <w:t xml:space="preserve"> - parte vătă</w:t>
      </w:r>
      <w:r w:rsidRPr="00022D5C">
        <w:rPr>
          <w:rFonts w:ascii="Arial" w:hAnsi="Arial" w:cs="Arial"/>
          <w:sz w:val="22"/>
          <w:szCs w:val="22"/>
          <w:lang w:val="pt-BR"/>
        </w:rPr>
        <w:t>mată</w:t>
      </w:r>
    </w:p>
    <w:p w:rsidR="00C60341" w:rsidRPr="00022D5C" w:rsidRDefault="00C60341" w:rsidP="00A53EA5">
      <w:pPr>
        <w:jc w:val="both"/>
        <w:rPr>
          <w:rFonts w:ascii="Arial" w:hAnsi="Arial" w:cs="Arial"/>
          <w:sz w:val="22"/>
          <w:szCs w:val="22"/>
          <w:lang w:val="pt-BR"/>
        </w:rPr>
      </w:pPr>
      <w:r w:rsidRPr="00022D5C">
        <w:rPr>
          <w:rFonts w:ascii="Arial" w:hAnsi="Arial" w:cs="Arial"/>
          <w:sz w:val="22"/>
          <w:szCs w:val="22"/>
          <w:lang w:val="pt-BR"/>
        </w:rPr>
        <w:t xml:space="preserve">           Dumitru Nica Constantin, Dumitru Nica Gheorghe, Marasescu Marian, Vlada Aurica, Aslan Razvan Aurel, Grigorascu Dominel Ion, Georgescu Anda, Stanca Ion, Constantin Andrei Marius, Maricescu Constantin, Duniag Instal S</w:t>
      </w:r>
      <w:r w:rsidR="00A53EA5">
        <w:rPr>
          <w:rFonts w:ascii="Arial" w:hAnsi="Arial" w:cs="Arial"/>
          <w:sz w:val="22"/>
          <w:szCs w:val="22"/>
          <w:lang w:val="pt-BR"/>
        </w:rPr>
        <w:t>.</w:t>
      </w:r>
      <w:r w:rsidRPr="00022D5C">
        <w:rPr>
          <w:rFonts w:ascii="Arial" w:hAnsi="Arial" w:cs="Arial"/>
          <w:sz w:val="22"/>
          <w:szCs w:val="22"/>
          <w:lang w:val="pt-BR"/>
        </w:rPr>
        <w:t>R</w:t>
      </w:r>
      <w:r w:rsidR="00A53EA5">
        <w:rPr>
          <w:rFonts w:ascii="Arial" w:hAnsi="Arial" w:cs="Arial"/>
          <w:sz w:val="22"/>
          <w:szCs w:val="22"/>
          <w:lang w:val="pt-BR"/>
        </w:rPr>
        <w:t>.</w:t>
      </w:r>
      <w:r w:rsidRPr="00022D5C">
        <w:rPr>
          <w:rFonts w:ascii="Arial" w:hAnsi="Arial" w:cs="Arial"/>
          <w:sz w:val="22"/>
          <w:szCs w:val="22"/>
          <w:lang w:val="pt-BR"/>
        </w:rPr>
        <w:t>L</w:t>
      </w:r>
      <w:r w:rsidR="00A53EA5">
        <w:rPr>
          <w:rFonts w:ascii="Arial" w:hAnsi="Arial" w:cs="Arial"/>
          <w:sz w:val="22"/>
          <w:szCs w:val="22"/>
          <w:lang w:val="pt-BR"/>
        </w:rPr>
        <w:t>.</w:t>
      </w:r>
      <w:r w:rsidRPr="00022D5C">
        <w:rPr>
          <w:rFonts w:ascii="Arial" w:hAnsi="Arial" w:cs="Arial"/>
          <w:sz w:val="22"/>
          <w:szCs w:val="22"/>
          <w:lang w:val="pt-BR"/>
        </w:rPr>
        <w:t xml:space="preserve"> prin reprezentant legal Dumitru Nica  Gheorghe, Anaver Vila Grup SRL prin reprezentant legal Dumitru Nica  Gheorghe – inculpați </w:t>
      </w:r>
    </w:p>
    <w:p w:rsidR="00C60341" w:rsidRPr="00022D5C" w:rsidRDefault="00C60341" w:rsidP="00A53EA5">
      <w:pPr>
        <w:jc w:val="both"/>
        <w:rPr>
          <w:rFonts w:ascii="Arial" w:hAnsi="Arial" w:cs="Arial"/>
          <w:sz w:val="22"/>
          <w:szCs w:val="22"/>
          <w:lang w:val="pt-BR"/>
        </w:rPr>
      </w:pPr>
      <w:r w:rsidRPr="00022D5C">
        <w:rPr>
          <w:rFonts w:ascii="Arial" w:hAnsi="Arial" w:cs="Arial"/>
          <w:sz w:val="22"/>
          <w:szCs w:val="22"/>
          <w:lang w:val="pt-BR"/>
        </w:rPr>
        <w:t>MECMA pentru Petrotrans S</w:t>
      </w:r>
      <w:r w:rsidR="005C40D7">
        <w:rPr>
          <w:rFonts w:ascii="Arial" w:hAnsi="Arial" w:cs="Arial"/>
          <w:sz w:val="22"/>
          <w:szCs w:val="22"/>
          <w:lang w:val="pt-BR"/>
        </w:rPr>
        <w:t>.</w:t>
      </w:r>
      <w:r w:rsidRPr="00022D5C">
        <w:rPr>
          <w:rFonts w:ascii="Arial" w:hAnsi="Arial" w:cs="Arial"/>
          <w:sz w:val="22"/>
          <w:szCs w:val="22"/>
          <w:lang w:val="pt-BR"/>
        </w:rPr>
        <w:t>A</w:t>
      </w:r>
      <w:r w:rsidR="005C40D7">
        <w:rPr>
          <w:rFonts w:ascii="Arial" w:hAnsi="Arial" w:cs="Arial"/>
          <w:sz w:val="22"/>
          <w:szCs w:val="22"/>
          <w:lang w:val="pt-BR"/>
        </w:rPr>
        <w:t>.</w:t>
      </w:r>
      <w:r w:rsidRPr="00022D5C">
        <w:rPr>
          <w:rFonts w:ascii="Arial" w:hAnsi="Arial" w:cs="Arial"/>
          <w:sz w:val="22"/>
          <w:szCs w:val="22"/>
          <w:lang w:val="pt-BR"/>
        </w:rPr>
        <w:t xml:space="preserve"> Ploiești prin Lichidator Rominsolv SPRL - parte vătămată  </w:t>
      </w:r>
    </w:p>
    <w:p w:rsidR="00C60341" w:rsidRPr="00022D5C" w:rsidRDefault="00C60341" w:rsidP="00A53EA5">
      <w:pPr>
        <w:jc w:val="both"/>
        <w:rPr>
          <w:rFonts w:ascii="Arial" w:hAnsi="Arial" w:cs="Arial"/>
          <w:sz w:val="22"/>
          <w:szCs w:val="22"/>
          <w:lang w:val="pt-BR"/>
        </w:rPr>
      </w:pPr>
      <w:r w:rsidRPr="00022D5C">
        <w:rPr>
          <w:rFonts w:ascii="Arial" w:hAnsi="Arial" w:cs="Arial"/>
          <w:sz w:val="22"/>
          <w:szCs w:val="22"/>
          <w:lang w:val="pt-BR"/>
        </w:rPr>
        <w:t>OMV Petrom S</w:t>
      </w:r>
      <w:r w:rsidR="00A53EA5">
        <w:rPr>
          <w:rFonts w:ascii="Arial" w:hAnsi="Arial" w:cs="Arial"/>
          <w:sz w:val="22"/>
          <w:szCs w:val="22"/>
          <w:lang w:val="pt-BR"/>
        </w:rPr>
        <w:t>.</w:t>
      </w:r>
      <w:r w:rsidRPr="00022D5C">
        <w:rPr>
          <w:rFonts w:ascii="Arial" w:hAnsi="Arial" w:cs="Arial"/>
          <w:sz w:val="22"/>
          <w:szCs w:val="22"/>
          <w:lang w:val="pt-BR"/>
        </w:rPr>
        <w:t>A</w:t>
      </w:r>
      <w:r w:rsidR="00A53EA5">
        <w:rPr>
          <w:rFonts w:ascii="Arial" w:hAnsi="Arial" w:cs="Arial"/>
          <w:sz w:val="22"/>
          <w:szCs w:val="22"/>
          <w:lang w:val="pt-BR"/>
        </w:rPr>
        <w:t>.</w:t>
      </w:r>
      <w:r w:rsidRPr="00022D5C">
        <w:rPr>
          <w:rFonts w:ascii="Arial" w:hAnsi="Arial" w:cs="Arial"/>
          <w:sz w:val="22"/>
          <w:szCs w:val="22"/>
          <w:lang w:val="pt-BR"/>
        </w:rPr>
        <w:t xml:space="preserve"> Asset 6 Muntenia Central - parte vătămată  </w:t>
      </w:r>
    </w:p>
    <w:p w:rsidR="00C60341" w:rsidRPr="00022D5C" w:rsidRDefault="005C40D7" w:rsidP="00C60341">
      <w:pPr>
        <w:jc w:val="both"/>
        <w:rPr>
          <w:rFonts w:ascii="Arial" w:hAnsi="Arial" w:cs="Arial"/>
          <w:sz w:val="22"/>
          <w:szCs w:val="22"/>
          <w:lang w:val="pt-BR"/>
        </w:rPr>
      </w:pPr>
      <w:r>
        <w:rPr>
          <w:rFonts w:ascii="Arial" w:hAnsi="Arial" w:cs="Arial"/>
          <w:sz w:val="22"/>
          <w:szCs w:val="22"/>
          <w:lang w:val="pt-BR"/>
        </w:rPr>
        <w:t>Primă</w:t>
      </w:r>
      <w:r w:rsidR="00C60341" w:rsidRPr="00022D5C">
        <w:rPr>
          <w:rFonts w:ascii="Arial" w:hAnsi="Arial" w:cs="Arial"/>
          <w:sz w:val="22"/>
          <w:szCs w:val="22"/>
          <w:lang w:val="pt-BR"/>
        </w:rPr>
        <w:t xml:space="preserve">ria Bucșani - parte vătămată  </w:t>
      </w:r>
    </w:p>
    <w:p w:rsidR="00C60341" w:rsidRPr="00022D5C" w:rsidRDefault="00C60341" w:rsidP="00C60341">
      <w:pPr>
        <w:jc w:val="both"/>
        <w:rPr>
          <w:rFonts w:ascii="Arial" w:hAnsi="Arial" w:cs="Arial"/>
          <w:sz w:val="22"/>
          <w:szCs w:val="22"/>
          <w:lang w:val="pt-BR"/>
        </w:rPr>
      </w:pPr>
      <w:r w:rsidRPr="00022D5C">
        <w:rPr>
          <w:rFonts w:ascii="Arial" w:hAnsi="Arial" w:cs="Arial"/>
          <w:sz w:val="22"/>
          <w:szCs w:val="22"/>
          <w:lang w:val="pt-BR"/>
        </w:rPr>
        <w:t xml:space="preserve">Primaria Şotânga  - parte vătămată  </w:t>
      </w:r>
    </w:p>
    <w:p w:rsidR="00C60341" w:rsidRPr="00022D5C" w:rsidRDefault="00C60341" w:rsidP="00C60341">
      <w:pPr>
        <w:jc w:val="both"/>
        <w:rPr>
          <w:rFonts w:ascii="Arial" w:hAnsi="Arial" w:cs="Arial"/>
          <w:sz w:val="22"/>
          <w:szCs w:val="22"/>
          <w:lang w:val="pt-BR"/>
        </w:rPr>
      </w:pPr>
      <w:r w:rsidRPr="00022D5C">
        <w:rPr>
          <w:rFonts w:ascii="Arial" w:hAnsi="Arial" w:cs="Arial"/>
          <w:sz w:val="22"/>
          <w:szCs w:val="22"/>
          <w:lang w:val="pt-BR"/>
        </w:rPr>
        <w:t>Romtelecom S.A. - Divizia Operațiuni Sus Est – Centru</w:t>
      </w:r>
      <w:r w:rsidR="00A53EA5">
        <w:rPr>
          <w:rFonts w:ascii="Arial" w:hAnsi="Arial" w:cs="Arial"/>
          <w:sz w:val="22"/>
          <w:szCs w:val="22"/>
          <w:lang w:val="pt-BR"/>
        </w:rPr>
        <w:t xml:space="preserve">l de Telecomunicații Dâmbovița </w:t>
      </w:r>
      <w:r w:rsidRPr="00022D5C">
        <w:rPr>
          <w:rFonts w:ascii="Arial" w:hAnsi="Arial" w:cs="Arial"/>
          <w:sz w:val="22"/>
          <w:szCs w:val="22"/>
          <w:lang w:val="pt-BR"/>
        </w:rPr>
        <w:t xml:space="preserve">- parte vătămată  </w:t>
      </w:r>
    </w:p>
    <w:p w:rsidR="00C60341" w:rsidRPr="00022D5C" w:rsidRDefault="00C60341" w:rsidP="00C60341">
      <w:pPr>
        <w:jc w:val="both"/>
        <w:rPr>
          <w:rFonts w:ascii="Arial" w:hAnsi="Arial" w:cs="Arial"/>
          <w:sz w:val="22"/>
          <w:szCs w:val="22"/>
          <w:lang w:val="pt-BR"/>
        </w:rPr>
      </w:pPr>
      <w:r w:rsidRPr="00022D5C">
        <w:rPr>
          <w:rFonts w:ascii="Arial" w:hAnsi="Arial" w:cs="Arial"/>
          <w:b/>
          <w:sz w:val="22"/>
          <w:szCs w:val="22"/>
        </w:rPr>
        <w:t xml:space="preserve">Obiect: Furt calificat. </w:t>
      </w:r>
      <w:r w:rsidRPr="00022D5C">
        <w:rPr>
          <w:rFonts w:ascii="Arial" w:hAnsi="Arial" w:cs="Arial"/>
          <w:sz w:val="22"/>
          <w:szCs w:val="22"/>
          <w:lang w:val="pt-BR"/>
        </w:rPr>
        <w:t>Conpet s-a constituit parte civilă pentru suma de 2.083,20 lei, reprezentând contravaloarea a 350 m.l. sustrași din conducta Ø 10" F2 Siliște – Ploiești.</w:t>
      </w:r>
    </w:p>
    <w:p w:rsidR="00C60341" w:rsidRPr="00022D5C" w:rsidRDefault="00C60341" w:rsidP="00C60341">
      <w:pPr>
        <w:jc w:val="both"/>
        <w:rPr>
          <w:rFonts w:ascii="Arial" w:hAnsi="Arial" w:cs="Arial"/>
          <w:sz w:val="22"/>
          <w:szCs w:val="22"/>
          <w:lang w:val="pt-BR"/>
        </w:rPr>
      </w:pPr>
      <w:r w:rsidRPr="00022D5C">
        <w:rPr>
          <w:rFonts w:ascii="Arial" w:hAnsi="Arial" w:cs="Arial"/>
          <w:b/>
          <w:sz w:val="22"/>
          <w:szCs w:val="22"/>
          <w:lang w:val="pt-BR"/>
        </w:rPr>
        <w:t>Stadiu procesual</w:t>
      </w:r>
      <w:r w:rsidRPr="00022D5C">
        <w:rPr>
          <w:rFonts w:ascii="Arial" w:hAnsi="Arial" w:cs="Arial"/>
          <w:sz w:val="22"/>
          <w:szCs w:val="22"/>
          <w:lang w:val="pt-BR"/>
        </w:rPr>
        <w:t>: Fond</w:t>
      </w:r>
    </w:p>
    <w:p w:rsidR="00C60341" w:rsidRPr="00C60341" w:rsidRDefault="00C60341" w:rsidP="00C60341">
      <w:pPr>
        <w:jc w:val="both"/>
        <w:rPr>
          <w:rFonts w:ascii="Arial" w:hAnsi="Arial" w:cs="Arial"/>
          <w:sz w:val="22"/>
          <w:szCs w:val="22"/>
          <w:lang w:val="pt-BR"/>
        </w:rPr>
      </w:pPr>
      <w:r w:rsidRPr="00022D5C">
        <w:rPr>
          <w:rFonts w:ascii="Arial" w:hAnsi="Arial" w:cs="Arial"/>
          <w:b/>
          <w:sz w:val="22"/>
          <w:szCs w:val="22"/>
          <w:lang w:val="pt-BR"/>
        </w:rPr>
        <w:t>Termen:</w:t>
      </w:r>
      <w:r>
        <w:rPr>
          <w:rFonts w:ascii="Arial" w:hAnsi="Arial" w:cs="Arial"/>
          <w:sz w:val="22"/>
          <w:szCs w:val="22"/>
          <w:lang w:val="pt-BR"/>
        </w:rPr>
        <w:t xml:space="preserve"> 12.09.2018</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w:t>
      </w:r>
    </w:p>
    <w:p w:rsidR="00C60341" w:rsidRPr="00022D5C" w:rsidRDefault="00C60341" w:rsidP="00C60341">
      <w:pPr>
        <w:jc w:val="both"/>
        <w:rPr>
          <w:rFonts w:ascii="Arial" w:hAnsi="Arial" w:cs="Arial"/>
          <w:b/>
          <w:sz w:val="22"/>
          <w:szCs w:val="22"/>
        </w:rPr>
      </w:pPr>
      <w:r w:rsidRPr="00022D5C">
        <w:rPr>
          <w:rFonts w:ascii="Arial" w:hAnsi="Arial" w:cs="Arial"/>
          <w:b/>
          <w:sz w:val="22"/>
          <w:szCs w:val="22"/>
        </w:rPr>
        <w:t xml:space="preserve">11. Dosar nr. 1510/262/2014 – Judecătoria Moreni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Conpet S</w:t>
      </w:r>
      <w:r w:rsidR="005C40D7">
        <w:rPr>
          <w:rFonts w:ascii="Arial" w:hAnsi="Arial" w:cs="Arial"/>
          <w:sz w:val="22"/>
          <w:szCs w:val="22"/>
        </w:rPr>
        <w:t>.</w:t>
      </w:r>
      <w:r w:rsidRPr="00022D5C">
        <w:rPr>
          <w:rFonts w:ascii="Arial" w:hAnsi="Arial" w:cs="Arial"/>
          <w:sz w:val="22"/>
          <w:szCs w:val="22"/>
        </w:rPr>
        <w:t>A</w:t>
      </w:r>
      <w:r w:rsidR="005C40D7">
        <w:rPr>
          <w:rFonts w:ascii="Arial" w:hAnsi="Arial" w:cs="Arial"/>
          <w:sz w:val="22"/>
          <w:szCs w:val="22"/>
        </w:rPr>
        <w:t>.</w:t>
      </w:r>
      <w:r w:rsidRPr="00022D5C">
        <w:rPr>
          <w:rFonts w:ascii="Arial" w:hAnsi="Arial" w:cs="Arial"/>
          <w:sz w:val="22"/>
          <w:szCs w:val="22"/>
        </w:rPr>
        <w:t xml:space="preserve"> - reclamant </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Pîrvu Gheorghe – pârât</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Pîrvu Nicolae - pârât </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Grigorescu Gabriel - pârât </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Zlăteanu Dragoș Marian - pârât </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Comuna Dărmănești, reprezentată legal prin Primarul Comunei Dărmănești - pârât     </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SC Nimb Dâmbovița S</w:t>
      </w:r>
      <w:r w:rsidR="005C40D7">
        <w:rPr>
          <w:rFonts w:ascii="Arial" w:hAnsi="Arial" w:cs="Arial"/>
          <w:sz w:val="22"/>
          <w:szCs w:val="22"/>
        </w:rPr>
        <w:t>.</w:t>
      </w:r>
      <w:r w:rsidRPr="00022D5C">
        <w:rPr>
          <w:rFonts w:ascii="Arial" w:hAnsi="Arial" w:cs="Arial"/>
          <w:sz w:val="22"/>
          <w:szCs w:val="22"/>
        </w:rPr>
        <w:t>A</w:t>
      </w:r>
      <w:r w:rsidR="005C40D7">
        <w:rPr>
          <w:rFonts w:ascii="Arial" w:hAnsi="Arial" w:cs="Arial"/>
          <w:sz w:val="22"/>
          <w:szCs w:val="22"/>
        </w:rPr>
        <w:t>.</w:t>
      </w:r>
      <w:r w:rsidRPr="00022D5C">
        <w:rPr>
          <w:rFonts w:ascii="Arial" w:hAnsi="Arial" w:cs="Arial"/>
          <w:sz w:val="22"/>
          <w:szCs w:val="22"/>
        </w:rPr>
        <w:t xml:space="preserve"> –pârât</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Conpet formulează cerere de chemare în judecată solicitând instanței ca prin hotărârea ce o va pronunța să dispună obligarea pârâților, în solidar la plata către Conpet a sumei de 34.944,18 lei cu titlu de despăgubiri civile - reprezentând c/val lucrărilor de remediere a conductei și cablului de fibră optică Link 14, distruse în data de 03.06.2011, pe raza comunei Dărmănești, județul Dâmbovița, lucrări necesare aducerii acestora la starea inițială de dinainte de săvârșirea faptei, adică în stare de funcționare, sumă la care se adaugă dobânda legală începând cu data rămânerii definitive a hotărârii pronunțate în prezenta cauză și până la data plății efective; plată cheltuieli de judecată.</w:t>
      </w:r>
    </w:p>
    <w:p w:rsidR="00C60341" w:rsidRPr="00022D5C" w:rsidRDefault="00C60341" w:rsidP="00C60341">
      <w:pPr>
        <w:jc w:val="both"/>
        <w:rPr>
          <w:rFonts w:ascii="Arial" w:hAnsi="Arial" w:cs="Arial"/>
          <w:b/>
          <w:sz w:val="22"/>
          <w:szCs w:val="22"/>
        </w:rPr>
      </w:pPr>
      <w:r w:rsidRPr="00022D5C">
        <w:rPr>
          <w:rFonts w:ascii="Arial" w:hAnsi="Arial" w:cs="Arial"/>
          <w:b/>
          <w:sz w:val="22"/>
          <w:szCs w:val="22"/>
        </w:rPr>
        <w:t>Precizări:</w:t>
      </w:r>
      <w:r w:rsidRPr="00022D5C">
        <w:rPr>
          <w:rFonts w:ascii="Arial" w:hAnsi="Arial" w:cs="Arial"/>
          <w:sz w:val="22"/>
          <w:szCs w:val="22"/>
        </w:rPr>
        <w:t xml:space="preserve"> Prin Încheierea din data de 08.01.2015 Judecătoria Moreni suspendă judecarea cauze</w:t>
      </w:r>
      <w:r w:rsidR="00A53EA5">
        <w:rPr>
          <w:rFonts w:ascii="Arial" w:hAnsi="Arial" w:cs="Arial"/>
          <w:sz w:val="22"/>
          <w:szCs w:val="22"/>
        </w:rPr>
        <w:t>i în raport cu pârâta SC Nimb Dâmboviț</w:t>
      </w:r>
      <w:r w:rsidRPr="00022D5C">
        <w:rPr>
          <w:rFonts w:ascii="Arial" w:hAnsi="Arial" w:cs="Arial"/>
          <w:sz w:val="22"/>
          <w:szCs w:val="22"/>
        </w:rPr>
        <w:t>a S</w:t>
      </w:r>
      <w:r w:rsidR="00A53EA5">
        <w:rPr>
          <w:rFonts w:ascii="Arial" w:hAnsi="Arial" w:cs="Arial"/>
          <w:sz w:val="22"/>
          <w:szCs w:val="22"/>
        </w:rPr>
        <w:t>.</w:t>
      </w:r>
      <w:r w:rsidRPr="00022D5C">
        <w:rPr>
          <w:rFonts w:ascii="Arial" w:hAnsi="Arial" w:cs="Arial"/>
          <w:sz w:val="22"/>
          <w:szCs w:val="22"/>
        </w:rPr>
        <w:t>A. Disjunge cauza cu privire la ceilalţi pârâţi şi formarea unui nou dosar (184/262/2015).</w:t>
      </w:r>
      <w:r w:rsidRPr="00022D5C">
        <w:rPr>
          <w:rFonts w:ascii="Arial" w:hAnsi="Arial" w:cs="Arial"/>
          <w:sz w:val="22"/>
          <w:szCs w:val="22"/>
        </w:rPr>
        <w:br/>
      </w:r>
      <w:r w:rsidRPr="00022D5C">
        <w:rPr>
          <w:rFonts w:ascii="Arial" w:hAnsi="Arial" w:cs="Arial"/>
          <w:b/>
          <w:sz w:val="22"/>
          <w:szCs w:val="22"/>
        </w:rPr>
        <w:t>Stadiu procesual:</w:t>
      </w:r>
      <w:r w:rsidRPr="00022D5C">
        <w:rPr>
          <w:rFonts w:ascii="Arial" w:hAnsi="Arial" w:cs="Arial"/>
          <w:sz w:val="22"/>
          <w:szCs w:val="22"/>
        </w:rPr>
        <w:t xml:space="preserve"> Fond - Suspendat</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Termen: </w:t>
      </w:r>
      <w:r w:rsidRPr="00022D5C">
        <w:rPr>
          <w:rFonts w:ascii="Arial" w:hAnsi="Arial" w:cs="Arial"/>
          <w:sz w:val="22"/>
          <w:szCs w:val="22"/>
        </w:rPr>
        <w:t>--</w:t>
      </w:r>
    </w:p>
    <w:p w:rsidR="00C60341" w:rsidRPr="00022D5C" w:rsidRDefault="00C60341" w:rsidP="00C60341">
      <w:pPr>
        <w:jc w:val="both"/>
        <w:rPr>
          <w:rFonts w:ascii="Arial" w:hAnsi="Arial" w:cs="Arial"/>
          <w:sz w:val="22"/>
          <w:szCs w:val="22"/>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rPr>
        <w:t xml:space="preserve">12. Dosar nr. 6819/118/2013 – Tribunalul Constanța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Conpet S</w:t>
      </w:r>
      <w:r w:rsidR="005C40D7">
        <w:rPr>
          <w:rFonts w:ascii="Arial" w:hAnsi="Arial" w:cs="Arial"/>
          <w:sz w:val="22"/>
          <w:szCs w:val="22"/>
        </w:rPr>
        <w:t>.</w:t>
      </w:r>
      <w:r w:rsidRPr="00022D5C">
        <w:rPr>
          <w:rFonts w:ascii="Arial" w:hAnsi="Arial" w:cs="Arial"/>
          <w:sz w:val="22"/>
          <w:szCs w:val="22"/>
        </w:rPr>
        <w:t>A</w:t>
      </w:r>
      <w:r w:rsidR="005C40D7">
        <w:rPr>
          <w:rFonts w:ascii="Arial" w:hAnsi="Arial" w:cs="Arial"/>
          <w:sz w:val="22"/>
          <w:szCs w:val="22"/>
        </w:rPr>
        <w:t>.</w:t>
      </w:r>
      <w:r w:rsidRPr="00022D5C">
        <w:rPr>
          <w:rFonts w:ascii="Arial" w:hAnsi="Arial" w:cs="Arial"/>
          <w:sz w:val="22"/>
          <w:szCs w:val="22"/>
        </w:rPr>
        <w:t xml:space="preserve"> – creditor</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Tobias S</w:t>
      </w:r>
      <w:r w:rsidR="005C40D7">
        <w:rPr>
          <w:rFonts w:ascii="Arial" w:hAnsi="Arial" w:cs="Arial"/>
          <w:sz w:val="22"/>
          <w:szCs w:val="22"/>
        </w:rPr>
        <w:t>.</w:t>
      </w:r>
      <w:r w:rsidRPr="00022D5C">
        <w:rPr>
          <w:rFonts w:ascii="Arial" w:hAnsi="Arial" w:cs="Arial"/>
          <w:sz w:val="22"/>
          <w:szCs w:val="22"/>
        </w:rPr>
        <w:t>R</w:t>
      </w:r>
      <w:r w:rsidR="005C40D7">
        <w:rPr>
          <w:rFonts w:ascii="Arial" w:hAnsi="Arial" w:cs="Arial"/>
          <w:sz w:val="22"/>
          <w:szCs w:val="22"/>
        </w:rPr>
        <w:t>.</w:t>
      </w:r>
      <w:r w:rsidRPr="00022D5C">
        <w:rPr>
          <w:rFonts w:ascii="Arial" w:hAnsi="Arial" w:cs="Arial"/>
          <w:sz w:val="22"/>
          <w:szCs w:val="22"/>
        </w:rPr>
        <w:t>L</w:t>
      </w:r>
      <w:r w:rsidR="005C40D7">
        <w:rPr>
          <w:rFonts w:ascii="Arial" w:hAnsi="Arial" w:cs="Arial"/>
          <w:sz w:val="22"/>
          <w:szCs w:val="22"/>
        </w:rPr>
        <w:t>.</w:t>
      </w:r>
      <w:r w:rsidRPr="00022D5C">
        <w:rPr>
          <w:rFonts w:ascii="Arial" w:hAnsi="Arial" w:cs="Arial"/>
          <w:sz w:val="22"/>
          <w:szCs w:val="22"/>
        </w:rPr>
        <w:t xml:space="preserve"> – debitor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w:t>
      </w:r>
      <w:r w:rsidRPr="00022D5C">
        <w:rPr>
          <w:rFonts w:ascii="Arial" w:hAnsi="Arial" w:cs="Arial"/>
          <w:b/>
          <w:sz w:val="22"/>
          <w:szCs w:val="22"/>
        </w:rPr>
        <w:t>Faliment.</w:t>
      </w:r>
      <w:r w:rsidRPr="00022D5C">
        <w:rPr>
          <w:rFonts w:ascii="Arial" w:hAnsi="Arial" w:cs="Arial"/>
          <w:sz w:val="22"/>
          <w:szCs w:val="22"/>
        </w:rPr>
        <w:t xml:space="preserve"> Conpet S.A. a solicitat înscrierea la masa credală a debitorului cu suma de 663 lei reprezentând contravaloarea a 230 kg de aluminiu (575 lei) și a 110 kg de fier vechi (88 lei), predate Tobias SRL în data de 04.06.2013, în temeiul contractului de vânzare - cumpărare deșeuri nr. 2013/ADM/15.02.2013 încheiat între Conpet și Tobias.</w:t>
      </w:r>
    </w:p>
    <w:p w:rsidR="00C60341" w:rsidRPr="00022D5C" w:rsidRDefault="00C60341" w:rsidP="00C60341">
      <w:pPr>
        <w:jc w:val="both"/>
        <w:rPr>
          <w:rFonts w:ascii="Arial" w:hAnsi="Arial" w:cs="Arial"/>
          <w:sz w:val="22"/>
          <w:szCs w:val="22"/>
        </w:rPr>
      </w:pPr>
      <w:r w:rsidRPr="00022D5C">
        <w:rPr>
          <w:rFonts w:ascii="Arial" w:hAnsi="Arial" w:cs="Arial"/>
          <w:sz w:val="22"/>
          <w:szCs w:val="22"/>
        </w:rPr>
        <w:t>Cererea formulată de Conpet a fost admisă în parte de către administratorul judiciar, în sensul că societatea noastră a fost înscrisă pe tabloul creditorilor cu creanța în valoare de 643,11 lei, diferența de 19,89 lei reprezentând 3% fond de mediu și datorată Administrației Fondului de Mediu.</w:t>
      </w:r>
    </w:p>
    <w:p w:rsidR="00C60341" w:rsidRPr="00022D5C" w:rsidRDefault="00C60341" w:rsidP="00C60341">
      <w:pPr>
        <w:jc w:val="both"/>
        <w:rPr>
          <w:rFonts w:ascii="Arial" w:hAnsi="Arial" w:cs="Arial"/>
          <w:sz w:val="22"/>
          <w:szCs w:val="22"/>
        </w:rPr>
      </w:pPr>
      <w:r w:rsidRPr="00022D5C">
        <w:rPr>
          <w:rFonts w:ascii="Arial" w:hAnsi="Arial" w:cs="Arial"/>
          <w:b/>
          <w:sz w:val="22"/>
          <w:szCs w:val="22"/>
        </w:rPr>
        <w:t>Stadiu procesual:</w:t>
      </w:r>
      <w:r w:rsidRPr="00022D5C">
        <w:rPr>
          <w:rFonts w:ascii="Arial" w:hAnsi="Arial" w:cs="Arial"/>
          <w:sz w:val="22"/>
          <w:szCs w:val="22"/>
        </w:rPr>
        <w:t xml:space="preserve"> Fond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Termen:</w:t>
      </w:r>
      <w:r>
        <w:rPr>
          <w:rFonts w:ascii="Arial" w:hAnsi="Arial" w:cs="Arial"/>
          <w:sz w:val="22"/>
          <w:szCs w:val="22"/>
        </w:rPr>
        <w:t xml:space="preserve"> 06.09.2018</w:t>
      </w:r>
    </w:p>
    <w:p w:rsidR="00C60341" w:rsidRPr="00022D5C" w:rsidRDefault="00C60341" w:rsidP="00C60341">
      <w:pPr>
        <w:jc w:val="both"/>
        <w:rPr>
          <w:rFonts w:ascii="Arial" w:hAnsi="Arial" w:cs="Arial"/>
          <w:sz w:val="22"/>
          <w:szCs w:val="22"/>
          <w:lang w:val="it-IT"/>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lang w:val="it-IT"/>
        </w:rPr>
        <w:t xml:space="preserve">13. </w:t>
      </w:r>
      <w:r w:rsidRPr="00022D5C">
        <w:rPr>
          <w:rFonts w:ascii="Arial" w:hAnsi="Arial" w:cs="Arial"/>
          <w:b/>
          <w:sz w:val="22"/>
          <w:szCs w:val="22"/>
        </w:rPr>
        <w:t xml:space="preserve">Dosar nr. 717/105/2015 - Tribunalul Prahova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Conpet S</w:t>
      </w:r>
      <w:r w:rsidR="005C40D7">
        <w:rPr>
          <w:rFonts w:ascii="Arial" w:hAnsi="Arial" w:cs="Arial"/>
          <w:sz w:val="22"/>
          <w:szCs w:val="22"/>
        </w:rPr>
        <w:t>.</w:t>
      </w:r>
      <w:r w:rsidRPr="00022D5C">
        <w:rPr>
          <w:rFonts w:ascii="Arial" w:hAnsi="Arial" w:cs="Arial"/>
          <w:sz w:val="22"/>
          <w:szCs w:val="22"/>
        </w:rPr>
        <w:t>A</w:t>
      </w:r>
      <w:r w:rsidR="005C40D7">
        <w:rPr>
          <w:rFonts w:ascii="Arial" w:hAnsi="Arial" w:cs="Arial"/>
          <w:sz w:val="22"/>
          <w:szCs w:val="22"/>
        </w:rPr>
        <w:t>.</w:t>
      </w:r>
      <w:r w:rsidRPr="00022D5C">
        <w:rPr>
          <w:rFonts w:ascii="Arial" w:hAnsi="Arial" w:cs="Arial"/>
          <w:sz w:val="22"/>
          <w:szCs w:val="22"/>
        </w:rPr>
        <w:t xml:space="preserve"> - creditor</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Fotbal Club Petrolul Ploiești S</w:t>
      </w:r>
      <w:r w:rsidR="005C40D7">
        <w:rPr>
          <w:rFonts w:ascii="Arial" w:hAnsi="Arial" w:cs="Arial"/>
          <w:sz w:val="22"/>
          <w:szCs w:val="22"/>
        </w:rPr>
        <w:t>.</w:t>
      </w:r>
      <w:r w:rsidRPr="00022D5C">
        <w:rPr>
          <w:rFonts w:ascii="Arial" w:hAnsi="Arial" w:cs="Arial"/>
          <w:sz w:val="22"/>
          <w:szCs w:val="22"/>
        </w:rPr>
        <w:t>A</w:t>
      </w:r>
      <w:r w:rsidR="005C40D7">
        <w:rPr>
          <w:rFonts w:ascii="Arial" w:hAnsi="Arial" w:cs="Arial"/>
          <w:sz w:val="22"/>
          <w:szCs w:val="22"/>
        </w:rPr>
        <w:t>.</w:t>
      </w:r>
      <w:r w:rsidRPr="00022D5C">
        <w:rPr>
          <w:rFonts w:ascii="Arial" w:hAnsi="Arial" w:cs="Arial"/>
          <w:sz w:val="22"/>
          <w:szCs w:val="22"/>
        </w:rPr>
        <w:t xml:space="preserve"> - debitor</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w:t>
      </w:r>
      <w:r w:rsidRPr="00022D5C">
        <w:rPr>
          <w:rFonts w:ascii="Arial" w:hAnsi="Arial" w:cs="Arial"/>
          <w:b/>
          <w:sz w:val="22"/>
          <w:szCs w:val="22"/>
        </w:rPr>
        <w:t>Faliment.</w:t>
      </w:r>
      <w:r w:rsidRPr="00022D5C">
        <w:rPr>
          <w:rFonts w:ascii="Arial" w:hAnsi="Arial" w:cs="Arial"/>
          <w:sz w:val="22"/>
          <w:szCs w:val="22"/>
        </w:rPr>
        <w:t xml:space="preserve"> Conpet a formulat cerere de admitere a creanței  prin care a solicitat înscrierea </w:t>
      </w:r>
      <w:r w:rsidRPr="00022D5C">
        <w:rPr>
          <w:rFonts w:ascii="Arial" w:hAnsi="Arial" w:cs="Arial"/>
          <w:sz w:val="22"/>
          <w:szCs w:val="22"/>
        </w:rPr>
        <w:lastRenderedPageBreak/>
        <w:t>pe tabelul creditorilor debitoarei Fotbal Club Petrolul Ploiești S</w:t>
      </w:r>
      <w:r w:rsidR="005C40D7">
        <w:rPr>
          <w:rFonts w:ascii="Arial" w:hAnsi="Arial" w:cs="Arial"/>
          <w:sz w:val="22"/>
          <w:szCs w:val="22"/>
        </w:rPr>
        <w:t>.</w:t>
      </w:r>
      <w:r w:rsidRPr="00022D5C">
        <w:rPr>
          <w:rFonts w:ascii="Arial" w:hAnsi="Arial" w:cs="Arial"/>
          <w:sz w:val="22"/>
          <w:szCs w:val="22"/>
        </w:rPr>
        <w:t>A</w:t>
      </w:r>
      <w:r w:rsidR="005C40D7">
        <w:rPr>
          <w:rFonts w:ascii="Arial" w:hAnsi="Arial" w:cs="Arial"/>
          <w:sz w:val="22"/>
          <w:szCs w:val="22"/>
        </w:rPr>
        <w:t>.</w:t>
      </w:r>
      <w:r w:rsidRPr="00022D5C">
        <w:rPr>
          <w:rFonts w:ascii="Arial" w:hAnsi="Arial" w:cs="Arial"/>
          <w:sz w:val="22"/>
          <w:szCs w:val="22"/>
        </w:rPr>
        <w:t xml:space="preserve"> cu o creanță în sumă de 14.465,33 lei. Conpet a fost înscrisă pe tabelul creanțelor creditorilor  debitoarei cu suma solicitată.</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Precizări:</w:t>
      </w:r>
      <w:r w:rsidRPr="00022D5C">
        <w:rPr>
          <w:rFonts w:ascii="Arial" w:hAnsi="Arial" w:cs="Arial"/>
          <w:sz w:val="22"/>
          <w:szCs w:val="22"/>
        </w:rPr>
        <w:t xml:space="preserve"> Prin sentința nr. 821/22.06.2016 Tribunalul Prahova admite cererea administratorului judiciar. Aprobă concluziile raportului administratorului judiciar. Dispune începerea procedurii generale a falimentului debitorului. Dispune dizolvarea societăţii debitoare şi ridicarea dreptului de administrare al debitorului. Dispune sigilarea bunurilor din averea debitorului şi îndeplinirea celorlalte operaţiuni de lichidare.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Stadiu procesual:</w:t>
      </w:r>
      <w:r w:rsidRPr="00022D5C">
        <w:rPr>
          <w:rFonts w:ascii="Arial" w:hAnsi="Arial" w:cs="Arial"/>
          <w:sz w:val="22"/>
          <w:szCs w:val="22"/>
        </w:rPr>
        <w:t xml:space="preserve"> Fond</w:t>
      </w:r>
    </w:p>
    <w:p w:rsidR="00C60341" w:rsidRPr="00022D5C" w:rsidRDefault="00C60341" w:rsidP="00C60341">
      <w:pPr>
        <w:jc w:val="both"/>
        <w:rPr>
          <w:rFonts w:ascii="Arial" w:hAnsi="Arial" w:cs="Arial"/>
          <w:sz w:val="22"/>
          <w:szCs w:val="22"/>
        </w:rPr>
      </w:pPr>
      <w:r w:rsidRPr="00022D5C">
        <w:rPr>
          <w:rFonts w:ascii="Arial" w:hAnsi="Arial" w:cs="Arial"/>
          <w:b/>
          <w:sz w:val="22"/>
          <w:szCs w:val="22"/>
        </w:rPr>
        <w:t>Termen:</w:t>
      </w:r>
      <w:r w:rsidRPr="00022D5C">
        <w:rPr>
          <w:rFonts w:ascii="Arial" w:hAnsi="Arial" w:cs="Arial"/>
          <w:sz w:val="22"/>
          <w:szCs w:val="22"/>
        </w:rPr>
        <w:t xml:space="preserve"> 12.09.2018</w:t>
      </w:r>
    </w:p>
    <w:p w:rsidR="00C60341" w:rsidRPr="00022D5C" w:rsidRDefault="00C60341" w:rsidP="00C60341">
      <w:pPr>
        <w:jc w:val="both"/>
        <w:rPr>
          <w:rFonts w:ascii="Arial" w:hAnsi="Arial" w:cs="Arial"/>
          <w:sz w:val="22"/>
          <w:szCs w:val="22"/>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rPr>
        <w:t xml:space="preserve">14. Dosar nr. 13386/3/2015 – Tribunalul București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Conpet S</w:t>
      </w:r>
      <w:r w:rsidR="005C40D7">
        <w:rPr>
          <w:rFonts w:ascii="Arial" w:hAnsi="Arial" w:cs="Arial"/>
          <w:sz w:val="22"/>
          <w:szCs w:val="22"/>
        </w:rPr>
        <w:t>.</w:t>
      </w:r>
      <w:r w:rsidRPr="00022D5C">
        <w:rPr>
          <w:rFonts w:ascii="Arial" w:hAnsi="Arial" w:cs="Arial"/>
          <w:sz w:val="22"/>
          <w:szCs w:val="22"/>
        </w:rPr>
        <w:t>A</w:t>
      </w:r>
      <w:r w:rsidR="005C40D7">
        <w:rPr>
          <w:rFonts w:ascii="Arial" w:hAnsi="Arial" w:cs="Arial"/>
          <w:sz w:val="22"/>
          <w:szCs w:val="22"/>
        </w:rPr>
        <w:t>.</w:t>
      </w:r>
      <w:r w:rsidRPr="00022D5C">
        <w:rPr>
          <w:rFonts w:ascii="Arial" w:hAnsi="Arial" w:cs="Arial"/>
          <w:sz w:val="22"/>
          <w:szCs w:val="22"/>
        </w:rPr>
        <w:t xml:space="preserve"> – creditor</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Perfect Metal S</w:t>
      </w:r>
      <w:r w:rsidR="005C40D7">
        <w:rPr>
          <w:rFonts w:ascii="Arial" w:hAnsi="Arial" w:cs="Arial"/>
          <w:sz w:val="22"/>
          <w:szCs w:val="22"/>
        </w:rPr>
        <w:t>.</w:t>
      </w:r>
      <w:r w:rsidRPr="00022D5C">
        <w:rPr>
          <w:rFonts w:ascii="Arial" w:hAnsi="Arial" w:cs="Arial"/>
          <w:sz w:val="22"/>
          <w:szCs w:val="22"/>
        </w:rPr>
        <w:t>R</w:t>
      </w:r>
      <w:r w:rsidR="005C40D7">
        <w:rPr>
          <w:rFonts w:ascii="Arial" w:hAnsi="Arial" w:cs="Arial"/>
          <w:sz w:val="22"/>
          <w:szCs w:val="22"/>
        </w:rPr>
        <w:t>.</w:t>
      </w:r>
      <w:r w:rsidRPr="00022D5C">
        <w:rPr>
          <w:rFonts w:ascii="Arial" w:hAnsi="Arial" w:cs="Arial"/>
          <w:sz w:val="22"/>
          <w:szCs w:val="22"/>
        </w:rPr>
        <w:t>L</w:t>
      </w:r>
      <w:r w:rsidR="005C40D7">
        <w:rPr>
          <w:rFonts w:ascii="Arial" w:hAnsi="Arial" w:cs="Arial"/>
          <w:sz w:val="22"/>
          <w:szCs w:val="22"/>
        </w:rPr>
        <w:t>.</w:t>
      </w:r>
      <w:r w:rsidRPr="00022D5C">
        <w:rPr>
          <w:rFonts w:ascii="Arial" w:hAnsi="Arial" w:cs="Arial"/>
          <w:sz w:val="22"/>
          <w:szCs w:val="22"/>
        </w:rPr>
        <w:t xml:space="preserve"> – debitor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w:t>
      </w:r>
      <w:r w:rsidRPr="00022D5C">
        <w:rPr>
          <w:rFonts w:ascii="Arial" w:hAnsi="Arial" w:cs="Arial"/>
          <w:b/>
          <w:sz w:val="22"/>
          <w:szCs w:val="22"/>
        </w:rPr>
        <w:t>Faliment.</w:t>
      </w:r>
      <w:r w:rsidRPr="00022D5C">
        <w:rPr>
          <w:rFonts w:ascii="Arial" w:hAnsi="Arial" w:cs="Arial"/>
          <w:sz w:val="22"/>
          <w:szCs w:val="22"/>
        </w:rPr>
        <w:t xml:space="preserve"> Conpet S.A. a solicitat înscrierea la masa credală a debitorului cu suma de 221.189,85 lei reprezentând penalități de întârziere, despăgubiri, dobânzi și cheltuieli de judecată.</w:t>
      </w:r>
    </w:p>
    <w:p w:rsidR="00C60341" w:rsidRPr="00022D5C" w:rsidRDefault="00C60341" w:rsidP="00C60341">
      <w:pPr>
        <w:jc w:val="both"/>
        <w:rPr>
          <w:rFonts w:ascii="Arial" w:hAnsi="Arial" w:cs="Arial"/>
          <w:sz w:val="22"/>
          <w:szCs w:val="22"/>
        </w:rPr>
      </w:pPr>
      <w:r w:rsidRPr="00022D5C">
        <w:rPr>
          <w:rFonts w:ascii="Arial" w:hAnsi="Arial" w:cs="Arial"/>
          <w:sz w:val="22"/>
          <w:szCs w:val="22"/>
        </w:rPr>
        <w:t>Cererea a fost admisă însă Conpet a fost înscrisă în tabel la c</w:t>
      </w:r>
      <w:r w:rsidR="00A53EA5">
        <w:rPr>
          <w:rFonts w:ascii="Arial" w:hAnsi="Arial" w:cs="Arial"/>
          <w:sz w:val="22"/>
          <w:szCs w:val="22"/>
        </w:rPr>
        <w:t>ategoria creditorilor chirografă</w:t>
      </w:r>
      <w:r w:rsidRPr="00022D5C">
        <w:rPr>
          <w:rFonts w:ascii="Arial" w:hAnsi="Arial" w:cs="Arial"/>
          <w:sz w:val="22"/>
          <w:szCs w:val="22"/>
        </w:rPr>
        <w:t xml:space="preserve">ri și nu la categoria creditorilor garantați cum ar fi fost cazul în considerarea conținutului cererii noastre de înscriere pe tabelul preliminar al creditorilor. Conpet a formulat contestație împotriva tabelului preliminar al creanțelor, care face obiectul dosarului nr. 13386/3/201/a1 cu termen la data de 18.09.2015. Prin hotărârea nr. 7106/18.09.2015 Tribunalul București respinge ca neîntemeiată contestaţia.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Stadiu procesual:</w:t>
      </w:r>
      <w:r w:rsidRPr="00022D5C">
        <w:rPr>
          <w:rFonts w:ascii="Arial" w:hAnsi="Arial" w:cs="Arial"/>
          <w:sz w:val="22"/>
          <w:szCs w:val="22"/>
        </w:rPr>
        <w:t xml:space="preserve"> Fond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Termen:</w:t>
      </w:r>
      <w:r w:rsidRPr="00022D5C">
        <w:rPr>
          <w:rFonts w:ascii="Arial" w:hAnsi="Arial" w:cs="Arial"/>
          <w:sz w:val="22"/>
          <w:szCs w:val="22"/>
        </w:rPr>
        <w:t xml:space="preserve"> 19.10.2018</w:t>
      </w:r>
    </w:p>
    <w:p w:rsidR="00C60341" w:rsidRPr="00022D5C" w:rsidRDefault="00C60341" w:rsidP="00C60341">
      <w:pPr>
        <w:jc w:val="both"/>
        <w:rPr>
          <w:rFonts w:ascii="Arial" w:hAnsi="Arial" w:cs="Arial"/>
          <w:sz w:val="22"/>
          <w:szCs w:val="22"/>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rPr>
        <w:t xml:space="preserve">15. Dosar nr. 19602/3/2015 – Tribunalul București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Conpet S</w:t>
      </w:r>
      <w:r w:rsidR="005C40D7">
        <w:rPr>
          <w:rFonts w:ascii="Arial" w:hAnsi="Arial" w:cs="Arial"/>
          <w:sz w:val="22"/>
          <w:szCs w:val="22"/>
        </w:rPr>
        <w:t>.</w:t>
      </w:r>
      <w:r w:rsidRPr="00022D5C">
        <w:rPr>
          <w:rFonts w:ascii="Arial" w:hAnsi="Arial" w:cs="Arial"/>
          <w:sz w:val="22"/>
          <w:szCs w:val="22"/>
        </w:rPr>
        <w:t>A</w:t>
      </w:r>
      <w:r w:rsidR="005C40D7">
        <w:rPr>
          <w:rFonts w:ascii="Arial" w:hAnsi="Arial" w:cs="Arial"/>
          <w:sz w:val="22"/>
          <w:szCs w:val="22"/>
        </w:rPr>
        <w:t>.</w:t>
      </w:r>
      <w:r w:rsidRPr="00022D5C">
        <w:rPr>
          <w:rFonts w:ascii="Arial" w:hAnsi="Arial" w:cs="Arial"/>
          <w:sz w:val="22"/>
          <w:szCs w:val="22"/>
        </w:rPr>
        <w:t xml:space="preserve"> – creditor</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Top Birotica S</w:t>
      </w:r>
      <w:r w:rsidR="005C40D7">
        <w:rPr>
          <w:rFonts w:ascii="Arial" w:hAnsi="Arial" w:cs="Arial"/>
          <w:sz w:val="22"/>
          <w:szCs w:val="22"/>
        </w:rPr>
        <w:t>.</w:t>
      </w:r>
      <w:r w:rsidRPr="00022D5C">
        <w:rPr>
          <w:rFonts w:ascii="Arial" w:hAnsi="Arial" w:cs="Arial"/>
          <w:sz w:val="22"/>
          <w:szCs w:val="22"/>
        </w:rPr>
        <w:t>R</w:t>
      </w:r>
      <w:r w:rsidR="005C40D7">
        <w:rPr>
          <w:rFonts w:ascii="Arial" w:hAnsi="Arial" w:cs="Arial"/>
          <w:sz w:val="22"/>
          <w:szCs w:val="22"/>
        </w:rPr>
        <w:t>.</w:t>
      </w:r>
      <w:r w:rsidRPr="00022D5C">
        <w:rPr>
          <w:rFonts w:ascii="Arial" w:hAnsi="Arial" w:cs="Arial"/>
          <w:sz w:val="22"/>
          <w:szCs w:val="22"/>
        </w:rPr>
        <w:t>L</w:t>
      </w:r>
      <w:r w:rsidR="005C40D7">
        <w:rPr>
          <w:rFonts w:ascii="Arial" w:hAnsi="Arial" w:cs="Arial"/>
          <w:sz w:val="22"/>
          <w:szCs w:val="22"/>
        </w:rPr>
        <w:t>.</w:t>
      </w:r>
      <w:r w:rsidRPr="00022D5C">
        <w:rPr>
          <w:rFonts w:ascii="Arial" w:hAnsi="Arial" w:cs="Arial"/>
          <w:sz w:val="22"/>
          <w:szCs w:val="22"/>
        </w:rPr>
        <w:t xml:space="preserve"> – debitor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 Faliment.</w:t>
      </w:r>
      <w:r w:rsidRPr="00022D5C">
        <w:rPr>
          <w:rFonts w:ascii="Arial" w:hAnsi="Arial" w:cs="Arial"/>
          <w:sz w:val="22"/>
          <w:szCs w:val="22"/>
        </w:rPr>
        <w:t xml:space="preserve"> Conpet S.A. a solicitat înscrierea la masa credală a debitorului cu suma de 2.258,72 lei reprezentând penalități de întarziere datorate pentru livrarea cu întarziere a echipamentelor ce au facut obiectul contractului P-CA 438/17.11.2014.</w:t>
      </w:r>
    </w:p>
    <w:p w:rsidR="00C60341" w:rsidRPr="00022D5C" w:rsidRDefault="00C60341" w:rsidP="00C60341">
      <w:pPr>
        <w:jc w:val="both"/>
        <w:rPr>
          <w:rFonts w:ascii="Arial" w:hAnsi="Arial" w:cs="Arial"/>
          <w:sz w:val="22"/>
          <w:szCs w:val="22"/>
        </w:rPr>
      </w:pPr>
      <w:r w:rsidRPr="00022D5C">
        <w:rPr>
          <w:rFonts w:ascii="Arial" w:hAnsi="Arial" w:cs="Arial"/>
          <w:b/>
          <w:sz w:val="22"/>
          <w:szCs w:val="22"/>
        </w:rPr>
        <w:t>Stadiu procesual:</w:t>
      </w:r>
      <w:r w:rsidRPr="00022D5C">
        <w:rPr>
          <w:rFonts w:ascii="Arial" w:hAnsi="Arial" w:cs="Arial"/>
          <w:sz w:val="22"/>
          <w:szCs w:val="22"/>
        </w:rPr>
        <w:t xml:space="preserve"> Fond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Termen:</w:t>
      </w:r>
      <w:r>
        <w:rPr>
          <w:rFonts w:ascii="Arial" w:hAnsi="Arial" w:cs="Arial"/>
          <w:sz w:val="22"/>
          <w:szCs w:val="22"/>
        </w:rPr>
        <w:t xml:space="preserve"> 21.11.2018</w:t>
      </w:r>
    </w:p>
    <w:p w:rsidR="00C60341" w:rsidRPr="00022D5C" w:rsidRDefault="00C60341" w:rsidP="00C60341">
      <w:pPr>
        <w:jc w:val="both"/>
        <w:rPr>
          <w:rFonts w:ascii="Arial" w:hAnsi="Arial" w:cs="Arial"/>
          <w:sz w:val="22"/>
          <w:szCs w:val="22"/>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rPr>
        <w:t xml:space="preserve">16. Dosar nr. 2899/62/2015 – Tribunalul Brașov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Conpet S</w:t>
      </w:r>
      <w:r w:rsidR="005C40D7">
        <w:rPr>
          <w:rFonts w:ascii="Arial" w:hAnsi="Arial" w:cs="Arial"/>
          <w:sz w:val="22"/>
          <w:szCs w:val="22"/>
        </w:rPr>
        <w:t>.</w:t>
      </w:r>
      <w:r w:rsidRPr="00022D5C">
        <w:rPr>
          <w:rFonts w:ascii="Arial" w:hAnsi="Arial" w:cs="Arial"/>
          <w:sz w:val="22"/>
          <w:szCs w:val="22"/>
        </w:rPr>
        <w:t>A</w:t>
      </w:r>
      <w:r w:rsidR="005C40D7">
        <w:rPr>
          <w:rFonts w:ascii="Arial" w:hAnsi="Arial" w:cs="Arial"/>
          <w:sz w:val="22"/>
          <w:szCs w:val="22"/>
        </w:rPr>
        <w:t>.</w:t>
      </w:r>
      <w:r w:rsidRPr="00022D5C">
        <w:rPr>
          <w:rFonts w:ascii="Arial" w:hAnsi="Arial" w:cs="Arial"/>
          <w:sz w:val="22"/>
          <w:szCs w:val="22"/>
        </w:rPr>
        <w:t xml:space="preserve"> – creditor</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Condmag S</w:t>
      </w:r>
      <w:r w:rsidR="005C40D7">
        <w:rPr>
          <w:rFonts w:ascii="Arial" w:hAnsi="Arial" w:cs="Arial"/>
          <w:sz w:val="22"/>
          <w:szCs w:val="22"/>
        </w:rPr>
        <w:t>.</w:t>
      </w:r>
      <w:r w:rsidRPr="00022D5C">
        <w:rPr>
          <w:rFonts w:ascii="Arial" w:hAnsi="Arial" w:cs="Arial"/>
          <w:sz w:val="22"/>
          <w:szCs w:val="22"/>
        </w:rPr>
        <w:t>A</w:t>
      </w:r>
      <w:r w:rsidR="005C40D7">
        <w:rPr>
          <w:rFonts w:ascii="Arial" w:hAnsi="Arial" w:cs="Arial"/>
          <w:sz w:val="22"/>
          <w:szCs w:val="22"/>
        </w:rPr>
        <w:t>.</w:t>
      </w:r>
      <w:r w:rsidRPr="00022D5C">
        <w:rPr>
          <w:rFonts w:ascii="Arial" w:hAnsi="Arial" w:cs="Arial"/>
          <w:sz w:val="22"/>
          <w:szCs w:val="22"/>
        </w:rPr>
        <w:t xml:space="preserve"> - debitor</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w:t>
      </w:r>
      <w:r w:rsidRPr="00022D5C">
        <w:rPr>
          <w:rFonts w:ascii="Arial" w:hAnsi="Arial" w:cs="Arial"/>
          <w:b/>
          <w:sz w:val="22"/>
          <w:szCs w:val="22"/>
        </w:rPr>
        <w:t>Faliment.</w:t>
      </w:r>
      <w:r w:rsidRPr="00022D5C">
        <w:rPr>
          <w:rFonts w:ascii="Arial" w:hAnsi="Arial" w:cs="Arial"/>
          <w:sz w:val="22"/>
          <w:szCs w:val="22"/>
        </w:rPr>
        <w:t xml:space="preserve"> Cerere de admitere a creanței Conpet împotriva averii debitorului Condmag SA- 42,950,85 lei reprezentând penalități, compusă din creanța garantată 40,927,28 lei și creanța chirografară 2,023,57 lei.</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Stadiu procesual: </w:t>
      </w:r>
      <w:r w:rsidRPr="00022D5C">
        <w:rPr>
          <w:rFonts w:ascii="Arial" w:hAnsi="Arial" w:cs="Arial"/>
          <w:sz w:val="22"/>
          <w:szCs w:val="22"/>
        </w:rPr>
        <w:t>Fond</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Termen: </w:t>
      </w:r>
      <w:r w:rsidRPr="00022D5C">
        <w:rPr>
          <w:rFonts w:ascii="Arial" w:hAnsi="Arial" w:cs="Arial"/>
          <w:sz w:val="22"/>
          <w:szCs w:val="22"/>
        </w:rPr>
        <w:t>11.09.2018</w:t>
      </w:r>
    </w:p>
    <w:p w:rsidR="00C60341" w:rsidRPr="00022D5C" w:rsidRDefault="00C60341" w:rsidP="00C60341">
      <w:pPr>
        <w:jc w:val="both"/>
        <w:rPr>
          <w:rFonts w:ascii="Arial" w:hAnsi="Arial" w:cs="Arial"/>
          <w:sz w:val="22"/>
          <w:szCs w:val="22"/>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rPr>
        <w:t>17. Dosar nr. 4996/256/2015 – Judecătoria Medgidia – C. Dău</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Conpet S</w:t>
      </w:r>
      <w:r w:rsidR="00A53EA5">
        <w:rPr>
          <w:rFonts w:ascii="Arial" w:hAnsi="Arial" w:cs="Arial"/>
          <w:sz w:val="22"/>
          <w:szCs w:val="22"/>
        </w:rPr>
        <w:t>.</w:t>
      </w:r>
      <w:r w:rsidRPr="00022D5C">
        <w:rPr>
          <w:rFonts w:ascii="Arial" w:hAnsi="Arial" w:cs="Arial"/>
          <w:sz w:val="22"/>
          <w:szCs w:val="22"/>
        </w:rPr>
        <w:t>A</w:t>
      </w:r>
      <w:r w:rsidR="00A53EA5">
        <w:rPr>
          <w:rFonts w:ascii="Arial" w:hAnsi="Arial" w:cs="Arial"/>
          <w:sz w:val="22"/>
          <w:szCs w:val="22"/>
        </w:rPr>
        <w:t>.</w:t>
      </w:r>
      <w:r w:rsidRPr="00022D5C">
        <w:rPr>
          <w:rFonts w:ascii="Arial" w:hAnsi="Arial" w:cs="Arial"/>
          <w:sz w:val="22"/>
          <w:szCs w:val="22"/>
        </w:rPr>
        <w:t xml:space="preserve"> – parte civilă</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Sprivac Florin Alexandru, Roșu Adrian – inculpați</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w:t>
      </w:r>
      <w:r w:rsidRPr="00022D5C">
        <w:rPr>
          <w:rFonts w:ascii="Arial" w:hAnsi="Arial" w:cs="Arial"/>
          <w:b/>
          <w:sz w:val="22"/>
          <w:szCs w:val="22"/>
        </w:rPr>
        <w:t>Furt calificat.</w:t>
      </w:r>
      <w:r w:rsidRPr="00022D5C">
        <w:rPr>
          <w:rFonts w:ascii="Arial" w:hAnsi="Arial" w:cs="Arial"/>
          <w:sz w:val="22"/>
          <w:szCs w:val="22"/>
        </w:rPr>
        <w:t xml:space="preserve"> Conpet s-a constituit parte civilă pentru suma de 7.647,96 lei reprezentând contravaloarea cantității de 200 litri țiței pierdut ca urmare a acestei fapte (541,33 lei), a lucrărilor de remediere a conductei avariate, necesare readucerii acesteia în stare de funcționare (4.710,95 lei) și a lucrărilor de ecologizare a suprafeței de teren poluate în urma avariei (2.395,68 lei).</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Precizări:</w:t>
      </w:r>
      <w:r w:rsidRPr="00022D5C">
        <w:rPr>
          <w:rFonts w:ascii="Arial" w:hAnsi="Arial" w:cs="Arial"/>
          <w:sz w:val="22"/>
          <w:szCs w:val="22"/>
        </w:rPr>
        <w:t xml:space="preserve"> Prin sentința nr. 3538/21.12.2017 Judecătoria Medgidia admite acţiunea civilă formulată de partea civilă Conpet S</w:t>
      </w:r>
      <w:r w:rsidR="005C40D7">
        <w:rPr>
          <w:rFonts w:ascii="Arial" w:hAnsi="Arial" w:cs="Arial"/>
          <w:sz w:val="22"/>
          <w:szCs w:val="22"/>
        </w:rPr>
        <w:t>.</w:t>
      </w:r>
      <w:r w:rsidRPr="00022D5C">
        <w:rPr>
          <w:rFonts w:ascii="Arial" w:hAnsi="Arial" w:cs="Arial"/>
          <w:sz w:val="22"/>
          <w:szCs w:val="22"/>
        </w:rPr>
        <w:t>A</w:t>
      </w:r>
      <w:r w:rsidR="005C40D7">
        <w:rPr>
          <w:rFonts w:ascii="Arial" w:hAnsi="Arial" w:cs="Arial"/>
          <w:sz w:val="22"/>
          <w:szCs w:val="22"/>
        </w:rPr>
        <w:t>.</w:t>
      </w:r>
      <w:r w:rsidRPr="00022D5C">
        <w:rPr>
          <w:rFonts w:ascii="Arial" w:hAnsi="Arial" w:cs="Arial"/>
          <w:sz w:val="22"/>
          <w:szCs w:val="22"/>
        </w:rPr>
        <w:t xml:space="preserve"> și obligă inculpaţii, în solidar, la plata despăgubirilor civile către în sumă de 7.647,96 lei cu titlul de despăgubiri materiale. Hotărârea poate fi atacată cu apel după comunicare.</w:t>
      </w:r>
    </w:p>
    <w:p w:rsidR="00C60341" w:rsidRPr="00022D5C" w:rsidRDefault="00C60341" w:rsidP="00C60341">
      <w:pPr>
        <w:jc w:val="both"/>
        <w:rPr>
          <w:rFonts w:ascii="Arial" w:hAnsi="Arial" w:cs="Arial"/>
          <w:sz w:val="22"/>
          <w:szCs w:val="22"/>
        </w:rPr>
      </w:pPr>
      <w:r w:rsidRPr="00022D5C">
        <w:rPr>
          <w:rFonts w:ascii="Arial" w:hAnsi="Arial" w:cs="Arial"/>
          <w:b/>
          <w:sz w:val="22"/>
          <w:szCs w:val="22"/>
        </w:rPr>
        <w:t>Stadiu procesual:</w:t>
      </w:r>
      <w:r w:rsidRPr="00022D5C">
        <w:rPr>
          <w:rFonts w:ascii="Arial" w:hAnsi="Arial" w:cs="Arial"/>
          <w:sz w:val="22"/>
          <w:szCs w:val="22"/>
        </w:rPr>
        <w:t xml:space="preserve">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Termen:</w:t>
      </w:r>
      <w:r w:rsidRPr="00022D5C">
        <w:rPr>
          <w:rFonts w:ascii="Arial" w:hAnsi="Arial" w:cs="Arial"/>
          <w:sz w:val="22"/>
          <w:szCs w:val="22"/>
        </w:rPr>
        <w:t xml:space="preserve"> --</w:t>
      </w:r>
    </w:p>
    <w:p w:rsidR="00C60341" w:rsidRPr="00022D5C" w:rsidRDefault="00C60341" w:rsidP="00C60341">
      <w:pPr>
        <w:jc w:val="both"/>
        <w:rPr>
          <w:rFonts w:ascii="Arial" w:hAnsi="Arial" w:cs="Arial"/>
          <w:sz w:val="22"/>
          <w:szCs w:val="22"/>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rPr>
        <w:lastRenderedPageBreak/>
        <w:t xml:space="preserve">18. Dosar nr. 983/281/2016 – Tribunalul Prahova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Conpet S</w:t>
      </w:r>
      <w:r w:rsidR="005C40D7">
        <w:rPr>
          <w:rFonts w:ascii="Arial" w:hAnsi="Arial" w:cs="Arial"/>
          <w:sz w:val="22"/>
          <w:szCs w:val="22"/>
        </w:rPr>
        <w:t>.</w:t>
      </w:r>
      <w:r w:rsidRPr="00022D5C">
        <w:rPr>
          <w:rFonts w:ascii="Arial" w:hAnsi="Arial" w:cs="Arial"/>
          <w:sz w:val="22"/>
          <w:szCs w:val="22"/>
        </w:rPr>
        <w:t>A</w:t>
      </w:r>
      <w:r w:rsidR="005C40D7">
        <w:rPr>
          <w:rFonts w:ascii="Arial" w:hAnsi="Arial" w:cs="Arial"/>
          <w:sz w:val="22"/>
          <w:szCs w:val="22"/>
        </w:rPr>
        <w:t>.</w:t>
      </w:r>
      <w:r w:rsidRPr="00022D5C">
        <w:rPr>
          <w:rFonts w:ascii="Arial" w:hAnsi="Arial" w:cs="Arial"/>
          <w:sz w:val="22"/>
          <w:szCs w:val="22"/>
        </w:rPr>
        <w:t xml:space="preserve"> – contestator</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Dobrogeanu Dumitru - intimat</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Obiect: </w:t>
      </w:r>
      <w:r w:rsidRPr="00022D5C">
        <w:rPr>
          <w:rFonts w:ascii="Arial" w:hAnsi="Arial" w:cs="Arial"/>
          <w:sz w:val="22"/>
          <w:szCs w:val="22"/>
        </w:rPr>
        <w:t>Conpet S</w:t>
      </w:r>
      <w:r w:rsidR="005C40D7">
        <w:rPr>
          <w:rFonts w:ascii="Arial" w:hAnsi="Arial" w:cs="Arial"/>
          <w:sz w:val="22"/>
          <w:szCs w:val="22"/>
        </w:rPr>
        <w:t>.</w:t>
      </w:r>
      <w:r w:rsidRPr="00022D5C">
        <w:rPr>
          <w:rFonts w:ascii="Arial" w:hAnsi="Arial" w:cs="Arial"/>
          <w:sz w:val="22"/>
          <w:szCs w:val="22"/>
        </w:rPr>
        <w:t>A</w:t>
      </w:r>
      <w:r w:rsidR="005C40D7">
        <w:rPr>
          <w:rFonts w:ascii="Arial" w:hAnsi="Arial" w:cs="Arial"/>
          <w:sz w:val="22"/>
          <w:szCs w:val="22"/>
        </w:rPr>
        <w:t>.</w:t>
      </w:r>
      <w:r w:rsidRPr="00022D5C">
        <w:rPr>
          <w:rFonts w:ascii="Arial" w:hAnsi="Arial" w:cs="Arial"/>
          <w:sz w:val="22"/>
          <w:szCs w:val="22"/>
        </w:rPr>
        <w:t xml:space="preserve"> formulează contestație la executare împotriva actelor de executare întocmite de BEJ Divoiu Maria în dosarul de executare nr. 468/2015, după cum urmează:</w:t>
      </w:r>
    </w:p>
    <w:p w:rsidR="00C60341" w:rsidRPr="00022D5C" w:rsidRDefault="0022067D" w:rsidP="00C60341">
      <w:pPr>
        <w:jc w:val="both"/>
        <w:rPr>
          <w:rFonts w:ascii="Arial" w:hAnsi="Arial" w:cs="Arial"/>
          <w:sz w:val="22"/>
          <w:szCs w:val="22"/>
        </w:rPr>
      </w:pPr>
      <w:r>
        <w:rPr>
          <w:rFonts w:ascii="Arial" w:hAnsi="Arial" w:cs="Arial"/>
          <w:sz w:val="22"/>
          <w:szCs w:val="22"/>
        </w:rPr>
        <w:t>- î</w:t>
      </w:r>
      <w:r w:rsidR="00C60341" w:rsidRPr="00022D5C">
        <w:rPr>
          <w:rFonts w:ascii="Arial" w:hAnsi="Arial" w:cs="Arial"/>
          <w:sz w:val="22"/>
          <w:szCs w:val="22"/>
        </w:rPr>
        <w:t>nștiințarea din data de 17.12.2016;</w:t>
      </w:r>
    </w:p>
    <w:p w:rsidR="00C60341" w:rsidRPr="00022D5C" w:rsidRDefault="0022067D" w:rsidP="00C60341">
      <w:pPr>
        <w:jc w:val="both"/>
        <w:rPr>
          <w:rFonts w:ascii="Arial" w:hAnsi="Arial" w:cs="Arial"/>
          <w:sz w:val="22"/>
          <w:szCs w:val="22"/>
        </w:rPr>
      </w:pPr>
      <w:r>
        <w:rPr>
          <w:rFonts w:ascii="Arial" w:hAnsi="Arial" w:cs="Arial"/>
          <w:sz w:val="22"/>
          <w:szCs w:val="22"/>
        </w:rPr>
        <w:t>- s</w:t>
      </w:r>
      <w:r w:rsidR="00C60341" w:rsidRPr="00022D5C">
        <w:rPr>
          <w:rFonts w:ascii="Arial" w:hAnsi="Arial" w:cs="Arial"/>
          <w:sz w:val="22"/>
          <w:szCs w:val="22"/>
        </w:rPr>
        <w:t>omația din data de 17.12.2015;</w:t>
      </w:r>
    </w:p>
    <w:p w:rsidR="00C60341" w:rsidRPr="00022D5C" w:rsidRDefault="0022067D" w:rsidP="00C60341">
      <w:pPr>
        <w:jc w:val="both"/>
        <w:rPr>
          <w:rFonts w:ascii="Arial" w:hAnsi="Arial" w:cs="Arial"/>
          <w:sz w:val="22"/>
          <w:szCs w:val="22"/>
        </w:rPr>
      </w:pPr>
      <w:r>
        <w:rPr>
          <w:rFonts w:ascii="Arial" w:hAnsi="Arial" w:cs="Arial"/>
          <w:sz w:val="22"/>
          <w:szCs w:val="22"/>
        </w:rPr>
        <w:t>- î</w:t>
      </w:r>
      <w:r w:rsidR="00C60341" w:rsidRPr="00022D5C">
        <w:rPr>
          <w:rFonts w:ascii="Arial" w:hAnsi="Arial" w:cs="Arial"/>
          <w:sz w:val="22"/>
          <w:szCs w:val="22"/>
        </w:rPr>
        <w:t>ncheierea de încuviințare a executării silite din data de 17.12.2015</w:t>
      </w:r>
      <w:r>
        <w:rPr>
          <w:rFonts w:ascii="Arial" w:hAnsi="Arial" w:cs="Arial"/>
          <w:sz w:val="22"/>
          <w:szCs w:val="22"/>
        </w:rPr>
        <w:t>;</w:t>
      </w:r>
    </w:p>
    <w:p w:rsidR="00C60341" w:rsidRPr="00022D5C" w:rsidRDefault="0022067D" w:rsidP="00C60341">
      <w:pPr>
        <w:jc w:val="both"/>
        <w:rPr>
          <w:rFonts w:ascii="Arial" w:hAnsi="Arial" w:cs="Arial"/>
          <w:sz w:val="22"/>
          <w:szCs w:val="22"/>
        </w:rPr>
      </w:pPr>
      <w:r>
        <w:rPr>
          <w:rFonts w:ascii="Arial" w:hAnsi="Arial" w:cs="Arial"/>
          <w:sz w:val="22"/>
          <w:szCs w:val="22"/>
        </w:rPr>
        <w:t>- î</w:t>
      </w:r>
      <w:r w:rsidR="00C60341" w:rsidRPr="00022D5C">
        <w:rPr>
          <w:rFonts w:ascii="Arial" w:hAnsi="Arial" w:cs="Arial"/>
          <w:sz w:val="22"/>
          <w:szCs w:val="22"/>
        </w:rPr>
        <w:t>ncheierea de stabilire a cheltuielilor de executare din data 17.12.2015</w:t>
      </w:r>
      <w:r>
        <w:rPr>
          <w:rFonts w:ascii="Arial" w:hAnsi="Arial" w:cs="Arial"/>
          <w:sz w:val="22"/>
          <w:szCs w:val="22"/>
        </w:rPr>
        <w:t>;</w:t>
      </w:r>
    </w:p>
    <w:p w:rsidR="00C60341" w:rsidRPr="00022D5C" w:rsidRDefault="0022067D" w:rsidP="00C60341">
      <w:pPr>
        <w:jc w:val="both"/>
        <w:rPr>
          <w:rFonts w:ascii="Arial" w:hAnsi="Arial" w:cs="Arial"/>
          <w:sz w:val="22"/>
          <w:szCs w:val="22"/>
        </w:rPr>
      </w:pPr>
      <w:r>
        <w:rPr>
          <w:rFonts w:ascii="Arial" w:hAnsi="Arial" w:cs="Arial"/>
          <w:sz w:val="22"/>
          <w:szCs w:val="22"/>
        </w:rPr>
        <w:t>- î</w:t>
      </w:r>
      <w:r w:rsidR="00C60341" w:rsidRPr="00022D5C">
        <w:rPr>
          <w:rFonts w:ascii="Arial" w:hAnsi="Arial" w:cs="Arial"/>
          <w:sz w:val="22"/>
          <w:szCs w:val="22"/>
        </w:rPr>
        <w:t>ncheierea de actualizare cu rata inflației din data de 17.12.2015</w:t>
      </w:r>
      <w:r>
        <w:rPr>
          <w:rFonts w:ascii="Arial" w:hAnsi="Arial" w:cs="Arial"/>
          <w:sz w:val="22"/>
          <w:szCs w:val="22"/>
        </w:rPr>
        <w:t>.</w:t>
      </w:r>
    </w:p>
    <w:p w:rsidR="00C60341" w:rsidRPr="00022D5C" w:rsidRDefault="00C60341" w:rsidP="00C60341">
      <w:pPr>
        <w:jc w:val="both"/>
        <w:rPr>
          <w:rFonts w:ascii="Arial" w:hAnsi="Arial" w:cs="Arial"/>
          <w:sz w:val="22"/>
          <w:szCs w:val="22"/>
        </w:rPr>
      </w:pPr>
      <w:r w:rsidRPr="00022D5C">
        <w:rPr>
          <w:rFonts w:ascii="Arial" w:hAnsi="Arial" w:cs="Arial"/>
          <w:sz w:val="22"/>
          <w:szCs w:val="22"/>
        </w:rPr>
        <w:t>Și solicită anularea tuturor actelor de executare contestate arătate mai sus și exonerarea societății noastre de la plata sumei de 51.021,54 lei care face obiectul executării silite.</w:t>
      </w:r>
    </w:p>
    <w:p w:rsidR="00C60341" w:rsidRPr="00022D5C" w:rsidRDefault="00C60341" w:rsidP="00C60341">
      <w:pPr>
        <w:jc w:val="both"/>
        <w:rPr>
          <w:rFonts w:ascii="Arial" w:hAnsi="Arial" w:cs="Arial"/>
          <w:sz w:val="22"/>
          <w:szCs w:val="22"/>
        </w:rPr>
      </w:pPr>
      <w:r w:rsidRPr="00022D5C">
        <w:rPr>
          <w:rFonts w:ascii="Arial" w:hAnsi="Arial" w:cs="Arial"/>
          <w:sz w:val="22"/>
          <w:szCs w:val="22"/>
        </w:rPr>
        <w:t>- Cu cheltuieli de judecată</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Precizări:</w:t>
      </w:r>
      <w:r w:rsidRPr="00022D5C">
        <w:rPr>
          <w:rFonts w:ascii="Arial" w:hAnsi="Arial" w:cs="Arial"/>
          <w:sz w:val="22"/>
          <w:szCs w:val="22"/>
        </w:rPr>
        <w:t xml:space="preserve"> Prin </w:t>
      </w:r>
      <w:r w:rsidRPr="00022D5C">
        <w:rPr>
          <w:rFonts w:ascii="Arial" w:hAnsi="Arial" w:cs="Arial"/>
          <w:b/>
          <w:sz w:val="22"/>
          <w:szCs w:val="22"/>
        </w:rPr>
        <w:t>Sentința nr. 8369/19.10.2017</w:t>
      </w:r>
      <w:r w:rsidRPr="00022D5C">
        <w:rPr>
          <w:rFonts w:ascii="Arial" w:hAnsi="Arial" w:cs="Arial"/>
          <w:sz w:val="22"/>
          <w:szCs w:val="22"/>
        </w:rPr>
        <w:t xml:space="preserve"> Judecătoria Ploiești admite contestaţia la executare formulată de contestatoarea Conpet S.A.. Anulează actele de executare întocmite de B.E.J. Divoiu Maria în dosar execuţional nr. 468/2015, după cum urmează: înştiinţarea din data de 17.12.2015, somaţia din data de 17.12.2015, încheierea de încuviinţare a executării silite din data de 17.12.2015, încheierea de stabilire a cheltuielilor de executare din data de 17.12.2015 şi încheierea de actualizare cu rata inflaţiei din data de 17 decembrie 2015. Obligă intimatul la plata către contestatoare a sumei de 800,40 lei cu titlu de cheltuieli de judecată din care suma de 600 lei reprezentând onorariu expertiză contabilă şi suma de 200,40 lei reprezentând contravaloare copii dosar de executare nr. 468/2015. Respinge ca neîntemeiată cererea de obligare a intimatului la plata sumei de 1.000 lei cu titlu de cheltuieli de judecată constând din taxă judiciară de timbru. Hotărârea a fost atacată cu apel de Conpet.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Stadiu procesual:</w:t>
      </w:r>
      <w:r w:rsidRPr="00022D5C">
        <w:rPr>
          <w:rFonts w:ascii="Arial" w:hAnsi="Arial" w:cs="Arial"/>
          <w:sz w:val="22"/>
          <w:szCs w:val="22"/>
        </w:rPr>
        <w:t xml:space="preserve"> Apel</w:t>
      </w:r>
    </w:p>
    <w:p w:rsidR="00C60341" w:rsidRPr="00C60341" w:rsidRDefault="00C60341" w:rsidP="00C60341">
      <w:pPr>
        <w:jc w:val="both"/>
        <w:rPr>
          <w:rFonts w:ascii="Arial" w:hAnsi="Arial" w:cs="Arial"/>
          <w:sz w:val="22"/>
          <w:szCs w:val="22"/>
        </w:rPr>
      </w:pPr>
      <w:r w:rsidRPr="00022D5C">
        <w:rPr>
          <w:rFonts w:ascii="Arial" w:hAnsi="Arial" w:cs="Arial"/>
          <w:b/>
          <w:sz w:val="22"/>
          <w:szCs w:val="22"/>
        </w:rPr>
        <w:t>Termen:</w:t>
      </w:r>
      <w:r>
        <w:rPr>
          <w:rFonts w:ascii="Arial" w:hAnsi="Arial" w:cs="Arial"/>
          <w:sz w:val="22"/>
          <w:szCs w:val="22"/>
        </w:rPr>
        <w:t xml:space="preserve"> --</w:t>
      </w:r>
    </w:p>
    <w:p w:rsidR="00C60341" w:rsidRPr="00022D5C" w:rsidRDefault="00C60341" w:rsidP="00C60341">
      <w:pPr>
        <w:jc w:val="both"/>
        <w:rPr>
          <w:rFonts w:ascii="Arial" w:hAnsi="Arial" w:cs="Arial"/>
          <w:b/>
          <w:sz w:val="22"/>
          <w:szCs w:val="22"/>
          <w:lang w:val="it-IT"/>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lang w:val="it-IT"/>
        </w:rPr>
        <w:t xml:space="preserve">19. </w:t>
      </w:r>
      <w:r w:rsidRPr="00022D5C">
        <w:rPr>
          <w:rFonts w:ascii="Arial" w:hAnsi="Arial" w:cs="Arial"/>
          <w:b/>
          <w:sz w:val="22"/>
          <w:szCs w:val="22"/>
        </w:rPr>
        <w:t xml:space="preserve">Dosar nr. 91/116/2016 – Tribunalul Calarași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Conpet – parte civilă</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Nitu Gh. Nicolae, Stancu N. Alexandru Emilian, Avram Gheorghe, Anton T. Petrisor, Tanase M. Vasile Aurel, Bucur G. Mădălin Cristian – inculpați</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Constituirea unui grup infracţional organizat (art. 367 NCP) alin.1 C.p. Conpet S</w:t>
      </w:r>
      <w:r w:rsidR="0022067D">
        <w:rPr>
          <w:rFonts w:ascii="Arial" w:hAnsi="Arial" w:cs="Arial"/>
          <w:sz w:val="22"/>
          <w:szCs w:val="22"/>
        </w:rPr>
        <w:t>.</w:t>
      </w:r>
      <w:r w:rsidRPr="00022D5C">
        <w:rPr>
          <w:rFonts w:ascii="Arial" w:hAnsi="Arial" w:cs="Arial"/>
          <w:sz w:val="22"/>
          <w:szCs w:val="22"/>
        </w:rPr>
        <w:t>A</w:t>
      </w:r>
      <w:r w:rsidR="0022067D">
        <w:rPr>
          <w:rFonts w:ascii="Arial" w:hAnsi="Arial" w:cs="Arial"/>
          <w:sz w:val="22"/>
          <w:szCs w:val="22"/>
        </w:rPr>
        <w:t>.</w:t>
      </w:r>
      <w:r w:rsidRPr="00022D5C">
        <w:rPr>
          <w:rFonts w:ascii="Arial" w:hAnsi="Arial" w:cs="Arial"/>
          <w:sz w:val="22"/>
          <w:szCs w:val="22"/>
        </w:rPr>
        <w:t xml:space="preserve"> s-a constituit parte civilă pentru suma de 95.243,71 lei reprezentând contravaloarea țițeiului pierdut (79.624,98 lei) și a lucrărilor de remediere (15.618,73 lei).</w:t>
      </w:r>
    </w:p>
    <w:p w:rsidR="00C60341" w:rsidRPr="00022D5C" w:rsidRDefault="00C60341" w:rsidP="00C60341">
      <w:pPr>
        <w:jc w:val="both"/>
        <w:rPr>
          <w:rFonts w:ascii="Arial" w:hAnsi="Arial" w:cs="Arial"/>
          <w:sz w:val="22"/>
          <w:szCs w:val="22"/>
        </w:rPr>
      </w:pPr>
      <w:r w:rsidRPr="00022D5C">
        <w:rPr>
          <w:rFonts w:ascii="Arial" w:hAnsi="Arial" w:cs="Arial"/>
          <w:b/>
          <w:sz w:val="22"/>
          <w:szCs w:val="22"/>
        </w:rPr>
        <w:t>Stadiu procesual:</w:t>
      </w:r>
      <w:r w:rsidRPr="00022D5C">
        <w:rPr>
          <w:rFonts w:ascii="Arial" w:hAnsi="Arial" w:cs="Arial"/>
          <w:sz w:val="22"/>
          <w:szCs w:val="22"/>
        </w:rPr>
        <w:t xml:space="preserve"> Fond</w:t>
      </w:r>
    </w:p>
    <w:p w:rsidR="00C60341" w:rsidRPr="00022D5C" w:rsidRDefault="00C60341" w:rsidP="00C60341">
      <w:pPr>
        <w:jc w:val="both"/>
        <w:rPr>
          <w:rFonts w:ascii="Arial" w:hAnsi="Arial" w:cs="Arial"/>
          <w:sz w:val="22"/>
          <w:szCs w:val="22"/>
        </w:rPr>
      </w:pPr>
      <w:r w:rsidRPr="00022D5C">
        <w:rPr>
          <w:rFonts w:ascii="Arial" w:hAnsi="Arial" w:cs="Arial"/>
          <w:b/>
          <w:sz w:val="22"/>
          <w:szCs w:val="22"/>
        </w:rPr>
        <w:t>Termen:</w:t>
      </w:r>
      <w:r w:rsidRPr="00022D5C">
        <w:rPr>
          <w:rFonts w:ascii="Arial" w:hAnsi="Arial" w:cs="Arial"/>
          <w:sz w:val="22"/>
          <w:szCs w:val="22"/>
        </w:rPr>
        <w:t xml:space="preserve"> Amâna</w:t>
      </w:r>
      <w:r>
        <w:rPr>
          <w:rFonts w:ascii="Arial" w:hAnsi="Arial" w:cs="Arial"/>
          <w:sz w:val="22"/>
          <w:szCs w:val="22"/>
        </w:rPr>
        <w:t>re pronunțare la 23.07.2018</w:t>
      </w:r>
    </w:p>
    <w:p w:rsidR="00C60341" w:rsidRPr="00022D5C" w:rsidRDefault="00C60341" w:rsidP="00C60341">
      <w:pPr>
        <w:jc w:val="both"/>
        <w:rPr>
          <w:rFonts w:ascii="Arial" w:hAnsi="Arial" w:cs="Arial"/>
          <w:sz w:val="22"/>
          <w:szCs w:val="22"/>
        </w:rPr>
      </w:pPr>
    </w:p>
    <w:p w:rsidR="00C60341" w:rsidRPr="00022D5C" w:rsidRDefault="00C60341" w:rsidP="00C60341">
      <w:pPr>
        <w:jc w:val="both"/>
        <w:rPr>
          <w:rFonts w:ascii="Arial" w:hAnsi="Arial" w:cs="Arial"/>
          <w:b/>
          <w:sz w:val="22"/>
          <w:szCs w:val="22"/>
          <w:lang w:val="it-IT"/>
        </w:rPr>
      </w:pPr>
      <w:r w:rsidRPr="00022D5C">
        <w:rPr>
          <w:rFonts w:ascii="Arial" w:hAnsi="Arial" w:cs="Arial"/>
          <w:b/>
          <w:sz w:val="22"/>
          <w:szCs w:val="22"/>
          <w:lang w:val="it-IT"/>
        </w:rPr>
        <w:t xml:space="preserve">20. Dosar nr. 8156/281/2014 – Judecătoria Ploiești </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 xml:space="preserve">Părți: </w:t>
      </w:r>
      <w:r w:rsidRPr="00022D5C">
        <w:rPr>
          <w:rFonts w:ascii="Arial" w:hAnsi="Arial" w:cs="Arial"/>
          <w:sz w:val="22"/>
          <w:szCs w:val="22"/>
          <w:lang w:val="it-IT"/>
        </w:rPr>
        <w:t>Conpet S</w:t>
      </w:r>
      <w:r w:rsidR="0022067D">
        <w:rPr>
          <w:rFonts w:ascii="Arial" w:hAnsi="Arial" w:cs="Arial"/>
          <w:sz w:val="22"/>
          <w:szCs w:val="22"/>
          <w:lang w:val="it-IT"/>
        </w:rPr>
        <w:t>.</w:t>
      </w:r>
      <w:r w:rsidRPr="00022D5C">
        <w:rPr>
          <w:rFonts w:ascii="Arial" w:hAnsi="Arial" w:cs="Arial"/>
          <w:sz w:val="22"/>
          <w:szCs w:val="22"/>
          <w:lang w:val="it-IT"/>
        </w:rPr>
        <w:t>A</w:t>
      </w:r>
      <w:r w:rsidR="0022067D">
        <w:rPr>
          <w:rFonts w:ascii="Arial" w:hAnsi="Arial" w:cs="Arial"/>
          <w:sz w:val="22"/>
          <w:szCs w:val="22"/>
          <w:lang w:val="it-IT"/>
        </w:rPr>
        <w:t>.</w:t>
      </w:r>
      <w:r w:rsidRPr="00022D5C">
        <w:rPr>
          <w:rFonts w:ascii="Arial" w:hAnsi="Arial" w:cs="Arial"/>
          <w:sz w:val="22"/>
          <w:szCs w:val="22"/>
          <w:lang w:val="it-IT"/>
        </w:rPr>
        <w:t xml:space="preserve"> – parte civilă</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lang w:val="it-IT"/>
        </w:rPr>
        <w:t xml:space="preserve">           Matei Marinel – revizuent</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Obiect:</w:t>
      </w:r>
      <w:r w:rsidRPr="00022D5C">
        <w:rPr>
          <w:rFonts w:ascii="Arial" w:hAnsi="Arial" w:cs="Arial"/>
          <w:sz w:val="22"/>
          <w:szCs w:val="22"/>
          <w:lang w:val="it-IT"/>
        </w:rPr>
        <w:t xml:space="preserve"> Furt calificat. Revizuire. Matei Marinel formulează cerere de revizuire a deciziei penale nr. 1383/14.10.2013 pronunțată de Curtea de Apel Ploiești în dosarul nr. 19230/281/2011.</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Stadiu procesual:</w:t>
      </w:r>
      <w:r w:rsidRPr="00022D5C">
        <w:rPr>
          <w:rFonts w:ascii="Arial" w:hAnsi="Arial" w:cs="Arial"/>
          <w:sz w:val="22"/>
          <w:szCs w:val="22"/>
          <w:lang w:val="it-IT"/>
        </w:rPr>
        <w:t xml:space="preserve"> Fond</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 xml:space="preserve">Termen: </w:t>
      </w:r>
      <w:r w:rsidRPr="00022D5C">
        <w:rPr>
          <w:rFonts w:ascii="Arial" w:hAnsi="Arial" w:cs="Arial"/>
          <w:sz w:val="22"/>
          <w:szCs w:val="22"/>
          <w:lang w:val="it-IT"/>
        </w:rPr>
        <w:t>19.07.2018</w:t>
      </w:r>
    </w:p>
    <w:p w:rsidR="00C60341" w:rsidRPr="00022D5C" w:rsidRDefault="00C60341" w:rsidP="00C60341">
      <w:pPr>
        <w:jc w:val="both"/>
        <w:rPr>
          <w:rFonts w:ascii="Arial" w:hAnsi="Arial" w:cs="Arial"/>
          <w:sz w:val="22"/>
          <w:szCs w:val="22"/>
        </w:rPr>
      </w:pPr>
    </w:p>
    <w:p w:rsidR="00C60341" w:rsidRPr="00022D5C" w:rsidRDefault="00C60341" w:rsidP="00C60341">
      <w:pPr>
        <w:rPr>
          <w:rFonts w:ascii="Arial" w:hAnsi="Arial" w:cs="Arial"/>
          <w:b/>
          <w:sz w:val="22"/>
          <w:szCs w:val="22"/>
        </w:rPr>
      </w:pPr>
      <w:r w:rsidRPr="00022D5C">
        <w:rPr>
          <w:rFonts w:ascii="Arial" w:hAnsi="Arial" w:cs="Arial"/>
          <w:b/>
          <w:sz w:val="22"/>
          <w:szCs w:val="22"/>
        </w:rPr>
        <w:t>21. Dosar  nr. 2694/236/2016 - Judecătoria Giurgiu – B. Olteanu</w:t>
      </w:r>
    </w:p>
    <w:p w:rsidR="00C60341" w:rsidRPr="00022D5C" w:rsidRDefault="00C60341" w:rsidP="00C60341">
      <w:pPr>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Conpet prin BEJ Raduță Nicoleta - petent</w:t>
      </w:r>
    </w:p>
    <w:p w:rsidR="00C60341" w:rsidRPr="00022D5C" w:rsidRDefault="00C60341" w:rsidP="00C60341">
      <w:pPr>
        <w:rPr>
          <w:rFonts w:ascii="Arial" w:hAnsi="Arial" w:cs="Arial"/>
          <w:sz w:val="22"/>
          <w:szCs w:val="22"/>
        </w:rPr>
      </w:pPr>
      <w:r w:rsidRPr="00022D5C">
        <w:rPr>
          <w:rFonts w:ascii="Arial" w:hAnsi="Arial" w:cs="Arial"/>
          <w:sz w:val="22"/>
          <w:szCs w:val="22"/>
        </w:rPr>
        <w:t xml:space="preserve">           Conpet - creditor</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Stan Remus Constantin - debitor</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SC Trans Denimar SRL - terț poprit</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BEJ Raduță Nicoleta a formulat cerere de validare a popririi înființată prin adresa din data de 22.01.2016 în dosarul de executare nr. 207/2015 al BEJ Raduță Nicoleta, în temeiul titlului executoriu - sentința penală nr. 142 din 14.09.2014 pronunțată de Tribunalul Călărași în dosarul nr. 2623/116/2013, asupra sumelor de bani datorate sau pe care le va datora în viitor terțul poprit Trans Denimar S.R.L, până la concurența sumei pentru care s-a înființat poprirea și anume 17.708,55 lei compusă din 13.713,49 lei reprezentând contravaloare lucrări de remediere a </w:t>
      </w:r>
      <w:r w:rsidRPr="00022D5C">
        <w:rPr>
          <w:rFonts w:ascii="Arial" w:hAnsi="Arial" w:cs="Arial"/>
          <w:sz w:val="22"/>
          <w:szCs w:val="22"/>
        </w:rPr>
        <w:lastRenderedPageBreak/>
        <w:t>conductelor avariate; 2.349,44 lei reprezentând cheltuieli de executare; 1.645,62 lei reprezentând onorariu executor, sumă ce include T</w:t>
      </w:r>
      <w:r w:rsidR="0022067D">
        <w:rPr>
          <w:rFonts w:ascii="Arial" w:hAnsi="Arial" w:cs="Arial"/>
          <w:sz w:val="22"/>
          <w:szCs w:val="22"/>
        </w:rPr>
        <w:t>.</w:t>
      </w:r>
      <w:r w:rsidRPr="00022D5C">
        <w:rPr>
          <w:rFonts w:ascii="Arial" w:hAnsi="Arial" w:cs="Arial"/>
          <w:sz w:val="22"/>
          <w:szCs w:val="22"/>
        </w:rPr>
        <w:t>V</w:t>
      </w:r>
      <w:r w:rsidR="0022067D">
        <w:rPr>
          <w:rFonts w:ascii="Arial" w:hAnsi="Arial" w:cs="Arial"/>
          <w:sz w:val="22"/>
          <w:szCs w:val="22"/>
        </w:rPr>
        <w:t>.</w:t>
      </w:r>
      <w:r w:rsidRPr="00022D5C">
        <w:rPr>
          <w:rFonts w:ascii="Arial" w:hAnsi="Arial" w:cs="Arial"/>
          <w:sz w:val="22"/>
          <w:szCs w:val="22"/>
        </w:rPr>
        <w:t>A</w:t>
      </w:r>
      <w:r w:rsidR="0022067D">
        <w:rPr>
          <w:rFonts w:ascii="Arial" w:hAnsi="Arial" w:cs="Arial"/>
          <w:sz w:val="22"/>
          <w:szCs w:val="22"/>
        </w:rPr>
        <w:t>.</w:t>
      </w:r>
      <w:r w:rsidRPr="00022D5C">
        <w:rPr>
          <w:rFonts w:ascii="Arial" w:hAnsi="Arial" w:cs="Arial"/>
          <w:sz w:val="22"/>
          <w:szCs w:val="22"/>
        </w:rPr>
        <w:t>, cu obligarea terțului poprit să vireze debitul total de 17.708,55 lei la care se adaugă cheltuielile ocazionate de efectuarea executării în contul de consemnări deschis la BCR Sucursala Izvor pe numele BEJ Raduță Nicoleta.</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Precizări: </w:t>
      </w:r>
      <w:r w:rsidRPr="00022D5C">
        <w:rPr>
          <w:rFonts w:ascii="Arial" w:hAnsi="Arial" w:cs="Arial"/>
          <w:sz w:val="22"/>
          <w:szCs w:val="22"/>
        </w:rPr>
        <w:t xml:space="preserve">Prin </w:t>
      </w:r>
      <w:r w:rsidRPr="00022D5C">
        <w:rPr>
          <w:rFonts w:ascii="Arial" w:hAnsi="Arial" w:cs="Arial"/>
          <w:b/>
          <w:sz w:val="22"/>
          <w:szCs w:val="22"/>
        </w:rPr>
        <w:t>sentința civilă nr. 7772/16.11.2016</w:t>
      </w:r>
      <w:r w:rsidRPr="00022D5C">
        <w:rPr>
          <w:rFonts w:ascii="Arial" w:hAnsi="Arial" w:cs="Arial"/>
          <w:sz w:val="22"/>
          <w:szCs w:val="22"/>
        </w:rPr>
        <w:t xml:space="preserve"> Judecătoria Giurgiu admite cererea formulată de BEJ Răduţă Nicoleta în contradictoriu cu debitorul Stan Remus Constantin, tertul poprit Trans Denimar SRL şi creditoarea Conpet S</w:t>
      </w:r>
      <w:r w:rsidR="0022067D">
        <w:rPr>
          <w:rFonts w:ascii="Arial" w:hAnsi="Arial" w:cs="Arial"/>
          <w:sz w:val="22"/>
          <w:szCs w:val="22"/>
        </w:rPr>
        <w:t>.A. Validează poprirea înființ</w:t>
      </w:r>
      <w:r w:rsidRPr="00022D5C">
        <w:rPr>
          <w:rFonts w:ascii="Arial" w:hAnsi="Arial" w:cs="Arial"/>
          <w:sz w:val="22"/>
          <w:szCs w:val="22"/>
        </w:rPr>
        <w:t xml:space="preserve">ată prin adresa din data de 22.01.2016 în dosarul de executare nr. 207/2015 pentru suma de 17.708,55 lei reprezentând debit şi cheltuieli de executare. Obligă tertul poprit Trans Denimar SRL să plătească creditoarei Conpet SA în contul BEJ Răduţă Nicoleta, în limita creantei, suma datorată debitorului Stan Remus Constantin, în cote lunare de câte 1/3 din sumele datorate debitorului cu titlu de chirie, potrivit contractului nr. 160/19.02.2008. Hotărârea poate fi atacată cu apel după comunicare.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Stadiu procesual:</w:t>
      </w:r>
      <w:r w:rsidRPr="00022D5C">
        <w:rPr>
          <w:rFonts w:ascii="Arial" w:hAnsi="Arial" w:cs="Arial"/>
          <w:sz w:val="22"/>
          <w:szCs w:val="22"/>
        </w:rPr>
        <w:t xml:space="preserve"> --</w:t>
      </w:r>
    </w:p>
    <w:p w:rsidR="00C60341" w:rsidRPr="005A1181" w:rsidRDefault="00C60341" w:rsidP="00C60341">
      <w:pPr>
        <w:jc w:val="both"/>
        <w:rPr>
          <w:rFonts w:ascii="Arial" w:hAnsi="Arial" w:cs="Arial"/>
          <w:sz w:val="22"/>
          <w:szCs w:val="22"/>
        </w:rPr>
      </w:pPr>
      <w:r w:rsidRPr="00022D5C">
        <w:rPr>
          <w:rFonts w:ascii="Arial" w:hAnsi="Arial" w:cs="Arial"/>
          <w:b/>
          <w:sz w:val="22"/>
          <w:szCs w:val="22"/>
        </w:rPr>
        <w:t>Termen</w:t>
      </w:r>
      <w:r w:rsidR="005A1181">
        <w:rPr>
          <w:rFonts w:ascii="Arial" w:hAnsi="Arial" w:cs="Arial"/>
          <w:sz w:val="22"/>
          <w:szCs w:val="22"/>
        </w:rPr>
        <w:t>: --</w:t>
      </w:r>
    </w:p>
    <w:p w:rsidR="00C60341" w:rsidRPr="00022D5C" w:rsidRDefault="00C60341" w:rsidP="00C60341">
      <w:pPr>
        <w:jc w:val="both"/>
        <w:rPr>
          <w:rFonts w:ascii="Arial" w:hAnsi="Arial" w:cs="Arial"/>
          <w:sz w:val="22"/>
          <w:szCs w:val="22"/>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rPr>
        <w:t xml:space="preserve">22. Dosar nr. 8115/281/2016 – Tribunalul Prahova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Conpet S</w:t>
      </w:r>
      <w:r w:rsidR="0022067D">
        <w:rPr>
          <w:rFonts w:ascii="Arial" w:hAnsi="Arial" w:cs="Arial"/>
          <w:sz w:val="22"/>
          <w:szCs w:val="22"/>
        </w:rPr>
        <w:t>.</w:t>
      </w:r>
      <w:r w:rsidRPr="00022D5C">
        <w:rPr>
          <w:rFonts w:ascii="Arial" w:hAnsi="Arial" w:cs="Arial"/>
          <w:sz w:val="22"/>
          <w:szCs w:val="22"/>
        </w:rPr>
        <w:t>A</w:t>
      </w:r>
      <w:r w:rsidR="0022067D">
        <w:rPr>
          <w:rFonts w:ascii="Arial" w:hAnsi="Arial" w:cs="Arial"/>
          <w:sz w:val="22"/>
          <w:szCs w:val="22"/>
        </w:rPr>
        <w:t>.</w:t>
      </w:r>
      <w:r w:rsidRPr="00022D5C">
        <w:rPr>
          <w:rFonts w:ascii="Arial" w:hAnsi="Arial" w:cs="Arial"/>
          <w:sz w:val="22"/>
          <w:szCs w:val="22"/>
        </w:rPr>
        <w:t xml:space="preserve"> – contestator</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Dobrogeanu Dumitru - intimat</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w:t>
      </w:r>
      <w:r w:rsidRPr="00022D5C">
        <w:rPr>
          <w:rFonts w:ascii="Arial" w:hAnsi="Arial" w:cs="Arial"/>
          <w:b/>
          <w:sz w:val="22"/>
          <w:szCs w:val="22"/>
        </w:rPr>
        <w:t xml:space="preserve">Constestație la executare. </w:t>
      </w:r>
      <w:r w:rsidRPr="00022D5C">
        <w:rPr>
          <w:rFonts w:ascii="Arial" w:hAnsi="Arial" w:cs="Arial"/>
          <w:sz w:val="22"/>
          <w:szCs w:val="22"/>
        </w:rPr>
        <w:t xml:space="preserve">Conpet formulează contestație la executare împotriva Încheierii din data de 01.04.2016 întocmită de BEJ Divoiu Maria în dosarul de executare nr. 468/2015,  solicitând instanței de judecată în temeiul art. 719 Cod proc.civ. anularea Încheierii și exonerarea noastră de la plata sumei de 11.067,41 lei care face obiectul executării silite.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Precizări: </w:t>
      </w:r>
      <w:r w:rsidRPr="00022D5C">
        <w:rPr>
          <w:rFonts w:ascii="Arial" w:hAnsi="Arial" w:cs="Arial"/>
          <w:sz w:val="22"/>
          <w:szCs w:val="22"/>
        </w:rPr>
        <w:t xml:space="preserve">Judecătoria Ploiești admite excepţia conexităţii, invocată din oficiu. Dispune conexarea prezentului dosar la dosarul nr. 983/281/2016 al Judecătoriei Ploieşti. </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Prin </w:t>
      </w:r>
      <w:r w:rsidRPr="00022D5C">
        <w:rPr>
          <w:rFonts w:ascii="Arial" w:hAnsi="Arial" w:cs="Arial"/>
          <w:b/>
          <w:sz w:val="22"/>
          <w:szCs w:val="22"/>
        </w:rPr>
        <w:t>Sentința nr. 8369/19.10.2017</w:t>
      </w:r>
      <w:r w:rsidRPr="00022D5C">
        <w:rPr>
          <w:rFonts w:ascii="Arial" w:hAnsi="Arial" w:cs="Arial"/>
          <w:sz w:val="22"/>
          <w:szCs w:val="22"/>
        </w:rPr>
        <w:t xml:space="preserve"> pronunțată în dosarul nr. 983/281/2016 Judecătoria Ploiești admite contestaţia la executare formulată de contestatoarea Conpet S.A.. Anulează actele de executare întocmite de B.E.J. Divoiu Maria în dosar execuţional nr. 468/2015, după cum urmează: înştiinţarea din data de 17.12.2015, somaţia din data de 17.12.2015, încheierea de încuviinţare a executării silite din data de 17.12.2015, încheierea de stabilire a cheltuielilor de executare din data de 17.12.2015 şi încheierea de actualizare cu rata inflaţiei din data de 17 decembrie 2015. Obligă intimatul la plata către contestatoare a sumei de 800,40 lei cu titlu de cheltuieli de judecată din care suma de 600 lei reprezentând onorariu expertiză contabilă şi suma de 200,40 lei reprezentând contravaloare copii dosar de executare nr. 468/2015. Respinge ca neîntemeiată cererea de obligare a intimatului la plata sumei de 1.000 lei cu titlu de cheltuieli de judecată constând din taxă judiciară de timbru. Hotărârea a fost atacată cu apel de Conpet.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Stadiu procesual:</w:t>
      </w:r>
      <w:r w:rsidRPr="00022D5C">
        <w:rPr>
          <w:rFonts w:ascii="Arial" w:hAnsi="Arial" w:cs="Arial"/>
          <w:sz w:val="22"/>
          <w:szCs w:val="22"/>
        </w:rPr>
        <w:t xml:space="preserve"> Apel</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Termen: </w:t>
      </w:r>
      <w:r w:rsidRPr="00022D5C">
        <w:rPr>
          <w:rFonts w:ascii="Arial" w:hAnsi="Arial" w:cs="Arial"/>
          <w:sz w:val="22"/>
          <w:szCs w:val="22"/>
        </w:rPr>
        <w:t>--</w:t>
      </w:r>
    </w:p>
    <w:p w:rsidR="00C60341" w:rsidRPr="00022D5C" w:rsidRDefault="00C60341" w:rsidP="00C60341">
      <w:pPr>
        <w:jc w:val="both"/>
        <w:rPr>
          <w:rFonts w:ascii="Arial" w:hAnsi="Arial" w:cs="Arial"/>
          <w:sz w:val="22"/>
          <w:szCs w:val="22"/>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rPr>
        <w:t xml:space="preserve">23. Dosar  nr. 310/120/2016 – Tribunalul Dâmbovița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Părți: </w:t>
      </w:r>
      <w:r w:rsidRPr="00022D5C">
        <w:rPr>
          <w:rFonts w:ascii="Arial" w:hAnsi="Arial" w:cs="Arial"/>
          <w:sz w:val="22"/>
          <w:szCs w:val="22"/>
        </w:rPr>
        <w:t>Conpet S</w:t>
      </w:r>
      <w:r w:rsidR="0022067D">
        <w:rPr>
          <w:rFonts w:ascii="Arial" w:hAnsi="Arial" w:cs="Arial"/>
          <w:sz w:val="22"/>
          <w:szCs w:val="22"/>
        </w:rPr>
        <w:t>.</w:t>
      </w:r>
      <w:r w:rsidRPr="00022D5C">
        <w:rPr>
          <w:rFonts w:ascii="Arial" w:hAnsi="Arial" w:cs="Arial"/>
          <w:sz w:val="22"/>
          <w:szCs w:val="22"/>
        </w:rPr>
        <w:t>A</w:t>
      </w:r>
      <w:r w:rsidR="0022067D">
        <w:rPr>
          <w:rFonts w:ascii="Arial" w:hAnsi="Arial" w:cs="Arial"/>
          <w:sz w:val="22"/>
          <w:szCs w:val="22"/>
        </w:rPr>
        <w:t>.</w:t>
      </w:r>
      <w:r w:rsidRPr="00022D5C">
        <w:rPr>
          <w:rFonts w:ascii="Arial" w:hAnsi="Arial" w:cs="Arial"/>
          <w:sz w:val="22"/>
          <w:szCs w:val="22"/>
        </w:rPr>
        <w:t xml:space="preserve"> – parte civilă</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OMV Petrom S</w:t>
      </w:r>
      <w:r w:rsidR="0022067D">
        <w:rPr>
          <w:rFonts w:ascii="Arial" w:hAnsi="Arial" w:cs="Arial"/>
          <w:sz w:val="22"/>
          <w:szCs w:val="22"/>
        </w:rPr>
        <w:t>.</w:t>
      </w:r>
      <w:r w:rsidRPr="00022D5C">
        <w:rPr>
          <w:rFonts w:ascii="Arial" w:hAnsi="Arial" w:cs="Arial"/>
          <w:sz w:val="22"/>
          <w:szCs w:val="22"/>
        </w:rPr>
        <w:t>A</w:t>
      </w:r>
      <w:r w:rsidR="0022067D">
        <w:rPr>
          <w:rFonts w:ascii="Arial" w:hAnsi="Arial" w:cs="Arial"/>
          <w:sz w:val="22"/>
          <w:szCs w:val="22"/>
        </w:rPr>
        <w:t>.</w:t>
      </w:r>
      <w:r w:rsidRPr="00022D5C">
        <w:rPr>
          <w:rFonts w:ascii="Arial" w:hAnsi="Arial" w:cs="Arial"/>
          <w:sz w:val="22"/>
          <w:szCs w:val="22"/>
        </w:rPr>
        <w:t xml:space="preserve"> – parte civilă</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SNTGN Transgaz S</w:t>
      </w:r>
      <w:r w:rsidR="0022067D">
        <w:rPr>
          <w:rFonts w:ascii="Arial" w:hAnsi="Arial" w:cs="Arial"/>
          <w:sz w:val="22"/>
          <w:szCs w:val="22"/>
        </w:rPr>
        <w:t>.</w:t>
      </w:r>
      <w:r w:rsidRPr="00022D5C">
        <w:rPr>
          <w:rFonts w:ascii="Arial" w:hAnsi="Arial" w:cs="Arial"/>
          <w:sz w:val="22"/>
          <w:szCs w:val="22"/>
        </w:rPr>
        <w:t>A</w:t>
      </w:r>
      <w:r w:rsidR="0022067D">
        <w:rPr>
          <w:rFonts w:ascii="Arial" w:hAnsi="Arial" w:cs="Arial"/>
          <w:sz w:val="22"/>
          <w:szCs w:val="22"/>
        </w:rPr>
        <w:t>.</w:t>
      </w:r>
      <w:r w:rsidRPr="00022D5C">
        <w:rPr>
          <w:rFonts w:ascii="Arial" w:hAnsi="Arial" w:cs="Arial"/>
          <w:sz w:val="22"/>
          <w:szCs w:val="22"/>
        </w:rPr>
        <w:t xml:space="preserve"> – parte civilă</w:t>
      </w:r>
    </w:p>
    <w:p w:rsidR="00C60341" w:rsidRPr="00022D5C" w:rsidRDefault="00C60341" w:rsidP="00702D43">
      <w:pPr>
        <w:tabs>
          <w:tab w:val="left" w:pos="900"/>
        </w:tabs>
        <w:ind w:left="630" w:hanging="630"/>
        <w:jc w:val="both"/>
        <w:rPr>
          <w:rFonts w:ascii="Arial" w:hAnsi="Arial" w:cs="Arial"/>
          <w:sz w:val="22"/>
          <w:szCs w:val="22"/>
        </w:rPr>
      </w:pPr>
      <w:r w:rsidRPr="00022D5C">
        <w:rPr>
          <w:rFonts w:ascii="Arial" w:hAnsi="Arial" w:cs="Arial"/>
          <w:sz w:val="22"/>
          <w:szCs w:val="22"/>
        </w:rPr>
        <w:t xml:space="preserve">           Gruia Gheorghe, Vasile Valentin, Ciobanu Viorel, D</w:t>
      </w:r>
      <w:r w:rsidR="00702D43">
        <w:rPr>
          <w:rFonts w:ascii="Arial" w:hAnsi="Arial" w:cs="Arial"/>
          <w:sz w:val="22"/>
          <w:szCs w:val="22"/>
        </w:rPr>
        <w:t>udas Pavel, Tudorache Marius, Pâ</w:t>
      </w:r>
      <w:r w:rsidRPr="00022D5C">
        <w:rPr>
          <w:rFonts w:ascii="Arial" w:hAnsi="Arial" w:cs="Arial"/>
          <w:sz w:val="22"/>
          <w:szCs w:val="22"/>
        </w:rPr>
        <w:t xml:space="preserve">rvu </w:t>
      </w:r>
      <w:r w:rsidR="00702D43">
        <w:rPr>
          <w:rFonts w:ascii="Arial" w:hAnsi="Arial" w:cs="Arial"/>
          <w:sz w:val="22"/>
          <w:szCs w:val="22"/>
        </w:rPr>
        <w:t xml:space="preserve">  </w:t>
      </w:r>
      <w:r w:rsidRPr="00022D5C">
        <w:rPr>
          <w:rFonts w:ascii="Arial" w:hAnsi="Arial" w:cs="Arial"/>
          <w:sz w:val="22"/>
          <w:szCs w:val="22"/>
        </w:rPr>
        <w:t>Valentin, George</w:t>
      </w:r>
      <w:r w:rsidR="0022067D">
        <w:rPr>
          <w:rFonts w:ascii="Arial" w:hAnsi="Arial" w:cs="Arial"/>
          <w:sz w:val="22"/>
          <w:szCs w:val="22"/>
        </w:rPr>
        <w:t>scu Anda, Manda Marin – inculpaț</w:t>
      </w:r>
      <w:r w:rsidRPr="00022D5C">
        <w:rPr>
          <w:rFonts w:ascii="Arial" w:hAnsi="Arial" w:cs="Arial"/>
          <w:sz w:val="22"/>
          <w:szCs w:val="22"/>
        </w:rPr>
        <w:t>i</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w:t>
      </w:r>
      <w:r w:rsidRPr="00022D5C">
        <w:rPr>
          <w:rFonts w:ascii="Arial" w:hAnsi="Arial" w:cs="Arial"/>
          <w:b/>
          <w:sz w:val="22"/>
          <w:szCs w:val="22"/>
        </w:rPr>
        <w:t>Constituirea unui grup infrac</w:t>
      </w:r>
      <w:r w:rsidR="0022067D">
        <w:rPr>
          <w:rFonts w:ascii="Arial" w:hAnsi="Arial" w:cs="Arial"/>
          <w:b/>
          <w:sz w:val="22"/>
          <w:szCs w:val="22"/>
        </w:rPr>
        <w:t>ţional organizat (art. 367 NCP)</w:t>
      </w:r>
      <w:r w:rsidRPr="00022D5C">
        <w:rPr>
          <w:rFonts w:ascii="Arial" w:hAnsi="Arial" w:cs="Arial"/>
          <w:sz w:val="22"/>
          <w:szCs w:val="22"/>
        </w:rPr>
        <w:t xml:space="preserve"> Conpet s-a constituit parte civilă pentru suma de 405.536,24 lei, reprezentând contravaloarea conductelor sustrase.</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Precizări: </w:t>
      </w:r>
      <w:r w:rsidRPr="00022D5C">
        <w:rPr>
          <w:rFonts w:ascii="Arial" w:hAnsi="Arial" w:cs="Arial"/>
          <w:sz w:val="22"/>
          <w:szCs w:val="22"/>
        </w:rPr>
        <w:t>Prin</w:t>
      </w:r>
      <w:r w:rsidRPr="00022D5C">
        <w:rPr>
          <w:rFonts w:ascii="Arial" w:hAnsi="Arial" w:cs="Arial"/>
          <w:b/>
          <w:sz w:val="22"/>
          <w:szCs w:val="22"/>
        </w:rPr>
        <w:t xml:space="preserve"> </w:t>
      </w:r>
      <w:r w:rsidRPr="00022D5C">
        <w:rPr>
          <w:rFonts w:ascii="Arial" w:hAnsi="Arial" w:cs="Arial"/>
          <w:sz w:val="22"/>
          <w:szCs w:val="22"/>
        </w:rPr>
        <w:t>Încheierea din 31.05.2016 Tribunalul Dâmbovița</w:t>
      </w:r>
      <w:r w:rsidRPr="00022D5C">
        <w:rPr>
          <w:rFonts w:ascii="Arial" w:hAnsi="Arial" w:cs="Arial"/>
          <w:b/>
          <w:sz w:val="22"/>
          <w:szCs w:val="22"/>
        </w:rPr>
        <w:t xml:space="preserve"> </w:t>
      </w:r>
      <w:r w:rsidRPr="00022D5C">
        <w:rPr>
          <w:rFonts w:ascii="Arial" w:hAnsi="Arial" w:cs="Arial"/>
          <w:sz w:val="22"/>
          <w:szCs w:val="22"/>
        </w:rPr>
        <w:t>trimite la parchet cauza pornită prin rechizitoriul dat în dosarul de urmărire penală nr. 124/D/P/2013 al Parchetului de pe lângă Înalta Curte de Casaţie şi Justiţie – DIICOT – BT Dâmboviţa privind pe inculpaţii G G, V V, C V, D P, T M, P V, G A, M M persoane vătămate fiind OMV Petrom SA, Conpet S</w:t>
      </w:r>
      <w:r w:rsidR="0022067D">
        <w:rPr>
          <w:rFonts w:ascii="Arial" w:hAnsi="Arial" w:cs="Arial"/>
          <w:sz w:val="22"/>
          <w:szCs w:val="22"/>
        </w:rPr>
        <w:t>.</w:t>
      </w:r>
      <w:r w:rsidRPr="00022D5C">
        <w:rPr>
          <w:rFonts w:ascii="Arial" w:hAnsi="Arial" w:cs="Arial"/>
          <w:sz w:val="22"/>
          <w:szCs w:val="22"/>
        </w:rPr>
        <w:t>A</w:t>
      </w:r>
      <w:r w:rsidR="0022067D">
        <w:rPr>
          <w:rFonts w:ascii="Arial" w:hAnsi="Arial" w:cs="Arial"/>
          <w:sz w:val="22"/>
          <w:szCs w:val="22"/>
        </w:rPr>
        <w:t>., Societatea Națională</w:t>
      </w:r>
      <w:r w:rsidRPr="00022D5C">
        <w:rPr>
          <w:rFonts w:ascii="Arial" w:hAnsi="Arial" w:cs="Arial"/>
          <w:sz w:val="22"/>
          <w:szCs w:val="22"/>
        </w:rPr>
        <w:t xml:space="preserve"> de Transport Gaze Naturale „Transgaz” SA. Împotriva Încheierii Parchetul a formulat contestație, pe rol la Curtea de Apel Ploiești. Prin Încheierea din 13.10.2016 Curtea de Apel Ploiești admite contestaţia formulată de Parchetul de pe lângă Înalta Curte de Casaţie şi Justiţie – DIICOT – Biroul Teritorial Dâmboviţa,</w:t>
      </w:r>
      <w:r w:rsidR="0022067D">
        <w:rPr>
          <w:rFonts w:ascii="Arial" w:hAnsi="Arial" w:cs="Arial"/>
          <w:sz w:val="22"/>
          <w:szCs w:val="22"/>
        </w:rPr>
        <w:t xml:space="preserve"> desfiinţează încheierea atacată</w:t>
      </w:r>
      <w:r w:rsidRPr="00022D5C">
        <w:rPr>
          <w:rFonts w:ascii="Arial" w:hAnsi="Arial" w:cs="Arial"/>
          <w:sz w:val="22"/>
          <w:szCs w:val="22"/>
        </w:rPr>
        <w:t xml:space="preserve"> şi rejudecând constată legalitatea sesizării Tribunalului Dâmboviţa prin rechizitoriul nr.124/D/P/2013 al Parchetului de pe lângă Înalta Curte de Casaţie şi Justiţie – DIICOT – Biroul Teritorial Dâmboviţa, administrării probelor şi a efectuării </w:t>
      </w:r>
      <w:r w:rsidRPr="00022D5C">
        <w:rPr>
          <w:rFonts w:ascii="Arial" w:hAnsi="Arial" w:cs="Arial"/>
          <w:sz w:val="22"/>
          <w:szCs w:val="22"/>
        </w:rPr>
        <w:lastRenderedPageBreak/>
        <w:t>actelor de urmărire penală. Dispune începerea judecăţii.</w:t>
      </w:r>
    </w:p>
    <w:p w:rsidR="00C60341" w:rsidRPr="00022D5C" w:rsidRDefault="00C60341" w:rsidP="00C60341">
      <w:pPr>
        <w:jc w:val="both"/>
        <w:rPr>
          <w:rFonts w:ascii="Arial" w:hAnsi="Arial" w:cs="Arial"/>
          <w:sz w:val="22"/>
          <w:szCs w:val="22"/>
        </w:rPr>
      </w:pPr>
      <w:r w:rsidRPr="00022D5C">
        <w:rPr>
          <w:rFonts w:ascii="Arial" w:hAnsi="Arial" w:cs="Arial"/>
          <w:b/>
          <w:sz w:val="22"/>
          <w:szCs w:val="22"/>
        </w:rPr>
        <w:t>Stadiu procesual:</w:t>
      </w:r>
      <w:r w:rsidRPr="00022D5C">
        <w:rPr>
          <w:rFonts w:ascii="Arial" w:hAnsi="Arial" w:cs="Arial"/>
          <w:sz w:val="22"/>
          <w:szCs w:val="22"/>
        </w:rPr>
        <w:t xml:space="preserve"> Fond</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Termen: </w:t>
      </w:r>
      <w:r w:rsidRPr="00022D5C">
        <w:rPr>
          <w:rFonts w:ascii="Arial" w:hAnsi="Arial" w:cs="Arial"/>
          <w:sz w:val="22"/>
          <w:szCs w:val="22"/>
        </w:rPr>
        <w:t>12.09.2018</w:t>
      </w:r>
    </w:p>
    <w:p w:rsidR="005A1181" w:rsidRPr="00022D5C" w:rsidRDefault="005A1181" w:rsidP="00C60341">
      <w:pPr>
        <w:jc w:val="both"/>
        <w:rPr>
          <w:rFonts w:ascii="Arial" w:hAnsi="Arial" w:cs="Arial"/>
          <w:sz w:val="22"/>
          <w:szCs w:val="22"/>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rPr>
        <w:t xml:space="preserve">24. Dosar nr. 1450/214/2016 – Judecătoria Costești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Conpet S</w:t>
      </w:r>
      <w:r w:rsidR="0022067D">
        <w:rPr>
          <w:rFonts w:ascii="Arial" w:hAnsi="Arial" w:cs="Arial"/>
          <w:sz w:val="22"/>
          <w:szCs w:val="22"/>
        </w:rPr>
        <w:t>.</w:t>
      </w:r>
      <w:r w:rsidRPr="00022D5C">
        <w:rPr>
          <w:rFonts w:ascii="Arial" w:hAnsi="Arial" w:cs="Arial"/>
          <w:sz w:val="22"/>
          <w:szCs w:val="22"/>
        </w:rPr>
        <w:t>A</w:t>
      </w:r>
      <w:r w:rsidR="0022067D">
        <w:rPr>
          <w:rFonts w:ascii="Arial" w:hAnsi="Arial" w:cs="Arial"/>
          <w:sz w:val="22"/>
          <w:szCs w:val="22"/>
        </w:rPr>
        <w:t>.</w:t>
      </w:r>
      <w:r w:rsidRPr="00022D5C">
        <w:rPr>
          <w:rFonts w:ascii="Arial" w:hAnsi="Arial" w:cs="Arial"/>
          <w:sz w:val="22"/>
          <w:szCs w:val="22"/>
        </w:rPr>
        <w:t xml:space="preserve"> – parte civilă</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Șerban Ilie, Dobre Marin, Naicu Ion Marian – inculpați</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w:t>
      </w:r>
      <w:r w:rsidRPr="00022D5C">
        <w:rPr>
          <w:rFonts w:ascii="Arial" w:hAnsi="Arial" w:cs="Arial"/>
          <w:b/>
          <w:sz w:val="22"/>
          <w:szCs w:val="22"/>
        </w:rPr>
        <w:t>Furt.</w:t>
      </w:r>
      <w:r w:rsidRPr="00022D5C">
        <w:rPr>
          <w:rFonts w:ascii="Arial" w:hAnsi="Arial" w:cs="Arial"/>
          <w:sz w:val="22"/>
          <w:szCs w:val="22"/>
        </w:rPr>
        <w:t xml:space="preserve"> Conpet s-a constituit parte civilă pentru suma de 133.147,97 lei reprezentând contravaloarea cantității de țiței sustras, a lucrărilor de remediere a conductei avariate și a expertizei AND efectuată în cauză.</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Precizări: </w:t>
      </w:r>
      <w:r w:rsidRPr="00022D5C">
        <w:rPr>
          <w:rFonts w:ascii="Arial" w:hAnsi="Arial" w:cs="Arial"/>
          <w:sz w:val="22"/>
          <w:szCs w:val="22"/>
        </w:rPr>
        <w:t xml:space="preserve">Prin Încheierea din 18.08.2016 Judecătoria Costești respinge ca neîntemeiate cererile și excepțiile invocate de inculpați, constată competența și legalitatea sesizării instanţei, a administrării probelor şi a efectuării celorlalte acte de urmărire penală şi dispune începerea judecăţii. Încheierea a fost atacată cu contestație. Prin Încheierea nr. 194/13.10.2016 Tribunalul Argeș respinge contestaţia ca nefondată.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Stadiu procesual: </w:t>
      </w:r>
      <w:r w:rsidRPr="00022D5C">
        <w:rPr>
          <w:rFonts w:ascii="Arial" w:hAnsi="Arial" w:cs="Arial"/>
          <w:sz w:val="22"/>
          <w:szCs w:val="22"/>
        </w:rPr>
        <w:t>Fond</w:t>
      </w:r>
    </w:p>
    <w:p w:rsidR="00C60341" w:rsidRDefault="00C60341" w:rsidP="00C60341">
      <w:pPr>
        <w:jc w:val="both"/>
        <w:rPr>
          <w:rFonts w:ascii="Arial" w:hAnsi="Arial" w:cs="Arial"/>
          <w:sz w:val="22"/>
          <w:szCs w:val="22"/>
        </w:rPr>
      </w:pPr>
      <w:r w:rsidRPr="00022D5C">
        <w:rPr>
          <w:rFonts w:ascii="Arial" w:hAnsi="Arial" w:cs="Arial"/>
          <w:b/>
          <w:sz w:val="22"/>
          <w:szCs w:val="22"/>
        </w:rPr>
        <w:t>Termen:</w:t>
      </w:r>
      <w:r w:rsidRPr="00022D5C">
        <w:rPr>
          <w:rFonts w:ascii="Arial" w:hAnsi="Arial" w:cs="Arial"/>
          <w:sz w:val="22"/>
          <w:szCs w:val="22"/>
        </w:rPr>
        <w:t xml:space="preserve"> 20.09.2018</w:t>
      </w:r>
    </w:p>
    <w:p w:rsidR="0022067D" w:rsidRPr="00022D5C" w:rsidRDefault="0022067D" w:rsidP="00C60341">
      <w:pPr>
        <w:jc w:val="both"/>
        <w:rPr>
          <w:rFonts w:ascii="Arial" w:hAnsi="Arial" w:cs="Arial"/>
          <w:sz w:val="22"/>
          <w:szCs w:val="22"/>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rPr>
        <w:t xml:space="preserve">25. Dosar nr. 8529/281/2016 – Judecătoria Ploiești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Conpet S</w:t>
      </w:r>
      <w:r w:rsidR="00702D43">
        <w:rPr>
          <w:rFonts w:ascii="Arial" w:hAnsi="Arial" w:cs="Arial"/>
          <w:sz w:val="22"/>
          <w:szCs w:val="22"/>
        </w:rPr>
        <w:t>.</w:t>
      </w:r>
      <w:r w:rsidRPr="00022D5C">
        <w:rPr>
          <w:rFonts w:ascii="Arial" w:hAnsi="Arial" w:cs="Arial"/>
          <w:sz w:val="22"/>
          <w:szCs w:val="22"/>
        </w:rPr>
        <w:t>A</w:t>
      </w:r>
      <w:r w:rsidR="00702D43">
        <w:rPr>
          <w:rFonts w:ascii="Arial" w:hAnsi="Arial" w:cs="Arial"/>
          <w:sz w:val="22"/>
          <w:szCs w:val="22"/>
        </w:rPr>
        <w:t>.</w:t>
      </w:r>
      <w:r w:rsidRPr="00022D5C">
        <w:rPr>
          <w:rFonts w:ascii="Arial" w:hAnsi="Arial" w:cs="Arial"/>
          <w:sz w:val="22"/>
          <w:szCs w:val="22"/>
        </w:rPr>
        <w:t xml:space="preserve"> – parte civilă</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Constantin Costel, Matei Marian, Stan Mihai Catalin, Matei Valentin Dumitru – inculpat</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 Furt calificat.</w:t>
      </w:r>
      <w:r w:rsidRPr="00022D5C">
        <w:rPr>
          <w:rFonts w:ascii="Arial" w:hAnsi="Arial" w:cs="Arial"/>
          <w:sz w:val="22"/>
          <w:szCs w:val="22"/>
        </w:rPr>
        <w:t xml:space="preserve"> Conpet s-a constituit parte civilă pentru suma de 158.780,39 lei compus din:</w:t>
      </w:r>
    </w:p>
    <w:p w:rsidR="00C60341" w:rsidRPr="00022D5C" w:rsidRDefault="00C60341" w:rsidP="0022067D">
      <w:pPr>
        <w:ind w:left="180" w:hanging="180"/>
        <w:jc w:val="both"/>
        <w:rPr>
          <w:rFonts w:ascii="Arial" w:hAnsi="Arial" w:cs="Arial"/>
          <w:sz w:val="22"/>
          <w:szCs w:val="22"/>
        </w:rPr>
      </w:pPr>
      <w:r w:rsidRPr="00022D5C">
        <w:rPr>
          <w:rFonts w:ascii="Arial" w:hAnsi="Arial" w:cs="Arial"/>
          <w:sz w:val="22"/>
          <w:szCs w:val="22"/>
        </w:rPr>
        <w:t>-  </w:t>
      </w:r>
      <w:r w:rsidRPr="00022D5C">
        <w:rPr>
          <w:rFonts w:ascii="Arial" w:hAnsi="Arial" w:cs="Arial"/>
          <w:bCs/>
          <w:sz w:val="22"/>
          <w:szCs w:val="22"/>
        </w:rPr>
        <w:t>24.691,2 lei</w:t>
      </w:r>
      <w:r w:rsidRPr="00022D5C">
        <w:rPr>
          <w:rFonts w:ascii="Arial" w:hAnsi="Arial" w:cs="Arial"/>
          <w:sz w:val="22"/>
          <w:szCs w:val="22"/>
        </w:rPr>
        <w:t xml:space="preserve"> (inclusiv TVA) reprezentând contravaloarea cantității de 30.000 litri sustrasă în perioada septembrie-octombrie 2015 de inculpații Stan Mihai Catalin, Matei M</w:t>
      </w:r>
      <w:r w:rsidR="0022067D">
        <w:rPr>
          <w:rFonts w:ascii="Arial" w:hAnsi="Arial" w:cs="Arial"/>
          <w:sz w:val="22"/>
          <w:szCs w:val="22"/>
        </w:rPr>
        <w:t>arian și Matei Valentin Dumitru;</w:t>
      </w:r>
    </w:p>
    <w:p w:rsidR="00C60341" w:rsidRPr="00022D5C" w:rsidRDefault="00C60341" w:rsidP="0022067D">
      <w:pPr>
        <w:ind w:left="180" w:hanging="180"/>
        <w:jc w:val="both"/>
        <w:rPr>
          <w:rFonts w:ascii="Arial" w:hAnsi="Arial" w:cs="Arial"/>
          <w:sz w:val="22"/>
          <w:szCs w:val="22"/>
        </w:rPr>
      </w:pPr>
      <w:r w:rsidRPr="00022D5C">
        <w:rPr>
          <w:rFonts w:ascii="Arial" w:hAnsi="Arial" w:cs="Arial"/>
          <w:sz w:val="22"/>
          <w:szCs w:val="22"/>
        </w:rPr>
        <w:t xml:space="preserve">- </w:t>
      </w:r>
      <w:r w:rsidRPr="00022D5C">
        <w:rPr>
          <w:rFonts w:ascii="Arial" w:hAnsi="Arial" w:cs="Arial"/>
          <w:bCs/>
          <w:sz w:val="22"/>
          <w:szCs w:val="22"/>
        </w:rPr>
        <w:t>128.394,0 lei</w:t>
      </w:r>
      <w:r w:rsidRPr="00022D5C">
        <w:rPr>
          <w:rFonts w:ascii="Arial" w:hAnsi="Arial" w:cs="Arial"/>
          <w:sz w:val="22"/>
          <w:szCs w:val="22"/>
        </w:rPr>
        <w:t xml:space="preserve"> (inclusiv TVA) reprezentând contravaloarea cantității de 156.000 litri sustrasă în perioada septembrie-octombrie 2015 de inculpații Constantin Costel, Sta</w:t>
      </w:r>
      <w:r w:rsidR="0022067D">
        <w:rPr>
          <w:rFonts w:ascii="Arial" w:hAnsi="Arial" w:cs="Arial"/>
          <w:sz w:val="22"/>
          <w:szCs w:val="22"/>
        </w:rPr>
        <w:t>n Mihai Catalin și Matei Marian;</w:t>
      </w:r>
    </w:p>
    <w:p w:rsidR="00C60341" w:rsidRPr="00022D5C" w:rsidRDefault="00C60341" w:rsidP="0022067D">
      <w:pPr>
        <w:ind w:left="180" w:hanging="180"/>
        <w:jc w:val="both"/>
        <w:rPr>
          <w:rFonts w:ascii="Arial" w:hAnsi="Arial" w:cs="Arial"/>
          <w:sz w:val="22"/>
          <w:szCs w:val="22"/>
        </w:rPr>
      </w:pPr>
      <w:r w:rsidRPr="00022D5C">
        <w:rPr>
          <w:rFonts w:ascii="Arial" w:hAnsi="Arial" w:cs="Arial"/>
          <w:sz w:val="22"/>
          <w:szCs w:val="22"/>
        </w:rPr>
        <w:t>-  </w:t>
      </w:r>
      <w:r w:rsidRPr="00022D5C">
        <w:rPr>
          <w:rFonts w:ascii="Arial" w:hAnsi="Arial" w:cs="Arial"/>
          <w:bCs/>
          <w:sz w:val="22"/>
          <w:szCs w:val="22"/>
        </w:rPr>
        <w:t>5.695,19 lei</w:t>
      </w:r>
      <w:r w:rsidRPr="00022D5C">
        <w:rPr>
          <w:rFonts w:ascii="Arial" w:hAnsi="Arial" w:cs="Arial"/>
          <w:sz w:val="22"/>
          <w:szCs w:val="22"/>
        </w:rPr>
        <w:t xml:space="preserve"> (inclusiv TVA) reprezentând contravaloarea lucrărilor de remediere a conductei, necesare aducerii acesteia în  starea inițială de dinainte de săvârșirea infracțiunii,  adică  în stare de funcționare.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Stadiu procesual:</w:t>
      </w:r>
      <w:r w:rsidRPr="00022D5C">
        <w:rPr>
          <w:rFonts w:ascii="Arial" w:hAnsi="Arial" w:cs="Arial"/>
          <w:sz w:val="22"/>
          <w:szCs w:val="22"/>
        </w:rPr>
        <w:t xml:space="preserve"> Fond</w:t>
      </w:r>
    </w:p>
    <w:p w:rsidR="00C60341" w:rsidRPr="00022D5C" w:rsidRDefault="00C60341" w:rsidP="00C60341">
      <w:pPr>
        <w:jc w:val="both"/>
        <w:rPr>
          <w:rFonts w:ascii="Arial" w:hAnsi="Arial" w:cs="Arial"/>
          <w:sz w:val="22"/>
          <w:szCs w:val="22"/>
        </w:rPr>
      </w:pPr>
      <w:r w:rsidRPr="00022D5C">
        <w:rPr>
          <w:rFonts w:ascii="Arial" w:hAnsi="Arial" w:cs="Arial"/>
          <w:b/>
          <w:sz w:val="22"/>
          <w:szCs w:val="22"/>
        </w:rPr>
        <w:t>Termen:</w:t>
      </w:r>
      <w:r w:rsidRPr="00022D5C">
        <w:rPr>
          <w:rFonts w:ascii="Arial" w:hAnsi="Arial" w:cs="Arial"/>
          <w:sz w:val="22"/>
          <w:szCs w:val="22"/>
        </w:rPr>
        <w:t xml:space="preserve"> 19.07.2018</w:t>
      </w:r>
    </w:p>
    <w:p w:rsidR="00C60341" w:rsidRPr="00022D5C" w:rsidRDefault="005A1181" w:rsidP="00C60341">
      <w:pPr>
        <w:jc w:val="both"/>
        <w:rPr>
          <w:rFonts w:ascii="Arial" w:hAnsi="Arial" w:cs="Arial"/>
          <w:sz w:val="22"/>
          <w:szCs w:val="22"/>
        </w:rPr>
      </w:pPr>
      <w:r>
        <w:rPr>
          <w:rFonts w:ascii="Arial" w:hAnsi="Arial" w:cs="Arial"/>
          <w:sz w:val="22"/>
          <w:szCs w:val="22"/>
        </w:rPr>
        <w:t xml:space="preserve">    </w:t>
      </w:r>
    </w:p>
    <w:p w:rsidR="00C60341" w:rsidRPr="00022D5C" w:rsidRDefault="00C60341" w:rsidP="00C60341">
      <w:pPr>
        <w:jc w:val="both"/>
        <w:rPr>
          <w:rFonts w:ascii="Arial" w:hAnsi="Arial" w:cs="Arial"/>
          <w:b/>
          <w:sz w:val="22"/>
          <w:szCs w:val="22"/>
        </w:rPr>
      </w:pPr>
      <w:r w:rsidRPr="00022D5C">
        <w:rPr>
          <w:rFonts w:ascii="Arial" w:hAnsi="Arial" w:cs="Arial"/>
          <w:b/>
          <w:sz w:val="22"/>
          <w:szCs w:val="22"/>
          <w:lang w:val="it-IT"/>
        </w:rPr>
        <w:t xml:space="preserve">26. </w:t>
      </w:r>
      <w:r w:rsidRPr="00022D5C">
        <w:rPr>
          <w:rFonts w:ascii="Arial" w:hAnsi="Arial" w:cs="Arial"/>
          <w:b/>
          <w:sz w:val="22"/>
          <w:szCs w:val="22"/>
        </w:rPr>
        <w:t xml:space="preserve">Dosar nr. 8262/281/2016 – Judecătoria Ploiești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Conpet S</w:t>
      </w:r>
      <w:r w:rsidR="0022067D">
        <w:rPr>
          <w:rFonts w:ascii="Arial" w:hAnsi="Arial" w:cs="Arial"/>
          <w:sz w:val="22"/>
          <w:szCs w:val="22"/>
        </w:rPr>
        <w:t>.</w:t>
      </w:r>
      <w:r w:rsidRPr="00022D5C">
        <w:rPr>
          <w:rFonts w:ascii="Arial" w:hAnsi="Arial" w:cs="Arial"/>
          <w:sz w:val="22"/>
          <w:szCs w:val="22"/>
        </w:rPr>
        <w:t>A</w:t>
      </w:r>
      <w:r w:rsidR="0022067D">
        <w:rPr>
          <w:rFonts w:ascii="Arial" w:hAnsi="Arial" w:cs="Arial"/>
          <w:sz w:val="22"/>
          <w:szCs w:val="22"/>
        </w:rPr>
        <w:t>.</w:t>
      </w:r>
      <w:r w:rsidRPr="00022D5C">
        <w:rPr>
          <w:rFonts w:ascii="Arial" w:hAnsi="Arial" w:cs="Arial"/>
          <w:sz w:val="22"/>
          <w:szCs w:val="22"/>
        </w:rPr>
        <w:t xml:space="preserve"> – creditor</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Asociația Fotbal Club Conpet - debitor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w:t>
      </w:r>
      <w:r w:rsidRPr="00022D5C">
        <w:rPr>
          <w:rFonts w:ascii="Arial" w:hAnsi="Arial" w:cs="Arial"/>
          <w:b/>
          <w:sz w:val="22"/>
          <w:szCs w:val="22"/>
        </w:rPr>
        <w:t>Dizolvare persoană juridică.</w:t>
      </w:r>
      <w:r w:rsidRPr="00022D5C">
        <w:rPr>
          <w:rFonts w:ascii="Arial" w:hAnsi="Arial" w:cs="Arial"/>
          <w:sz w:val="22"/>
          <w:szCs w:val="22"/>
        </w:rPr>
        <w:t xml:space="preserve"> Cerere de admitere a creanței. Conpet S</w:t>
      </w:r>
      <w:r w:rsidR="0022067D">
        <w:rPr>
          <w:rFonts w:ascii="Arial" w:hAnsi="Arial" w:cs="Arial"/>
          <w:sz w:val="22"/>
          <w:szCs w:val="22"/>
        </w:rPr>
        <w:t>.</w:t>
      </w:r>
      <w:r w:rsidRPr="00022D5C">
        <w:rPr>
          <w:rFonts w:ascii="Arial" w:hAnsi="Arial" w:cs="Arial"/>
          <w:sz w:val="22"/>
          <w:szCs w:val="22"/>
        </w:rPr>
        <w:t>A</w:t>
      </w:r>
      <w:r w:rsidR="0022067D">
        <w:rPr>
          <w:rFonts w:ascii="Arial" w:hAnsi="Arial" w:cs="Arial"/>
          <w:sz w:val="22"/>
          <w:szCs w:val="22"/>
        </w:rPr>
        <w:t>.</w:t>
      </w:r>
      <w:r w:rsidRPr="00022D5C">
        <w:rPr>
          <w:rFonts w:ascii="Arial" w:hAnsi="Arial" w:cs="Arial"/>
          <w:sz w:val="22"/>
          <w:szCs w:val="22"/>
        </w:rPr>
        <w:t xml:space="preserve"> formulează cerere de admitere a creanței asupra averii debitoarei Asociația Fotbal Club Conpet, împotriva căreia s-a dispus dizolvarea prin Sentința civilă nr. 8683/04.10.2016 pronunțată de Judecătoria Ploiești în dosarul nr. 8262/281/2016, prin care solicită instanței să admită cererea de înscriere la masa credală a debitoarei Asociația Fotbal Club Conpet cu suma de 424,94 lei, ca și creanță certă, lichidă și exigibilă, nascută anterior admiterii cererii de dizolvare, reprezentând rest de plată penalități, conform facturii nr. 1653/31.05.2015, calculate pentru plata cu întârziere a obligațiilor ce au decurs din Contractul de închiriere nr. ADM 366/23.10.2012, încheiat de Conpet S</w:t>
      </w:r>
      <w:r w:rsidR="0022067D">
        <w:rPr>
          <w:rFonts w:ascii="Arial" w:hAnsi="Arial" w:cs="Arial"/>
          <w:sz w:val="22"/>
          <w:szCs w:val="22"/>
        </w:rPr>
        <w:t>.</w:t>
      </w:r>
      <w:r w:rsidRPr="00022D5C">
        <w:rPr>
          <w:rFonts w:ascii="Arial" w:hAnsi="Arial" w:cs="Arial"/>
          <w:sz w:val="22"/>
          <w:szCs w:val="22"/>
        </w:rPr>
        <w:t>A</w:t>
      </w:r>
      <w:r w:rsidR="0022067D">
        <w:rPr>
          <w:rFonts w:ascii="Arial" w:hAnsi="Arial" w:cs="Arial"/>
          <w:sz w:val="22"/>
          <w:szCs w:val="22"/>
        </w:rPr>
        <w:t>.</w:t>
      </w:r>
      <w:r w:rsidRPr="00022D5C">
        <w:rPr>
          <w:rFonts w:ascii="Arial" w:hAnsi="Arial" w:cs="Arial"/>
          <w:sz w:val="22"/>
          <w:szCs w:val="22"/>
        </w:rPr>
        <w:t xml:space="preserve"> cu Asociația Fotbal Club Conpet.</w:t>
      </w:r>
    </w:p>
    <w:p w:rsidR="00C60341" w:rsidRPr="00022D5C" w:rsidRDefault="00C60341" w:rsidP="00C60341">
      <w:pPr>
        <w:jc w:val="both"/>
        <w:rPr>
          <w:rFonts w:ascii="Arial" w:hAnsi="Arial" w:cs="Arial"/>
          <w:b/>
          <w:sz w:val="22"/>
          <w:szCs w:val="22"/>
        </w:rPr>
      </w:pPr>
      <w:r w:rsidRPr="00022D5C">
        <w:rPr>
          <w:rFonts w:ascii="Arial" w:hAnsi="Arial" w:cs="Arial"/>
          <w:b/>
          <w:sz w:val="22"/>
          <w:szCs w:val="22"/>
        </w:rPr>
        <w:t xml:space="preserve">Stadiu procesual: </w:t>
      </w:r>
      <w:r w:rsidRPr="00022D5C">
        <w:rPr>
          <w:rFonts w:ascii="Arial" w:hAnsi="Arial" w:cs="Arial"/>
          <w:sz w:val="22"/>
          <w:szCs w:val="22"/>
        </w:rPr>
        <w:t>Fond</w:t>
      </w:r>
    </w:p>
    <w:p w:rsidR="00C60341" w:rsidRPr="005A1181" w:rsidRDefault="005A1181" w:rsidP="00C60341">
      <w:pPr>
        <w:jc w:val="both"/>
        <w:rPr>
          <w:rFonts w:ascii="Arial" w:hAnsi="Arial" w:cs="Arial"/>
          <w:b/>
          <w:sz w:val="22"/>
          <w:szCs w:val="22"/>
        </w:rPr>
      </w:pPr>
      <w:r>
        <w:rPr>
          <w:rFonts w:ascii="Arial" w:hAnsi="Arial" w:cs="Arial"/>
          <w:b/>
          <w:sz w:val="22"/>
          <w:szCs w:val="22"/>
        </w:rPr>
        <w:t>Termen: --</w:t>
      </w:r>
    </w:p>
    <w:p w:rsidR="00C60341" w:rsidRPr="00022D5C" w:rsidRDefault="00C60341" w:rsidP="00C60341">
      <w:pPr>
        <w:jc w:val="both"/>
        <w:rPr>
          <w:rFonts w:ascii="Arial" w:hAnsi="Arial" w:cs="Arial"/>
          <w:sz w:val="22"/>
          <w:szCs w:val="22"/>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rPr>
        <w:t xml:space="preserve">27. Dosar nr. 219/281/2017 – Tribunalul Prahova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Părți: </w:t>
      </w:r>
      <w:r w:rsidRPr="00022D5C">
        <w:rPr>
          <w:rFonts w:ascii="Arial" w:hAnsi="Arial" w:cs="Arial"/>
          <w:sz w:val="22"/>
          <w:szCs w:val="22"/>
        </w:rPr>
        <w:t>Conpet S</w:t>
      </w:r>
      <w:r w:rsidR="0022067D">
        <w:rPr>
          <w:rFonts w:ascii="Arial" w:hAnsi="Arial" w:cs="Arial"/>
          <w:sz w:val="22"/>
          <w:szCs w:val="22"/>
        </w:rPr>
        <w:t>.</w:t>
      </w:r>
      <w:r w:rsidRPr="00022D5C">
        <w:rPr>
          <w:rFonts w:ascii="Arial" w:hAnsi="Arial" w:cs="Arial"/>
          <w:sz w:val="22"/>
          <w:szCs w:val="22"/>
        </w:rPr>
        <w:t>A</w:t>
      </w:r>
      <w:r w:rsidR="0022067D">
        <w:rPr>
          <w:rFonts w:ascii="Arial" w:hAnsi="Arial" w:cs="Arial"/>
          <w:sz w:val="22"/>
          <w:szCs w:val="22"/>
        </w:rPr>
        <w:t>.</w:t>
      </w:r>
      <w:r w:rsidRPr="00022D5C">
        <w:rPr>
          <w:rFonts w:ascii="Arial" w:hAnsi="Arial" w:cs="Arial"/>
          <w:sz w:val="22"/>
          <w:szCs w:val="22"/>
        </w:rPr>
        <w:t xml:space="preserve"> – reclamant</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Tonicelli S</w:t>
      </w:r>
      <w:r w:rsidR="0022067D">
        <w:rPr>
          <w:rFonts w:ascii="Arial" w:hAnsi="Arial" w:cs="Arial"/>
          <w:sz w:val="22"/>
          <w:szCs w:val="22"/>
        </w:rPr>
        <w:t>.</w:t>
      </w:r>
      <w:r w:rsidRPr="00022D5C">
        <w:rPr>
          <w:rFonts w:ascii="Arial" w:hAnsi="Arial" w:cs="Arial"/>
          <w:sz w:val="22"/>
          <w:szCs w:val="22"/>
        </w:rPr>
        <w:t>R</w:t>
      </w:r>
      <w:r w:rsidR="0022067D">
        <w:rPr>
          <w:rFonts w:ascii="Arial" w:hAnsi="Arial" w:cs="Arial"/>
          <w:sz w:val="22"/>
          <w:szCs w:val="22"/>
        </w:rPr>
        <w:t>.</w:t>
      </w:r>
      <w:r w:rsidRPr="00022D5C">
        <w:rPr>
          <w:rFonts w:ascii="Arial" w:hAnsi="Arial" w:cs="Arial"/>
          <w:sz w:val="22"/>
          <w:szCs w:val="22"/>
        </w:rPr>
        <w:t>L</w:t>
      </w:r>
      <w:r w:rsidR="0022067D">
        <w:rPr>
          <w:rFonts w:ascii="Arial" w:hAnsi="Arial" w:cs="Arial"/>
          <w:sz w:val="22"/>
          <w:szCs w:val="22"/>
        </w:rPr>
        <w:t>.</w:t>
      </w:r>
      <w:r w:rsidRPr="00022D5C">
        <w:rPr>
          <w:rFonts w:ascii="Arial" w:hAnsi="Arial" w:cs="Arial"/>
          <w:sz w:val="22"/>
          <w:szCs w:val="22"/>
        </w:rPr>
        <w:t xml:space="preserve"> – pârât</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Conpet formulează cerere de chemare în judecată solicitând instanței obligarea Tonicelli SRL la plata următoarelor sume:</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37.017,28 lei reprezentând contravaloarea deșeurilor feroase neachitate potrivit Contractului nr. </w:t>
      </w:r>
      <w:r w:rsidRPr="00022D5C">
        <w:rPr>
          <w:rFonts w:ascii="Arial" w:hAnsi="Arial" w:cs="Arial"/>
          <w:sz w:val="22"/>
          <w:szCs w:val="22"/>
        </w:rPr>
        <w:lastRenderedPageBreak/>
        <w:t>ADM 79/06.03.2014;</w:t>
      </w:r>
    </w:p>
    <w:p w:rsidR="00C60341" w:rsidRPr="00022D5C" w:rsidRDefault="00C60341" w:rsidP="00C60341">
      <w:pPr>
        <w:jc w:val="both"/>
        <w:rPr>
          <w:rFonts w:ascii="Arial" w:hAnsi="Arial" w:cs="Arial"/>
          <w:sz w:val="22"/>
          <w:szCs w:val="22"/>
        </w:rPr>
      </w:pPr>
      <w:r w:rsidRPr="00022D5C">
        <w:rPr>
          <w:rFonts w:ascii="Arial" w:hAnsi="Arial" w:cs="Arial"/>
          <w:sz w:val="22"/>
          <w:szCs w:val="22"/>
        </w:rPr>
        <w:t>-  6.737,02 lei reprezentând penalități de întârziere, potrivit Contractului nr. ADM 79/06.03.2014, calculate până la data de 20.10.2016;</w:t>
      </w:r>
    </w:p>
    <w:p w:rsidR="00C60341" w:rsidRPr="00022D5C" w:rsidRDefault="00C60341" w:rsidP="0022067D">
      <w:pPr>
        <w:tabs>
          <w:tab w:val="left" w:pos="360"/>
        </w:tabs>
        <w:ind w:hanging="360"/>
        <w:jc w:val="both"/>
        <w:rPr>
          <w:rFonts w:ascii="Arial" w:hAnsi="Arial" w:cs="Arial"/>
          <w:sz w:val="22"/>
          <w:szCs w:val="22"/>
        </w:rPr>
      </w:pPr>
      <w:r w:rsidRPr="00022D5C">
        <w:rPr>
          <w:rFonts w:ascii="Arial" w:hAnsi="Arial" w:cs="Arial"/>
          <w:sz w:val="22"/>
          <w:szCs w:val="22"/>
        </w:rPr>
        <w:t xml:space="preserve">      - cheltuieli de judecată.</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Precizări: </w:t>
      </w:r>
      <w:r w:rsidRPr="00022D5C">
        <w:rPr>
          <w:rFonts w:ascii="Arial" w:hAnsi="Arial" w:cs="Arial"/>
          <w:sz w:val="22"/>
          <w:szCs w:val="22"/>
        </w:rPr>
        <w:t xml:space="preserve">Prin </w:t>
      </w:r>
      <w:r w:rsidRPr="00022D5C">
        <w:rPr>
          <w:rFonts w:ascii="Arial" w:hAnsi="Arial" w:cs="Arial"/>
          <w:b/>
          <w:sz w:val="22"/>
          <w:szCs w:val="22"/>
        </w:rPr>
        <w:t>Încheierea nr. 245/03.02.2017</w:t>
      </w:r>
      <w:r w:rsidRPr="00022D5C">
        <w:rPr>
          <w:rFonts w:ascii="Arial" w:hAnsi="Arial" w:cs="Arial"/>
          <w:sz w:val="22"/>
          <w:szCs w:val="22"/>
        </w:rPr>
        <w:t xml:space="preserve"> Judecătoria Ploiești anulează cererea formulată pentru neîndeplinirea obligaţiilor stabilite de instanţa de judecată privind completarea sau modificarea cererii. Conpet a formulat cerere de reexaminare. </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Prin Încheierea nr. 860/14.04.2017 Judecătoria Ploiești admite cererea de reexaminare formulată de reclamanta CONPET S.A. Dispune trimiterea dosarului la completul iniţial învestit. </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Prin </w:t>
      </w:r>
      <w:r w:rsidRPr="00022D5C">
        <w:rPr>
          <w:rFonts w:ascii="Arial" w:hAnsi="Arial" w:cs="Arial"/>
          <w:b/>
          <w:sz w:val="22"/>
          <w:szCs w:val="22"/>
        </w:rPr>
        <w:t>sentința nr. 1831/09.03.2018</w:t>
      </w:r>
      <w:r w:rsidRPr="00022D5C">
        <w:rPr>
          <w:rFonts w:ascii="Arial" w:hAnsi="Arial" w:cs="Arial"/>
          <w:sz w:val="22"/>
          <w:szCs w:val="22"/>
        </w:rPr>
        <w:t xml:space="preserve"> Judecătoria Ploiești admite cererea de chemare în judecată. Obligă pârâta la plata către reclamantă a sumei de 37.017,28 lei reprezentând contravaloare deşeuri neferoase neachitate, potrivit contractului ADM nr. 79/06.03.2014. Obligă pârâta la plata către reclamantă a sumei de 6.737,02 lei reprezentând penalităţi de întârziere, potrivit art. 11.1 din contractul ADM nr. 79/06.03.2014, calculate până la data de 20.10.2016. Obligă pârâta la plata către reclamantă a sumei de 2.562,63 lei cu titlu de cheltuieli de judecată din care suma de 1.917,63 lei, reprezentând taxă judiciară de timbru, suma de 600 lei, reprezentând onorariu expertiză contabilă şi 45 lei, reprezentând contravaloare certificat constatator. Hotărârea a fost atacată cu apel de Conpet.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Stadiu procesual</w:t>
      </w:r>
      <w:r w:rsidRPr="00022D5C">
        <w:rPr>
          <w:rFonts w:ascii="Arial" w:hAnsi="Arial" w:cs="Arial"/>
          <w:sz w:val="22"/>
          <w:szCs w:val="22"/>
        </w:rPr>
        <w:t>: Apel</w:t>
      </w:r>
    </w:p>
    <w:p w:rsidR="00C60341" w:rsidRPr="00022D5C" w:rsidRDefault="00C60341" w:rsidP="00C60341">
      <w:pPr>
        <w:jc w:val="both"/>
        <w:rPr>
          <w:rFonts w:ascii="Arial" w:hAnsi="Arial" w:cs="Arial"/>
          <w:sz w:val="22"/>
          <w:szCs w:val="22"/>
        </w:rPr>
      </w:pPr>
      <w:r w:rsidRPr="00022D5C">
        <w:rPr>
          <w:rFonts w:ascii="Arial" w:hAnsi="Arial" w:cs="Arial"/>
          <w:b/>
          <w:sz w:val="22"/>
          <w:szCs w:val="22"/>
        </w:rPr>
        <w:t>Termen:</w:t>
      </w:r>
      <w:r w:rsidRPr="00022D5C">
        <w:rPr>
          <w:rFonts w:ascii="Arial" w:hAnsi="Arial" w:cs="Arial"/>
          <w:sz w:val="22"/>
          <w:szCs w:val="22"/>
        </w:rPr>
        <w:t xml:space="preserve"> 20.09.2018</w:t>
      </w:r>
    </w:p>
    <w:p w:rsidR="00C60341" w:rsidRPr="00022D5C" w:rsidRDefault="00C60341" w:rsidP="00C60341">
      <w:pPr>
        <w:jc w:val="both"/>
        <w:rPr>
          <w:rFonts w:ascii="Arial" w:hAnsi="Arial" w:cs="Arial"/>
          <w:sz w:val="22"/>
          <w:szCs w:val="22"/>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rPr>
        <w:t xml:space="preserve">28. Dosar nr. 3666/281/2017 – Tribunalul Prahova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Conpet – reclamant</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GENERAL REMAT SORT SRL</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Pretenții. Conpet a formulat cerere de chemare în judecată solicitând obligarea General Remat Sort SRL la plata sumei de 7.200,9 lei (2.286 lei factură neachitată și 4.914,90 penalități de întârziere calculate până la data de 31.12.2016).</w:t>
      </w:r>
    </w:p>
    <w:p w:rsidR="00C60341" w:rsidRPr="00022D5C" w:rsidRDefault="00C60341" w:rsidP="00C60341">
      <w:pPr>
        <w:jc w:val="both"/>
        <w:rPr>
          <w:rFonts w:ascii="Arial" w:hAnsi="Arial" w:cs="Arial"/>
          <w:b/>
          <w:sz w:val="22"/>
          <w:szCs w:val="22"/>
        </w:rPr>
      </w:pPr>
      <w:r w:rsidRPr="00022D5C">
        <w:rPr>
          <w:rFonts w:ascii="Arial" w:hAnsi="Arial" w:cs="Arial"/>
          <w:b/>
          <w:sz w:val="22"/>
          <w:szCs w:val="22"/>
        </w:rPr>
        <w:t>Precizări:</w:t>
      </w:r>
      <w:r w:rsidRPr="00022D5C">
        <w:rPr>
          <w:rFonts w:ascii="Arial" w:hAnsi="Arial" w:cs="Arial"/>
          <w:color w:val="6D6F72"/>
          <w:sz w:val="22"/>
          <w:szCs w:val="22"/>
        </w:rPr>
        <w:t xml:space="preserve"> </w:t>
      </w:r>
      <w:r w:rsidRPr="00022D5C">
        <w:rPr>
          <w:rFonts w:ascii="Arial" w:hAnsi="Arial" w:cs="Arial"/>
          <w:sz w:val="22"/>
          <w:szCs w:val="22"/>
        </w:rPr>
        <w:t xml:space="preserve">Prin </w:t>
      </w:r>
      <w:r w:rsidRPr="00022D5C">
        <w:rPr>
          <w:rFonts w:ascii="Arial" w:hAnsi="Arial" w:cs="Arial"/>
          <w:b/>
          <w:sz w:val="22"/>
          <w:szCs w:val="22"/>
        </w:rPr>
        <w:t>sentința nr. 864/08.02.2018</w:t>
      </w:r>
      <w:r w:rsidRPr="00022D5C">
        <w:rPr>
          <w:rFonts w:ascii="Arial" w:hAnsi="Arial" w:cs="Arial"/>
          <w:sz w:val="22"/>
          <w:szCs w:val="22"/>
        </w:rPr>
        <w:t xml:space="preserve"> Judecătoria Ploiești admite cererea de chemare în judecată având ca obiect pretenţii formulată de reclamanta CONPET S.A. , în contradictoriu cu pârâta GENERAL REMAT SORT S.R.L., şi punct de lucru situat în mun. Constanţa, jud. Constanţa. Obligă pârâta la plata către reclamantă a sumei de 2.286 lei reprezentând contravaloare deşeuri neferoase neachitate, potrivit contractului ADM nr.132/23.04.2015. Obligă pârâta la plata către reclamantă a sumei de 4.914,90 lei reprezentând penalităţi de întârziere, potrivit art.9.1 din contractul ADM nr.132/23.04.2015, calculate până la data de 31.12.2016. Obligă pârâta la plata către reclamantă a sumei de 1.065 lei cu titlu de cheltuieli de judecată din care suma de 465 lei reprezentând taxă judiciară de timbru şi suma de 600 lei constând din onorariu expertiză contabilă. Hotărârea a fost atacată cu apel de Conpet.</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Stadiu procesual: </w:t>
      </w:r>
      <w:r w:rsidRPr="00022D5C">
        <w:rPr>
          <w:rFonts w:ascii="Arial" w:hAnsi="Arial" w:cs="Arial"/>
          <w:sz w:val="22"/>
          <w:szCs w:val="22"/>
        </w:rPr>
        <w:t>Apel</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Termen: </w:t>
      </w:r>
      <w:r w:rsidRPr="00022D5C">
        <w:rPr>
          <w:rFonts w:ascii="Arial" w:hAnsi="Arial" w:cs="Arial"/>
          <w:sz w:val="22"/>
          <w:szCs w:val="22"/>
        </w:rPr>
        <w:t>--</w:t>
      </w:r>
    </w:p>
    <w:p w:rsidR="00C60341" w:rsidRPr="00022D5C" w:rsidRDefault="00C60341" w:rsidP="00C60341">
      <w:pPr>
        <w:jc w:val="both"/>
        <w:rPr>
          <w:rFonts w:ascii="Arial" w:hAnsi="Arial" w:cs="Arial"/>
          <w:b/>
          <w:sz w:val="22"/>
          <w:szCs w:val="22"/>
        </w:rPr>
      </w:pPr>
    </w:p>
    <w:p w:rsidR="00C60341" w:rsidRPr="00022D5C" w:rsidRDefault="00C60341" w:rsidP="00C60341">
      <w:pPr>
        <w:jc w:val="both"/>
        <w:rPr>
          <w:rFonts w:ascii="Arial" w:hAnsi="Arial" w:cs="Arial"/>
          <w:b/>
          <w:sz w:val="22"/>
          <w:szCs w:val="22"/>
          <w:lang w:val="pt-BR"/>
        </w:rPr>
      </w:pPr>
      <w:r w:rsidRPr="00022D5C">
        <w:rPr>
          <w:rFonts w:ascii="Arial" w:hAnsi="Arial" w:cs="Arial"/>
          <w:b/>
          <w:sz w:val="22"/>
          <w:szCs w:val="22"/>
        </w:rPr>
        <w:t xml:space="preserve">29. </w:t>
      </w:r>
      <w:r w:rsidRPr="00022D5C">
        <w:rPr>
          <w:rFonts w:ascii="Arial" w:hAnsi="Arial" w:cs="Arial"/>
          <w:b/>
          <w:sz w:val="22"/>
          <w:szCs w:val="22"/>
          <w:lang w:val="pt-BR"/>
        </w:rPr>
        <w:t xml:space="preserve">Dosar nr. 2345/202/2017 – Tribunalul Călărași </w:t>
      </w:r>
    </w:p>
    <w:p w:rsidR="00C60341" w:rsidRPr="00022D5C" w:rsidRDefault="00C60341" w:rsidP="00C60341">
      <w:pPr>
        <w:jc w:val="both"/>
        <w:rPr>
          <w:rFonts w:ascii="Arial" w:hAnsi="Arial" w:cs="Arial"/>
          <w:sz w:val="22"/>
          <w:szCs w:val="22"/>
          <w:lang w:val="pt-BR"/>
        </w:rPr>
      </w:pPr>
      <w:r w:rsidRPr="00022D5C">
        <w:rPr>
          <w:rFonts w:ascii="Arial" w:hAnsi="Arial" w:cs="Arial"/>
          <w:b/>
          <w:sz w:val="22"/>
          <w:szCs w:val="22"/>
          <w:lang w:val="pt-BR"/>
        </w:rPr>
        <w:t xml:space="preserve">Părți: </w:t>
      </w:r>
      <w:r w:rsidRPr="00022D5C">
        <w:rPr>
          <w:rFonts w:ascii="Arial" w:hAnsi="Arial" w:cs="Arial"/>
          <w:sz w:val="22"/>
          <w:szCs w:val="22"/>
          <w:lang w:val="pt-BR"/>
        </w:rPr>
        <w:t>Conpet SA – reclamant</w:t>
      </w:r>
    </w:p>
    <w:p w:rsidR="00C60341" w:rsidRPr="00022D5C" w:rsidRDefault="00C60341" w:rsidP="00C60341">
      <w:pPr>
        <w:jc w:val="both"/>
        <w:rPr>
          <w:rFonts w:ascii="Arial" w:hAnsi="Arial" w:cs="Arial"/>
          <w:sz w:val="22"/>
          <w:szCs w:val="22"/>
          <w:lang w:val="pt-BR"/>
        </w:rPr>
      </w:pPr>
      <w:r w:rsidRPr="00022D5C">
        <w:rPr>
          <w:rFonts w:ascii="Arial" w:hAnsi="Arial" w:cs="Arial"/>
          <w:sz w:val="22"/>
          <w:szCs w:val="22"/>
          <w:lang w:val="pt-BR"/>
        </w:rPr>
        <w:t xml:space="preserve">           Stoian Vasile – pârât</w:t>
      </w:r>
    </w:p>
    <w:p w:rsidR="00C60341" w:rsidRPr="00022D5C" w:rsidRDefault="00C60341" w:rsidP="00C60341">
      <w:pPr>
        <w:jc w:val="both"/>
        <w:rPr>
          <w:rFonts w:ascii="Arial" w:hAnsi="Arial" w:cs="Arial"/>
          <w:sz w:val="22"/>
          <w:szCs w:val="22"/>
          <w:lang w:val="pt-BR"/>
        </w:rPr>
      </w:pPr>
      <w:r w:rsidRPr="00022D5C">
        <w:rPr>
          <w:rFonts w:ascii="Arial" w:hAnsi="Arial" w:cs="Arial"/>
          <w:b/>
          <w:sz w:val="22"/>
          <w:szCs w:val="22"/>
          <w:lang w:val="pt-BR"/>
        </w:rPr>
        <w:t>Obiect:</w:t>
      </w:r>
      <w:r w:rsidRPr="00022D5C">
        <w:rPr>
          <w:rFonts w:ascii="Arial" w:hAnsi="Arial" w:cs="Arial"/>
          <w:sz w:val="22"/>
          <w:szCs w:val="22"/>
          <w:lang w:val="pt-BR"/>
        </w:rPr>
        <w:t xml:space="preserve"> Pretenții. Conpet SA formulează cerere de chemare în judecată solicitând </w:t>
      </w:r>
      <w:r w:rsidRPr="00022D5C">
        <w:rPr>
          <w:rFonts w:ascii="Arial" w:hAnsi="Arial" w:cs="Arial"/>
          <w:sz w:val="22"/>
          <w:szCs w:val="22"/>
        </w:rPr>
        <w:t xml:space="preserve">obligarea pârâtului Stoian Vasile la plata sumei de </w:t>
      </w:r>
      <w:r w:rsidRPr="00022D5C">
        <w:rPr>
          <w:rFonts w:ascii="Arial" w:hAnsi="Arial" w:cs="Arial"/>
          <w:b/>
          <w:sz w:val="22"/>
          <w:szCs w:val="22"/>
        </w:rPr>
        <w:t>15.136,23 lei</w:t>
      </w:r>
      <w:r w:rsidRPr="00022D5C">
        <w:rPr>
          <w:rFonts w:ascii="Arial" w:hAnsi="Arial" w:cs="Arial"/>
          <w:sz w:val="22"/>
          <w:szCs w:val="22"/>
        </w:rPr>
        <w:t xml:space="preserve"> cu titlu de despăgubiri civile - reprezentând contravaloarea materialelor și a lucrărilor necesare pentru înlocuirea a trei borne de potențial aferente conductelor de transport țiței import Bărăganu – Călăreți sustrase de acesta în perioada 17.09 – 30.09.2014, </w:t>
      </w:r>
      <w:r w:rsidRPr="00022D5C">
        <w:rPr>
          <w:rFonts w:ascii="Arial" w:hAnsi="Arial" w:cs="Arial"/>
          <w:sz w:val="22"/>
          <w:szCs w:val="22"/>
          <w:lang w:val="it-IT"/>
        </w:rPr>
        <w:t xml:space="preserve">sumă la care se va adăuga dobânda legală incepând de la data săvârșirii faptei (30.09.2014) și până la data plății efective, precum si la plata </w:t>
      </w:r>
      <w:r w:rsidRPr="00022D5C">
        <w:rPr>
          <w:rFonts w:ascii="Arial" w:hAnsi="Arial" w:cs="Arial"/>
          <w:sz w:val="22"/>
          <w:szCs w:val="22"/>
          <w:lang w:val="pt-BR"/>
        </w:rPr>
        <w:t>cheltuielilor de judecată avansate în cauză.</w:t>
      </w:r>
    </w:p>
    <w:p w:rsidR="00C60341" w:rsidRPr="00022D5C" w:rsidRDefault="00C60341" w:rsidP="00C60341">
      <w:pPr>
        <w:jc w:val="both"/>
        <w:rPr>
          <w:rFonts w:ascii="Arial" w:hAnsi="Arial" w:cs="Arial"/>
          <w:sz w:val="22"/>
          <w:szCs w:val="22"/>
        </w:rPr>
      </w:pPr>
      <w:r w:rsidRPr="00022D5C">
        <w:rPr>
          <w:rFonts w:ascii="Arial" w:hAnsi="Arial" w:cs="Arial"/>
          <w:b/>
          <w:sz w:val="22"/>
          <w:szCs w:val="22"/>
          <w:lang w:val="pt-BR"/>
        </w:rPr>
        <w:t>Pretenții:</w:t>
      </w:r>
      <w:r w:rsidRPr="00022D5C">
        <w:rPr>
          <w:rFonts w:ascii="Arial" w:hAnsi="Arial" w:cs="Arial"/>
          <w:sz w:val="22"/>
          <w:szCs w:val="22"/>
          <w:lang w:val="pt-BR"/>
        </w:rPr>
        <w:t xml:space="preserve"> Prin </w:t>
      </w:r>
      <w:r w:rsidRPr="00022D5C">
        <w:rPr>
          <w:rFonts w:ascii="Arial" w:hAnsi="Arial" w:cs="Arial"/>
          <w:b/>
          <w:sz w:val="22"/>
          <w:szCs w:val="22"/>
          <w:lang w:val="pt-BR"/>
        </w:rPr>
        <w:t xml:space="preserve">Sentința nr. </w:t>
      </w:r>
      <w:r w:rsidRPr="00022D5C">
        <w:rPr>
          <w:rFonts w:ascii="Arial" w:hAnsi="Arial" w:cs="Arial"/>
          <w:b/>
          <w:sz w:val="22"/>
          <w:szCs w:val="22"/>
        </w:rPr>
        <w:t>1694/19.09.2017</w:t>
      </w:r>
      <w:r w:rsidRPr="00022D5C">
        <w:rPr>
          <w:rFonts w:ascii="Arial" w:hAnsi="Arial" w:cs="Arial"/>
          <w:sz w:val="22"/>
          <w:szCs w:val="22"/>
        </w:rPr>
        <w:t xml:space="preserve"> Judecătoria Călărași admite cererea formulată de Conpet S.A. Obligă pârâtul să plătească reclamantei suma de 15.136,23 lei cu titlu de despăgubiri civile. Respinge ca neîntemeiată cererea reclamantei având ca obiect obligarea pârâtului la plata cheltuielilor de judecată. Hotărârea a fost atacată cu apel de Conpet. De asemenea Conpet a formulat cerere de completare a sentinței nr. 1694/19.09.2017 solicitând admiterea cererii și completarea sentinței pronunțată de Judecătoria Călărași cu dispozitiile instanței asupra cererii </w:t>
      </w:r>
      <w:r w:rsidRPr="00022D5C">
        <w:rPr>
          <w:rFonts w:ascii="Arial" w:hAnsi="Arial" w:cs="Arial"/>
          <w:sz w:val="22"/>
          <w:szCs w:val="22"/>
        </w:rPr>
        <w:lastRenderedPageBreak/>
        <w:t xml:space="preserve">societății noastre privind obligarea pârâtului Stoian Vasile la plata </w:t>
      </w:r>
      <w:r w:rsidRPr="00022D5C">
        <w:rPr>
          <w:rFonts w:ascii="Arial" w:hAnsi="Arial" w:cs="Arial"/>
          <w:sz w:val="22"/>
          <w:szCs w:val="22"/>
          <w:lang w:val="it-IT"/>
        </w:rPr>
        <w:t>dobânzii legale începând de la data săvârșirii faptei (30.09.2014) și până la data plății efective</w:t>
      </w:r>
      <w:r w:rsidRPr="00022D5C">
        <w:rPr>
          <w:rFonts w:ascii="Arial" w:hAnsi="Arial" w:cs="Arial"/>
          <w:sz w:val="22"/>
          <w:szCs w:val="22"/>
        </w:rPr>
        <w:t xml:space="preserve"> a debitului principal. Cererea de completare face obiectul dosarului nr. 2345/202/2017/a1. Prin sentința nr. 258/06.02.2018 Judecătoria Călărași admite cererea de completare a dispozitivului Sentinţei civile nr. 1694/2017 din data de 19 septembrie 2017, pronunţată de Judecătoria Călăraşi în dosarul nr. 2345/202/2017, cerere formulată de reclamanta Conpet S.A. În baza art. 444 Cod procedură civilă, completează hotărârea menţionată în sensul că obligă pârâtul Stoian Vasile să plătească reclamantei dobânda legală calculată la suma de 15.136,23 lei începând cu data de 30.09.2014 şi până la data plăţii efective. Menţine celelalte dispoziţii ale sentinţei. Definitivă prin neapelare.</w:t>
      </w:r>
    </w:p>
    <w:p w:rsidR="00C60341" w:rsidRPr="00022D5C" w:rsidRDefault="00C60341" w:rsidP="00C60341">
      <w:pPr>
        <w:jc w:val="both"/>
        <w:rPr>
          <w:rFonts w:ascii="Arial" w:hAnsi="Arial" w:cs="Arial"/>
          <w:sz w:val="22"/>
          <w:szCs w:val="22"/>
          <w:lang w:val="pt-BR"/>
        </w:rPr>
      </w:pPr>
      <w:r w:rsidRPr="00022D5C">
        <w:rPr>
          <w:rFonts w:ascii="Arial" w:hAnsi="Arial" w:cs="Arial"/>
          <w:b/>
          <w:sz w:val="22"/>
          <w:szCs w:val="22"/>
          <w:lang w:val="pt-BR"/>
        </w:rPr>
        <w:t xml:space="preserve">Stadiu procesual: </w:t>
      </w:r>
      <w:r w:rsidRPr="00022D5C">
        <w:rPr>
          <w:rFonts w:ascii="Arial" w:hAnsi="Arial" w:cs="Arial"/>
          <w:sz w:val="22"/>
          <w:szCs w:val="22"/>
          <w:lang w:val="pt-BR"/>
        </w:rPr>
        <w:t>Apel</w:t>
      </w:r>
    </w:p>
    <w:p w:rsidR="00C60341" w:rsidRPr="00022D5C" w:rsidRDefault="00C60341" w:rsidP="00C60341">
      <w:pPr>
        <w:jc w:val="both"/>
        <w:rPr>
          <w:rFonts w:ascii="Arial" w:hAnsi="Arial" w:cs="Arial"/>
          <w:b/>
          <w:sz w:val="22"/>
          <w:szCs w:val="22"/>
          <w:lang w:val="pt-BR"/>
        </w:rPr>
      </w:pPr>
      <w:r w:rsidRPr="00022D5C">
        <w:rPr>
          <w:rFonts w:ascii="Arial" w:hAnsi="Arial" w:cs="Arial"/>
          <w:b/>
          <w:sz w:val="22"/>
          <w:szCs w:val="22"/>
          <w:lang w:val="pt-BR"/>
        </w:rPr>
        <w:t xml:space="preserve">Termen: </w:t>
      </w:r>
      <w:r w:rsidRPr="00022D5C">
        <w:rPr>
          <w:rFonts w:ascii="Arial" w:hAnsi="Arial" w:cs="Arial"/>
          <w:sz w:val="22"/>
          <w:szCs w:val="22"/>
          <w:lang w:val="pt-BR"/>
        </w:rPr>
        <w:t>18.09.2018</w:t>
      </w:r>
    </w:p>
    <w:p w:rsidR="00C60341" w:rsidRPr="00022D5C" w:rsidRDefault="00C60341" w:rsidP="00C60341">
      <w:pPr>
        <w:jc w:val="both"/>
        <w:rPr>
          <w:rFonts w:ascii="Arial" w:hAnsi="Arial" w:cs="Arial"/>
          <w:b/>
          <w:sz w:val="22"/>
          <w:szCs w:val="22"/>
          <w:lang w:val="pt-BR"/>
        </w:rPr>
      </w:pPr>
    </w:p>
    <w:p w:rsidR="00C60341" w:rsidRPr="00022D5C" w:rsidRDefault="00C60341" w:rsidP="00C60341">
      <w:pPr>
        <w:jc w:val="both"/>
        <w:rPr>
          <w:rFonts w:ascii="Arial" w:hAnsi="Arial" w:cs="Arial"/>
          <w:b/>
          <w:sz w:val="22"/>
          <w:szCs w:val="22"/>
          <w:lang w:val="pt-BR"/>
        </w:rPr>
      </w:pPr>
      <w:r w:rsidRPr="00022D5C">
        <w:rPr>
          <w:rFonts w:ascii="Arial" w:hAnsi="Arial" w:cs="Arial"/>
          <w:b/>
          <w:sz w:val="22"/>
          <w:szCs w:val="22"/>
          <w:lang w:val="pt-BR"/>
        </w:rPr>
        <w:t>30. Dosar nr. 1656</w:t>
      </w:r>
      <w:r w:rsidRPr="00022D5C">
        <w:rPr>
          <w:rFonts w:ascii="Arial" w:hAnsi="Arial" w:cs="Arial"/>
          <w:b/>
          <w:sz w:val="22"/>
          <w:szCs w:val="22"/>
        </w:rPr>
        <w:t xml:space="preserve">/295/2017 </w:t>
      </w:r>
      <w:r w:rsidRPr="00022D5C">
        <w:rPr>
          <w:rFonts w:ascii="Arial" w:hAnsi="Arial" w:cs="Arial"/>
          <w:b/>
          <w:sz w:val="22"/>
          <w:szCs w:val="22"/>
          <w:lang w:val="pt-BR"/>
        </w:rPr>
        <w:t xml:space="preserve">– Tribunalul Timiș </w:t>
      </w:r>
    </w:p>
    <w:p w:rsidR="00C60341" w:rsidRPr="00022D5C" w:rsidRDefault="00C60341" w:rsidP="00C60341">
      <w:pPr>
        <w:jc w:val="both"/>
        <w:rPr>
          <w:rFonts w:ascii="Arial" w:hAnsi="Arial" w:cs="Arial"/>
          <w:sz w:val="22"/>
          <w:szCs w:val="22"/>
          <w:lang w:val="pt-BR"/>
        </w:rPr>
      </w:pPr>
      <w:r w:rsidRPr="00022D5C">
        <w:rPr>
          <w:rFonts w:ascii="Arial" w:hAnsi="Arial" w:cs="Arial"/>
          <w:b/>
          <w:sz w:val="22"/>
          <w:szCs w:val="22"/>
          <w:lang w:val="pt-BR"/>
        </w:rPr>
        <w:t xml:space="preserve">Părți: </w:t>
      </w:r>
      <w:r w:rsidR="00DF47E7">
        <w:rPr>
          <w:rFonts w:ascii="Arial" w:hAnsi="Arial" w:cs="Arial"/>
          <w:b/>
          <w:sz w:val="22"/>
          <w:szCs w:val="22"/>
          <w:lang w:val="pt-BR"/>
        </w:rPr>
        <w:t xml:space="preserve"> </w:t>
      </w:r>
      <w:r w:rsidRPr="00022D5C">
        <w:rPr>
          <w:rFonts w:ascii="Arial" w:hAnsi="Arial" w:cs="Arial"/>
          <w:sz w:val="22"/>
          <w:szCs w:val="22"/>
          <w:lang w:val="pt-BR"/>
        </w:rPr>
        <w:t>Conpet – reclamant</w:t>
      </w:r>
    </w:p>
    <w:p w:rsidR="00C60341" w:rsidRPr="00022D5C" w:rsidRDefault="00C60341" w:rsidP="00C60341">
      <w:pPr>
        <w:jc w:val="both"/>
        <w:rPr>
          <w:rFonts w:ascii="Arial" w:hAnsi="Arial" w:cs="Arial"/>
          <w:sz w:val="22"/>
          <w:szCs w:val="22"/>
          <w:lang w:val="pt-BR"/>
        </w:rPr>
      </w:pPr>
      <w:r w:rsidRPr="00022D5C">
        <w:rPr>
          <w:rFonts w:ascii="Arial" w:hAnsi="Arial" w:cs="Arial"/>
          <w:sz w:val="22"/>
          <w:szCs w:val="22"/>
          <w:lang w:val="pt-BR"/>
        </w:rPr>
        <w:t xml:space="preserve">           Emiliana West Rom S</w:t>
      </w:r>
      <w:r w:rsidR="00DF47E7">
        <w:rPr>
          <w:rFonts w:ascii="Arial" w:hAnsi="Arial" w:cs="Arial"/>
          <w:sz w:val="22"/>
          <w:szCs w:val="22"/>
          <w:lang w:val="pt-BR"/>
        </w:rPr>
        <w:t>.</w:t>
      </w:r>
      <w:r w:rsidRPr="00022D5C">
        <w:rPr>
          <w:rFonts w:ascii="Arial" w:hAnsi="Arial" w:cs="Arial"/>
          <w:sz w:val="22"/>
          <w:szCs w:val="22"/>
          <w:lang w:val="pt-BR"/>
        </w:rPr>
        <w:t>R</w:t>
      </w:r>
      <w:r w:rsidR="00DF47E7">
        <w:rPr>
          <w:rFonts w:ascii="Arial" w:hAnsi="Arial" w:cs="Arial"/>
          <w:sz w:val="22"/>
          <w:szCs w:val="22"/>
          <w:lang w:val="pt-BR"/>
        </w:rPr>
        <w:t>.</w:t>
      </w:r>
      <w:r w:rsidRPr="00022D5C">
        <w:rPr>
          <w:rFonts w:ascii="Arial" w:hAnsi="Arial" w:cs="Arial"/>
          <w:sz w:val="22"/>
          <w:szCs w:val="22"/>
          <w:lang w:val="pt-BR"/>
        </w:rPr>
        <w:t>L</w:t>
      </w:r>
      <w:r w:rsidR="00DF47E7">
        <w:rPr>
          <w:rFonts w:ascii="Arial" w:hAnsi="Arial" w:cs="Arial"/>
          <w:sz w:val="22"/>
          <w:szCs w:val="22"/>
          <w:lang w:val="pt-BR"/>
        </w:rPr>
        <w:t>.</w:t>
      </w:r>
      <w:r w:rsidRPr="00022D5C">
        <w:rPr>
          <w:rFonts w:ascii="Arial" w:hAnsi="Arial" w:cs="Arial"/>
          <w:sz w:val="22"/>
          <w:szCs w:val="22"/>
          <w:lang w:val="pt-BR"/>
        </w:rPr>
        <w:t xml:space="preserve"> – pârât</w:t>
      </w:r>
    </w:p>
    <w:p w:rsidR="00C60341" w:rsidRPr="00022D5C" w:rsidRDefault="00C60341" w:rsidP="00C60341">
      <w:pPr>
        <w:jc w:val="both"/>
        <w:rPr>
          <w:rFonts w:ascii="Arial" w:hAnsi="Arial" w:cs="Arial"/>
          <w:sz w:val="22"/>
          <w:szCs w:val="22"/>
          <w:lang w:val="pt-BR"/>
        </w:rPr>
      </w:pPr>
      <w:r w:rsidRPr="00022D5C">
        <w:rPr>
          <w:rFonts w:ascii="Arial" w:hAnsi="Arial" w:cs="Arial"/>
          <w:sz w:val="22"/>
          <w:szCs w:val="22"/>
          <w:lang w:val="pt-BR"/>
        </w:rPr>
        <w:t xml:space="preserve">           Zeri Andrea – pârât </w:t>
      </w:r>
    </w:p>
    <w:p w:rsidR="00C60341" w:rsidRPr="00022D5C" w:rsidRDefault="00C60341" w:rsidP="00C60341">
      <w:pPr>
        <w:jc w:val="both"/>
        <w:rPr>
          <w:rFonts w:ascii="Arial" w:hAnsi="Arial" w:cs="Arial"/>
          <w:sz w:val="22"/>
          <w:szCs w:val="22"/>
        </w:rPr>
      </w:pPr>
      <w:r w:rsidRPr="00022D5C">
        <w:rPr>
          <w:rFonts w:ascii="Arial" w:hAnsi="Arial" w:cs="Arial"/>
          <w:b/>
          <w:sz w:val="22"/>
          <w:szCs w:val="22"/>
          <w:lang w:val="pt-BR"/>
        </w:rPr>
        <w:t>Obiect:</w:t>
      </w:r>
      <w:r w:rsidRPr="00022D5C">
        <w:rPr>
          <w:rFonts w:ascii="Arial" w:hAnsi="Arial" w:cs="Arial"/>
          <w:sz w:val="22"/>
          <w:szCs w:val="22"/>
          <w:lang w:val="pt-BR"/>
        </w:rPr>
        <w:t xml:space="preserve"> Pretenții. Conpet S</w:t>
      </w:r>
      <w:r w:rsidR="00DF47E7">
        <w:rPr>
          <w:rFonts w:ascii="Arial" w:hAnsi="Arial" w:cs="Arial"/>
          <w:sz w:val="22"/>
          <w:szCs w:val="22"/>
          <w:lang w:val="pt-BR"/>
        </w:rPr>
        <w:t>.</w:t>
      </w:r>
      <w:r w:rsidRPr="00022D5C">
        <w:rPr>
          <w:rFonts w:ascii="Arial" w:hAnsi="Arial" w:cs="Arial"/>
          <w:sz w:val="22"/>
          <w:szCs w:val="22"/>
          <w:lang w:val="pt-BR"/>
        </w:rPr>
        <w:t>A</w:t>
      </w:r>
      <w:r w:rsidR="00DF47E7">
        <w:rPr>
          <w:rFonts w:ascii="Arial" w:hAnsi="Arial" w:cs="Arial"/>
          <w:sz w:val="22"/>
          <w:szCs w:val="22"/>
          <w:lang w:val="pt-BR"/>
        </w:rPr>
        <w:t>.</w:t>
      </w:r>
      <w:r w:rsidRPr="00022D5C">
        <w:rPr>
          <w:rFonts w:ascii="Arial" w:hAnsi="Arial" w:cs="Arial"/>
          <w:sz w:val="22"/>
          <w:szCs w:val="22"/>
          <w:lang w:val="pt-BR"/>
        </w:rPr>
        <w:t xml:space="preserve"> a formulat cerere de chemare în judecată solicitând instanței </w:t>
      </w:r>
      <w:r w:rsidRPr="00022D5C">
        <w:rPr>
          <w:rFonts w:ascii="Arial" w:hAnsi="Arial" w:cs="Arial"/>
          <w:sz w:val="22"/>
          <w:szCs w:val="22"/>
        </w:rPr>
        <w:t xml:space="preserve">obligarea, în solidar, a pârâților SC EMILIANA WEST ROM SRL și ZERI ANDREA la plata către Conpet SA a sumei de </w:t>
      </w:r>
      <w:r w:rsidRPr="00022D5C">
        <w:rPr>
          <w:rFonts w:ascii="Arial" w:hAnsi="Arial" w:cs="Arial"/>
          <w:b/>
          <w:sz w:val="22"/>
          <w:szCs w:val="22"/>
        </w:rPr>
        <w:t>197.301,36 lei</w:t>
      </w:r>
      <w:r w:rsidRPr="00022D5C">
        <w:rPr>
          <w:rFonts w:ascii="Arial" w:hAnsi="Arial" w:cs="Arial"/>
          <w:sz w:val="22"/>
          <w:szCs w:val="22"/>
        </w:rPr>
        <w:t xml:space="preserve"> cu titlu de despăgubiri civile - reprezentând contravaloarea materialului tubular, a materialelor și a lucrărilor necesare pentru refacerea conductei de transport țiței Ø 6 ⅝" Valcani – Teremia, distrusă în data de 07.07.2014 prin dislocarea din aceasta a unei porțiuni de 460 m.l., sumă la care se va adăuga dobânda legală începând cu data să</w:t>
      </w:r>
      <w:r w:rsidR="00DF47E7">
        <w:rPr>
          <w:rFonts w:ascii="Arial" w:hAnsi="Arial" w:cs="Arial"/>
          <w:sz w:val="22"/>
          <w:szCs w:val="22"/>
        </w:rPr>
        <w:t>vârșirii faptei până la data plă</w:t>
      </w:r>
      <w:r w:rsidRPr="00022D5C">
        <w:rPr>
          <w:rFonts w:ascii="Arial" w:hAnsi="Arial" w:cs="Arial"/>
          <w:sz w:val="22"/>
          <w:szCs w:val="22"/>
        </w:rPr>
        <w:t>ții integrale a debitului principal.</w:t>
      </w:r>
    </w:p>
    <w:p w:rsidR="00C60341" w:rsidRPr="00022D5C" w:rsidRDefault="00C60341" w:rsidP="00C60341">
      <w:pPr>
        <w:jc w:val="both"/>
        <w:rPr>
          <w:rFonts w:ascii="Arial" w:eastAsia="Calibri" w:hAnsi="Arial" w:cs="Arial"/>
          <w:sz w:val="22"/>
          <w:szCs w:val="22"/>
        </w:rPr>
      </w:pPr>
      <w:r w:rsidRPr="00022D5C">
        <w:rPr>
          <w:rFonts w:ascii="Arial" w:hAnsi="Arial" w:cs="Arial"/>
          <w:b/>
          <w:sz w:val="22"/>
          <w:szCs w:val="22"/>
        </w:rPr>
        <w:t>Precizări:</w:t>
      </w:r>
      <w:r w:rsidRPr="00022D5C">
        <w:rPr>
          <w:rFonts w:ascii="Arial" w:hAnsi="Arial" w:cs="Arial"/>
          <w:sz w:val="22"/>
          <w:szCs w:val="22"/>
        </w:rPr>
        <w:t xml:space="preserve"> Prin </w:t>
      </w:r>
      <w:r w:rsidRPr="00022D5C">
        <w:rPr>
          <w:rFonts w:ascii="Arial" w:hAnsi="Arial" w:cs="Arial"/>
          <w:b/>
          <w:sz w:val="22"/>
          <w:szCs w:val="22"/>
        </w:rPr>
        <w:t>sentința nr. 132/12.02.2018</w:t>
      </w:r>
      <w:r w:rsidRPr="00022D5C">
        <w:rPr>
          <w:rFonts w:ascii="Arial" w:hAnsi="Arial" w:cs="Arial"/>
          <w:sz w:val="22"/>
          <w:szCs w:val="22"/>
        </w:rPr>
        <w:t xml:space="preserve"> Judecătoria Sânnicolaul Mare respinge cererea de chemare în judecată formulată şi precizată de reclamanta Conpet S</w:t>
      </w:r>
      <w:r w:rsidR="00DF47E7">
        <w:rPr>
          <w:rFonts w:ascii="Arial" w:hAnsi="Arial" w:cs="Arial"/>
          <w:sz w:val="22"/>
          <w:szCs w:val="22"/>
        </w:rPr>
        <w:t>.</w:t>
      </w:r>
      <w:r w:rsidRPr="00022D5C">
        <w:rPr>
          <w:rFonts w:ascii="Arial" w:hAnsi="Arial" w:cs="Arial"/>
          <w:sz w:val="22"/>
          <w:szCs w:val="22"/>
        </w:rPr>
        <w:t>A</w:t>
      </w:r>
      <w:r w:rsidR="00DF47E7">
        <w:rPr>
          <w:rFonts w:ascii="Arial" w:hAnsi="Arial" w:cs="Arial"/>
          <w:sz w:val="22"/>
          <w:szCs w:val="22"/>
        </w:rPr>
        <w:t>.</w:t>
      </w:r>
      <w:r w:rsidRPr="00022D5C">
        <w:rPr>
          <w:rFonts w:ascii="Arial" w:hAnsi="Arial" w:cs="Arial"/>
          <w:sz w:val="22"/>
          <w:szCs w:val="22"/>
        </w:rPr>
        <w:t>, în contradictoriu cu pârâţii Zeri Andrea şi PFA Zeri Andrea, având ca obiect pretenţii. Respinge cererea de acordare a cheltuielilor de judecată solicitate de pârâţii Zeri Andrea şi PFA Zeri Andrea ca nedovedite. Hotărârea a fost atacată cu apel de Conpet.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procesual</w:t>
      </w:r>
      <w:r w:rsidRPr="00022D5C">
        <w:rPr>
          <w:rFonts w:ascii="Arial" w:eastAsia="Calibri" w:hAnsi="Arial" w:cs="Arial"/>
          <w:sz w:val="22"/>
          <w:szCs w:val="22"/>
        </w:rPr>
        <w:t>: Apel</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bCs/>
          <w:sz w:val="22"/>
          <w:szCs w:val="22"/>
          <w:lang w:val="pt-BR"/>
        </w:rPr>
      </w:pPr>
      <w:r w:rsidRPr="00022D5C">
        <w:rPr>
          <w:rFonts w:ascii="Arial" w:eastAsia="Calibri" w:hAnsi="Arial" w:cs="Arial"/>
          <w:b/>
          <w:sz w:val="22"/>
          <w:szCs w:val="22"/>
        </w:rPr>
        <w:t>31.</w:t>
      </w:r>
      <w:r w:rsidRPr="00022D5C">
        <w:rPr>
          <w:rFonts w:ascii="Arial" w:eastAsia="Calibri" w:hAnsi="Arial" w:cs="Arial"/>
          <w:sz w:val="22"/>
          <w:szCs w:val="22"/>
        </w:rPr>
        <w:t xml:space="preserve"> </w:t>
      </w:r>
      <w:r w:rsidRPr="00022D5C">
        <w:rPr>
          <w:rFonts w:ascii="Arial" w:eastAsia="Calibri" w:hAnsi="Arial" w:cs="Arial"/>
          <w:b/>
          <w:bCs/>
          <w:sz w:val="22"/>
          <w:szCs w:val="22"/>
          <w:lang w:val="pt-BR"/>
        </w:rPr>
        <w:t xml:space="preserve">Dosar nr. 789/105/2017 – Tribunalul Prahova </w:t>
      </w:r>
    </w:p>
    <w:p w:rsidR="00C60341" w:rsidRPr="00022D5C" w:rsidRDefault="00C60341" w:rsidP="00C60341">
      <w:pPr>
        <w:jc w:val="both"/>
        <w:rPr>
          <w:rFonts w:ascii="Arial" w:eastAsia="Calibri" w:hAnsi="Arial" w:cs="Arial"/>
          <w:bCs/>
          <w:sz w:val="22"/>
          <w:szCs w:val="22"/>
          <w:lang w:val="pt-BR"/>
        </w:rPr>
      </w:pPr>
      <w:r w:rsidRPr="00022D5C">
        <w:rPr>
          <w:rFonts w:ascii="Arial" w:eastAsia="Calibri" w:hAnsi="Arial" w:cs="Arial"/>
          <w:b/>
          <w:bCs/>
          <w:sz w:val="22"/>
          <w:szCs w:val="22"/>
          <w:lang w:val="pt-BR"/>
        </w:rPr>
        <w:t>Părți:</w:t>
      </w:r>
      <w:r w:rsidRPr="00022D5C">
        <w:rPr>
          <w:rFonts w:ascii="Arial" w:eastAsia="Calibri" w:hAnsi="Arial" w:cs="Arial"/>
          <w:sz w:val="22"/>
          <w:szCs w:val="22"/>
        </w:rPr>
        <w:t xml:space="preserve"> </w:t>
      </w:r>
      <w:r w:rsidRPr="00022D5C">
        <w:rPr>
          <w:rFonts w:ascii="Arial" w:eastAsia="Calibri" w:hAnsi="Arial" w:cs="Arial"/>
          <w:bCs/>
          <w:sz w:val="22"/>
          <w:szCs w:val="22"/>
          <w:lang w:val="pt-BR"/>
        </w:rPr>
        <w:t>ICIM S</w:t>
      </w:r>
      <w:r w:rsidR="00DF47E7">
        <w:rPr>
          <w:rFonts w:ascii="Arial" w:eastAsia="Calibri" w:hAnsi="Arial" w:cs="Arial"/>
          <w:bCs/>
          <w:sz w:val="22"/>
          <w:szCs w:val="22"/>
          <w:lang w:val="pt-BR"/>
        </w:rPr>
        <w:t>.</w:t>
      </w:r>
      <w:r w:rsidRPr="00022D5C">
        <w:rPr>
          <w:rFonts w:ascii="Arial" w:eastAsia="Calibri" w:hAnsi="Arial" w:cs="Arial"/>
          <w:bCs/>
          <w:sz w:val="22"/>
          <w:szCs w:val="22"/>
          <w:lang w:val="pt-BR"/>
        </w:rPr>
        <w:t>A</w:t>
      </w:r>
      <w:r w:rsidR="00DF47E7">
        <w:rPr>
          <w:rFonts w:ascii="Arial" w:eastAsia="Calibri" w:hAnsi="Arial" w:cs="Arial"/>
          <w:bCs/>
          <w:sz w:val="22"/>
          <w:szCs w:val="22"/>
          <w:lang w:val="pt-BR"/>
        </w:rPr>
        <w:t>.</w:t>
      </w:r>
      <w:r w:rsidRPr="00022D5C">
        <w:rPr>
          <w:rFonts w:ascii="Arial" w:eastAsia="Calibri" w:hAnsi="Arial" w:cs="Arial"/>
          <w:bCs/>
          <w:sz w:val="22"/>
          <w:szCs w:val="22"/>
          <w:lang w:val="pt-BR"/>
        </w:rPr>
        <w:t xml:space="preserve"> prin administrator CITR București - debitor</w:t>
      </w:r>
    </w:p>
    <w:p w:rsidR="00C60341" w:rsidRPr="00022D5C" w:rsidRDefault="00C60341" w:rsidP="00C60341">
      <w:pPr>
        <w:jc w:val="both"/>
        <w:rPr>
          <w:rFonts w:ascii="Arial" w:eastAsia="Calibri" w:hAnsi="Arial" w:cs="Arial"/>
          <w:bCs/>
          <w:sz w:val="22"/>
          <w:szCs w:val="22"/>
          <w:lang w:val="pt-BR"/>
        </w:rPr>
      </w:pPr>
      <w:r w:rsidRPr="00022D5C">
        <w:rPr>
          <w:rFonts w:ascii="Arial" w:eastAsia="Calibri" w:hAnsi="Arial" w:cs="Arial"/>
          <w:bCs/>
          <w:sz w:val="22"/>
          <w:szCs w:val="22"/>
          <w:lang w:val="pt-BR"/>
        </w:rPr>
        <w:t xml:space="preserve">           Conpet S</w:t>
      </w:r>
      <w:r w:rsidR="00DF47E7">
        <w:rPr>
          <w:rFonts w:ascii="Arial" w:eastAsia="Calibri" w:hAnsi="Arial" w:cs="Arial"/>
          <w:bCs/>
          <w:sz w:val="22"/>
          <w:szCs w:val="22"/>
          <w:lang w:val="pt-BR"/>
        </w:rPr>
        <w:t>.</w:t>
      </w:r>
      <w:r w:rsidRPr="00022D5C">
        <w:rPr>
          <w:rFonts w:ascii="Arial" w:eastAsia="Calibri" w:hAnsi="Arial" w:cs="Arial"/>
          <w:bCs/>
          <w:sz w:val="22"/>
          <w:szCs w:val="22"/>
          <w:lang w:val="pt-BR"/>
        </w:rPr>
        <w:t>A</w:t>
      </w:r>
      <w:r w:rsidR="00DF47E7">
        <w:rPr>
          <w:rFonts w:ascii="Arial" w:eastAsia="Calibri" w:hAnsi="Arial" w:cs="Arial"/>
          <w:bCs/>
          <w:sz w:val="22"/>
          <w:szCs w:val="22"/>
          <w:lang w:val="pt-BR"/>
        </w:rPr>
        <w:t>.</w:t>
      </w:r>
      <w:r w:rsidRPr="00022D5C">
        <w:rPr>
          <w:rFonts w:ascii="Arial" w:eastAsia="Calibri" w:hAnsi="Arial" w:cs="Arial"/>
          <w:bCs/>
          <w:sz w:val="22"/>
          <w:szCs w:val="22"/>
          <w:lang w:val="pt-BR"/>
        </w:rPr>
        <w:t>- creditor</w:t>
      </w:r>
    </w:p>
    <w:p w:rsidR="00C60341" w:rsidRPr="00022D5C" w:rsidRDefault="00C60341" w:rsidP="00C60341">
      <w:pPr>
        <w:jc w:val="both"/>
        <w:rPr>
          <w:rFonts w:ascii="Arial" w:eastAsia="Calibri" w:hAnsi="Arial" w:cs="Arial"/>
          <w:bCs/>
          <w:sz w:val="22"/>
          <w:szCs w:val="22"/>
          <w:lang w:val="pt-BR"/>
        </w:rPr>
      </w:pPr>
      <w:r w:rsidRPr="00022D5C">
        <w:rPr>
          <w:rFonts w:ascii="Arial" w:eastAsia="Calibri" w:hAnsi="Arial" w:cs="Arial"/>
          <w:b/>
          <w:bCs/>
          <w:sz w:val="22"/>
          <w:szCs w:val="22"/>
          <w:lang w:val="pt-BR"/>
        </w:rPr>
        <w:t>Obiect:</w:t>
      </w:r>
      <w:r w:rsidRPr="00022D5C">
        <w:rPr>
          <w:rFonts w:ascii="Arial" w:eastAsia="Calibri" w:hAnsi="Arial" w:cs="Arial"/>
          <w:sz w:val="22"/>
          <w:szCs w:val="22"/>
        </w:rPr>
        <w:t xml:space="preserve"> </w:t>
      </w:r>
      <w:r w:rsidRPr="00022D5C">
        <w:rPr>
          <w:rFonts w:ascii="Arial" w:eastAsia="Calibri" w:hAnsi="Arial" w:cs="Arial"/>
          <w:bCs/>
          <w:sz w:val="22"/>
          <w:szCs w:val="22"/>
          <w:lang w:val="pt-BR"/>
        </w:rPr>
        <w:t>Procedura de insolvență. Conpet solicită înscrierea pe tabelul creditorilor societății ICIM S</w:t>
      </w:r>
      <w:r w:rsidR="00DF47E7">
        <w:rPr>
          <w:rFonts w:ascii="Arial" w:eastAsia="Calibri" w:hAnsi="Arial" w:cs="Arial"/>
          <w:bCs/>
          <w:sz w:val="22"/>
          <w:szCs w:val="22"/>
          <w:lang w:val="pt-BR"/>
        </w:rPr>
        <w:t>.</w:t>
      </w:r>
      <w:r w:rsidRPr="00022D5C">
        <w:rPr>
          <w:rFonts w:ascii="Arial" w:eastAsia="Calibri" w:hAnsi="Arial" w:cs="Arial"/>
          <w:bCs/>
          <w:sz w:val="22"/>
          <w:szCs w:val="22"/>
          <w:lang w:val="pt-BR"/>
        </w:rPr>
        <w:t>A</w:t>
      </w:r>
      <w:r w:rsidR="00DF47E7">
        <w:rPr>
          <w:rFonts w:ascii="Arial" w:eastAsia="Calibri" w:hAnsi="Arial" w:cs="Arial"/>
          <w:bCs/>
          <w:sz w:val="22"/>
          <w:szCs w:val="22"/>
          <w:lang w:val="pt-BR"/>
        </w:rPr>
        <w:t>.</w:t>
      </w:r>
      <w:r w:rsidRPr="00022D5C">
        <w:rPr>
          <w:rFonts w:ascii="Arial" w:eastAsia="Calibri" w:hAnsi="Arial" w:cs="Arial"/>
          <w:bCs/>
          <w:sz w:val="22"/>
          <w:szCs w:val="22"/>
          <w:lang w:val="pt-BR"/>
        </w:rPr>
        <w:t xml:space="preserve"> reprezentată prin administrator judiciar CITR FILIALA BUCUREŞTI SPRL, cu creanța totală în sumă de 393.934,37 lei  reprezen</w:t>
      </w:r>
      <w:r w:rsidR="00DF47E7">
        <w:rPr>
          <w:rFonts w:ascii="Arial" w:eastAsia="Calibri" w:hAnsi="Arial" w:cs="Arial"/>
          <w:bCs/>
          <w:sz w:val="22"/>
          <w:szCs w:val="22"/>
          <w:lang w:val="pt-BR"/>
        </w:rPr>
        <w:t xml:space="preserve">tând penalități de intârziere, </w:t>
      </w:r>
      <w:r w:rsidRPr="00022D5C">
        <w:rPr>
          <w:rFonts w:ascii="Arial" w:eastAsia="Calibri" w:hAnsi="Arial" w:cs="Arial"/>
          <w:bCs/>
          <w:sz w:val="22"/>
          <w:szCs w:val="22"/>
          <w:lang w:val="pt-BR"/>
        </w:rPr>
        <w:t>cheltuieli de judecată, cheltuieli de executare.</w:t>
      </w:r>
    </w:p>
    <w:p w:rsidR="00C60341" w:rsidRPr="00022D5C" w:rsidRDefault="00DF47E7" w:rsidP="00C60341">
      <w:pPr>
        <w:jc w:val="both"/>
        <w:rPr>
          <w:rFonts w:ascii="Arial" w:eastAsia="Calibri" w:hAnsi="Arial" w:cs="Arial"/>
          <w:bCs/>
          <w:sz w:val="22"/>
          <w:szCs w:val="22"/>
          <w:lang w:val="pt-BR"/>
        </w:rPr>
      </w:pPr>
      <w:r>
        <w:rPr>
          <w:rFonts w:ascii="Arial" w:eastAsia="Calibri" w:hAnsi="Arial" w:cs="Arial"/>
          <w:bCs/>
          <w:sz w:val="22"/>
          <w:szCs w:val="22"/>
          <w:lang w:val="pt-BR"/>
        </w:rPr>
        <w:t>A) 50.094,</w:t>
      </w:r>
      <w:r w:rsidR="00C60341" w:rsidRPr="00022D5C">
        <w:rPr>
          <w:rFonts w:ascii="Arial" w:eastAsia="Calibri" w:hAnsi="Arial" w:cs="Arial"/>
          <w:bCs/>
          <w:sz w:val="22"/>
          <w:szCs w:val="22"/>
          <w:lang w:val="pt-BR"/>
        </w:rPr>
        <w:t>8 lei  reprezentând contravaloarea lucrărilor de remediere a avariei conductei Ø 6 RA Moreni-Ploiești și a țițeiului pierdut, dobânda legală, cheltuieli de judecata si cheltuieli de executare  stabilite prin titlul e</w:t>
      </w:r>
      <w:r>
        <w:rPr>
          <w:rFonts w:ascii="Arial" w:eastAsia="Calibri" w:hAnsi="Arial" w:cs="Arial"/>
          <w:bCs/>
          <w:sz w:val="22"/>
          <w:szCs w:val="22"/>
          <w:lang w:val="pt-BR"/>
        </w:rPr>
        <w:t>xecutoriu - sentinta civila nr.</w:t>
      </w:r>
      <w:r w:rsidR="00C60341" w:rsidRPr="00022D5C">
        <w:rPr>
          <w:rFonts w:ascii="Arial" w:eastAsia="Calibri" w:hAnsi="Arial" w:cs="Arial"/>
          <w:bCs/>
          <w:sz w:val="22"/>
          <w:szCs w:val="22"/>
          <w:lang w:val="pt-BR"/>
        </w:rPr>
        <w:t>1014/28.01.2015 pronunțată în dosar nr. 113/281/2014  rămasă definitivă și îndreptată prin Încheierea de îndreptare a erorii materiale din data 06.06.2016 , prin care Judecătoria Ploiești a admis cererea de chemare în judecată formulată de reclamanta Conpet S.A.</w:t>
      </w:r>
    </w:p>
    <w:p w:rsidR="00C60341" w:rsidRPr="00022D5C" w:rsidRDefault="00C60341" w:rsidP="00C60341">
      <w:pPr>
        <w:jc w:val="both"/>
        <w:rPr>
          <w:rFonts w:ascii="Arial" w:eastAsia="Calibri" w:hAnsi="Arial" w:cs="Arial"/>
          <w:bCs/>
          <w:sz w:val="22"/>
          <w:szCs w:val="22"/>
          <w:lang w:val="pt-BR"/>
        </w:rPr>
      </w:pPr>
      <w:r w:rsidRPr="00022D5C">
        <w:rPr>
          <w:rFonts w:ascii="Arial" w:eastAsia="Calibri" w:hAnsi="Arial" w:cs="Arial"/>
          <w:bCs/>
          <w:sz w:val="22"/>
          <w:szCs w:val="22"/>
          <w:lang w:val="pt-BR"/>
        </w:rPr>
        <w:t>B) 343.839,57 lei compusă din suma de 331.271,57 lei reprezentând penalităţi de întârziere în conformitate cu dispozițiile art. 8.1. din contractul 0135/1995 (modificat prin art 5 din actul additional 9/2005 și actul aditional nr 10/2006), precum și suma  12.568 lei reprezentând taxă judiciară de timbru, timbru</w:t>
      </w:r>
      <w:r w:rsidR="00DF47E7">
        <w:rPr>
          <w:rFonts w:ascii="Arial" w:eastAsia="Calibri" w:hAnsi="Arial" w:cs="Arial"/>
          <w:bCs/>
          <w:sz w:val="22"/>
          <w:szCs w:val="22"/>
          <w:lang w:val="pt-BR"/>
        </w:rPr>
        <w:t xml:space="preserve"> judiciar si onorariu expertiză </w:t>
      </w:r>
      <w:r w:rsidRPr="00022D5C">
        <w:rPr>
          <w:rFonts w:ascii="Arial" w:eastAsia="Calibri" w:hAnsi="Arial" w:cs="Arial"/>
          <w:bCs/>
          <w:sz w:val="22"/>
          <w:szCs w:val="22"/>
          <w:lang w:val="pt-BR"/>
        </w:rPr>
        <w:t xml:space="preserve">Conpet a fost înscrisă pe tabel cu suma solicitată. ICIM a formulat contestație care face obiectul dosarului nr. 789/105/2017/a1 și a solicitat: </w:t>
      </w:r>
    </w:p>
    <w:p w:rsidR="00C60341" w:rsidRPr="00022D5C" w:rsidRDefault="00C60341" w:rsidP="00C60341">
      <w:pPr>
        <w:jc w:val="both"/>
        <w:rPr>
          <w:rFonts w:ascii="Arial" w:eastAsia="Calibri" w:hAnsi="Arial" w:cs="Arial"/>
          <w:bCs/>
          <w:sz w:val="22"/>
          <w:szCs w:val="22"/>
          <w:lang w:val="pt-BR"/>
        </w:rPr>
      </w:pPr>
      <w:r w:rsidRPr="00022D5C">
        <w:rPr>
          <w:rFonts w:ascii="Arial" w:eastAsia="Calibri" w:hAnsi="Arial" w:cs="Arial"/>
          <w:bCs/>
          <w:sz w:val="22"/>
          <w:szCs w:val="22"/>
          <w:lang w:val="pt-BR"/>
        </w:rPr>
        <w:t>- în principal modificare în parte a tabelului preliminar de creanțe în sesnul respingerii cererii de înscriere a creanței în cuantum de formulate de Conpet</w:t>
      </w:r>
      <w:r w:rsidR="00DF47E7">
        <w:rPr>
          <w:rFonts w:ascii="Arial" w:eastAsia="Calibri" w:hAnsi="Arial" w:cs="Arial"/>
          <w:bCs/>
          <w:sz w:val="22"/>
          <w:szCs w:val="22"/>
          <w:lang w:val="pt-BR"/>
        </w:rPr>
        <w:t>;</w:t>
      </w:r>
    </w:p>
    <w:p w:rsidR="00C60341" w:rsidRPr="00022D5C" w:rsidRDefault="00C60341" w:rsidP="00C60341">
      <w:pPr>
        <w:jc w:val="both"/>
        <w:rPr>
          <w:rFonts w:ascii="Arial" w:eastAsia="Calibri" w:hAnsi="Arial" w:cs="Arial"/>
          <w:bCs/>
          <w:sz w:val="22"/>
          <w:szCs w:val="22"/>
          <w:lang w:val="pt-BR"/>
        </w:rPr>
      </w:pPr>
      <w:r w:rsidRPr="00022D5C">
        <w:rPr>
          <w:rFonts w:ascii="Arial" w:eastAsia="Calibri" w:hAnsi="Arial" w:cs="Arial"/>
          <w:bCs/>
          <w:sz w:val="22"/>
          <w:szCs w:val="22"/>
          <w:lang w:val="pt-BR"/>
        </w:rPr>
        <w:t>- în subsidiar modificare în parte a tabelului preliminar de creanțe în sensul înscrierii creanței Conpet sub condiție.</w:t>
      </w:r>
    </w:p>
    <w:p w:rsidR="00C60341" w:rsidRPr="00022D5C" w:rsidRDefault="00C60341" w:rsidP="00C60341">
      <w:pPr>
        <w:jc w:val="both"/>
        <w:rPr>
          <w:rFonts w:ascii="Arial" w:eastAsia="Calibri" w:hAnsi="Arial" w:cs="Arial"/>
          <w:b/>
          <w:bCs/>
          <w:sz w:val="22"/>
          <w:szCs w:val="22"/>
          <w:lang w:val="pt-BR"/>
        </w:rPr>
      </w:pPr>
      <w:r w:rsidRPr="00022D5C">
        <w:rPr>
          <w:rFonts w:ascii="Arial" w:eastAsia="Calibri" w:hAnsi="Arial" w:cs="Arial"/>
          <w:b/>
          <w:bCs/>
          <w:sz w:val="22"/>
          <w:szCs w:val="22"/>
          <w:lang w:val="pt-BR"/>
        </w:rPr>
        <w:t xml:space="preserve">Stadiu procesual: </w:t>
      </w:r>
      <w:r w:rsidRPr="00022D5C">
        <w:rPr>
          <w:rFonts w:ascii="Arial" w:eastAsia="Calibri" w:hAnsi="Arial" w:cs="Arial"/>
          <w:bCs/>
          <w:sz w:val="22"/>
          <w:szCs w:val="22"/>
          <w:lang w:val="pt-BR"/>
        </w:rPr>
        <w:t>Fond</w:t>
      </w:r>
    </w:p>
    <w:p w:rsidR="00C60341" w:rsidRPr="00022D5C" w:rsidRDefault="00C60341" w:rsidP="00C60341">
      <w:pPr>
        <w:jc w:val="both"/>
        <w:rPr>
          <w:rFonts w:ascii="Arial" w:eastAsia="Calibri" w:hAnsi="Arial" w:cs="Arial"/>
          <w:bCs/>
          <w:sz w:val="22"/>
          <w:szCs w:val="22"/>
          <w:lang w:val="pt-BR"/>
        </w:rPr>
      </w:pPr>
      <w:r w:rsidRPr="00022D5C">
        <w:rPr>
          <w:rFonts w:ascii="Arial" w:eastAsia="Calibri" w:hAnsi="Arial" w:cs="Arial"/>
          <w:b/>
          <w:bCs/>
          <w:sz w:val="22"/>
          <w:szCs w:val="22"/>
          <w:lang w:val="pt-BR"/>
        </w:rPr>
        <w:t xml:space="preserve">Termen: </w:t>
      </w:r>
      <w:r w:rsidRPr="00022D5C">
        <w:rPr>
          <w:rFonts w:ascii="Arial" w:eastAsia="Calibri" w:hAnsi="Arial" w:cs="Arial"/>
          <w:bCs/>
          <w:sz w:val="22"/>
          <w:szCs w:val="22"/>
          <w:lang w:val="pt-BR"/>
        </w:rPr>
        <w:t>26.09.2018</w:t>
      </w:r>
    </w:p>
    <w:p w:rsidR="00C60341" w:rsidRPr="00022D5C" w:rsidRDefault="00C60341" w:rsidP="00C60341">
      <w:pPr>
        <w:jc w:val="both"/>
        <w:rPr>
          <w:rFonts w:ascii="Arial" w:eastAsia="Calibri" w:hAnsi="Arial" w:cs="Arial"/>
          <w:bCs/>
          <w:sz w:val="22"/>
          <w:szCs w:val="22"/>
          <w:lang w:val="pt-BR"/>
        </w:rPr>
      </w:pPr>
    </w:p>
    <w:p w:rsidR="00C60341" w:rsidRPr="00022D5C" w:rsidRDefault="00C60341" w:rsidP="00C60341">
      <w:pPr>
        <w:jc w:val="both"/>
        <w:rPr>
          <w:rFonts w:ascii="Arial" w:eastAsia="Calibri" w:hAnsi="Arial" w:cs="Arial"/>
          <w:b/>
          <w:bCs/>
          <w:sz w:val="22"/>
          <w:szCs w:val="22"/>
          <w:lang w:val="pt-BR"/>
        </w:rPr>
      </w:pPr>
      <w:r w:rsidRPr="00022D5C">
        <w:rPr>
          <w:rFonts w:ascii="Arial" w:eastAsia="Calibri" w:hAnsi="Arial" w:cs="Arial"/>
          <w:b/>
          <w:bCs/>
          <w:sz w:val="22"/>
          <w:szCs w:val="22"/>
          <w:lang w:val="pt-BR"/>
        </w:rPr>
        <w:lastRenderedPageBreak/>
        <w:t xml:space="preserve">32. Dosar nr. 6575/105/2017 – Tribunalul Prahova </w:t>
      </w:r>
    </w:p>
    <w:p w:rsidR="00C60341" w:rsidRPr="00022D5C" w:rsidRDefault="00C60341" w:rsidP="00C60341">
      <w:pPr>
        <w:jc w:val="both"/>
        <w:rPr>
          <w:rFonts w:ascii="Arial" w:eastAsia="Calibri" w:hAnsi="Arial" w:cs="Arial"/>
          <w:bCs/>
          <w:sz w:val="22"/>
          <w:szCs w:val="22"/>
          <w:lang w:val="pt-BR"/>
        </w:rPr>
      </w:pPr>
      <w:r w:rsidRPr="00022D5C">
        <w:rPr>
          <w:rFonts w:ascii="Arial" w:eastAsia="Calibri" w:hAnsi="Arial" w:cs="Arial"/>
          <w:b/>
          <w:bCs/>
          <w:sz w:val="22"/>
          <w:szCs w:val="22"/>
          <w:lang w:val="pt-BR"/>
        </w:rPr>
        <w:t>Părți:</w:t>
      </w:r>
      <w:r w:rsidRPr="00022D5C">
        <w:rPr>
          <w:rFonts w:ascii="Arial" w:eastAsia="Calibri" w:hAnsi="Arial" w:cs="Arial"/>
          <w:bCs/>
          <w:sz w:val="22"/>
          <w:szCs w:val="22"/>
          <w:lang w:val="pt-BR"/>
        </w:rPr>
        <w:t xml:space="preserve"> </w:t>
      </w:r>
      <w:r w:rsidR="00DF47E7">
        <w:rPr>
          <w:rFonts w:ascii="Arial" w:eastAsia="Calibri" w:hAnsi="Arial" w:cs="Arial"/>
          <w:bCs/>
          <w:sz w:val="22"/>
          <w:szCs w:val="22"/>
          <w:lang w:val="pt-BR"/>
        </w:rPr>
        <w:t xml:space="preserve"> </w:t>
      </w:r>
      <w:r w:rsidRPr="00022D5C">
        <w:rPr>
          <w:rFonts w:ascii="Arial" w:eastAsia="Calibri" w:hAnsi="Arial" w:cs="Arial"/>
          <w:bCs/>
          <w:sz w:val="22"/>
          <w:szCs w:val="22"/>
          <w:lang w:val="pt-BR"/>
        </w:rPr>
        <w:t>Conpet S</w:t>
      </w:r>
      <w:r w:rsidR="00DF47E7">
        <w:rPr>
          <w:rFonts w:ascii="Arial" w:eastAsia="Calibri" w:hAnsi="Arial" w:cs="Arial"/>
          <w:bCs/>
          <w:sz w:val="22"/>
          <w:szCs w:val="22"/>
          <w:lang w:val="pt-BR"/>
        </w:rPr>
        <w:t>.</w:t>
      </w:r>
      <w:r w:rsidRPr="00022D5C">
        <w:rPr>
          <w:rFonts w:ascii="Arial" w:eastAsia="Calibri" w:hAnsi="Arial" w:cs="Arial"/>
          <w:bCs/>
          <w:sz w:val="22"/>
          <w:szCs w:val="22"/>
          <w:lang w:val="pt-BR"/>
        </w:rPr>
        <w:t>A</w:t>
      </w:r>
      <w:r w:rsidR="00DF47E7">
        <w:rPr>
          <w:rFonts w:ascii="Arial" w:eastAsia="Calibri" w:hAnsi="Arial" w:cs="Arial"/>
          <w:bCs/>
          <w:sz w:val="22"/>
          <w:szCs w:val="22"/>
          <w:lang w:val="pt-BR"/>
        </w:rPr>
        <w:t>.</w:t>
      </w:r>
      <w:r w:rsidRPr="00022D5C">
        <w:rPr>
          <w:rFonts w:ascii="Arial" w:eastAsia="Calibri" w:hAnsi="Arial" w:cs="Arial"/>
          <w:bCs/>
          <w:sz w:val="22"/>
          <w:szCs w:val="22"/>
          <w:lang w:val="pt-BR"/>
        </w:rPr>
        <w:t xml:space="preserve"> – reclamant</w:t>
      </w:r>
    </w:p>
    <w:p w:rsidR="00C60341" w:rsidRPr="00022D5C" w:rsidRDefault="00C60341" w:rsidP="00C60341">
      <w:pPr>
        <w:jc w:val="both"/>
        <w:rPr>
          <w:rFonts w:ascii="Arial" w:eastAsia="Calibri" w:hAnsi="Arial" w:cs="Arial"/>
          <w:bCs/>
          <w:sz w:val="22"/>
          <w:szCs w:val="22"/>
          <w:lang w:val="pt-BR"/>
        </w:rPr>
      </w:pPr>
      <w:r w:rsidRPr="00022D5C">
        <w:rPr>
          <w:rFonts w:ascii="Arial" w:eastAsia="Calibri" w:hAnsi="Arial" w:cs="Arial"/>
          <w:bCs/>
          <w:sz w:val="22"/>
          <w:szCs w:val="22"/>
          <w:lang w:val="pt-BR"/>
        </w:rPr>
        <w:t xml:space="preserve">           Curtea de Conturi a României – pârât</w:t>
      </w:r>
    </w:p>
    <w:p w:rsidR="00C60341" w:rsidRPr="00022D5C" w:rsidRDefault="00C60341" w:rsidP="00C60341">
      <w:pPr>
        <w:jc w:val="both"/>
        <w:rPr>
          <w:rFonts w:ascii="Arial" w:eastAsia="Calibri" w:hAnsi="Arial" w:cs="Arial"/>
          <w:bCs/>
          <w:sz w:val="22"/>
          <w:szCs w:val="22"/>
          <w:lang w:val="pt-BR"/>
        </w:rPr>
      </w:pPr>
      <w:r w:rsidRPr="00DF47E7">
        <w:rPr>
          <w:rFonts w:ascii="Arial" w:eastAsia="Calibri" w:hAnsi="Arial" w:cs="Arial"/>
          <w:b/>
          <w:bCs/>
          <w:sz w:val="22"/>
          <w:szCs w:val="22"/>
          <w:lang w:val="pt-BR"/>
        </w:rPr>
        <w:t>Obiect</w:t>
      </w:r>
      <w:r w:rsidRPr="00022D5C">
        <w:rPr>
          <w:rFonts w:ascii="Arial" w:eastAsia="Calibri" w:hAnsi="Arial" w:cs="Arial"/>
          <w:bCs/>
          <w:sz w:val="22"/>
          <w:szCs w:val="22"/>
          <w:lang w:val="pt-BR"/>
        </w:rPr>
        <w:t>: Conpet a formulat contestație împotriva Încheierii nr. 78/09.08.2017 emisă de Curtea de Conturi a României pentru ca prin hotărârea pe care o va pronunța instanța să dispună:</w:t>
      </w:r>
    </w:p>
    <w:p w:rsidR="00C60341" w:rsidRPr="00022D5C" w:rsidRDefault="00C60341" w:rsidP="00C60341">
      <w:pPr>
        <w:jc w:val="both"/>
        <w:rPr>
          <w:rFonts w:ascii="Arial" w:eastAsia="Calibri" w:hAnsi="Arial" w:cs="Arial"/>
          <w:bCs/>
          <w:sz w:val="22"/>
          <w:szCs w:val="22"/>
          <w:lang w:val="pt-BR"/>
        </w:rPr>
      </w:pPr>
      <w:r w:rsidRPr="00022D5C">
        <w:rPr>
          <w:rFonts w:ascii="Arial" w:eastAsia="Calibri" w:hAnsi="Arial" w:cs="Arial"/>
          <w:bCs/>
          <w:sz w:val="22"/>
          <w:szCs w:val="22"/>
          <w:lang w:val="pt-BR"/>
        </w:rPr>
        <w:t>1. Anularea în parte a Încheierii nr. 78/09.08.2017 emisă de Curtea de Conturi a României, respectiv</w:t>
      </w:r>
    </w:p>
    <w:p w:rsidR="00C60341" w:rsidRPr="00022D5C" w:rsidRDefault="00C60341" w:rsidP="00DF47E7">
      <w:pPr>
        <w:widowControl/>
        <w:numPr>
          <w:ilvl w:val="0"/>
          <w:numId w:val="44"/>
        </w:numPr>
        <w:autoSpaceDE/>
        <w:autoSpaceDN/>
        <w:adjustRightInd/>
        <w:ind w:left="270" w:hanging="270"/>
        <w:jc w:val="both"/>
        <w:rPr>
          <w:rFonts w:ascii="Arial" w:eastAsia="Calibri" w:hAnsi="Arial" w:cs="Arial"/>
          <w:bCs/>
          <w:sz w:val="22"/>
          <w:szCs w:val="22"/>
          <w:lang w:val="pt-BR"/>
        </w:rPr>
      </w:pPr>
      <w:r w:rsidRPr="00022D5C">
        <w:rPr>
          <w:rFonts w:ascii="Arial" w:eastAsia="Calibri" w:hAnsi="Arial" w:cs="Arial"/>
          <w:bCs/>
          <w:sz w:val="22"/>
          <w:szCs w:val="22"/>
          <w:lang w:val="pt-BR"/>
        </w:rPr>
        <w:t>Considerentul 2 referitor la Punctul II din Contestația nr. 27718/10.07.2017 (cu privire la măsurile nr. I.2 și I.3 din Decizia nr. 24/21.06.2017, pentru înlăturarea abaterii prezentate la pct. 2 și 3 din aceeași decizie), constatările de la lit. A și B.</w:t>
      </w:r>
    </w:p>
    <w:p w:rsidR="00C60341" w:rsidRPr="00022D5C" w:rsidRDefault="00C60341" w:rsidP="00C60341">
      <w:pPr>
        <w:jc w:val="both"/>
        <w:rPr>
          <w:rFonts w:ascii="Arial" w:eastAsia="Calibri" w:hAnsi="Arial" w:cs="Arial"/>
          <w:bCs/>
          <w:sz w:val="22"/>
          <w:szCs w:val="22"/>
          <w:lang w:val="pt-BR"/>
        </w:rPr>
      </w:pPr>
      <w:r w:rsidRPr="00022D5C">
        <w:rPr>
          <w:rFonts w:ascii="Arial" w:eastAsia="Calibri" w:hAnsi="Arial" w:cs="Arial"/>
          <w:bCs/>
          <w:sz w:val="22"/>
          <w:szCs w:val="22"/>
          <w:lang w:val="pt-BR"/>
        </w:rPr>
        <w:t>2. Anularea în parte a Deciziei nr. 14/21.06.2017, emisă de Camera de Conturi Prahova, respectiv:</w:t>
      </w:r>
    </w:p>
    <w:p w:rsidR="00C60341" w:rsidRPr="00022D5C" w:rsidRDefault="00C60341" w:rsidP="00DF47E7">
      <w:pPr>
        <w:widowControl/>
        <w:numPr>
          <w:ilvl w:val="0"/>
          <w:numId w:val="44"/>
        </w:numPr>
        <w:autoSpaceDE/>
        <w:autoSpaceDN/>
        <w:adjustRightInd/>
        <w:ind w:left="270" w:hanging="270"/>
        <w:jc w:val="both"/>
        <w:rPr>
          <w:rFonts w:ascii="Arial" w:eastAsia="Calibri" w:hAnsi="Arial" w:cs="Arial"/>
          <w:bCs/>
          <w:sz w:val="22"/>
          <w:szCs w:val="22"/>
          <w:lang w:val="pt-BR"/>
        </w:rPr>
      </w:pPr>
      <w:r w:rsidRPr="00022D5C">
        <w:rPr>
          <w:rFonts w:ascii="Arial" w:eastAsia="Calibri" w:hAnsi="Arial" w:cs="Arial"/>
          <w:bCs/>
          <w:sz w:val="22"/>
          <w:szCs w:val="22"/>
          <w:lang w:val="pt-BR"/>
        </w:rPr>
        <w:t>Constatările prezentate la punctul 2 cu privire la dezafectarea și valorificarea unor tronsoane de conductă aparținând Sistemului național de transport – parte din domeniul public de interes național, fără ca anterior să fie adoptată hotărâre de guvern de trecere din domeniul public al statului în domeniul privat, în vederea întocmirii documentației de scoatere din funcțiune și casare</w:t>
      </w:r>
      <w:r w:rsidR="00DF47E7">
        <w:rPr>
          <w:rFonts w:ascii="Arial" w:eastAsia="Calibri" w:hAnsi="Arial" w:cs="Arial"/>
          <w:bCs/>
          <w:sz w:val="22"/>
          <w:szCs w:val="22"/>
          <w:lang w:val="pt-BR"/>
        </w:rPr>
        <w:t>;</w:t>
      </w:r>
    </w:p>
    <w:p w:rsidR="00C60341" w:rsidRPr="00022D5C" w:rsidRDefault="00C60341" w:rsidP="00DF47E7">
      <w:pPr>
        <w:widowControl/>
        <w:numPr>
          <w:ilvl w:val="0"/>
          <w:numId w:val="44"/>
        </w:numPr>
        <w:autoSpaceDE/>
        <w:autoSpaceDN/>
        <w:adjustRightInd/>
        <w:ind w:left="270" w:hanging="270"/>
        <w:jc w:val="both"/>
        <w:rPr>
          <w:rFonts w:ascii="Arial" w:eastAsia="Calibri" w:hAnsi="Arial" w:cs="Arial"/>
          <w:bCs/>
          <w:sz w:val="22"/>
          <w:szCs w:val="22"/>
          <w:lang w:val="pt-BR"/>
        </w:rPr>
      </w:pPr>
      <w:r w:rsidRPr="00022D5C">
        <w:rPr>
          <w:rFonts w:ascii="Arial" w:eastAsia="Calibri" w:hAnsi="Arial" w:cs="Arial"/>
          <w:bCs/>
          <w:sz w:val="22"/>
          <w:szCs w:val="22"/>
          <w:lang w:val="pt-BR"/>
        </w:rPr>
        <w:t>Constatările prezentate la punctul nr. 3 cu privire la faptul că în anul 2016 a fost valorificată prin licitație conductă îngropată recuperabilă potrivit procedurii de valorificare aprobată prin regulamentul privind condițiile de participare la licitație și modalitatea desfășurării licitației pentru valorificarea materialului tubular metalic îngropat și/sau suprateran. Valorificarea s-a făcut îna</w:t>
      </w:r>
      <w:r w:rsidR="00DF47E7">
        <w:rPr>
          <w:rFonts w:ascii="Arial" w:eastAsia="Calibri" w:hAnsi="Arial" w:cs="Arial"/>
          <w:bCs/>
          <w:sz w:val="22"/>
          <w:szCs w:val="22"/>
          <w:lang w:val="pt-BR"/>
        </w:rPr>
        <w:t>i</w:t>
      </w:r>
      <w:r w:rsidRPr="00022D5C">
        <w:rPr>
          <w:rFonts w:ascii="Arial" w:eastAsia="Calibri" w:hAnsi="Arial" w:cs="Arial"/>
          <w:bCs/>
          <w:sz w:val="22"/>
          <w:szCs w:val="22"/>
          <w:lang w:val="pt-BR"/>
        </w:rPr>
        <w:t>ntea adoptării unei hotărâri de guvern prin care să aprobe trecerea din domeniul public al statului în domeniul privat în vederea valorificării, potrivit legii;</w:t>
      </w:r>
    </w:p>
    <w:p w:rsidR="00C60341" w:rsidRPr="00022D5C" w:rsidRDefault="00C60341" w:rsidP="00170D7E">
      <w:pPr>
        <w:widowControl/>
        <w:numPr>
          <w:ilvl w:val="0"/>
          <w:numId w:val="44"/>
        </w:numPr>
        <w:autoSpaceDE/>
        <w:autoSpaceDN/>
        <w:adjustRightInd/>
        <w:jc w:val="both"/>
        <w:rPr>
          <w:rFonts w:ascii="Arial" w:eastAsia="Calibri" w:hAnsi="Arial" w:cs="Arial"/>
          <w:bCs/>
          <w:sz w:val="22"/>
          <w:szCs w:val="22"/>
          <w:lang w:val="pt-BR"/>
        </w:rPr>
      </w:pPr>
      <w:r w:rsidRPr="00022D5C">
        <w:rPr>
          <w:rFonts w:ascii="Arial" w:eastAsia="Calibri" w:hAnsi="Arial" w:cs="Arial"/>
          <w:bCs/>
          <w:sz w:val="22"/>
          <w:szCs w:val="22"/>
          <w:lang w:val="pt-BR"/>
        </w:rPr>
        <w:t>Măsura nr. 2 privind efectuarea inventarierii pentru identificarea porțiunilor din Sistemul Național de Transport care au fost abandonate sau dezafectate ca urmare a investițiilor efectuate la Sistemul Național de Transport în cadrul programelor de reabilitare, modernizare și dezvoltare realizate și transmiterea rezultatelor A</w:t>
      </w:r>
      <w:r w:rsidR="00354618">
        <w:rPr>
          <w:rFonts w:ascii="Arial" w:eastAsia="Calibri" w:hAnsi="Arial" w:cs="Arial"/>
          <w:bCs/>
          <w:sz w:val="22"/>
          <w:szCs w:val="22"/>
          <w:lang w:val="pt-BR"/>
        </w:rPr>
        <w:t>.</w:t>
      </w:r>
      <w:r w:rsidRPr="00022D5C">
        <w:rPr>
          <w:rFonts w:ascii="Arial" w:eastAsia="Calibri" w:hAnsi="Arial" w:cs="Arial"/>
          <w:bCs/>
          <w:sz w:val="22"/>
          <w:szCs w:val="22"/>
          <w:lang w:val="pt-BR"/>
        </w:rPr>
        <w:t>N</w:t>
      </w:r>
      <w:r w:rsidR="00354618">
        <w:rPr>
          <w:rFonts w:ascii="Arial" w:eastAsia="Calibri" w:hAnsi="Arial" w:cs="Arial"/>
          <w:bCs/>
          <w:sz w:val="22"/>
          <w:szCs w:val="22"/>
          <w:lang w:val="pt-BR"/>
        </w:rPr>
        <w:t>.</w:t>
      </w:r>
      <w:r w:rsidRPr="00022D5C">
        <w:rPr>
          <w:rFonts w:ascii="Arial" w:eastAsia="Calibri" w:hAnsi="Arial" w:cs="Arial"/>
          <w:bCs/>
          <w:sz w:val="22"/>
          <w:szCs w:val="22"/>
          <w:lang w:val="pt-BR"/>
        </w:rPr>
        <w:t>R</w:t>
      </w:r>
      <w:r w:rsidR="00354618">
        <w:rPr>
          <w:rFonts w:ascii="Arial" w:eastAsia="Calibri" w:hAnsi="Arial" w:cs="Arial"/>
          <w:bCs/>
          <w:sz w:val="22"/>
          <w:szCs w:val="22"/>
          <w:lang w:val="pt-BR"/>
        </w:rPr>
        <w:t>.</w:t>
      </w:r>
      <w:r w:rsidRPr="00022D5C">
        <w:rPr>
          <w:rFonts w:ascii="Arial" w:eastAsia="Calibri" w:hAnsi="Arial" w:cs="Arial"/>
          <w:bCs/>
          <w:sz w:val="22"/>
          <w:szCs w:val="22"/>
          <w:lang w:val="pt-BR"/>
        </w:rPr>
        <w:t>M</w:t>
      </w:r>
      <w:r w:rsidR="00354618">
        <w:rPr>
          <w:rFonts w:ascii="Arial" w:eastAsia="Calibri" w:hAnsi="Arial" w:cs="Arial"/>
          <w:bCs/>
          <w:sz w:val="22"/>
          <w:szCs w:val="22"/>
          <w:lang w:val="pt-BR"/>
        </w:rPr>
        <w:t>.</w:t>
      </w:r>
      <w:r w:rsidRPr="00022D5C">
        <w:rPr>
          <w:rFonts w:ascii="Arial" w:eastAsia="Calibri" w:hAnsi="Arial" w:cs="Arial"/>
          <w:bCs/>
          <w:sz w:val="22"/>
          <w:szCs w:val="22"/>
          <w:lang w:val="pt-BR"/>
        </w:rPr>
        <w:t xml:space="preserve"> pentru inițierea hotărârii de guvern pentru aprobarea trecerii din domeniul public al statului în domeniul privat al statului în vederea scoaterii lor din funcțiune. Reglementarea prin procedură internă a modului de scoatere din funcțiune, casare și valorificare a părților din Sistemul Național de Transport dezafectate urmare lucrărilor de reabilitare, modernizare și dezvoltare efectuate de concesionar;</w:t>
      </w:r>
    </w:p>
    <w:p w:rsidR="00C60341" w:rsidRPr="00022D5C" w:rsidRDefault="00C60341" w:rsidP="00170D7E">
      <w:pPr>
        <w:widowControl/>
        <w:numPr>
          <w:ilvl w:val="0"/>
          <w:numId w:val="44"/>
        </w:numPr>
        <w:autoSpaceDE/>
        <w:autoSpaceDN/>
        <w:adjustRightInd/>
        <w:jc w:val="both"/>
        <w:rPr>
          <w:rFonts w:ascii="Arial" w:eastAsia="Calibri" w:hAnsi="Arial" w:cs="Arial"/>
          <w:bCs/>
          <w:sz w:val="22"/>
          <w:szCs w:val="22"/>
          <w:lang w:val="pt-BR"/>
        </w:rPr>
      </w:pPr>
      <w:r w:rsidRPr="00022D5C">
        <w:rPr>
          <w:rFonts w:ascii="Arial" w:eastAsia="Calibri" w:hAnsi="Arial" w:cs="Arial"/>
          <w:bCs/>
          <w:sz w:val="22"/>
          <w:szCs w:val="22"/>
          <w:lang w:val="pt-BR"/>
        </w:rPr>
        <w:t>Măsura nr. 3 privind virarea sumei de 927.154,06 lei reprezentând venit la bugetul de stat din valorificarea materialului tubular rezultat din dezafectarea unor părți din activele corporale aparținând domeniului public al statulu</w:t>
      </w:r>
      <w:r w:rsidR="00354618">
        <w:rPr>
          <w:rFonts w:ascii="Arial" w:eastAsia="Calibri" w:hAnsi="Arial" w:cs="Arial"/>
          <w:bCs/>
          <w:sz w:val="22"/>
          <w:szCs w:val="22"/>
          <w:lang w:val="pt-BR"/>
        </w:rPr>
        <w:t>i, împreună cu dobânzile și penălitățile aferente</w:t>
      </w:r>
      <w:r w:rsidRPr="00022D5C">
        <w:rPr>
          <w:rFonts w:ascii="Arial" w:eastAsia="Calibri" w:hAnsi="Arial" w:cs="Arial"/>
          <w:bCs/>
          <w:sz w:val="22"/>
          <w:szCs w:val="22"/>
          <w:lang w:val="pt-BR"/>
        </w:rPr>
        <w:t>, actualizate la data plății. Extinderea verificărilor pentru identificarea tuturor sumelor nete rezultate din valorificarea meterialșelor aferente activelor corporale aparținând domeniului public al statului dezmembrate, dezafectate și virarea lor la buget, la valoarea actualizată.</w:t>
      </w:r>
    </w:p>
    <w:p w:rsidR="00C60341" w:rsidRPr="00022D5C" w:rsidRDefault="00C60341" w:rsidP="00C60341">
      <w:pPr>
        <w:jc w:val="both"/>
        <w:rPr>
          <w:rFonts w:ascii="Arial" w:eastAsia="Calibri" w:hAnsi="Arial" w:cs="Arial"/>
          <w:bCs/>
          <w:sz w:val="22"/>
          <w:szCs w:val="22"/>
          <w:lang w:val="pt-BR"/>
        </w:rPr>
      </w:pPr>
      <w:r w:rsidRPr="00022D5C">
        <w:rPr>
          <w:rFonts w:ascii="Arial" w:eastAsia="Calibri" w:hAnsi="Arial" w:cs="Arial"/>
          <w:bCs/>
          <w:sz w:val="22"/>
          <w:szCs w:val="22"/>
          <w:lang w:val="pt-BR"/>
        </w:rPr>
        <w:t xml:space="preserve">     3. Suspendarea măsurilor stabilite prin Decizia nr. 14/21.06.2017, emisă de Camera de Conturi Prahova, punctele nr. I.2 și I.3, respectiv măsurile 2 și 3 din aceasta până la soluționarea definitivă a cauzei.</w:t>
      </w:r>
    </w:p>
    <w:p w:rsidR="00C60341" w:rsidRPr="00022D5C" w:rsidRDefault="00C60341" w:rsidP="00C60341">
      <w:pPr>
        <w:jc w:val="both"/>
        <w:rPr>
          <w:rFonts w:ascii="Arial" w:eastAsia="Calibri" w:hAnsi="Arial" w:cs="Arial"/>
          <w:bCs/>
          <w:sz w:val="22"/>
          <w:szCs w:val="22"/>
          <w:lang w:val="pt-BR"/>
        </w:rPr>
      </w:pPr>
      <w:r w:rsidRPr="00022D5C">
        <w:rPr>
          <w:rFonts w:ascii="Arial" w:eastAsia="Calibri" w:hAnsi="Arial" w:cs="Arial"/>
          <w:b/>
          <w:bCs/>
          <w:sz w:val="22"/>
          <w:szCs w:val="22"/>
          <w:lang w:val="pt-BR"/>
        </w:rPr>
        <w:t>Precizări:</w:t>
      </w:r>
      <w:r w:rsidRPr="00022D5C">
        <w:rPr>
          <w:rFonts w:ascii="Arial" w:eastAsia="Calibri" w:hAnsi="Arial" w:cs="Arial"/>
          <w:bCs/>
          <w:sz w:val="22"/>
          <w:szCs w:val="22"/>
          <w:lang w:val="pt-BR"/>
        </w:rPr>
        <w:t xml:space="preserve"> Prin Încheierea din data de 23.02.2018 Tribunalul Prahova respinge cererea de suspendare a executării actului administrativ, ca neîntemeiată. Hotărârea a fost atacată cu recurs de Conpet S</w:t>
      </w:r>
      <w:r w:rsidR="00C964D5">
        <w:rPr>
          <w:rFonts w:ascii="Arial" w:eastAsia="Calibri" w:hAnsi="Arial" w:cs="Arial"/>
          <w:bCs/>
          <w:sz w:val="22"/>
          <w:szCs w:val="22"/>
          <w:lang w:val="pt-BR"/>
        </w:rPr>
        <w:t>.</w:t>
      </w:r>
      <w:r w:rsidRPr="00022D5C">
        <w:rPr>
          <w:rFonts w:ascii="Arial" w:eastAsia="Calibri" w:hAnsi="Arial" w:cs="Arial"/>
          <w:bCs/>
          <w:sz w:val="22"/>
          <w:szCs w:val="22"/>
          <w:lang w:val="pt-BR"/>
        </w:rPr>
        <w:t>A. Termenul pentru judecarea Recursului împotriva Încheierii din data de 23.02.2018 prin care Tribunalul Prahova a respins cererea de suspendare a executării actului administrativ: 06.09.2018</w:t>
      </w:r>
    </w:p>
    <w:p w:rsidR="00C60341" w:rsidRPr="00022D5C" w:rsidRDefault="00C60341" w:rsidP="00C60341">
      <w:pPr>
        <w:jc w:val="both"/>
        <w:rPr>
          <w:rFonts w:ascii="Arial" w:eastAsia="Calibri" w:hAnsi="Arial" w:cs="Arial"/>
          <w:bCs/>
          <w:sz w:val="22"/>
          <w:szCs w:val="22"/>
          <w:lang w:val="pt-BR"/>
        </w:rPr>
      </w:pPr>
      <w:r w:rsidRPr="00022D5C">
        <w:rPr>
          <w:rFonts w:ascii="Arial" w:eastAsia="Calibri" w:hAnsi="Arial" w:cs="Arial"/>
          <w:b/>
          <w:bCs/>
          <w:sz w:val="22"/>
          <w:szCs w:val="22"/>
          <w:lang w:val="pt-BR"/>
        </w:rPr>
        <w:t>Stadiu procesual</w:t>
      </w:r>
      <w:r w:rsidRPr="00022D5C">
        <w:rPr>
          <w:rFonts w:ascii="Arial" w:eastAsia="Calibri" w:hAnsi="Arial" w:cs="Arial"/>
          <w:bCs/>
          <w:sz w:val="22"/>
          <w:szCs w:val="22"/>
          <w:lang w:val="pt-BR"/>
        </w:rPr>
        <w:t>: Fond</w:t>
      </w:r>
    </w:p>
    <w:p w:rsidR="00C60341" w:rsidRPr="00022D5C" w:rsidRDefault="00C60341" w:rsidP="00C60341">
      <w:pPr>
        <w:jc w:val="both"/>
        <w:rPr>
          <w:rFonts w:ascii="Arial" w:eastAsia="Calibri" w:hAnsi="Arial" w:cs="Arial"/>
          <w:bCs/>
          <w:sz w:val="22"/>
          <w:szCs w:val="22"/>
          <w:lang w:val="pt-BR"/>
        </w:rPr>
      </w:pPr>
      <w:r w:rsidRPr="00022D5C">
        <w:rPr>
          <w:rFonts w:ascii="Arial" w:eastAsia="Calibri" w:hAnsi="Arial" w:cs="Arial"/>
          <w:b/>
          <w:bCs/>
          <w:sz w:val="22"/>
          <w:szCs w:val="22"/>
          <w:lang w:val="pt-BR"/>
        </w:rPr>
        <w:t>Termen:</w:t>
      </w:r>
      <w:r w:rsidR="005A1181">
        <w:rPr>
          <w:rFonts w:ascii="Arial" w:eastAsia="Calibri" w:hAnsi="Arial" w:cs="Arial"/>
          <w:bCs/>
          <w:sz w:val="22"/>
          <w:szCs w:val="22"/>
          <w:lang w:val="pt-BR"/>
        </w:rPr>
        <w:t xml:space="preserve"> 27.09.2018</w:t>
      </w:r>
    </w:p>
    <w:p w:rsidR="00C60341" w:rsidRPr="00022D5C" w:rsidRDefault="00C60341" w:rsidP="00C60341">
      <w:pPr>
        <w:jc w:val="both"/>
        <w:rPr>
          <w:rFonts w:ascii="Arial" w:eastAsia="Calibri" w:hAnsi="Arial" w:cs="Arial"/>
          <w:bCs/>
          <w:sz w:val="22"/>
          <w:szCs w:val="22"/>
          <w:lang w:val="pt-BR"/>
        </w:rPr>
      </w:pPr>
    </w:p>
    <w:p w:rsidR="00C60341" w:rsidRPr="00022D5C" w:rsidRDefault="00C60341" w:rsidP="00C60341">
      <w:pPr>
        <w:jc w:val="both"/>
        <w:rPr>
          <w:rFonts w:ascii="Arial" w:hAnsi="Arial" w:cs="Arial"/>
          <w:b/>
          <w:sz w:val="22"/>
          <w:szCs w:val="22"/>
          <w:lang w:val="it-IT"/>
        </w:rPr>
      </w:pPr>
      <w:r w:rsidRPr="00022D5C">
        <w:rPr>
          <w:rFonts w:ascii="Arial" w:hAnsi="Arial" w:cs="Arial"/>
          <w:b/>
          <w:sz w:val="22"/>
          <w:szCs w:val="22"/>
          <w:lang w:val="it-IT"/>
        </w:rPr>
        <w:t xml:space="preserve">33. Dosar nr. 19873/281/2017 – Judecătoria Ploiești </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Părți:</w:t>
      </w:r>
      <w:r w:rsidRPr="00022D5C">
        <w:rPr>
          <w:rFonts w:ascii="Arial" w:hAnsi="Arial" w:cs="Arial"/>
          <w:sz w:val="22"/>
          <w:szCs w:val="22"/>
          <w:lang w:val="it-IT"/>
        </w:rPr>
        <w:t xml:space="preserve"> </w:t>
      </w:r>
      <w:r w:rsidR="00C964D5">
        <w:rPr>
          <w:rFonts w:ascii="Arial" w:hAnsi="Arial" w:cs="Arial"/>
          <w:sz w:val="22"/>
          <w:szCs w:val="22"/>
          <w:lang w:val="it-IT"/>
        </w:rPr>
        <w:t xml:space="preserve"> </w:t>
      </w:r>
      <w:r w:rsidRPr="00022D5C">
        <w:rPr>
          <w:rFonts w:ascii="Arial" w:hAnsi="Arial" w:cs="Arial"/>
          <w:sz w:val="22"/>
          <w:szCs w:val="22"/>
          <w:lang w:val="it-IT"/>
        </w:rPr>
        <w:t>Conpet S</w:t>
      </w:r>
      <w:r w:rsidR="00C964D5">
        <w:rPr>
          <w:rFonts w:ascii="Arial" w:hAnsi="Arial" w:cs="Arial"/>
          <w:sz w:val="22"/>
          <w:szCs w:val="22"/>
          <w:lang w:val="it-IT"/>
        </w:rPr>
        <w:t>.</w:t>
      </w:r>
      <w:r w:rsidRPr="00022D5C">
        <w:rPr>
          <w:rFonts w:ascii="Arial" w:hAnsi="Arial" w:cs="Arial"/>
          <w:sz w:val="22"/>
          <w:szCs w:val="22"/>
          <w:lang w:val="it-IT"/>
        </w:rPr>
        <w:t>A</w:t>
      </w:r>
      <w:r w:rsidR="00C964D5">
        <w:rPr>
          <w:rFonts w:ascii="Arial" w:hAnsi="Arial" w:cs="Arial"/>
          <w:sz w:val="22"/>
          <w:szCs w:val="22"/>
          <w:lang w:val="it-IT"/>
        </w:rPr>
        <w:t>.</w:t>
      </w:r>
      <w:r w:rsidRPr="00022D5C">
        <w:rPr>
          <w:rFonts w:ascii="Arial" w:hAnsi="Arial" w:cs="Arial"/>
          <w:sz w:val="22"/>
          <w:szCs w:val="22"/>
          <w:lang w:val="it-IT"/>
        </w:rPr>
        <w:t xml:space="preserve"> – reclamant</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lang w:val="it-IT"/>
        </w:rPr>
        <w:t xml:space="preserve">           EURONET SRL – pârât</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Obiect:</w:t>
      </w:r>
      <w:r w:rsidRPr="00022D5C">
        <w:rPr>
          <w:rFonts w:ascii="Arial" w:hAnsi="Arial" w:cs="Arial"/>
          <w:sz w:val="22"/>
          <w:szCs w:val="22"/>
          <w:lang w:val="it-IT"/>
        </w:rPr>
        <w:t xml:space="preserve"> Pretenții. Conpet formulează cerere de chemare în judecată solicitând instanței să dispună:</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lang w:val="it-IT"/>
        </w:rPr>
        <w:t>- obligarea pârâtei la plata sumei de 17.400 lei reprezentând daune interese în cuantum de 20% din valoarea contractului;</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lang w:val="it-IT"/>
        </w:rPr>
        <w:lastRenderedPageBreak/>
        <w:t>- obligarea pârâtei la plata cheltuielilor de judecată</w:t>
      </w:r>
    </w:p>
    <w:p w:rsidR="00C60341" w:rsidRPr="00022D5C" w:rsidRDefault="00C60341" w:rsidP="00C60341">
      <w:pPr>
        <w:jc w:val="both"/>
        <w:rPr>
          <w:rFonts w:ascii="Arial" w:hAnsi="Arial" w:cs="Arial"/>
          <w:sz w:val="22"/>
          <w:szCs w:val="22"/>
        </w:rPr>
      </w:pPr>
      <w:r w:rsidRPr="00022D5C">
        <w:rPr>
          <w:rFonts w:ascii="Arial" w:hAnsi="Arial" w:cs="Arial"/>
          <w:b/>
          <w:sz w:val="22"/>
          <w:szCs w:val="22"/>
          <w:lang w:val="it-IT"/>
        </w:rPr>
        <w:t>Precizări:</w:t>
      </w:r>
      <w:r w:rsidRPr="00022D5C">
        <w:rPr>
          <w:rFonts w:ascii="Arial" w:hAnsi="Arial" w:cs="Arial"/>
          <w:sz w:val="22"/>
          <w:szCs w:val="22"/>
          <w:lang w:val="it-IT"/>
        </w:rPr>
        <w:t xml:space="preserve"> Prin </w:t>
      </w:r>
      <w:r w:rsidRPr="00022D5C">
        <w:rPr>
          <w:rFonts w:ascii="Arial" w:hAnsi="Arial" w:cs="Arial"/>
          <w:b/>
          <w:sz w:val="22"/>
          <w:szCs w:val="22"/>
          <w:lang w:val="it-IT"/>
        </w:rPr>
        <w:t xml:space="preserve">sentința nr. </w:t>
      </w:r>
      <w:r w:rsidRPr="00022D5C">
        <w:rPr>
          <w:rFonts w:ascii="Arial" w:hAnsi="Arial" w:cs="Arial"/>
          <w:b/>
          <w:sz w:val="22"/>
          <w:szCs w:val="22"/>
        </w:rPr>
        <w:t>269/19.01.2018</w:t>
      </w:r>
      <w:r w:rsidRPr="00022D5C">
        <w:rPr>
          <w:rFonts w:ascii="Arial" w:hAnsi="Arial" w:cs="Arial"/>
          <w:sz w:val="22"/>
          <w:szCs w:val="22"/>
        </w:rPr>
        <w:t xml:space="preserve"> Judecătoria Ploiești admite, în parte, cererea de chemare în judecată. Obligă pârâta să achite reclamantei suma de 13.050 lei, reprezentând daune interese conform contractului nr. S-CA-CD 75/09.03.2016. Obligă pârâta la plata către reclamantă a sumei de 732 lei, reprezentând cheltuieli de judecată, taxă judiciară de timbru. Hotărârea poate fi atacată cu apel după comunicare.</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Stadiu procesual:</w:t>
      </w:r>
      <w:r w:rsidRPr="00022D5C">
        <w:rPr>
          <w:rFonts w:ascii="Arial" w:hAnsi="Arial" w:cs="Arial"/>
          <w:sz w:val="22"/>
          <w:szCs w:val="22"/>
          <w:lang w:val="it-IT"/>
        </w:rPr>
        <w:t xml:space="preserve"> --</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Termen:</w:t>
      </w:r>
      <w:r w:rsidR="005A1181">
        <w:rPr>
          <w:rFonts w:ascii="Arial" w:hAnsi="Arial" w:cs="Arial"/>
          <w:sz w:val="22"/>
          <w:szCs w:val="22"/>
          <w:lang w:val="it-IT"/>
        </w:rPr>
        <w:t xml:space="preserve"> --</w:t>
      </w:r>
    </w:p>
    <w:p w:rsidR="00C60341" w:rsidRPr="00022D5C" w:rsidRDefault="00C60341" w:rsidP="00C60341">
      <w:pPr>
        <w:jc w:val="both"/>
        <w:rPr>
          <w:rFonts w:ascii="Arial" w:hAnsi="Arial" w:cs="Arial"/>
          <w:sz w:val="22"/>
          <w:szCs w:val="22"/>
          <w:lang w:val="it-IT"/>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lang w:val="it-IT"/>
        </w:rPr>
        <w:t xml:space="preserve">34. Dosar nr. </w:t>
      </w:r>
      <w:r w:rsidRPr="00022D5C">
        <w:rPr>
          <w:rFonts w:ascii="Arial" w:hAnsi="Arial" w:cs="Arial"/>
          <w:b/>
          <w:sz w:val="22"/>
          <w:szCs w:val="22"/>
        </w:rPr>
        <w:t xml:space="preserve">689/42/2017 – Curtea de Apel Ploiesti </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Părți:</w:t>
      </w:r>
      <w:r w:rsidRPr="00022D5C">
        <w:rPr>
          <w:rFonts w:ascii="Arial" w:hAnsi="Arial" w:cs="Arial"/>
          <w:sz w:val="22"/>
          <w:szCs w:val="22"/>
          <w:lang w:val="it-IT"/>
        </w:rPr>
        <w:t xml:space="preserve"> Conpet S</w:t>
      </w:r>
      <w:r w:rsidR="00C964D5">
        <w:rPr>
          <w:rFonts w:ascii="Arial" w:hAnsi="Arial" w:cs="Arial"/>
          <w:sz w:val="22"/>
          <w:szCs w:val="22"/>
          <w:lang w:val="it-IT"/>
        </w:rPr>
        <w:t>.</w:t>
      </w:r>
      <w:r w:rsidRPr="00022D5C">
        <w:rPr>
          <w:rFonts w:ascii="Arial" w:hAnsi="Arial" w:cs="Arial"/>
          <w:sz w:val="22"/>
          <w:szCs w:val="22"/>
          <w:lang w:val="it-IT"/>
        </w:rPr>
        <w:t>A</w:t>
      </w:r>
      <w:r w:rsidR="00C964D5">
        <w:rPr>
          <w:rFonts w:ascii="Arial" w:hAnsi="Arial" w:cs="Arial"/>
          <w:sz w:val="22"/>
          <w:szCs w:val="22"/>
          <w:lang w:val="it-IT"/>
        </w:rPr>
        <w:t>.</w:t>
      </w:r>
      <w:r w:rsidRPr="00022D5C">
        <w:rPr>
          <w:rFonts w:ascii="Arial" w:hAnsi="Arial" w:cs="Arial"/>
          <w:sz w:val="22"/>
          <w:szCs w:val="22"/>
          <w:lang w:val="it-IT"/>
        </w:rPr>
        <w:t xml:space="preserve"> – reclamant</w:t>
      </w:r>
    </w:p>
    <w:p w:rsidR="00C60341" w:rsidRPr="00022D5C" w:rsidRDefault="00C60341" w:rsidP="00C964D5">
      <w:pPr>
        <w:ind w:left="630"/>
        <w:jc w:val="both"/>
        <w:rPr>
          <w:rFonts w:ascii="Arial" w:hAnsi="Arial" w:cs="Arial"/>
          <w:sz w:val="22"/>
          <w:szCs w:val="22"/>
        </w:rPr>
      </w:pPr>
      <w:r w:rsidRPr="00022D5C">
        <w:rPr>
          <w:rFonts w:ascii="Arial" w:hAnsi="Arial" w:cs="Arial"/>
          <w:sz w:val="22"/>
          <w:szCs w:val="22"/>
        </w:rPr>
        <w:t xml:space="preserve">Agenția Națională de Administrare Fiscală - Direcția Generală de Soluționare a </w:t>
      </w:r>
      <w:r w:rsidR="00C964D5">
        <w:rPr>
          <w:rFonts w:ascii="Arial" w:hAnsi="Arial" w:cs="Arial"/>
          <w:sz w:val="22"/>
          <w:szCs w:val="22"/>
        </w:rPr>
        <w:t xml:space="preserve">   </w:t>
      </w:r>
      <w:r w:rsidRPr="00022D5C">
        <w:rPr>
          <w:rFonts w:ascii="Arial" w:hAnsi="Arial" w:cs="Arial"/>
          <w:sz w:val="22"/>
          <w:szCs w:val="22"/>
        </w:rPr>
        <w:t>Contestațiilor  - pârât</w:t>
      </w:r>
    </w:p>
    <w:p w:rsidR="00C60341" w:rsidRPr="00022D5C" w:rsidRDefault="00C60341" w:rsidP="00C964D5">
      <w:pPr>
        <w:ind w:left="630"/>
        <w:jc w:val="both"/>
        <w:rPr>
          <w:rFonts w:ascii="Arial" w:hAnsi="Arial" w:cs="Arial"/>
          <w:sz w:val="22"/>
          <w:szCs w:val="22"/>
        </w:rPr>
      </w:pPr>
      <w:r w:rsidRPr="00022D5C">
        <w:rPr>
          <w:rFonts w:ascii="Arial" w:hAnsi="Arial" w:cs="Arial"/>
          <w:sz w:val="22"/>
          <w:szCs w:val="22"/>
        </w:rPr>
        <w:t xml:space="preserve">Direcția Generală Regională a Finanțelor Publice Galați - Administrația Județeană a </w:t>
      </w:r>
      <w:r w:rsidR="00C964D5">
        <w:rPr>
          <w:rFonts w:ascii="Arial" w:hAnsi="Arial" w:cs="Arial"/>
          <w:sz w:val="22"/>
          <w:szCs w:val="22"/>
        </w:rPr>
        <w:t xml:space="preserve"> </w:t>
      </w:r>
      <w:r w:rsidRPr="00022D5C">
        <w:rPr>
          <w:rFonts w:ascii="Arial" w:hAnsi="Arial" w:cs="Arial"/>
          <w:sz w:val="22"/>
          <w:szCs w:val="22"/>
        </w:rPr>
        <w:t>Finanțelor Publice Buzău – pârât</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 Contestație act administrative fiscal</w:t>
      </w:r>
      <w:r w:rsidRPr="00022D5C">
        <w:rPr>
          <w:rFonts w:ascii="Arial" w:hAnsi="Arial" w:cs="Arial"/>
          <w:sz w:val="22"/>
          <w:szCs w:val="22"/>
        </w:rPr>
        <w:t>. Conpet S</w:t>
      </w:r>
      <w:r w:rsidR="00C964D5">
        <w:rPr>
          <w:rFonts w:ascii="Arial" w:hAnsi="Arial" w:cs="Arial"/>
          <w:sz w:val="22"/>
          <w:szCs w:val="22"/>
        </w:rPr>
        <w:t>.</w:t>
      </w:r>
      <w:r w:rsidRPr="00022D5C">
        <w:rPr>
          <w:rFonts w:ascii="Arial" w:hAnsi="Arial" w:cs="Arial"/>
          <w:sz w:val="22"/>
          <w:szCs w:val="22"/>
        </w:rPr>
        <w:t>A</w:t>
      </w:r>
      <w:r w:rsidR="00C964D5">
        <w:rPr>
          <w:rFonts w:ascii="Arial" w:hAnsi="Arial" w:cs="Arial"/>
          <w:sz w:val="22"/>
          <w:szCs w:val="22"/>
        </w:rPr>
        <w:t>.</w:t>
      </w:r>
      <w:r w:rsidRPr="00022D5C">
        <w:rPr>
          <w:rFonts w:ascii="Arial" w:hAnsi="Arial" w:cs="Arial"/>
          <w:sz w:val="22"/>
          <w:szCs w:val="22"/>
        </w:rPr>
        <w:t xml:space="preserve"> formulează cerere de chemare în judecată solicitând ca prin </w:t>
      </w:r>
      <w:r w:rsidRPr="00022D5C">
        <w:rPr>
          <w:rFonts w:ascii="Arial" w:hAnsi="Arial" w:cs="Arial"/>
          <w:bCs/>
          <w:sz w:val="22"/>
          <w:szCs w:val="22"/>
        </w:rPr>
        <w:t>hotărârea pe care o va pronunţa să dispună:</w:t>
      </w:r>
    </w:p>
    <w:p w:rsidR="00C60341" w:rsidRPr="00022D5C" w:rsidRDefault="00C60341" w:rsidP="00C60341">
      <w:pPr>
        <w:jc w:val="both"/>
        <w:rPr>
          <w:rFonts w:ascii="Arial" w:hAnsi="Arial" w:cs="Arial"/>
          <w:sz w:val="22"/>
          <w:szCs w:val="22"/>
          <w:lang w:val="fr-FR"/>
        </w:rPr>
      </w:pPr>
      <w:r w:rsidRPr="00022D5C">
        <w:rPr>
          <w:rFonts w:ascii="Arial" w:hAnsi="Arial" w:cs="Arial"/>
          <w:b/>
          <w:bCs/>
          <w:sz w:val="22"/>
          <w:szCs w:val="22"/>
          <w:lang w:val="pt-BR"/>
        </w:rPr>
        <w:t>1.</w:t>
      </w:r>
      <w:r w:rsidRPr="00022D5C">
        <w:rPr>
          <w:rFonts w:ascii="Arial" w:hAnsi="Arial" w:cs="Arial"/>
          <w:sz w:val="22"/>
          <w:szCs w:val="22"/>
          <w:lang w:val="pt-BR"/>
        </w:rPr>
        <w:t xml:space="preserve"> </w:t>
      </w:r>
      <w:r w:rsidRPr="00022D5C">
        <w:rPr>
          <w:rFonts w:ascii="Arial" w:hAnsi="Arial" w:cs="Arial"/>
          <w:b/>
          <w:bCs/>
          <w:sz w:val="22"/>
          <w:szCs w:val="22"/>
          <w:lang w:val="pt-BR"/>
        </w:rPr>
        <w:t>Anularea Deciziei nr. 114/06.04.2017</w:t>
      </w:r>
      <w:r w:rsidRPr="00022D5C">
        <w:rPr>
          <w:rFonts w:ascii="Arial" w:hAnsi="Arial" w:cs="Arial"/>
          <w:sz w:val="22"/>
          <w:szCs w:val="22"/>
          <w:lang w:val="pt-BR"/>
        </w:rPr>
        <w:t xml:space="preserve"> </w:t>
      </w:r>
      <w:r w:rsidRPr="00022D5C">
        <w:rPr>
          <w:rFonts w:ascii="Arial" w:hAnsi="Arial" w:cs="Arial"/>
          <w:sz w:val="22"/>
          <w:szCs w:val="22"/>
        </w:rPr>
        <w:t>emisă de ANAF – Direcția Generală de Soluționare a Contestațiilor;</w:t>
      </w:r>
    </w:p>
    <w:p w:rsidR="00C60341" w:rsidRPr="00022D5C" w:rsidRDefault="00C60341" w:rsidP="00C60341">
      <w:pPr>
        <w:jc w:val="both"/>
        <w:rPr>
          <w:rFonts w:ascii="Arial" w:hAnsi="Arial" w:cs="Arial"/>
          <w:sz w:val="22"/>
          <w:szCs w:val="22"/>
        </w:rPr>
      </w:pPr>
      <w:r w:rsidRPr="00022D5C">
        <w:rPr>
          <w:rFonts w:ascii="Arial" w:hAnsi="Arial" w:cs="Arial"/>
          <w:b/>
          <w:bCs/>
          <w:sz w:val="22"/>
          <w:szCs w:val="22"/>
          <w:lang w:val="fr-FR"/>
        </w:rPr>
        <w:t>2. Anularea Deciziei de Impunere nr. F-BZ 436/31.10.2016</w:t>
      </w:r>
      <w:r w:rsidRPr="00022D5C">
        <w:rPr>
          <w:rFonts w:ascii="Arial" w:hAnsi="Arial" w:cs="Arial"/>
          <w:sz w:val="22"/>
          <w:szCs w:val="22"/>
          <w:lang w:val="fr-FR"/>
        </w:rPr>
        <w:t xml:space="preserve">, privind obligațiile fiscale suplimentare de plată stabilite de inspecția fiscală pentru persoane juridice, emisă de </w:t>
      </w:r>
      <w:r w:rsidRPr="00022D5C">
        <w:rPr>
          <w:rFonts w:ascii="Arial" w:hAnsi="Arial" w:cs="Arial"/>
          <w:sz w:val="22"/>
          <w:szCs w:val="22"/>
        </w:rPr>
        <w:t>Direcția Generală Regională a Finanțelor Publice Galați - Administrația Județeană a Finanțelor Publice Buzău;</w:t>
      </w:r>
    </w:p>
    <w:p w:rsidR="00C60341" w:rsidRPr="00022D5C" w:rsidRDefault="00C60341" w:rsidP="00C60341">
      <w:pPr>
        <w:jc w:val="both"/>
        <w:rPr>
          <w:rFonts w:ascii="Arial" w:hAnsi="Arial" w:cs="Arial"/>
          <w:sz w:val="22"/>
          <w:szCs w:val="22"/>
          <w:lang w:val="fr-FR"/>
        </w:rPr>
      </w:pPr>
      <w:r w:rsidRPr="00022D5C">
        <w:rPr>
          <w:rFonts w:ascii="Arial" w:hAnsi="Arial" w:cs="Arial"/>
          <w:b/>
          <w:bCs/>
          <w:sz w:val="22"/>
          <w:szCs w:val="22"/>
        </w:rPr>
        <w:t xml:space="preserve">3. Anularea </w:t>
      </w:r>
      <w:r w:rsidRPr="00022D5C">
        <w:rPr>
          <w:rFonts w:ascii="Arial" w:hAnsi="Arial" w:cs="Arial"/>
          <w:b/>
          <w:bCs/>
          <w:sz w:val="22"/>
          <w:szCs w:val="22"/>
          <w:lang w:val="fr-FR"/>
        </w:rPr>
        <w:t>Raportului de Inspecție Fiscală nr. F-BZ 584/ 31.10.2016</w:t>
      </w:r>
      <w:r w:rsidRPr="00022D5C">
        <w:rPr>
          <w:rFonts w:ascii="Arial" w:hAnsi="Arial" w:cs="Arial"/>
          <w:sz w:val="22"/>
          <w:szCs w:val="22"/>
          <w:lang w:val="fr-FR"/>
        </w:rPr>
        <w:t>, încheiat de către inspectorii din cadrul Agenției Naționale de Administrare Fiscală – Direcția Generală Regională a Finanțelor Publice Galați - Administrația Județeană a Finanțelor P</w:t>
      </w:r>
      <w:r w:rsidR="00C964D5">
        <w:rPr>
          <w:rFonts w:ascii="Arial" w:hAnsi="Arial" w:cs="Arial"/>
          <w:sz w:val="22"/>
          <w:szCs w:val="22"/>
          <w:lang w:val="fr-FR"/>
        </w:rPr>
        <w:t>ublice Buzău - Serviciul Inspecț</w:t>
      </w:r>
      <w:r w:rsidRPr="00022D5C">
        <w:rPr>
          <w:rFonts w:ascii="Arial" w:hAnsi="Arial" w:cs="Arial"/>
          <w:sz w:val="22"/>
          <w:szCs w:val="22"/>
          <w:lang w:val="fr-FR"/>
        </w:rPr>
        <w:t>ie Fiscală.</w:t>
      </w:r>
    </w:p>
    <w:p w:rsidR="00C60341" w:rsidRPr="00022D5C" w:rsidRDefault="00C60341" w:rsidP="00C60341">
      <w:pPr>
        <w:jc w:val="both"/>
        <w:rPr>
          <w:rFonts w:ascii="Arial" w:hAnsi="Arial" w:cs="Arial"/>
          <w:sz w:val="22"/>
          <w:szCs w:val="22"/>
          <w:lang w:val="fr-FR"/>
        </w:rPr>
      </w:pPr>
      <w:r w:rsidRPr="00022D5C">
        <w:rPr>
          <w:rFonts w:ascii="Arial" w:hAnsi="Arial" w:cs="Arial"/>
          <w:b/>
          <w:sz w:val="22"/>
          <w:szCs w:val="22"/>
          <w:lang w:val="fr-FR"/>
        </w:rPr>
        <w:t>4.</w:t>
      </w:r>
      <w:r w:rsidRPr="00022D5C">
        <w:rPr>
          <w:rFonts w:ascii="Arial" w:hAnsi="Arial" w:cs="Arial"/>
          <w:sz w:val="22"/>
          <w:szCs w:val="22"/>
          <w:lang w:val="fr-FR"/>
        </w:rPr>
        <w:t xml:space="preserve"> Obligarea pârâților la plata cheltuielilor de judecată</w:t>
      </w:r>
    </w:p>
    <w:p w:rsidR="00C60341" w:rsidRPr="00022D5C" w:rsidRDefault="00C60341" w:rsidP="00C60341">
      <w:pPr>
        <w:jc w:val="both"/>
        <w:rPr>
          <w:rFonts w:ascii="Arial" w:hAnsi="Arial" w:cs="Arial"/>
          <w:b/>
          <w:sz w:val="22"/>
          <w:szCs w:val="22"/>
          <w:lang w:val="fr-FR"/>
        </w:rPr>
      </w:pPr>
      <w:r w:rsidRPr="00022D5C">
        <w:rPr>
          <w:rFonts w:ascii="Arial" w:hAnsi="Arial" w:cs="Arial"/>
          <w:b/>
          <w:sz w:val="22"/>
          <w:szCs w:val="22"/>
          <w:lang w:val="fr-FR"/>
        </w:rPr>
        <w:t>Precizări : --</w:t>
      </w:r>
    </w:p>
    <w:p w:rsidR="00C60341" w:rsidRPr="00022D5C" w:rsidRDefault="00C60341" w:rsidP="00C60341">
      <w:pPr>
        <w:jc w:val="both"/>
        <w:rPr>
          <w:rFonts w:ascii="Arial" w:hAnsi="Arial" w:cs="Arial"/>
          <w:sz w:val="22"/>
          <w:szCs w:val="22"/>
          <w:lang w:val="fr-FR"/>
        </w:rPr>
      </w:pPr>
      <w:r w:rsidRPr="00022D5C">
        <w:rPr>
          <w:rFonts w:ascii="Arial" w:hAnsi="Arial" w:cs="Arial"/>
          <w:b/>
          <w:sz w:val="22"/>
          <w:szCs w:val="22"/>
          <w:lang w:val="fr-FR"/>
        </w:rPr>
        <w:t>Stadiu procesual</w:t>
      </w:r>
      <w:r w:rsidRPr="00022D5C">
        <w:rPr>
          <w:rFonts w:ascii="Arial" w:hAnsi="Arial" w:cs="Arial"/>
          <w:sz w:val="22"/>
          <w:szCs w:val="22"/>
          <w:lang w:val="fr-FR"/>
        </w:rPr>
        <w:t> : Fond</w:t>
      </w:r>
    </w:p>
    <w:p w:rsidR="00C60341" w:rsidRPr="00022D5C" w:rsidRDefault="00C60341" w:rsidP="00C60341">
      <w:pPr>
        <w:jc w:val="both"/>
        <w:rPr>
          <w:rFonts w:ascii="Arial" w:hAnsi="Arial" w:cs="Arial"/>
          <w:sz w:val="22"/>
          <w:szCs w:val="22"/>
          <w:lang w:val="fr-FR"/>
        </w:rPr>
      </w:pPr>
      <w:r w:rsidRPr="00022D5C">
        <w:rPr>
          <w:rFonts w:ascii="Arial" w:hAnsi="Arial" w:cs="Arial"/>
          <w:b/>
          <w:sz w:val="22"/>
          <w:szCs w:val="22"/>
          <w:lang w:val="fr-FR"/>
        </w:rPr>
        <w:t>Termen :</w:t>
      </w:r>
      <w:r w:rsidRPr="00022D5C">
        <w:rPr>
          <w:rFonts w:ascii="Arial" w:hAnsi="Arial" w:cs="Arial"/>
          <w:sz w:val="22"/>
          <w:szCs w:val="22"/>
          <w:lang w:val="fr-FR"/>
        </w:rPr>
        <w:t xml:space="preserve"> 25.09.2018</w:t>
      </w:r>
    </w:p>
    <w:p w:rsidR="00C60341" w:rsidRPr="00022D5C" w:rsidRDefault="00C60341" w:rsidP="00C60341">
      <w:pPr>
        <w:jc w:val="both"/>
        <w:rPr>
          <w:rFonts w:ascii="Arial" w:hAnsi="Arial" w:cs="Arial"/>
          <w:color w:val="FF0000"/>
          <w:sz w:val="22"/>
          <w:szCs w:val="22"/>
          <w:lang w:val="fr-FR"/>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lang w:val="fr-FR"/>
        </w:rPr>
        <w:t xml:space="preserve">35. Dosar nr. </w:t>
      </w:r>
      <w:r w:rsidRPr="00022D5C">
        <w:rPr>
          <w:rFonts w:ascii="Arial" w:hAnsi="Arial" w:cs="Arial"/>
          <w:b/>
          <w:sz w:val="22"/>
          <w:szCs w:val="22"/>
        </w:rPr>
        <w:t xml:space="preserve">31709/212/2017 </w:t>
      </w:r>
      <w:r w:rsidRPr="00022D5C">
        <w:rPr>
          <w:rFonts w:ascii="Arial" w:hAnsi="Arial" w:cs="Arial"/>
          <w:b/>
          <w:sz w:val="22"/>
          <w:szCs w:val="22"/>
          <w:lang w:val="fr-FR"/>
        </w:rPr>
        <w:t>– Judec</w:t>
      </w:r>
      <w:r w:rsidRPr="00022D5C">
        <w:rPr>
          <w:rFonts w:ascii="Arial" w:hAnsi="Arial" w:cs="Arial"/>
          <w:b/>
          <w:sz w:val="22"/>
          <w:szCs w:val="22"/>
        </w:rPr>
        <w:t xml:space="preserve">ătoria Constanța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Conpet – petent</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SPIT Constanța – intimat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w:t>
      </w:r>
      <w:r w:rsidRPr="00022D5C">
        <w:rPr>
          <w:rFonts w:ascii="Arial" w:hAnsi="Arial" w:cs="Arial"/>
          <w:b/>
          <w:sz w:val="22"/>
          <w:szCs w:val="22"/>
        </w:rPr>
        <w:t>Plângere contravențională</w:t>
      </w:r>
      <w:r w:rsidRPr="00022D5C">
        <w:rPr>
          <w:rFonts w:ascii="Arial" w:hAnsi="Arial" w:cs="Arial"/>
          <w:sz w:val="22"/>
          <w:szCs w:val="22"/>
        </w:rPr>
        <w:t>. Conpet formulează plângere contravențională împotriva procesului verbal de constatare și sancționare a contravenției nr. EPJ0001652 din 16.10.2017 încheiat de Serviciul Public de Impozite și Taxe Constanța solicitând admiterea plângerii, anularea procesului verbal și exonerarea societății noastre de la plata amenzii (1.500 lei), iar în subsidiar înlocuirea amenzii cu sancțiunea avertisment.</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Precizări: </w:t>
      </w:r>
      <w:r w:rsidRPr="00022D5C">
        <w:rPr>
          <w:rFonts w:ascii="Arial" w:hAnsi="Arial" w:cs="Arial"/>
          <w:sz w:val="22"/>
          <w:szCs w:val="22"/>
        </w:rPr>
        <w:t xml:space="preserve">Prin </w:t>
      </w:r>
      <w:r w:rsidRPr="00022D5C">
        <w:rPr>
          <w:rFonts w:ascii="Arial" w:hAnsi="Arial" w:cs="Arial"/>
          <w:b/>
          <w:sz w:val="22"/>
          <w:szCs w:val="22"/>
        </w:rPr>
        <w:t>Incheierea din 20.03.2018</w:t>
      </w:r>
      <w:r w:rsidRPr="00022D5C">
        <w:rPr>
          <w:rFonts w:ascii="Arial" w:hAnsi="Arial" w:cs="Arial"/>
          <w:sz w:val="22"/>
          <w:szCs w:val="22"/>
        </w:rPr>
        <w:t xml:space="preserve"> Judecătoria Constanța suspendă, până la soluţionarea definitivă a dosarelor nr. 2768/118/2017 şi nr. 4323/118/2017 - aflate pe rolul Tribunalului Constanţa, judecarea plângerii contravenţionale. Încheierea a fost atacată cu recurs de SPIT Constanța. Termen recurs: 05.09.2018</w:t>
      </w:r>
    </w:p>
    <w:p w:rsidR="00C60341" w:rsidRPr="00022D5C" w:rsidRDefault="00C60341" w:rsidP="00C60341">
      <w:pPr>
        <w:jc w:val="both"/>
        <w:rPr>
          <w:rFonts w:ascii="Arial" w:hAnsi="Arial" w:cs="Arial"/>
          <w:sz w:val="22"/>
          <w:szCs w:val="22"/>
        </w:rPr>
      </w:pPr>
      <w:r w:rsidRPr="00022D5C">
        <w:rPr>
          <w:rFonts w:ascii="Arial" w:hAnsi="Arial" w:cs="Arial"/>
          <w:b/>
          <w:sz w:val="22"/>
          <w:szCs w:val="22"/>
        </w:rPr>
        <w:t>Stadiu procesual:</w:t>
      </w:r>
      <w:r w:rsidRPr="00022D5C">
        <w:rPr>
          <w:rFonts w:ascii="Arial" w:hAnsi="Arial" w:cs="Arial"/>
          <w:sz w:val="22"/>
          <w:szCs w:val="22"/>
        </w:rPr>
        <w:t xml:space="preserve"> Fond - Suspendat</w:t>
      </w:r>
    </w:p>
    <w:p w:rsidR="00C60341" w:rsidRPr="005A1181" w:rsidRDefault="00C60341" w:rsidP="00C60341">
      <w:pPr>
        <w:jc w:val="both"/>
        <w:rPr>
          <w:rFonts w:ascii="Arial" w:hAnsi="Arial" w:cs="Arial"/>
          <w:b/>
          <w:sz w:val="22"/>
          <w:szCs w:val="22"/>
        </w:rPr>
      </w:pPr>
      <w:r w:rsidRPr="00022D5C">
        <w:rPr>
          <w:rFonts w:ascii="Arial" w:hAnsi="Arial" w:cs="Arial"/>
          <w:b/>
          <w:sz w:val="22"/>
          <w:szCs w:val="22"/>
        </w:rPr>
        <w:t xml:space="preserve">Termen: </w:t>
      </w:r>
      <w:r w:rsidRPr="00022D5C">
        <w:rPr>
          <w:rFonts w:ascii="Arial" w:hAnsi="Arial" w:cs="Arial"/>
          <w:sz w:val="22"/>
          <w:szCs w:val="22"/>
        </w:rPr>
        <w:t>--</w:t>
      </w:r>
    </w:p>
    <w:p w:rsidR="00C60341" w:rsidRPr="00022D5C" w:rsidRDefault="00C60341" w:rsidP="00C60341">
      <w:pPr>
        <w:jc w:val="both"/>
        <w:rPr>
          <w:rFonts w:ascii="Arial" w:hAnsi="Arial" w:cs="Arial"/>
          <w:sz w:val="22"/>
          <w:szCs w:val="22"/>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rPr>
        <w:t xml:space="preserve">36. Dosar nr. 23166/281/2017 – Judecătoria Ploiești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w:t>
      </w:r>
      <w:r w:rsidR="00C964D5">
        <w:rPr>
          <w:rFonts w:ascii="Arial" w:hAnsi="Arial" w:cs="Arial"/>
          <w:sz w:val="22"/>
          <w:szCs w:val="22"/>
        </w:rPr>
        <w:t xml:space="preserve"> </w:t>
      </w:r>
      <w:r w:rsidRPr="00022D5C">
        <w:rPr>
          <w:rFonts w:ascii="Arial" w:hAnsi="Arial" w:cs="Arial"/>
          <w:sz w:val="22"/>
          <w:szCs w:val="22"/>
        </w:rPr>
        <w:t>Conpet S</w:t>
      </w:r>
      <w:r w:rsidR="00C964D5">
        <w:rPr>
          <w:rFonts w:ascii="Arial" w:hAnsi="Arial" w:cs="Arial"/>
          <w:sz w:val="22"/>
          <w:szCs w:val="22"/>
        </w:rPr>
        <w:t>.</w:t>
      </w:r>
      <w:r w:rsidRPr="00022D5C">
        <w:rPr>
          <w:rFonts w:ascii="Arial" w:hAnsi="Arial" w:cs="Arial"/>
          <w:sz w:val="22"/>
          <w:szCs w:val="22"/>
        </w:rPr>
        <w:t>A</w:t>
      </w:r>
      <w:r w:rsidR="00C964D5">
        <w:rPr>
          <w:rFonts w:ascii="Arial" w:hAnsi="Arial" w:cs="Arial"/>
          <w:sz w:val="22"/>
          <w:szCs w:val="22"/>
        </w:rPr>
        <w:t>.</w:t>
      </w:r>
      <w:r w:rsidRPr="00022D5C">
        <w:rPr>
          <w:rFonts w:ascii="Arial" w:hAnsi="Arial" w:cs="Arial"/>
          <w:sz w:val="22"/>
          <w:szCs w:val="22"/>
        </w:rPr>
        <w:t xml:space="preserve"> – contestator</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Dobrogeanu Dumitru – intimat</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BEJ Goslan și Stîngă - intimat</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w:t>
      </w:r>
      <w:r w:rsidRPr="00022D5C">
        <w:rPr>
          <w:rFonts w:ascii="Arial" w:hAnsi="Arial" w:cs="Arial"/>
          <w:b/>
          <w:sz w:val="22"/>
          <w:szCs w:val="22"/>
        </w:rPr>
        <w:t>Întoarcere executare</w:t>
      </w:r>
      <w:r w:rsidRPr="00022D5C">
        <w:rPr>
          <w:rFonts w:ascii="Arial" w:hAnsi="Arial" w:cs="Arial"/>
          <w:sz w:val="22"/>
          <w:szCs w:val="22"/>
        </w:rPr>
        <w:t xml:space="preserve">. Conpet formulează cerere de chemare în judecată și solicită instanței, ca prin hotărârea ce o va pronunța să dispună întoarcerea executării silite efectuate în temeiul titlului executoriu reprezentat de decizia nr. 669 din 20.12.2011 a Tribunalului Pahova în dosarul de executare nr.771/2012 al B.E.J. Goslan Mihai, prin restabilirea în parte a situației anterioare executării, în sensul obligării pârâtului  DOBROGEANU DUMITRU (în temeiul art. 723 </w:t>
      </w:r>
      <w:r w:rsidRPr="00022D5C">
        <w:rPr>
          <w:rFonts w:ascii="Arial" w:hAnsi="Arial" w:cs="Arial"/>
          <w:sz w:val="22"/>
          <w:szCs w:val="22"/>
        </w:rPr>
        <w:lastRenderedPageBreak/>
        <w:t>Cod Proc Civ) la plata următoarelor sume:</w:t>
      </w:r>
    </w:p>
    <w:p w:rsidR="00C60341" w:rsidRPr="00022D5C" w:rsidRDefault="00C60341" w:rsidP="00C60341">
      <w:pPr>
        <w:jc w:val="both"/>
        <w:rPr>
          <w:rFonts w:ascii="Arial" w:hAnsi="Arial" w:cs="Arial"/>
          <w:sz w:val="22"/>
          <w:szCs w:val="22"/>
        </w:rPr>
      </w:pPr>
      <w:r w:rsidRPr="00022D5C">
        <w:rPr>
          <w:rFonts w:ascii="Arial" w:hAnsi="Arial" w:cs="Arial"/>
          <w:sz w:val="22"/>
          <w:szCs w:val="22"/>
        </w:rPr>
        <w:t>- 96.698,02 lei reprezentând suma încasată necuvenit de către pârât în dosarul de executare nr.771/2012 cu titlu de lipsă de folosința actualizată pentru perioada 03.11.2006 – 15.08.2012, actualizată cu indicele de inflație în peri</w:t>
      </w:r>
      <w:r w:rsidR="00C964D5">
        <w:rPr>
          <w:rFonts w:ascii="Arial" w:hAnsi="Arial" w:cs="Arial"/>
          <w:sz w:val="22"/>
          <w:szCs w:val="22"/>
        </w:rPr>
        <w:t>oada 20.12.2011 – 15.08.2012; (</w:t>
      </w:r>
      <w:r w:rsidRPr="00022D5C">
        <w:rPr>
          <w:rFonts w:ascii="Arial" w:hAnsi="Arial" w:cs="Arial"/>
          <w:sz w:val="22"/>
          <w:szCs w:val="22"/>
        </w:rPr>
        <w:t>377</w:t>
      </w:r>
      <w:r w:rsidR="00C964D5">
        <w:rPr>
          <w:rFonts w:ascii="Arial" w:hAnsi="Arial" w:cs="Arial"/>
          <w:sz w:val="22"/>
          <w:szCs w:val="22"/>
        </w:rPr>
        <w:t>.</w:t>
      </w:r>
      <w:r w:rsidRPr="00022D5C">
        <w:rPr>
          <w:rFonts w:ascii="Arial" w:hAnsi="Arial" w:cs="Arial"/>
          <w:sz w:val="22"/>
          <w:szCs w:val="22"/>
        </w:rPr>
        <w:t>906 lei raport expertiza Stoica Sever  așa cum i s-a plătit de executor prin PV eliberare sume  din 04.10.2012– 281</w:t>
      </w:r>
      <w:r w:rsidR="00C964D5">
        <w:rPr>
          <w:rFonts w:ascii="Arial" w:hAnsi="Arial" w:cs="Arial"/>
          <w:sz w:val="22"/>
          <w:szCs w:val="22"/>
        </w:rPr>
        <w:t>.</w:t>
      </w:r>
      <w:r w:rsidRPr="00022D5C">
        <w:rPr>
          <w:rFonts w:ascii="Arial" w:hAnsi="Arial" w:cs="Arial"/>
          <w:sz w:val="22"/>
          <w:szCs w:val="22"/>
        </w:rPr>
        <w:t>207.98 lei raport Anton Petre = 96</w:t>
      </w:r>
      <w:r w:rsidR="00C964D5">
        <w:rPr>
          <w:rFonts w:ascii="Arial" w:hAnsi="Arial" w:cs="Arial"/>
          <w:sz w:val="22"/>
          <w:szCs w:val="22"/>
        </w:rPr>
        <w:t>.</w:t>
      </w:r>
      <w:r w:rsidRPr="00022D5C">
        <w:rPr>
          <w:rFonts w:ascii="Arial" w:hAnsi="Arial" w:cs="Arial"/>
          <w:sz w:val="22"/>
          <w:szCs w:val="22"/>
        </w:rPr>
        <w:t>698,02)</w:t>
      </w:r>
    </w:p>
    <w:p w:rsidR="00C60341" w:rsidRPr="00022D5C" w:rsidRDefault="00C60341" w:rsidP="00C60341">
      <w:pPr>
        <w:jc w:val="both"/>
        <w:rPr>
          <w:rFonts w:ascii="Arial" w:hAnsi="Arial" w:cs="Arial"/>
          <w:sz w:val="22"/>
          <w:szCs w:val="22"/>
        </w:rPr>
      </w:pPr>
      <w:r w:rsidRPr="00022D5C">
        <w:rPr>
          <w:rFonts w:ascii="Arial" w:hAnsi="Arial" w:cs="Arial"/>
          <w:sz w:val="22"/>
          <w:szCs w:val="22"/>
        </w:rPr>
        <w:t>-</w:t>
      </w:r>
      <w:r w:rsidR="00C964D5">
        <w:rPr>
          <w:rFonts w:ascii="Arial" w:hAnsi="Arial" w:cs="Arial"/>
          <w:sz w:val="22"/>
          <w:szCs w:val="22"/>
        </w:rPr>
        <w:t xml:space="preserve"> </w:t>
      </w:r>
      <w:r w:rsidRPr="00022D5C">
        <w:rPr>
          <w:rFonts w:ascii="Arial" w:hAnsi="Arial" w:cs="Arial"/>
          <w:sz w:val="22"/>
          <w:szCs w:val="22"/>
        </w:rPr>
        <w:t>3.500 lei reprezentând suma încasată necuvenit cu titlu de cheltuieli (onorariu de avocat).</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- 2.000 lei  reprezentând suma transferată necuvenit în contul expertului Stoica Sever </w:t>
      </w:r>
    </w:p>
    <w:p w:rsidR="00C60341" w:rsidRPr="00022D5C" w:rsidRDefault="00C60341" w:rsidP="00C60341">
      <w:pPr>
        <w:jc w:val="both"/>
        <w:rPr>
          <w:rFonts w:ascii="Arial" w:hAnsi="Arial" w:cs="Arial"/>
          <w:sz w:val="22"/>
          <w:szCs w:val="22"/>
        </w:rPr>
      </w:pPr>
      <w:r w:rsidRPr="00022D5C">
        <w:rPr>
          <w:rFonts w:ascii="Arial" w:hAnsi="Arial" w:cs="Arial"/>
          <w:sz w:val="22"/>
          <w:szCs w:val="22"/>
        </w:rPr>
        <w:t>-</w:t>
      </w:r>
      <w:r w:rsidR="00C964D5">
        <w:rPr>
          <w:rFonts w:ascii="Arial" w:hAnsi="Arial" w:cs="Arial"/>
          <w:sz w:val="22"/>
          <w:szCs w:val="22"/>
        </w:rPr>
        <w:t xml:space="preserve"> </w:t>
      </w:r>
      <w:r w:rsidRPr="00022D5C">
        <w:rPr>
          <w:rFonts w:ascii="Arial" w:hAnsi="Arial" w:cs="Arial"/>
          <w:sz w:val="22"/>
          <w:szCs w:val="22"/>
        </w:rPr>
        <w:t>1.000 lei cheltuieli de judecată</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- 1.822,32 lei reprezentând onorariu încasat necuvenit de către Biroul Executorului Judecătoresc  Mihai Goslan   </w:t>
      </w:r>
    </w:p>
    <w:p w:rsidR="00C60341" w:rsidRPr="00022D5C" w:rsidRDefault="00C60341" w:rsidP="00C60341">
      <w:pPr>
        <w:jc w:val="both"/>
        <w:rPr>
          <w:rFonts w:ascii="Arial" w:hAnsi="Arial" w:cs="Arial"/>
          <w:sz w:val="22"/>
          <w:szCs w:val="22"/>
        </w:rPr>
      </w:pPr>
      <w:r w:rsidRPr="00022D5C">
        <w:rPr>
          <w:rFonts w:ascii="Arial" w:hAnsi="Arial" w:cs="Arial"/>
          <w:sz w:val="22"/>
          <w:szCs w:val="22"/>
        </w:rPr>
        <w:t>În subsidiar, obligarea BEJ  Mihai Goslan  la plata urmatoarelor sume :</w:t>
      </w:r>
    </w:p>
    <w:p w:rsidR="00C60341" w:rsidRPr="00022D5C" w:rsidRDefault="00C60341" w:rsidP="00C60341">
      <w:pPr>
        <w:jc w:val="both"/>
        <w:rPr>
          <w:rFonts w:ascii="Arial" w:hAnsi="Arial" w:cs="Arial"/>
          <w:sz w:val="22"/>
          <w:szCs w:val="22"/>
        </w:rPr>
      </w:pPr>
      <w:r w:rsidRPr="00022D5C">
        <w:rPr>
          <w:rFonts w:ascii="Arial" w:hAnsi="Arial" w:cs="Arial"/>
          <w:sz w:val="22"/>
          <w:szCs w:val="22"/>
        </w:rPr>
        <w:t>- 1.822,32 lei reprezentând onorariu încasat necuvenit</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- 2.000 lei  reprezentând suma transferata necuvenit în contul expertului Stoica Sever </w:t>
      </w:r>
    </w:p>
    <w:p w:rsidR="00C60341" w:rsidRPr="00022D5C" w:rsidRDefault="00C60341" w:rsidP="00C60341">
      <w:pPr>
        <w:jc w:val="both"/>
        <w:rPr>
          <w:rFonts w:ascii="Arial" w:hAnsi="Arial" w:cs="Arial"/>
          <w:sz w:val="22"/>
          <w:szCs w:val="22"/>
        </w:rPr>
      </w:pPr>
      <w:r w:rsidRPr="00022D5C">
        <w:rPr>
          <w:rFonts w:ascii="Arial" w:hAnsi="Arial" w:cs="Arial"/>
          <w:sz w:val="22"/>
          <w:szCs w:val="22"/>
        </w:rPr>
        <w:t>De asemenea, solicită actualizarea cu dobânda legală a sumelor de  96.698,02 lei, 3.500 lei, 2.000 lei si 1.822,32  începand cu data de 04.10.2012 (data întocmirii procesului verbal de eliberare sume în dosar de executare nr.771/2012) la zi și în continuare pâna la data plații efective.</w:t>
      </w:r>
    </w:p>
    <w:p w:rsidR="00C60341" w:rsidRPr="00022D5C" w:rsidRDefault="00C60341" w:rsidP="00C60341">
      <w:pPr>
        <w:jc w:val="both"/>
        <w:rPr>
          <w:rFonts w:ascii="Arial" w:hAnsi="Arial" w:cs="Arial"/>
          <w:sz w:val="22"/>
          <w:szCs w:val="22"/>
        </w:rPr>
      </w:pPr>
      <w:r w:rsidRPr="00022D5C">
        <w:rPr>
          <w:rFonts w:ascii="Arial" w:hAnsi="Arial" w:cs="Arial"/>
          <w:sz w:val="22"/>
          <w:szCs w:val="22"/>
        </w:rPr>
        <w:t>Cu cheltuieli de judecata.</w:t>
      </w:r>
    </w:p>
    <w:p w:rsidR="00C60341" w:rsidRPr="00022D5C" w:rsidRDefault="00C60341" w:rsidP="00C60341">
      <w:pPr>
        <w:jc w:val="both"/>
        <w:rPr>
          <w:rFonts w:ascii="Arial" w:hAnsi="Arial" w:cs="Arial"/>
          <w:b/>
          <w:sz w:val="22"/>
          <w:szCs w:val="22"/>
        </w:rPr>
      </w:pPr>
      <w:r w:rsidRPr="00022D5C">
        <w:rPr>
          <w:rFonts w:ascii="Arial" w:hAnsi="Arial" w:cs="Arial"/>
          <w:b/>
          <w:sz w:val="22"/>
          <w:szCs w:val="22"/>
        </w:rPr>
        <w:t>Precizări:</w:t>
      </w:r>
      <w:r w:rsidR="00C964D5">
        <w:rPr>
          <w:rFonts w:ascii="Arial" w:hAnsi="Arial" w:cs="Arial"/>
          <w:b/>
          <w:sz w:val="22"/>
          <w:szCs w:val="22"/>
        </w:rPr>
        <w:t>--</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Stadiu processual: </w:t>
      </w:r>
      <w:r w:rsidRPr="00022D5C">
        <w:rPr>
          <w:rFonts w:ascii="Arial" w:hAnsi="Arial" w:cs="Arial"/>
          <w:sz w:val="22"/>
          <w:szCs w:val="22"/>
        </w:rPr>
        <w:t>Fond</w:t>
      </w:r>
    </w:p>
    <w:p w:rsidR="00C60341" w:rsidRPr="00022D5C" w:rsidRDefault="00C60341" w:rsidP="00C60341">
      <w:pPr>
        <w:jc w:val="both"/>
        <w:rPr>
          <w:rFonts w:ascii="Arial" w:hAnsi="Arial" w:cs="Arial"/>
          <w:sz w:val="22"/>
          <w:szCs w:val="22"/>
        </w:rPr>
      </w:pPr>
      <w:r w:rsidRPr="00022D5C">
        <w:rPr>
          <w:rFonts w:ascii="Arial" w:hAnsi="Arial" w:cs="Arial"/>
          <w:b/>
          <w:sz w:val="22"/>
          <w:szCs w:val="22"/>
        </w:rPr>
        <w:t>Termen:</w:t>
      </w:r>
      <w:r w:rsidRPr="00022D5C">
        <w:rPr>
          <w:rFonts w:ascii="Arial" w:hAnsi="Arial" w:cs="Arial"/>
          <w:sz w:val="22"/>
          <w:szCs w:val="22"/>
        </w:rPr>
        <w:t xml:space="preserve"> </w:t>
      </w:r>
      <w:r w:rsidR="005A1181">
        <w:rPr>
          <w:rFonts w:ascii="Arial" w:hAnsi="Arial" w:cs="Arial"/>
          <w:sz w:val="22"/>
          <w:szCs w:val="22"/>
        </w:rPr>
        <w:t>Amână pronunțarea la 09.07.2018</w:t>
      </w:r>
    </w:p>
    <w:p w:rsidR="00C60341" w:rsidRPr="00022D5C" w:rsidRDefault="00C60341" w:rsidP="00C60341">
      <w:pPr>
        <w:jc w:val="both"/>
        <w:rPr>
          <w:rFonts w:ascii="Arial" w:hAnsi="Arial" w:cs="Arial"/>
          <w:sz w:val="22"/>
          <w:szCs w:val="22"/>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rPr>
        <w:t xml:space="preserve">37. Dosar nr. 23486/281/2017 – Judecătoria Ploiești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Conpet SA – reclamant</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Consultanță pentru Infrastructuri terestre CONSIT SA</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Pretenții. Conpet formușlează cerere de chemare în judecată a </w:t>
      </w:r>
      <w:r w:rsidRPr="00022D5C">
        <w:rPr>
          <w:rFonts w:ascii="Arial" w:hAnsi="Arial" w:cs="Arial"/>
          <w:sz w:val="22"/>
          <w:szCs w:val="22"/>
          <w:lang w:val="it-IT"/>
        </w:rPr>
        <w:t xml:space="preserve">pârâtei CONSULTANȚA PENTRU INFRASTRUCTURI TERESTRE CONSIT S.A. solicitând instanței ca </w:t>
      </w:r>
      <w:r w:rsidRPr="00022D5C">
        <w:rPr>
          <w:rFonts w:ascii="Arial" w:hAnsi="Arial" w:cs="Arial"/>
          <w:sz w:val="22"/>
          <w:szCs w:val="22"/>
        </w:rPr>
        <w:t>prin hotărârea ce o va pronunța să oblige pârata la plata urmatoarelor sume:</w:t>
      </w:r>
    </w:p>
    <w:p w:rsidR="00C60341" w:rsidRPr="00022D5C" w:rsidRDefault="00C60341" w:rsidP="00C60341">
      <w:pPr>
        <w:jc w:val="both"/>
        <w:rPr>
          <w:rFonts w:ascii="Arial" w:hAnsi="Arial" w:cs="Arial"/>
          <w:sz w:val="22"/>
          <w:szCs w:val="22"/>
        </w:rPr>
      </w:pPr>
      <w:r w:rsidRPr="00022D5C">
        <w:rPr>
          <w:rFonts w:ascii="Arial" w:hAnsi="Arial" w:cs="Arial"/>
          <w:bCs/>
          <w:sz w:val="22"/>
          <w:szCs w:val="22"/>
        </w:rPr>
        <w:t>-  2700 lei</w:t>
      </w:r>
      <w:r w:rsidRPr="00022D5C">
        <w:rPr>
          <w:rFonts w:ascii="Arial" w:hAnsi="Arial" w:cs="Arial"/>
          <w:sz w:val="22"/>
          <w:szCs w:val="22"/>
        </w:rPr>
        <w:t xml:space="preserve"> reprezentând  daune interese conform prevederilor art. 17.3 din  Contractul nr.S-CA 85/21.03.2016 comunicate prin notificarea de reziliere nr.21580/30.05.2017;</w:t>
      </w:r>
    </w:p>
    <w:p w:rsidR="00C60341" w:rsidRPr="00022D5C" w:rsidRDefault="00C60341" w:rsidP="00C60341">
      <w:pPr>
        <w:jc w:val="both"/>
        <w:rPr>
          <w:rFonts w:ascii="Arial" w:hAnsi="Arial" w:cs="Arial"/>
          <w:sz w:val="22"/>
          <w:szCs w:val="22"/>
        </w:rPr>
      </w:pPr>
      <w:r w:rsidRPr="00022D5C">
        <w:rPr>
          <w:rFonts w:ascii="Arial" w:hAnsi="Arial" w:cs="Arial"/>
          <w:bCs/>
          <w:sz w:val="22"/>
          <w:szCs w:val="22"/>
        </w:rPr>
        <w:t>-  14.715 lei</w:t>
      </w:r>
      <w:r w:rsidRPr="00022D5C">
        <w:rPr>
          <w:rFonts w:ascii="Arial" w:hAnsi="Arial" w:cs="Arial"/>
          <w:sz w:val="22"/>
          <w:szCs w:val="22"/>
        </w:rPr>
        <w:t xml:space="preserve"> reprezentând penalitați de întarziere, potrivit Contractului nr.S-CA 85/21.03.2016 calculate pâna la data de 07.06.2017 data rezilierii contractului.                                                 </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 cheltuieli de judecată.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Precizări:</w:t>
      </w:r>
      <w:r w:rsidRPr="00022D5C">
        <w:rPr>
          <w:rFonts w:ascii="Arial" w:hAnsi="Arial" w:cs="Arial"/>
          <w:sz w:val="22"/>
          <w:szCs w:val="22"/>
        </w:rPr>
        <w:t xml:space="preserve"> --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Stadiu procesual:</w:t>
      </w:r>
      <w:r w:rsidRPr="00022D5C">
        <w:rPr>
          <w:rFonts w:ascii="Arial" w:hAnsi="Arial" w:cs="Arial"/>
          <w:sz w:val="22"/>
          <w:szCs w:val="22"/>
        </w:rPr>
        <w:t xml:space="preserve"> Fond</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Termen: </w:t>
      </w:r>
      <w:r w:rsidRPr="00022D5C">
        <w:rPr>
          <w:rFonts w:ascii="Arial" w:hAnsi="Arial" w:cs="Arial"/>
          <w:sz w:val="22"/>
          <w:szCs w:val="22"/>
        </w:rPr>
        <w:t>14.09.2018</w:t>
      </w:r>
    </w:p>
    <w:p w:rsidR="00C60341" w:rsidRPr="00022D5C" w:rsidRDefault="00C60341" w:rsidP="00C60341">
      <w:pPr>
        <w:jc w:val="both"/>
        <w:rPr>
          <w:rFonts w:ascii="Arial" w:hAnsi="Arial" w:cs="Arial"/>
          <w:sz w:val="22"/>
          <w:szCs w:val="22"/>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rPr>
        <w:t xml:space="preserve">38. Dosar nr. 9696/315/2017 – Judecătoria Târgoviște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Conpet SA – reclamant</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Crețu Cătălin – pârât </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Crețu Gheorghe – pârât </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Niță Ionuț – Bogdan – pârât  </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Roman Lucian – Marin – pârât </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Vasile Andrei – pârât </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Dumitrică Aurelian – pârât </w:t>
      </w:r>
    </w:p>
    <w:p w:rsidR="00C60341" w:rsidRPr="00022D5C" w:rsidRDefault="00C60341" w:rsidP="00C60341">
      <w:pPr>
        <w:jc w:val="both"/>
        <w:rPr>
          <w:rFonts w:ascii="Arial" w:hAnsi="Arial" w:cs="Arial"/>
          <w:sz w:val="22"/>
          <w:szCs w:val="22"/>
          <w:lang w:val="pt-BR"/>
        </w:rPr>
      </w:pPr>
      <w:r w:rsidRPr="00022D5C">
        <w:rPr>
          <w:rFonts w:ascii="Arial" w:hAnsi="Arial" w:cs="Arial"/>
          <w:b/>
          <w:sz w:val="22"/>
          <w:szCs w:val="22"/>
        </w:rPr>
        <w:t>Obiect:</w:t>
      </w:r>
      <w:r w:rsidRPr="00022D5C">
        <w:rPr>
          <w:rFonts w:ascii="Arial" w:hAnsi="Arial" w:cs="Arial"/>
          <w:sz w:val="22"/>
          <w:szCs w:val="22"/>
        </w:rPr>
        <w:t xml:space="preserve"> Conpet SA formulează cerere de chemare în judecată solicitând ca prin hotărârea pe care o va pronunța să dispună obligarea, în solidar, a pârâților la plata sumei de </w:t>
      </w:r>
      <w:r w:rsidRPr="00022D5C">
        <w:rPr>
          <w:rFonts w:ascii="Arial" w:hAnsi="Arial" w:cs="Arial"/>
          <w:b/>
          <w:sz w:val="22"/>
          <w:szCs w:val="22"/>
        </w:rPr>
        <w:t>37.872,18 lei</w:t>
      </w:r>
      <w:r w:rsidRPr="00022D5C">
        <w:rPr>
          <w:rFonts w:ascii="Arial" w:hAnsi="Arial" w:cs="Arial"/>
          <w:sz w:val="22"/>
          <w:szCs w:val="22"/>
        </w:rPr>
        <w:t xml:space="preserve"> cu titlu de despăgubiri civile - </w:t>
      </w:r>
      <w:r w:rsidRPr="00022D5C">
        <w:rPr>
          <w:rFonts w:ascii="Arial" w:hAnsi="Arial" w:cs="Arial"/>
          <w:sz w:val="22"/>
          <w:szCs w:val="22"/>
          <w:lang w:val="it-IT"/>
        </w:rPr>
        <w:t xml:space="preserve">reprezentând contravaloarea lucrărilor de înlocuire a conductei sustrase (5.472,32 lei) și a celor de remediere a cablului de fibra optică distrus de pârâți (32.054 lei), lucrări necesare readucerii acestora la starea de dinaintea săvârșirii faptei, adică în stare de funcționare precum și contravaloarea deplasării la locul săvârșirii faptei în vederea constatării urmărilor acesteia (345,86 lei). De asemenea, solicită actualizarea acestei sume cu dobânda legală începând cu data de 10.04.2011, data săvârșirii faptei și până la data plății efective. </w:t>
      </w:r>
      <w:r w:rsidRPr="00022D5C">
        <w:rPr>
          <w:rFonts w:ascii="Arial" w:hAnsi="Arial" w:cs="Arial"/>
          <w:sz w:val="22"/>
          <w:szCs w:val="22"/>
        </w:rPr>
        <w:t>Solicită și o</w:t>
      </w:r>
      <w:r w:rsidRPr="00022D5C">
        <w:rPr>
          <w:rFonts w:ascii="Arial" w:hAnsi="Arial" w:cs="Arial"/>
          <w:sz w:val="22"/>
          <w:szCs w:val="22"/>
          <w:lang w:val="it-IT"/>
        </w:rPr>
        <w:t xml:space="preserve">bligarea pârâților la  </w:t>
      </w:r>
      <w:r w:rsidRPr="00022D5C">
        <w:rPr>
          <w:rFonts w:ascii="Arial" w:hAnsi="Arial" w:cs="Arial"/>
          <w:sz w:val="22"/>
          <w:szCs w:val="22"/>
          <w:lang w:val="pt-BR"/>
        </w:rPr>
        <w:t>plata cheltuielilor de judecată pe avansate în cauză.</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Precizări:</w:t>
      </w:r>
      <w:r w:rsidRPr="00022D5C">
        <w:rPr>
          <w:rFonts w:ascii="Arial" w:hAnsi="Arial" w:cs="Arial"/>
          <w:sz w:val="22"/>
          <w:szCs w:val="22"/>
        </w:rPr>
        <w:t xml:space="preserve"> --</w:t>
      </w:r>
    </w:p>
    <w:p w:rsidR="00C60341" w:rsidRPr="00022D5C" w:rsidRDefault="00C60341" w:rsidP="00C60341">
      <w:pPr>
        <w:jc w:val="both"/>
        <w:rPr>
          <w:rFonts w:ascii="Arial" w:hAnsi="Arial" w:cs="Arial"/>
          <w:b/>
          <w:sz w:val="22"/>
          <w:szCs w:val="22"/>
        </w:rPr>
      </w:pPr>
      <w:r w:rsidRPr="00022D5C">
        <w:rPr>
          <w:rFonts w:ascii="Arial" w:hAnsi="Arial" w:cs="Arial"/>
          <w:b/>
          <w:sz w:val="22"/>
          <w:szCs w:val="22"/>
        </w:rPr>
        <w:t>Stadiu processual:</w:t>
      </w:r>
    </w:p>
    <w:p w:rsidR="00C60341" w:rsidRPr="00022D5C" w:rsidRDefault="00C60341" w:rsidP="00C60341">
      <w:pPr>
        <w:jc w:val="both"/>
        <w:rPr>
          <w:rFonts w:ascii="Arial" w:hAnsi="Arial" w:cs="Arial"/>
          <w:sz w:val="22"/>
          <w:szCs w:val="22"/>
        </w:rPr>
      </w:pPr>
      <w:r w:rsidRPr="00022D5C">
        <w:rPr>
          <w:rFonts w:ascii="Arial" w:hAnsi="Arial" w:cs="Arial"/>
          <w:b/>
          <w:sz w:val="22"/>
          <w:szCs w:val="22"/>
        </w:rPr>
        <w:lastRenderedPageBreak/>
        <w:t xml:space="preserve">Termen: </w:t>
      </w:r>
      <w:r w:rsidRPr="00022D5C">
        <w:rPr>
          <w:rFonts w:ascii="Arial" w:hAnsi="Arial" w:cs="Arial"/>
          <w:sz w:val="22"/>
          <w:szCs w:val="22"/>
        </w:rPr>
        <w:t>Amână pronunțarea la 17.07.2018</w:t>
      </w:r>
    </w:p>
    <w:p w:rsidR="00C60341" w:rsidRPr="00022D5C" w:rsidRDefault="00C60341" w:rsidP="00C60341">
      <w:pPr>
        <w:jc w:val="both"/>
        <w:rPr>
          <w:rFonts w:ascii="Arial" w:hAnsi="Arial" w:cs="Arial"/>
          <w:b/>
          <w:sz w:val="22"/>
          <w:szCs w:val="22"/>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rPr>
        <w:t xml:space="preserve">39. Dosar nr. 950/281/2018 – Tribunalul Prahova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Părți: </w:t>
      </w:r>
      <w:r w:rsidRPr="00022D5C">
        <w:rPr>
          <w:rFonts w:ascii="Arial" w:hAnsi="Arial" w:cs="Arial"/>
          <w:sz w:val="22"/>
          <w:szCs w:val="22"/>
        </w:rPr>
        <w:t xml:space="preserve">Conpet – contestator </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Dobrogenu Dumitru – intimat</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BEJ Mihai Goslan – intimat</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rPr>
        <w:t>Obiect:</w:t>
      </w:r>
      <w:r w:rsidRPr="00022D5C">
        <w:rPr>
          <w:rFonts w:ascii="Arial" w:hAnsi="Arial" w:cs="Arial"/>
          <w:sz w:val="22"/>
          <w:szCs w:val="22"/>
        </w:rPr>
        <w:t xml:space="preserve"> Conpet a formulat cerere de întoarcere a executării solicitând instanței ca</w:t>
      </w:r>
      <w:r w:rsidRPr="00022D5C">
        <w:rPr>
          <w:rFonts w:ascii="Arial" w:hAnsi="Arial" w:cs="Arial"/>
          <w:b/>
          <w:sz w:val="22"/>
          <w:szCs w:val="22"/>
          <w:lang w:val="it-IT"/>
        </w:rPr>
        <w:t xml:space="preserve"> </w:t>
      </w:r>
      <w:r w:rsidRPr="00022D5C">
        <w:rPr>
          <w:rFonts w:ascii="Arial" w:hAnsi="Arial" w:cs="Arial"/>
          <w:sz w:val="22"/>
          <w:szCs w:val="22"/>
          <w:lang w:val="it-IT"/>
        </w:rPr>
        <w:t>prin hotărârea ce o va pronunța să dispună întoarcerea executării silite efectuate în temeiul titlului executoriu reprezentat de decizia nr. 669 din 20.12.2011 a Tribunalului Prahova în dosarul de executare nr. 710/2013 al B.E.J. Goslan Mihai, prin restabilirea în parte a situației anterioare executării, în sensul obligării pârâtului  Dobrogeanu Dumitru (în temeiul art. 723 Cod Proc Civ) la plata următoarelor sume</w:t>
      </w:r>
      <w:r w:rsidRPr="00022D5C">
        <w:rPr>
          <w:rFonts w:ascii="Arial" w:hAnsi="Arial" w:cs="Arial"/>
          <w:sz w:val="22"/>
          <w:szCs w:val="22"/>
        </w:rPr>
        <w:t>:</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lang w:val="it-IT"/>
        </w:rPr>
        <w:t>- 1.000 lei reprezentând suma încasată necuvenit cu titlu de cheltuieli (onorariu de avocat).</w:t>
      </w:r>
    </w:p>
    <w:p w:rsidR="00C60341" w:rsidRPr="00022D5C" w:rsidRDefault="00C60341" w:rsidP="00C60341">
      <w:pPr>
        <w:jc w:val="both"/>
        <w:rPr>
          <w:rFonts w:ascii="Arial" w:hAnsi="Arial" w:cs="Arial"/>
          <w:sz w:val="22"/>
          <w:szCs w:val="22"/>
        </w:rPr>
      </w:pPr>
      <w:r w:rsidRPr="00022D5C">
        <w:rPr>
          <w:rFonts w:ascii="Arial" w:hAnsi="Arial" w:cs="Arial"/>
          <w:sz w:val="22"/>
          <w:szCs w:val="22"/>
          <w:lang w:val="it-IT"/>
        </w:rPr>
        <w:t xml:space="preserve">- 1.062,3 lei reprezentând onorariu încasat necuvenit de către </w:t>
      </w:r>
      <w:r w:rsidRPr="00022D5C">
        <w:rPr>
          <w:rFonts w:ascii="Arial" w:hAnsi="Arial" w:cs="Arial"/>
          <w:sz w:val="22"/>
          <w:szCs w:val="22"/>
        </w:rPr>
        <w:t xml:space="preserve">Biroul Executorului Judecătoresc  Mihai Goslan  </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rPr>
        <w:t>- 111 lei, reprezentând contravaloare copiere dosar de executare.</w:t>
      </w:r>
      <w:r w:rsidRPr="00022D5C">
        <w:rPr>
          <w:rFonts w:ascii="Arial" w:hAnsi="Arial" w:cs="Arial"/>
          <w:sz w:val="22"/>
          <w:szCs w:val="22"/>
          <w:lang w:val="it-IT"/>
        </w:rPr>
        <w:t xml:space="preserve"> </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lang w:val="it-IT"/>
        </w:rPr>
        <w:t xml:space="preserve">În subsidiar, Conpet solicită obligarea </w:t>
      </w:r>
      <w:r w:rsidRPr="00022D5C">
        <w:rPr>
          <w:rFonts w:ascii="Arial" w:hAnsi="Arial" w:cs="Arial"/>
          <w:sz w:val="22"/>
          <w:szCs w:val="22"/>
        </w:rPr>
        <w:t>BEJ Mihai Goslan l</w:t>
      </w:r>
      <w:r w:rsidRPr="00022D5C">
        <w:rPr>
          <w:rFonts w:ascii="Arial" w:hAnsi="Arial" w:cs="Arial"/>
          <w:sz w:val="22"/>
          <w:szCs w:val="22"/>
          <w:lang w:val="it-IT"/>
        </w:rPr>
        <w:t xml:space="preserve">a plata sumei de 1.062,3 lei reprezentând onorariu încasat necuvenit. </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lang w:val="it-IT"/>
        </w:rPr>
        <w:t>Cu cheltuieli de judecată.</w:t>
      </w:r>
    </w:p>
    <w:p w:rsidR="00C60341" w:rsidRPr="00022D5C" w:rsidRDefault="00C60341" w:rsidP="00C60341">
      <w:pPr>
        <w:jc w:val="both"/>
        <w:rPr>
          <w:rFonts w:ascii="Arial" w:hAnsi="Arial" w:cs="Arial"/>
          <w:sz w:val="22"/>
          <w:szCs w:val="22"/>
        </w:rPr>
      </w:pPr>
      <w:r w:rsidRPr="00022D5C">
        <w:rPr>
          <w:rFonts w:ascii="Arial" w:hAnsi="Arial" w:cs="Arial"/>
          <w:b/>
          <w:sz w:val="22"/>
          <w:szCs w:val="22"/>
          <w:lang w:val="it-IT"/>
        </w:rPr>
        <w:t xml:space="preserve">Precizări: </w:t>
      </w:r>
      <w:r w:rsidRPr="00022D5C">
        <w:rPr>
          <w:rFonts w:ascii="Arial" w:hAnsi="Arial" w:cs="Arial"/>
          <w:sz w:val="22"/>
          <w:szCs w:val="22"/>
          <w:lang w:val="it-IT"/>
        </w:rPr>
        <w:t xml:space="preserve">Prin </w:t>
      </w:r>
      <w:r w:rsidRPr="00022D5C">
        <w:rPr>
          <w:rFonts w:ascii="Arial" w:hAnsi="Arial" w:cs="Arial"/>
          <w:b/>
          <w:sz w:val="22"/>
          <w:szCs w:val="22"/>
          <w:lang w:val="it-IT"/>
        </w:rPr>
        <w:t xml:space="preserve">sentința nr. </w:t>
      </w:r>
      <w:r w:rsidRPr="00022D5C">
        <w:rPr>
          <w:rFonts w:ascii="Arial" w:hAnsi="Arial" w:cs="Arial"/>
          <w:b/>
          <w:sz w:val="22"/>
          <w:szCs w:val="22"/>
        </w:rPr>
        <w:t>4557/25.05.2018</w:t>
      </w:r>
      <w:r w:rsidRPr="00022D5C">
        <w:rPr>
          <w:rFonts w:ascii="Arial" w:hAnsi="Arial" w:cs="Arial"/>
          <w:sz w:val="22"/>
          <w:szCs w:val="22"/>
        </w:rPr>
        <w:t xml:space="preserve"> Judecătoria Ploiești admite excepţia lipsei calităţii procesuale pasive a BEJ Mihai Goslan şi în consecinţă respinge cererea formulată de reclamanta CONPET SA în contradictoriu cu acest pârât ca fiind formulată împotriva unei persoane fără calitate procesuală pasivă. Admite în parte cererea. Dispune întoarcerea executării silite efectuate în dosarul de executare nr. 710/2013 al B.E.J. Mihai Goslan prin restituirea către reclamanta CONPET SA de către pârâtul Dobrogeanu Dumitru a sumei de 2.062,3 lei. Obligă pârâtul Dobrogeanu Dumitru la plata către reclamantă a sumei de 189,23 lei, cu titlul de cheltuieli de judecată. Hotărârea a fost atacată cu apel de Dobrogeanu Dumitru. </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Stadiu procesual:</w:t>
      </w:r>
      <w:r w:rsidRPr="00022D5C">
        <w:rPr>
          <w:rFonts w:ascii="Arial" w:hAnsi="Arial" w:cs="Arial"/>
          <w:sz w:val="22"/>
          <w:szCs w:val="22"/>
          <w:lang w:val="it-IT"/>
        </w:rPr>
        <w:t xml:space="preserve"> Apel</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 xml:space="preserve">Termen: </w:t>
      </w:r>
      <w:r w:rsidRPr="00022D5C">
        <w:rPr>
          <w:rFonts w:ascii="Arial" w:hAnsi="Arial" w:cs="Arial"/>
          <w:sz w:val="22"/>
          <w:szCs w:val="22"/>
          <w:lang w:val="it-IT"/>
        </w:rPr>
        <w:t>--</w:t>
      </w:r>
    </w:p>
    <w:p w:rsidR="00C60341" w:rsidRPr="00022D5C" w:rsidRDefault="00C60341" w:rsidP="00C60341">
      <w:pPr>
        <w:jc w:val="both"/>
        <w:rPr>
          <w:rFonts w:ascii="Arial" w:hAnsi="Arial" w:cs="Arial"/>
          <w:b/>
          <w:sz w:val="22"/>
          <w:szCs w:val="22"/>
          <w:lang w:val="it-IT"/>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lang w:val="it-IT"/>
        </w:rPr>
        <w:t xml:space="preserve">40. </w:t>
      </w:r>
      <w:r w:rsidRPr="00022D5C">
        <w:rPr>
          <w:rFonts w:ascii="Arial" w:hAnsi="Arial" w:cs="Arial"/>
          <w:b/>
          <w:sz w:val="22"/>
          <w:szCs w:val="22"/>
        </w:rPr>
        <w:t>Dosar nr. 4991/281/218 – Judecătoria Ploiești</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Conpet SA – contestator</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Dobrogeanu Dumitru – intimat</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Conpet SA formulează contestație la executare împotriva actelor de executare întocmite de Societatea Civilă Profesională de Executori Judecătorești Goslan și Stângă, după cum urmează:</w:t>
      </w:r>
    </w:p>
    <w:p w:rsidR="00C60341" w:rsidRPr="00022D5C" w:rsidRDefault="00C60341" w:rsidP="00C60341">
      <w:pPr>
        <w:jc w:val="both"/>
        <w:rPr>
          <w:rFonts w:ascii="Arial" w:hAnsi="Arial" w:cs="Arial"/>
          <w:sz w:val="22"/>
          <w:szCs w:val="22"/>
        </w:rPr>
      </w:pPr>
      <w:r w:rsidRPr="00022D5C">
        <w:rPr>
          <w:rFonts w:ascii="Arial" w:hAnsi="Arial" w:cs="Arial"/>
          <w:sz w:val="22"/>
          <w:szCs w:val="22"/>
        </w:rPr>
        <w:t>-Încheierea din data de 06 februarie 2018;</w:t>
      </w:r>
    </w:p>
    <w:p w:rsidR="00C60341" w:rsidRPr="00022D5C" w:rsidRDefault="00C60341" w:rsidP="00C60341">
      <w:pPr>
        <w:jc w:val="both"/>
        <w:rPr>
          <w:rFonts w:ascii="Arial" w:hAnsi="Arial" w:cs="Arial"/>
          <w:sz w:val="22"/>
          <w:szCs w:val="22"/>
        </w:rPr>
      </w:pPr>
      <w:r w:rsidRPr="00022D5C">
        <w:rPr>
          <w:rFonts w:ascii="Arial" w:hAnsi="Arial" w:cs="Arial"/>
          <w:sz w:val="22"/>
          <w:szCs w:val="22"/>
        </w:rPr>
        <w:t>-Înștiințarea din data de 06 februarie 2018;</w:t>
      </w:r>
    </w:p>
    <w:p w:rsidR="00C60341" w:rsidRPr="00022D5C" w:rsidRDefault="00C60341" w:rsidP="00C60341">
      <w:pPr>
        <w:jc w:val="both"/>
        <w:rPr>
          <w:rFonts w:ascii="Arial" w:hAnsi="Arial" w:cs="Arial"/>
          <w:sz w:val="22"/>
          <w:szCs w:val="22"/>
        </w:rPr>
      </w:pPr>
      <w:r w:rsidRPr="00022D5C">
        <w:rPr>
          <w:rFonts w:ascii="Arial" w:hAnsi="Arial" w:cs="Arial"/>
          <w:sz w:val="22"/>
          <w:szCs w:val="22"/>
        </w:rPr>
        <w:t>-Adresa precizatoare din data de 01 martie 2018 a Somației din data 06 februarie 2018.</w:t>
      </w:r>
    </w:p>
    <w:p w:rsidR="00C60341" w:rsidRPr="00022D5C" w:rsidRDefault="00C60341" w:rsidP="00C60341">
      <w:pPr>
        <w:jc w:val="both"/>
        <w:rPr>
          <w:rFonts w:ascii="Arial" w:hAnsi="Arial" w:cs="Arial"/>
          <w:sz w:val="22"/>
          <w:szCs w:val="22"/>
        </w:rPr>
      </w:pPr>
      <w:r w:rsidRPr="00022D5C">
        <w:rPr>
          <w:rFonts w:ascii="Arial" w:hAnsi="Arial" w:cs="Arial"/>
          <w:sz w:val="22"/>
          <w:szCs w:val="22"/>
        </w:rPr>
        <w:t>și solicită:</w:t>
      </w:r>
    </w:p>
    <w:p w:rsidR="00C60341" w:rsidRPr="00022D5C" w:rsidRDefault="00C60341" w:rsidP="00170D7E">
      <w:pPr>
        <w:widowControl/>
        <w:numPr>
          <w:ilvl w:val="0"/>
          <w:numId w:val="45"/>
        </w:numPr>
        <w:autoSpaceDE/>
        <w:autoSpaceDN/>
        <w:adjustRightInd/>
        <w:jc w:val="both"/>
        <w:rPr>
          <w:rFonts w:ascii="Arial" w:hAnsi="Arial" w:cs="Arial"/>
          <w:sz w:val="22"/>
          <w:szCs w:val="22"/>
        </w:rPr>
      </w:pPr>
      <w:r w:rsidRPr="00022D5C">
        <w:rPr>
          <w:rFonts w:ascii="Arial" w:hAnsi="Arial" w:cs="Arial"/>
          <w:sz w:val="22"/>
          <w:szCs w:val="22"/>
        </w:rPr>
        <w:t>Anularea încheierii din data de 06 februarie 2018 emisă în dosarul nr. 4526/2017 privind stabilirea cheltuielilor de executare silită.</w:t>
      </w:r>
    </w:p>
    <w:p w:rsidR="00C60341" w:rsidRPr="00022D5C" w:rsidRDefault="00C60341" w:rsidP="00170D7E">
      <w:pPr>
        <w:widowControl/>
        <w:numPr>
          <w:ilvl w:val="0"/>
          <w:numId w:val="45"/>
        </w:numPr>
        <w:autoSpaceDE/>
        <w:autoSpaceDN/>
        <w:adjustRightInd/>
        <w:jc w:val="both"/>
        <w:rPr>
          <w:rFonts w:ascii="Arial" w:hAnsi="Arial" w:cs="Arial"/>
          <w:sz w:val="22"/>
          <w:szCs w:val="22"/>
        </w:rPr>
      </w:pPr>
      <w:r w:rsidRPr="00022D5C">
        <w:rPr>
          <w:rFonts w:ascii="Arial" w:hAnsi="Arial" w:cs="Arial"/>
          <w:sz w:val="22"/>
          <w:szCs w:val="22"/>
        </w:rPr>
        <w:t>Anularea înștiințarii din data de 06 februarie 2018 emisă în dosarul nr. 4526/2017 privind declanșarea urmăririi silite împotriva CONPET în vederea actualizarii cu rata inflației a creanței stabilite în titlul executoriu reprezentat de Decizia civilă nr. 669/20.12.2011, de la data de 20.11.2011 până la data plății efective, pronunțată de Tribunalul Prahova în dosar nr. 14660/281/2005;</w:t>
      </w:r>
    </w:p>
    <w:p w:rsidR="00C60341" w:rsidRPr="00022D5C" w:rsidRDefault="00C60341" w:rsidP="00170D7E">
      <w:pPr>
        <w:widowControl/>
        <w:numPr>
          <w:ilvl w:val="0"/>
          <w:numId w:val="45"/>
        </w:numPr>
        <w:autoSpaceDE/>
        <w:autoSpaceDN/>
        <w:adjustRightInd/>
        <w:jc w:val="both"/>
        <w:rPr>
          <w:rFonts w:ascii="Arial" w:hAnsi="Arial" w:cs="Arial"/>
          <w:sz w:val="22"/>
          <w:szCs w:val="22"/>
        </w:rPr>
      </w:pPr>
      <w:r w:rsidRPr="00022D5C">
        <w:rPr>
          <w:rFonts w:ascii="Arial" w:hAnsi="Arial" w:cs="Arial"/>
          <w:sz w:val="22"/>
          <w:szCs w:val="22"/>
        </w:rPr>
        <w:t>Anularea adresei precizatoare din data de 01 martie 2018 a somației din data de 06 februarie 2018 emisă în dosar nr.4526/2017, privind achitarea de către CONPET doar a actualizării creanței de 53.116,00 lei pe anul 2014.</w:t>
      </w:r>
    </w:p>
    <w:p w:rsidR="00C60341" w:rsidRPr="00022D5C" w:rsidRDefault="00C60341" w:rsidP="00170D7E">
      <w:pPr>
        <w:widowControl/>
        <w:numPr>
          <w:ilvl w:val="0"/>
          <w:numId w:val="45"/>
        </w:numPr>
        <w:autoSpaceDE/>
        <w:autoSpaceDN/>
        <w:adjustRightInd/>
        <w:jc w:val="both"/>
        <w:rPr>
          <w:rFonts w:ascii="Arial" w:hAnsi="Arial" w:cs="Arial"/>
          <w:sz w:val="22"/>
          <w:szCs w:val="22"/>
        </w:rPr>
      </w:pPr>
      <w:r w:rsidRPr="00022D5C">
        <w:rPr>
          <w:rFonts w:ascii="Arial" w:hAnsi="Arial" w:cs="Arial"/>
          <w:sz w:val="22"/>
          <w:szCs w:val="22"/>
        </w:rPr>
        <w:t xml:space="preserve"> Întoarcerea executării prin restabilirea situației anterioare acesteia.</w:t>
      </w:r>
    </w:p>
    <w:p w:rsidR="00C60341" w:rsidRPr="00022D5C" w:rsidRDefault="00C60341" w:rsidP="00170D7E">
      <w:pPr>
        <w:widowControl/>
        <w:numPr>
          <w:ilvl w:val="0"/>
          <w:numId w:val="45"/>
        </w:numPr>
        <w:autoSpaceDE/>
        <w:autoSpaceDN/>
        <w:adjustRightInd/>
        <w:jc w:val="both"/>
        <w:rPr>
          <w:rFonts w:ascii="Arial" w:hAnsi="Arial" w:cs="Arial"/>
          <w:sz w:val="22"/>
          <w:szCs w:val="22"/>
        </w:rPr>
      </w:pPr>
      <w:r w:rsidRPr="00022D5C">
        <w:rPr>
          <w:rFonts w:ascii="Arial" w:hAnsi="Arial" w:cs="Arial"/>
          <w:sz w:val="22"/>
          <w:szCs w:val="22"/>
        </w:rPr>
        <w:t>Cheltuieli de judecată.</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Precizări: </w:t>
      </w:r>
      <w:r w:rsidRPr="00022D5C">
        <w:rPr>
          <w:rFonts w:ascii="Arial" w:hAnsi="Arial" w:cs="Arial"/>
          <w:sz w:val="22"/>
          <w:szCs w:val="22"/>
        </w:rPr>
        <w:t xml:space="preserve">Prin </w:t>
      </w:r>
      <w:r w:rsidRPr="00022D5C">
        <w:rPr>
          <w:rFonts w:ascii="Arial" w:hAnsi="Arial" w:cs="Arial"/>
          <w:b/>
          <w:sz w:val="22"/>
          <w:szCs w:val="22"/>
        </w:rPr>
        <w:t>Încheierea nr. 1515/19.06.2018</w:t>
      </w:r>
      <w:r w:rsidRPr="00022D5C">
        <w:rPr>
          <w:rFonts w:ascii="Arial" w:hAnsi="Arial" w:cs="Arial"/>
          <w:sz w:val="22"/>
          <w:szCs w:val="22"/>
        </w:rPr>
        <w:t xml:space="preserve"> Judecătoria Ploiești admite excepţia netimbrării cererii de chemare în judecată, invocată din oficiu. Anulează cererea ca netimbrată. Hotărârea poate fi atacată cu apel după comunicare. </w:t>
      </w:r>
    </w:p>
    <w:p w:rsidR="00C964D5" w:rsidRDefault="00C60341" w:rsidP="00C60341">
      <w:pPr>
        <w:jc w:val="both"/>
        <w:rPr>
          <w:rFonts w:ascii="Arial" w:hAnsi="Arial" w:cs="Arial"/>
          <w:sz w:val="22"/>
          <w:szCs w:val="22"/>
        </w:rPr>
      </w:pPr>
      <w:r w:rsidRPr="00022D5C">
        <w:rPr>
          <w:rFonts w:ascii="Arial" w:hAnsi="Arial" w:cs="Arial"/>
          <w:b/>
          <w:sz w:val="22"/>
          <w:szCs w:val="22"/>
        </w:rPr>
        <w:t xml:space="preserve">Stadiu procesual: </w:t>
      </w:r>
      <w:r w:rsidR="00C964D5">
        <w:rPr>
          <w:rFonts w:ascii="Arial" w:hAnsi="Arial" w:cs="Arial"/>
          <w:sz w:val="22"/>
          <w:szCs w:val="22"/>
        </w:rPr>
        <w:t>--</w:t>
      </w:r>
    </w:p>
    <w:p w:rsidR="00C60341" w:rsidRPr="00022D5C" w:rsidRDefault="00C60341" w:rsidP="00C60341">
      <w:pPr>
        <w:jc w:val="both"/>
        <w:rPr>
          <w:rFonts w:ascii="Arial" w:hAnsi="Arial" w:cs="Arial"/>
          <w:sz w:val="22"/>
          <w:szCs w:val="22"/>
        </w:rPr>
      </w:pPr>
      <w:r w:rsidRPr="00022D5C">
        <w:rPr>
          <w:rFonts w:ascii="Arial" w:hAnsi="Arial" w:cs="Arial"/>
          <w:b/>
          <w:sz w:val="22"/>
          <w:szCs w:val="22"/>
        </w:rPr>
        <w:lastRenderedPageBreak/>
        <w:t xml:space="preserve">Termen: </w:t>
      </w:r>
      <w:r w:rsidRPr="00022D5C">
        <w:rPr>
          <w:rFonts w:ascii="Arial" w:hAnsi="Arial" w:cs="Arial"/>
          <w:sz w:val="22"/>
          <w:szCs w:val="22"/>
        </w:rPr>
        <w:t>--</w:t>
      </w:r>
    </w:p>
    <w:p w:rsidR="00C60341" w:rsidRPr="00022D5C" w:rsidRDefault="00C60341" w:rsidP="00C60341">
      <w:pPr>
        <w:jc w:val="both"/>
        <w:rPr>
          <w:rFonts w:ascii="Arial" w:hAnsi="Arial" w:cs="Arial"/>
          <w:sz w:val="22"/>
          <w:szCs w:val="22"/>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rPr>
        <w:t>41. Dosar nr. 611/310/2018 – Judecătoria Sinaia</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Părți: </w:t>
      </w:r>
      <w:r w:rsidRPr="00022D5C">
        <w:rPr>
          <w:rFonts w:ascii="Arial" w:hAnsi="Arial" w:cs="Arial"/>
          <w:sz w:val="22"/>
          <w:szCs w:val="22"/>
        </w:rPr>
        <w:t>Conpet SA – petent</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U.A.T.Orașul SINAIA prin Primar</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Conpet formulează p</w:t>
      </w:r>
      <w:r w:rsidRPr="00022D5C">
        <w:rPr>
          <w:rFonts w:ascii="Arial" w:hAnsi="Arial" w:cs="Arial"/>
          <w:bCs/>
          <w:sz w:val="22"/>
          <w:szCs w:val="22"/>
        </w:rPr>
        <w:t>lângere împotriva Procesului verbal de constatare și sancționare a contravențiilor nr. 4  din data de 05.03.2018 încheiat de către U.A.T. ORAȘUL SINAIA solicitând admiterea plangerii și anularea procesului verbal de constatare și sancționare a contravențiilor, iar în subsidiar, înlocuirea sancțiunii cu avertisment</w:t>
      </w:r>
      <w:r w:rsidRPr="00022D5C">
        <w:rPr>
          <w:rFonts w:ascii="Arial" w:hAnsi="Arial" w:cs="Arial"/>
          <w:sz w:val="22"/>
          <w:szCs w:val="22"/>
        </w:rPr>
        <w:t>. Prin Procesul verbal atacat inspectorul Naparus Georgeta din cadrul U.A.T. Orașul Sinaia, în urma unui control efectuat în data de 05.03.2018, ora 15.00, la adresa Sinaia, Zona Cota 2000 – Masivul Bucegi, refugiu 2000, județul Prahova, a constatat următoarele: ”au fost executate lucrări cu nerespectarea autorizației de construire nr. 70/29.08.2016 că: Acoperișul pe fațada posterioară are o frângere de pantă pe toată lungimea fațadei; Prin această modificare sunt depășite: suprafața construită &gt; 150,00 mp, POT &gt; 18 %, desfășurată mai mare &gt; de 230,00 mp, CUT &gt; 0,36; Pentru sprijinirea cosoroabei s-a executat un zid de sprijin; Lucrările au fost realizate în anul 2017.” . Prin rezoluția de aplicare a sancțiunii Primarul orașului Sinaia a aplicat sancțiunea cu amendă în sumă de  50.000 lei conform art. 26 lit. b) din Legea nr. 50/1991 și a dispus ca măsuri: oprirea lucrărilor și intrarea în legalitate.</w:t>
      </w:r>
    </w:p>
    <w:p w:rsidR="00C60341" w:rsidRPr="00022D5C" w:rsidRDefault="00C60341" w:rsidP="00C60341">
      <w:pPr>
        <w:jc w:val="both"/>
        <w:rPr>
          <w:rFonts w:ascii="Arial" w:hAnsi="Arial" w:cs="Arial"/>
          <w:b/>
          <w:sz w:val="22"/>
          <w:szCs w:val="22"/>
        </w:rPr>
      </w:pPr>
      <w:r w:rsidRPr="00022D5C">
        <w:rPr>
          <w:rFonts w:ascii="Arial" w:hAnsi="Arial" w:cs="Arial"/>
          <w:b/>
          <w:sz w:val="22"/>
          <w:szCs w:val="22"/>
        </w:rPr>
        <w:t>Precizări: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Stadiu procesual</w:t>
      </w:r>
      <w:r w:rsidRPr="00022D5C">
        <w:rPr>
          <w:rFonts w:ascii="Arial" w:hAnsi="Arial" w:cs="Arial"/>
          <w:sz w:val="22"/>
          <w:szCs w:val="22"/>
        </w:rPr>
        <w:t>: Fond</w:t>
      </w:r>
    </w:p>
    <w:p w:rsidR="00C60341" w:rsidRPr="00022D5C" w:rsidRDefault="00C60341" w:rsidP="00C60341">
      <w:pPr>
        <w:jc w:val="both"/>
        <w:rPr>
          <w:rFonts w:ascii="Arial" w:hAnsi="Arial" w:cs="Arial"/>
          <w:b/>
          <w:sz w:val="22"/>
          <w:szCs w:val="22"/>
        </w:rPr>
      </w:pPr>
      <w:r w:rsidRPr="00022D5C">
        <w:rPr>
          <w:rFonts w:ascii="Arial" w:hAnsi="Arial" w:cs="Arial"/>
          <w:b/>
          <w:sz w:val="22"/>
          <w:szCs w:val="22"/>
        </w:rPr>
        <w:t xml:space="preserve">Termen: </w:t>
      </w:r>
      <w:r w:rsidRPr="00022D5C">
        <w:rPr>
          <w:rFonts w:ascii="Arial" w:hAnsi="Arial" w:cs="Arial"/>
          <w:sz w:val="22"/>
          <w:szCs w:val="22"/>
        </w:rPr>
        <w:t>21.08.2018</w:t>
      </w:r>
    </w:p>
    <w:p w:rsidR="00C60341" w:rsidRPr="00022D5C" w:rsidRDefault="005A1181" w:rsidP="00C60341">
      <w:pPr>
        <w:jc w:val="both"/>
        <w:rPr>
          <w:rFonts w:ascii="Arial" w:hAnsi="Arial" w:cs="Arial"/>
          <w:bCs/>
          <w:sz w:val="22"/>
          <w:szCs w:val="22"/>
        </w:rPr>
      </w:pPr>
      <w:r>
        <w:rPr>
          <w:rFonts w:ascii="Arial" w:hAnsi="Arial" w:cs="Arial"/>
          <w:bCs/>
          <w:sz w:val="22"/>
          <w:szCs w:val="22"/>
        </w:rPr>
        <w:t>                   </w:t>
      </w:r>
    </w:p>
    <w:p w:rsidR="00C60341" w:rsidRPr="00022D5C" w:rsidRDefault="00C60341" w:rsidP="00C60341">
      <w:pPr>
        <w:jc w:val="both"/>
        <w:rPr>
          <w:rFonts w:ascii="Arial" w:hAnsi="Arial" w:cs="Arial"/>
          <w:b/>
          <w:bCs/>
          <w:sz w:val="22"/>
          <w:szCs w:val="22"/>
        </w:rPr>
      </w:pPr>
      <w:r w:rsidRPr="00022D5C">
        <w:rPr>
          <w:rFonts w:ascii="Arial" w:hAnsi="Arial" w:cs="Arial"/>
          <w:b/>
          <w:bCs/>
          <w:sz w:val="22"/>
          <w:szCs w:val="22"/>
        </w:rPr>
        <w:t>42. Dosar nr. 1064/192/2018 – Judecătoria Bolintin Vale</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Părți:</w:t>
      </w:r>
      <w:r w:rsidRPr="00022D5C">
        <w:rPr>
          <w:rFonts w:ascii="Arial" w:hAnsi="Arial" w:cs="Arial"/>
          <w:bCs/>
          <w:sz w:val="22"/>
          <w:szCs w:val="22"/>
        </w:rPr>
        <w:t xml:space="preserve"> Conpet SA – petent</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Primăria Găiseni – intimat</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Obiect:</w:t>
      </w:r>
      <w:r w:rsidRPr="00022D5C">
        <w:rPr>
          <w:rFonts w:ascii="Arial" w:hAnsi="Arial" w:cs="Arial"/>
          <w:bCs/>
          <w:sz w:val="22"/>
          <w:szCs w:val="22"/>
        </w:rPr>
        <w:t xml:space="preserve"> </w:t>
      </w:r>
      <w:r w:rsidRPr="00022D5C">
        <w:rPr>
          <w:rFonts w:ascii="Arial" w:hAnsi="Arial" w:cs="Arial"/>
          <w:b/>
          <w:bCs/>
          <w:sz w:val="22"/>
          <w:szCs w:val="22"/>
        </w:rPr>
        <w:t>Plângere contravențională.</w:t>
      </w:r>
      <w:r w:rsidRPr="00022D5C">
        <w:rPr>
          <w:rFonts w:ascii="Arial" w:hAnsi="Arial" w:cs="Arial"/>
          <w:bCs/>
          <w:sz w:val="22"/>
          <w:szCs w:val="22"/>
        </w:rPr>
        <w:t xml:space="preserve"> Conpet a formulat plângere contravențională împotriva procesului verbal de contravenție nr. 78/21.02.2018 încheiat de Primăria Găiseni solicitând anularea acestuia și exonerarea de la plata amenzii (500 lei) aplicată în temeiul art. 493 alin. 5 din Legea nr. 207/2015 privind Codul Fiscal pentru încălcarea dispozițiilor art. 461 alin. 2 din Legea nr. 207/2015 (nedeclararea clădiri în termen).</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Precizări:</w:t>
      </w:r>
      <w:r w:rsidRPr="00022D5C">
        <w:rPr>
          <w:rFonts w:ascii="Arial" w:hAnsi="Arial" w:cs="Arial"/>
          <w:bCs/>
          <w:sz w:val="22"/>
          <w:szCs w:val="22"/>
        </w:rPr>
        <w:t xml:space="preserve"> Prin sentința nr. 911/03.07.2018 Judecătoria Bolintin Vale admite plângerea. Hotărârea poate fi atacată cu apel după comunicare.</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Stadiu procesual:</w:t>
      </w:r>
      <w:r w:rsidRPr="00022D5C">
        <w:rPr>
          <w:rFonts w:ascii="Arial" w:hAnsi="Arial" w:cs="Arial"/>
          <w:bCs/>
          <w:sz w:val="22"/>
          <w:szCs w:val="22"/>
        </w:rPr>
        <w:t xml:space="preserve"> --</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Termen:</w:t>
      </w:r>
      <w:r w:rsidRPr="00022D5C">
        <w:rPr>
          <w:rFonts w:ascii="Arial" w:hAnsi="Arial" w:cs="Arial"/>
          <w:bCs/>
          <w:sz w:val="22"/>
          <w:szCs w:val="22"/>
        </w:rPr>
        <w:t xml:space="preserve"> --</w:t>
      </w:r>
    </w:p>
    <w:p w:rsidR="00C60341" w:rsidRPr="00022D5C" w:rsidRDefault="00C60341" w:rsidP="00C60341">
      <w:pPr>
        <w:jc w:val="both"/>
        <w:rPr>
          <w:rFonts w:ascii="Arial" w:hAnsi="Arial" w:cs="Arial"/>
          <w:bCs/>
          <w:sz w:val="22"/>
          <w:szCs w:val="22"/>
        </w:rPr>
      </w:pPr>
    </w:p>
    <w:p w:rsidR="00C60341" w:rsidRPr="00022D5C" w:rsidRDefault="00C60341" w:rsidP="00C60341">
      <w:pPr>
        <w:jc w:val="both"/>
        <w:rPr>
          <w:rFonts w:ascii="Arial" w:hAnsi="Arial" w:cs="Arial"/>
          <w:b/>
          <w:bCs/>
          <w:sz w:val="22"/>
          <w:szCs w:val="22"/>
        </w:rPr>
      </w:pPr>
      <w:r w:rsidRPr="00022D5C">
        <w:rPr>
          <w:rFonts w:ascii="Arial" w:hAnsi="Arial" w:cs="Arial"/>
          <w:b/>
          <w:bCs/>
          <w:sz w:val="22"/>
          <w:szCs w:val="22"/>
        </w:rPr>
        <w:t>43. Dosar nr. 8615/280/2018 – Judecătoria Pitești</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Părți:</w:t>
      </w:r>
      <w:r w:rsidRPr="00022D5C">
        <w:rPr>
          <w:rFonts w:ascii="Arial" w:hAnsi="Arial" w:cs="Arial"/>
          <w:bCs/>
          <w:sz w:val="22"/>
          <w:szCs w:val="22"/>
        </w:rPr>
        <w:t xml:space="preserve"> Conpet – contestator</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LAVI STAR 2007 SRL – intimat</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BEJ Copaci Vasile Dorel din cadrul Biroului Asociat al Executorilor Judecătorești Bucescu Emanoil Aron și Copaci Vasile Dorel - intimat</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Obiect:</w:t>
      </w:r>
      <w:r w:rsidRPr="00022D5C">
        <w:rPr>
          <w:rFonts w:ascii="Arial" w:hAnsi="Arial" w:cs="Arial"/>
          <w:bCs/>
          <w:sz w:val="22"/>
          <w:szCs w:val="22"/>
        </w:rPr>
        <w:t xml:space="preserve"> Contestație la executare. Conpet formulează contestație la executare împotriva </w:t>
      </w:r>
      <w:r w:rsidRPr="00022D5C">
        <w:rPr>
          <w:rFonts w:ascii="Arial" w:hAnsi="Arial" w:cs="Arial"/>
          <w:bCs/>
          <w:sz w:val="22"/>
          <w:szCs w:val="22"/>
          <w:lang w:val="pt-BR"/>
        </w:rPr>
        <w:t xml:space="preserve">Încheierii de încetare a executării silite din data de 14.05.2018 dispusă în dosarul de executare nr. 228/2018 de executorul judecătoresc Copaci Vasile Dorel din cadrul Biroului Asociat al Executorilor Judecătorești Bucescu Emanoil Aron și Copaci Vasile Dorel solicitând instanței de judecată să dispună anularea Încheierii de încetare a executării silite nr. 228/2018 din data de 14.05.2018 a executorului judecătoresc Copaci Vasile Dorel și obligarea acestuia să continue executarea silită în sensul calculării și recuperării de la debitoarea LAVI STAR 2007 SRL a sumei reprezentând reactualizarea debitului principal cu dobânda legală, de la data rămânerii definitive a titlului executoriu reprezentat de sentința </w:t>
      </w:r>
      <w:r w:rsidRPr="00022D5C">
        <w:rPr>
          <w:rFonts w:ascii="Arial" w:hAnsi="Arial" w:cs="Arial"/>
          <w:bCs/>
          <w:sz w:val="22"/>
          <w:szCs w:val="22"/>
        </w:rPr>
        <w:t>civilă</w:t>
      </w:r>
      <w:r w:rsidRPr="00022D5C">
        <w:rPr>
          <w:rFonts w:ascii="Arial" w:hAnsi="Arial" w:cs="Arial"/>
          <w:bCs/>
          <w:sz w:val="22"/>
          <w:szCs w:val="22"/>
          <w:lang w:val="pt-BR"/>
        </w:rPr>
        <w:t xml:space="preserve"> nr. 8072/11.09.2014 și până la achitarea integrală a debitului principal. </w:t>
      </w:r>
      <w:r w:rsidRPr="00022D5C">
        <w:rPr>
          <w:rFonts w:ascii="Arial" w:hAnsi="Arial" w:cs="Arial"/>
          <w:bCs/>
          <w:sz w:val="22"/>
          <w:szCs w:val="22"/>
        </w:rPr>
        <w:t>De asemenea, solicită obligarea intimaților la plata cheltuielilor de judecată avansate în cauză.</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Precizări:</w:t>
      </w:r>
      <w:r w:rsidRPr="00022D5C">
        <w:rPr>
          <w:rFonts w:ascii="Arial" w:hAnsi="Arial" w:cs="Arial"/>
          <w:bCs/>
          <w:sz w:val="22"/>
          <w:szCs w:val="22"/>
        </w:rPr>
        <w:t xml:space="preserve"> --</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Stadiu procesual:</w:t>
      </w:r>
      <w:r w:rsidRPr="00022D5C">
        <w:rPr>
          <w:rFonts w:ascii="Arial" w:hAnsi="Arial" w:cs="Arial"/>
          <w:bCs/>
          <w:sz w:val="22"/>
          <w:szCs w:val="22"/>
        </w:rPr>
        <w:t xml:space="preserve"> Fond</w:t>
      </w:r>
    </w:p>
    <w:p w:rsidR="00C60341" w:rsidRPr="005A1181" w:rsidRDefault="00C60341" w:rsidP="00C60341">
      <w:pPr>
        <w:jc w:val="both"/>
        <w:rPr>
          <w:rFonts w:ascii="Arial" w:hAnsi="Arial" w:cs="Arial"/>
          <w:bCs/>
          <w:sz w:val="22"/>
          <w:szCs w:val="22"/>
        </w:rPr>
      </w:pPr>
      <w:r w:rsidRPr="00022D5C">
        <w:rPr>
          <w:rFonts w:ascii="Arial" w:hAnsi="Arial" w:cs="Arial"/>
          <w:b/>
          <w:bCs/>
          <w:sz w:val="22"/>
          <w:szCs w:val="22"/>
        </w:rPr>
        <w:t>Termen:</w:t>
      </w:r>
      <w:r w:rsidR="005A1181">
        <w:rPr>
          <w:rFonts w:ascii="Arial" w:hAnsi="Arial" w:cs="Arial"/>
          <w:bCs/>
          <w:sz w:val="22"/>
          <w:szCs w:val="22"/>
        </w:rPr>
        <w:t xml:space="preserve"> --</w:t>
      </w:r>
    </w:p>
    <w:p w:rsidR="00C60341" w:rsidRDefault="00C60341" w:rsidP="00C60341">
      <w:pPr>
        <w:jc w:val="both"/>
        <w:rPr>
          <w:rFonts w:ascii="Arial" w:hAnsi="Arial" w:cs="Arial"/>
          <w:bCs/>
          <w:color w:val="FF0000"/>
          <w:sz w:val="22"/>
          <w:szCs w:val="22"/>
        </w:rPr>
      </w:pPr>
    </w:p>
    <w:p w:rsidR="00C964D5" w:rsidRPr="00022D5C" w:rsidRDefault="00C964D5" w:rsidP="00C60341">
      <w:pPr>
        <w:jc w:val="both"/>
        <w:rPr>
          <w:rFonts w:ascii="Arial" w:hAnsi="Arial" w:cs="Arial"/>
          <w:bCs/>
          <w:color w:val="FF0000"/>
          <w:sz w:val="22"/>
          <w:szCs w:val="22"/>
        </w:rPr>
      </w:pPr>
    </w:p>
    <w:p w:rsidR="00C60341" w:rsidRPr="00022D5C" w:rsidRDefault="00C60341" w:rsidP="00C60341">
      <w:pPr>
        <w:jc w:val="both"/>
        <w:rPr>
          <w:rFonts w:ascii="Arial" w:hAnsi="Arial" w:cs="Arial"/>
          <w:b/>
          <w:bCs/>
          <w:sz w:val="22"/>
          <w:szCs w:val="22"/>
        </w:rPr>
      </w:pPr>
      <w:r w:rsidRPr="00022D5C">
        <w:rPr>
          <w:rFonts w:ascii="Arial" w:hAnsi="Arial" w:cs="Arial"/>
          <w:b/>
          <w:bCs/>
          <w:sz w:val="22"/>
          <w:szCs w:val="22"/>
        </w:rPr>
        <w:lastRenderedPageBreak/>
        <w:t>44. Dosar nr. 13560/281/2018 – Judecătoria Ploiești</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Părți:</w:t>
      </w:r>
      <w:r w:rsidRPr="00022D5C">
        <w:rPr>
          <w:rFonts w:ascii="Arial" w:hAnsi="Arial" w:cs="Arial"/>
          <w:bCs/>
          <w:sz w:val="22"/>
          <w:szCs w:val="22"/>
        </w:rPr>
        <w:t xml:space="preserve"> Conpet – petent</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Parchetul de pe lângă Judecătoria Ploiești - intimat</w:t>
      </w:r>
    </w:p>
    <w:p w:rsidR="00C60341" w:rsidRPr="00022D5C" w:rsidRDefault="00C60341" w:rsidP="00C60341">
      <w:pPr>
        <w:jc w:val="both"/>
        <w:rPr>
          <w:rFonts w:ascii="Arial" w:hAnsi="Arial" w:cs="Arial"/>
          <w:bCs/>
          <w:sz w:val="22"/>
          <w:szCs w:val="22"/>
          <w:lang w:val="it-IT"/>
        </w:rPr>
      </w:pPr>
      <w:r w:rsidRPr="00022D5C">
        <w:rPr>
          <w:rFonts w:ascii="Arial" w:hAnsi="Arial" w:cs="Arial"/>
          <w:b/>
          <w:bCs/>
          <w:sz w:val="22"/>
          <w:szCs w:val="22"/>
          <w:lang w:val="pt-BR"/>
        </w:rPr>
        <w:t>Obiect:</w:t>
      </w:r>
      <w:r w:rsidRPr="00022D5C">
        <w:rPr>
          <w:rFonts w:ascii="Arial" w:hAnsi="Arial" w:cs="Arial"/>
          <w:bCs/>
          <w:sz w:val="22"/>
          <w:szCs w:val="22"/>
          <w:lang w:val="pt-BR"/>
        </w:rPr>
        <w:t xml:space="preserve"> Conpet formulează plângere împotriva </w:t>
      </w:r>
      <w:r w:rsidRPr="00022D5C">
        <w:rPr>
          <w:rFonts w:ascii="Arial" w:hAnsi="Arial" w:cs="Arial"/>
          <w:bCs/>
          <w:sz w:val="22"/>
          <w:szCs w:val="22"/>
          <w:lang w:val="fr-FR"/>
        </w:rPr>
        <w:t xml:space="preserve">Ordonanței de respingere a plângerii nr. 94/II/2/2018 dispusă în data de 22.05.2018 de prim-procurorul Parchetului de pe lângă Judecătoria Ploiești prin </w:t>
      </w:r>
      <w:r w:rsidRPr="00022D5C">
        <w:rPr>
          <w:rFonts w:ascii="Arial" w:hAnsi="Arial" w:cs="Arial"/>
          <w:bCs/>
          <w:sz w:val="22"/>
          <w:szCs w:val="22"/>
          <w:lang w:val="pt-BR"/>
        </w:rPr>
        <w:t xml:space="preserve">care, în mod gresit, a fost respinsă plângerea Conpet S.A. împotriva </w:t>
      </w:r>
      <w:r w:rsidRPr="00022D5C">
        <w:rPr>
          <w:rFonts w:ascii="Arial" w:hAnsi="Arial" w:cs="Arial"/>
          <w:bCs/>
          <w:sz w:val="22"/>
          <w:szCs w:val="22"/>
          <w:lang w:val="fr-FR"/>
        </w:rPr>
        <w:t xml:space="preserve">Ordonanței de clasare dispusă în data de 29.01.2018 de </w:t>
      </w:r>
      <w:r w:rsidRPr="00022D5C">
        <w:rPr>
          <w:rFonts w:ascii="Arial" w:hAnsi="Arial" w:cs="Arial"/>
          <w:bCs/>
          <w:sz w:val="22"/>
          <w:szCs w:val="22"/>
          <w:lang w:val="pt-BR"/>
        </w:rPr>
        <w:t>Parchetul de pe lângă Judecătoria Ploiești, în dosarul nr. 7598/P/2008, privind săvârșirea infracțiunii de tentativ</w:t>
      </w:r>
      <w:r w:rsidRPr="00022D5C">
        <w:rPr>
          <w:rFonts w:ascii="Arial" w:hAnsi="Arial" w:cs="Arial"/>
          <w:bCs/>
          <w:sz w:val="22"/>
          <w:szCs w:val="22"/>
        </w:rPr>
        <w:t>ă la furt calificat</w:t>
      </w:r>
      <w:r w:rsidRPr="00022D5C">
        <w:rPr>
          <w:rFonts w:ascii="Arial" w:hAnsi="Arial" w:cs="Arial"/>
          <w:bCs/>
          <w:sz w:val="22"/>
          <w:szCs w:val="22"/>
          <w:lang w:val="pt-BR"/>
        </w:rPr>
        <w:t xml:space="preserve">, faptă </w:t>
      </w:r>
      <w:r w:rsidRPr="00022D5C">
        <w:rPr>
          <w:rFonts w:ascii="Arial" w:hAnsi="Arial" w:cs="Arial"/>
          <w:bCs/>
          <w:sz w:val="22"/>
          <w:szCs w:val="22"/>
          <w:lang w:val="it-IT"/>
        </w:rPr>
        <w:t>prevazută de art. 32 rap. la art. 228 alin. 1 – 229 alin. 3 lit. a Cod penal și solicităm desființarea</w:t>
      </w:r>
      <w:r w:rsidRPr="00022D5C">
        <w:rPr>
          <w:rFonts w:ascii="Arial" w:hAnsi="Arial" w:cs="Arial"/>
          <w:b/>
          <w:bCs/>
          <w:sz w:val="22"/>
          <w:szCs w:val="22"/>
          <w:lang w:val="it-IT"/>
        </w:rPr>
        <w:t xml:space="preserve"> </w:t>
      </w:r>
      <w:r w:rsidRPr="00022D5C">
        <w:rPr>
          <w:rFonts w:ascii="Arial" w:hAnsi="Arial" w:cs="Arial"/>
          <w:bCs/>
          <w:sz w:val="22"/>
          <w:szCs w:val="22"/>
          <w:lang w:val="fr-FR"/>
        </w:rPr>
        <w:t>Ordonanțelor</w:t>
      </w:r>
      <w:r w:rsidRPr="00022D5C">
        <w:rPr>
          <w:rFonts w:ascii="Arial" w:hAnsi="Arial" w:cs="Arial"/>
          <w:bCs/>
          <w:sz w:val="22"/>
          <w:szCs w:val="22"/>
          <w:lang w:val="pt-BR"/>
        </w:rPr>
        <w:t xml:space="preserve">, continuarea </w:t>
      </w:r>
      <w:r w:rsidRPr="00022D5C">
        <w:rPr>
          <w:rFonts w:ascii="Arial" w:hAnsi="Arial" w:cs="Arial"/>
          <w:bCs/>
          <w:sz w:val="22"/>
          <w:szCs w:val="22"/>
          <w:lang w:val="it-IT"/>
        </w:rPr>
        <w:t>urmăririi penale și a cercetărilor în vederea identificării infractorilor și tragerii acestora la răspundere penală pentru avarierea, în scopul sustragerii de produs petrolier, a conductei de transport țiței Călăreți - Ploiesti, în zona localității Berceni, județul Prahova, faptă constatată în data de 21.08.2008.</w:t>
      </w:r>
    </w:p>
    <w:p w:rsidR="00C60341" w:rsidRPr="00022D5C" w:rsidRDefault="00C60341" w:rsidP="00C60341">
      <w:pPr>
        <w:jc w:val="both"/>
        <w:rPr>
          <w:rFonts w:ascii="Arial" w:hAnsi="Arial" w:cs="Arial"/>
          <w:bCs/>
          <w:sz w:val="22"/>
          <w:szCs w:val="22"/>
          <w:lang w:val="it-IT"/>
        </w:rPr>
      </w:pPr>
      <w:r w:rsidRPr="00022D5C">
        <w:rPr>
          <w:rFonts w:ascii="Arial" w:hAnsi="Arial" w:cs="Arial"/>
          <w:b/>
          <w:bCs/>
          <w:sz w:val="22"/>
          <w:szCs w:val="22"/>
          <w:lang w:val="it-IT"/>
        </w:rPr>
        <w:t>Precizări:</w:t>
      </w:r>
      <w:r w:rsidRPr="00022D5C">
        <w:rPr>
          <w:rFonts w:ascii="Arial" w:hAnsi="Arial" w:cs="Arial"/>
          <w:bCs/>
          <w:sz w:val="22"/>
          <w:szCs w:val="22"/>
          <w:lang w:val="it-IT"/>
        </w:rPr>
        <w:t xml:space="preserve"> --</w:t>
      </w:r>
    </w:p>
    <w:p w:rsidR="00C60341" w:rsidRPr="00022D5C" w:rsidRDefault="00C60341" w:rsidP="00C60341">
      <w:pPr>
        <w:jc w:val="both"/>
        <w:rPr>
          <w:rFonts w:ascii="Arial" w:hAnsi="Arial" w:cs="Arial"/>
          <w:bCs/>
          <w:sz w:val="22"/>
          <w:szCs w:val="22"/>
          <w:lang w:val="it-IT"/>
        </w:rPr>
      </w:pPr>
      <w:r w:rsidRPr="00022D5C">
        <w:rPr>
          <w:rFonts w:ascii="Arial" w:hAnsi="Arial" w:cs="Arial"/>
          <w:b/>
          <w:bCs/>
          <w:sz w:val="22"/>
          <w:szCs w:val="22"/>
          <w:lang w:val="it-IT"/>
        </w:rPr>
        <w:t>Stadiu procesual:</w:t>
      </w:r>
      <w:r w:rsidRPr="00022D5C">
        <w:rPr>
          <w:rFonts w:ascii="Arial" w:hAnsi="Arial" w:cs="Arial"/>
          <w:bCs/>
          <w:sz w:val="22"/>
          <w:szCs w:val="22"/>
          <w:lang w:val="it-IT"/>
        </w:rPr>
        <w:t xml:space="preserve"> Fond</w:t>
      </w:r>
    </w:p>
    <w:p w:rsidR="00C60341" w:rsidRPr="00022D5C" w:rsidRDefault="00C60341" w:rsidP="00C60341">
      <w:pPr>
        <w:jc w:val="both"/>
        <w:rPr>
          <w:rFonts w:ascii="Arial" w:hAnsi="Arial" w:cs="Arial"/>
          <w:bCs/>
          <w:sz w:val="22"/>
          <w:szCs w:val="22"/>
          <w:lang w:val="it-IT"/>
        </w:rPr>
      </w:pPr>
      <w:r w:rsidRPr="00022D5C">
        <w:rPr>
          <w:rFonts w:ascii="Arial" w:hAnsi="Arial" w:cs="Arial"/>
          <w:b/>
          <w:bCs/>
          <w:sz w:val="22"/>
          <w:szCs w:val="22"/>
          <w:lang w:val="it-IT"/>
        </w:rPr>
        <w:t>Termen:</w:t>
      </w:r>
      <w:r w:rsidRPr="00022D5C">
        <w:rPr>
          <w:rFonts w:ascii="Arial" w:hAnsi="Arial" w:cs="Arial"/>
          <w:bCs/>
          <w:sz w:val="22"/>
          <w:szCs w:val="22"/>
          <w:lang w:val="it-IT"/>
        </w:rPr>
        <w:t xml:space="preserve"> 09.08.2018</w:t>
      </w:r>
    </w:p>
    <w:p w:rsidR="00C60341" w:rsidRPr="00022D5C" w:rsidRDefault="00C60341" w:rsidP="00C60341">
      <w:pPr>
        <w:jc w:val="both"/>
        <w:rPr>
          <w:rFonts w:ascii="Arial" w:hAnsi="Arial" w:cs="Arial"/>
          <w:bCs/>
          <w:sz w:val="22"/>
          <w:szCs w:val="22"/>
        </w:rPr>
      </w:pPr>
    </w:p>
    <w:p w:rsidR="00C60341" w:rsidRPr="00022D5C" w:rsidRDefault="00C60341" w:rsidP="00C60341">
      <w:pPr>
        <w:jc w:val="both"/>
        <w:rPr>
          <w:rFonts w:ascii="Arial" w:hAnsi="Arial" w:cs="Arial"/>
          <w:b/>
          <w:bCs/>
          <w:sz w:val="22"/>
          <w:szCs w:val="22"/>
        </w:rPr>
      </w:pPr>
      <w:r w:rsidRPr="00022D5C">
        <w:rPr>
          <w:rFonts w:ascii="Arial" w:hAnsi="Arial" w:cs="Arial"/>
          <w:b/>
          <w:bCs/>
          <w:sz w:val="22"/>
          <w:szCs w:val="22"/>
        </w:rPr>
        <w:t>45.</w:t>
      </w:r>
      <w:r w:rsidRPr="00022D5C">
        <w:rPr>
          <w:rFonts w:ascii="Arial" w:hAnsi="Arial" w:cs="Arial"/>
          <w:bCs/>
          <w:sz w:val="22"/>
          <w:szCs w:val="22"/>
        </w:rPr>
        <w:t xml:space="preserve"> </w:t>
      </w:r>
      <w:r w:rsidRPr="00022D5C">
        <w:rPr>
          <w:rFonts w:ascii="Arial" w:hAnsi="Arial" w:cs="Arial"/>
          <w:b/>
          <w:bCs/>
          <w:sz w:val="22"/>
          <w:szCs w:val="22"/>
        </w:rPr>
        <w:t>Dosar nr. 13561/281/2018 – Judecătoria Ploiești</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Părți:</w:t>
      </w:r>
      <w:r w:rsidRPr="00022D5C">
        <w:rPr>
          <w:rFonts w:ascii="Arial" w:hAnsi="Arial" w:cs="Arial"/>
          <w:bCs/>
          <w:sz w:val="22"/>
          <w:szCs w:val="22"/>
        </w:rPr>
        <w:t xml:space="preserve"> Conpet – petent</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Parchetul de pe lângă Judecătoria Ploiești - intimat</w:t>
      </w:r>
    </w:p>
    <w:p w:rsidR="00C60341" w:rsidRPr="00022D5C" w:rsidRDefault="00C60341" w:rsidP="00C60341">
      <w:pPr>
        <w:jc w:val="both"/>
        <w:rPr>
          <w:rFonts w:ascii="Arial" w:hAnsi="Arial" w:cs="Arial"/>
          <w:bCs/>
          <w:sz w:val="22"/>
          <w:szCs w:val="22"/>
          <w:lang w:val="it-IT"/>
        </w:rPr>
      </w:pPr>
      <w:r w:rsidRPr="00022D5C">
        <w:rPr>
          <w:rFonts w:ascii="Arial" w:hAnsi="Arial" w:cs="Arial"/>
          <w:b/>
          <w:bCs/>
          <w:sz w:val="22"/>
          <w:szCs w:val="22"/>
          <w:lang w:val="pt-BR"/>
        </w:rPr>
        <w:t>Obiect:</w:t>
      </w:r>
      <w:r w:rsidRPr="00022D5C">
        <w:rPr>
          <w:rFonts w:ascii="Arial" w:hAnsi="Arial" w:cs="Arial"/>
          <w:bCs/>
          <w:sz w:val="22"/>
          <w:szCs w:val="22"/>
          <w:lang w:val="pt-BR"/>
        </w:rPr>
        <w:t xml:space="preserve"> Conpet formulează plângere împotriva </w:t>
      </w:r>
      <w:r w:rsidRPr="00022D5C">
        <w:rPr>
          <w:rFonts w:ascii="Arial" w:hAnsi="Arial" w:cs="Arial"/>
          <w:bCs/>
          <w:sz w:val="22"/>
          <w:szCs w:val="22"/>
          <w:lang w:val="fr-FR"/>
        </w:rPr>
        <w:t xml:space="preserve">Ordonanței de respingere a plângerii nr. 98/II/2/2018 dispusă în data de 21.05.2018 de prim-procurorul Parchetului de pe lângă Judecătoria Ploiești prin </w:t>
      </w:r>
      <w:r w:rsidRPr="00022D5C">
        <w:rPr>
          <w:rFonts w:ascii="Arial" w:hAnsi="Arial" w:cs="Arial"/>
          <w:bCs/>
          <w:sz w:val="22"/>
          <w:szCs w:val="22"/>
          <w:lang w:val="pt-BR"/>
        </w:rPr>
        <w:t xml:space="preserve">care, în mod gresit, a fost respinsă plângerea Conpet S.A. împotriva </w:t>
      </w:r>
      <w:r w:rsidRPr="00022D5C">
        <w:rPr>
          <w:rFonts w:ascii="Arial" w:hAnsi="Arial" w:cs="Arial"/>
          <w:bCs/>
          <w:sz w:val="22"/>
          <w:szCs w:val="22"/>
          <w:lang w:val="fr-FR"/>
        </w:rPr>
        <w:t xml:space="preserve">Ordonanței de clasare dispusă în data de 22.11.2017 de </w:t>
      </w:r>
      <w:r w:rsidRPr="00022D5C">
        <w:rPr>
          <w:rFonts w:ascii="Arial" w:hAnsi="Arial" w:cs="Arial"/>
          <w:bCs/>
          <w:sz w:val="22"/>
          <w:szCs w:val="22"/>
          <w:lang w:val="pt-BR"/>
        </w:rPr>
        <w:t xml:space="preserve">Parchetul de pe lângă Judecătoria Ploiești, în dosarul nr. 8572/P/2012, privind săvârșirea infracțiunii de </w:t>
      </w:r>
      <w:r w:rsidRPr="00022D5C">
        <w:rPr>
          <w:rFonts w:ascii="Arial" w:hAnsi="Arial" w:cs="Arial"/>
          <w:bCs/>
          <w:sz w:val="22"/>
          <w:szCs w:val="22"/>
          <w:lang w:val="it-IT"/>
        </w:rPr>
        <w:t>distrugere prevazută de art. 253 alin. 1 Cod penal și solicită desființarea</w:t>
      </w:r>
      <w:r w:rsidRPr="00022D5C">
        <w:rPr>
          <w:rFonts w:ascii="Arial" w:hAnsi="Arial" w:cs="Arial"/>
          <w:b/>
          <w:bCs/>
          <w:sz w:val="22"/>
          <w:szCs w:val="22"/>
          <w:lang w:val="it-IT"/>
        </w:rPr>
        <w:t xml:space="preserve"> </w:t>
      </w:r>
      <w:r w:rsidRPr="00022D5C">
        <w:rPr>
          <w:rFonts w:ascii="Arial" w:hAnsi="Arial" w:cs="Arial"/>
          <w:bCs/>
          <w:sz w:val="22"/>
          <w:szCs w:val="22"/>
          <w:lang w:val="fr-FR"/>
        </w:rPr>
        <w:t>Ordonanțelor</w:t>
      </w:r>
      <w:r w:rsidRPr="00022D5C">
        <w:rPr>
          <w:rFonts w:ascii="Arial" w:hAnsi="Arial" w:cs="Arial"/>
          <w:bCs/>
          <w:sz w:val="22"/>
          <w:szCs w:val="22"/>
          <w:lang w:val="pt-BR"/>
        </w:rPr>
        <w:t xml:space="preserve">, continuarea </w:t>
      </w:r>
      <w:r w:rsidRPr="00022D5C">
        <w:rPr>
          <w:rFonts w:ascii="Arial" w:hAnsi="Arial" w:cs="Arial"/>
          <w:bCs/>
          <w:sz w:val="22"/>
          <w:szCs w:val="22"/>
          <w:lang w:val="it-IT"/>
        </w:rPr>
        <w:t xml:space="preserve">urmăririi penale și a cercetărilor în vederea identificării infractorilor și tragerii acestora la răspundere penală pentru avarierea </w:t>
      </w:r>
      <w:r w:rsidRPr="00022D5C">
        <w:rPr>
          <w:rFonts w:ascii="Arial" w:hAnsi="Arial" w:cs="Arial"/>
          <w:bCs/>
          <w:sz w:val="22"/>
          <w:szCs w:val="22"/>
        </w:rPr>
        <w:t>î</w:t>
      </w:r>
      <w:r w:rsidRPr="00022D5C">
        <w:rPr>
          <w:rFonts w:ascii="Arial" w:hAnsi="Arial" w:cs="Arial"/>
          <w:bCs/>
          <w:sz w:val="22"/>
          <w:szCs w:val="22"/>
          <w:lang w:val="it-IT"/>
        </w:rPr>
        <w:t xml:space="preserve">n data de 10.07.2012, în scopul sustragerii de gazolină, a conductei Ø 3½" Boldesti - Ploiesti, în zona localității Boldești Scăieni, județul Prahova (prejudiciu 864,68 lei). </w:t>
      </w:r>
    </w:p>
    <w:p w:rsidR="00C60341" w:rsidRPr="00022D5C" w:rsidRDefault="00C60341" w:rsidP="00C60341">
      <w:pPr>
        <w:jc w:val="both"/>
        <w:rPr>
          <w:rFonts w:ascii="Arial" w:hAnsi="Arial" w:cs="Arial"/>
          <w:bCs/>
          <w:sz w:val="22"/>
          <w:szCs w:val="22"/>
          <w:lang w:val="it-IT"/>
        </w:rPr>
      </w:pPr>
      <w:r w:rsidRPr="00022D5C">
        <w:rPr>
          <w:rFonts w:ascii="Arial" w:hAnsi="Arial" w:cs="Arial"/>
          <w:b/>
          <w:bCs/>
          <w:sz w:val="22"/>
          <w:szCs w:val="22"/>
          <w:lang w:val="it-IT"/>
        </w:rPr>
        <w:t>Precizări:</w:t>
      </w:r>
      <w:r w:rsidRPr="00022D5C">
        <w:rPr>
          <w:rFonts w:ascii="Arial" w:hAnsi="Arial" w:cs="Arial"/>
          <w:bCs/>
          <w:sz w:val="22"/>
          <w:szCs w:val="22"/>
          <w:lang w:val="it-IT"/>
        </w:rPr>
        <w:t xml:space="preserve"> --</w:t>
      </w:r>
    </w:p>
    <w:p w:rsidR="00C60341" w:rsidRPr="00022D5C" w:rsidRDefault="00C60341" w:rsidP="00C60341">
      <w:pPr>
        <w:jc w:val="both"/>
        <w:rPr>
          <w:rFonts w:ascii="Arial" w:hAnsi="Arial" w:cs="Arial"/>
          <w:bCs/>
          <w:sz w:val="22"/>
          <w:szCs w:val="22"/>
          <w:lang w:val="it-IT"/>
        </w:rPr>
      </w:pPr>
      <w:r w:rsidRPr="00022D5C">
        <w:rPr>
          <w:rFonts w:ascii="Arial" w:hAnsi="Arial" w:cs="Arial"/>
          <w:b/>
          <w:bCs/>
          <w:sz w:val="22"/>
          <w:szCs w:val="22"/>
          <w:lang w:val="it-IT"/>
        </w:rPr>
        <w:t>Stadiu procesual:</w:t>
      </w:r>
      <w:r w:rsidRPr="00022D5C">
        <w:rPr>
          <w:rFonts w:ascii="Arial" w:hAnsi="Arial" w:cs="Arial"/>
          <w:bCs/>
          <w:sz w:val="22"/>
          <w:szCs w:val="22"/>
          <w:lang w:val="it-IT"/>
        </w:rPr>
        <w:t xml:space="preserve"> Fond</w:t>
      </w:r>
    </w:p>
    <w:p w:rsidR="00C60341" w:rsidRPr="00022D5C" w:rsidRDefault="00C60341" w:rsidP="00C60341">
      <w:pPr>
        <w:jc w:val="both"/>
        <w:rPr>
          <w:rFonts w:ascii="Arial" w:hAnsi="Arial" w:cs="Arial"/>
          <w:bCs/>
          <w:sz w:val="22"/>
          <w:szCs w:val="22"/>
          <w:lang w:val="it-IT"/>
        </w:rPr>
      </w:pPr>
      <w:r w:rsidRPr="00022D5C">
        <w:rPr>
          <w:rFonts w:ascii="Arial" w:hAnsi="Arial" w:cs="Arial"/>
          <w:b/>
          <w:bCs/>
          <w:sz w:val="22"/>
          <w:szCs w:val="22"/>
          <w:lang w:val="it-IT"/>
        </w:rPr>
        <w:t>Termen:</w:t>
      </w:r>
      <w:r w:rsidR="005A1181">
        <w:rPr>
          <w:rFonts w:ascii="Arial" w:hAnsi="Arial" w:cs="Arial"/>
          <w:bCs/>
          <w:sz w:val="22"/>
          <w:szCs w:val="22"/>
          <w:lang w:val="it-IT"/>
        </w:rPr>
        <w:t xml:space="preserve"> 06.09.2018</w:t>
      </w:r>
    </w:p>
    <w:p w:rsidR="00C60341" w:rsidRPr="00022D5C" w:rsidRDefault="00C60341" w:rsidP="00C60341">
      <w:pPr>
        <w:jc w:val="both"/>
        <w:rPr>
          <w:rFonts w:ascii="Arial" w:hAnsi="Arial" w:cs="Arial"/>
          <w:bCs/>
          <w:sz w:val="22"/>
          <w:szCs w:val="22"/>
          <w:lang w:val="it-IT"/>
        </w:rPr>
      </w:pPr>
    </w:p>
    <w:p w:rsidR="00C60341" w:rsidRPr="00022D5C" w:rsidRDefault="00C60341" w:rsidP="00C60341">
      <w:pPr>
        <w:jc w:val="both"/>
        <w:rPr>
          <w:rFonts w:ascii="Arial" w:hAnsi="Arial" w:cs="Arial"/>
          <w:b/>
          <w:bCs/>
          <w:sz w:val="22"/>
          <w:szCs w:val="22"/>
        </w:rPr>
      </w:pPr>
      <w:r w:rsidRPr="00022D5C">
        <w:rPr>
          <w:rFonts w:ascii="Arial" w:hAnsi="Arial" w:cs="Arial"/>
          <w:b/>
          <w:bCs/>
          <w:sz w:val="22"/>
          <w:szCs w:val="22"/>
        </w:rPr>
        <w:t>46. Dosar nr. 14772/281/2018 – Judecătoria Ploiești</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Părți:</w:t>
      </w:r>
      <w:r w:rsidRPr="00022D5C">
        <w:rPr>
          <w:rFonts w:ascii="Arial" w:hAnsi="Arial" w:cs="Arial"/>
          <w:bCs/>
          <w:sz w:val="22"/>
          <w:szCs w:val="22"/>
        </w:rPr>
        <w:t xml:space="preserve"> Conpet SA – reclamant</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Valin Construction Project SRL – pârât</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Obiect:</w:t>
      </w:r>
      <w:r w:rsidRPr="00022D5C">
        <w:rPr>
          <w:rFonts w:ascii="Arial" w:hAnsi="Arial" w:cs="Arial"/>
          <w:bCs/>
          <w:sz w:val="22"/>
          <w:szCs w:val="22"/>
        </w:rPr>
        <w:t xml:space="preserve"> Conpet formulează cerere de chemare în judecată solicitând:</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obligarea pârâtei la plata către Conpet SA a sumei de 529,80 lei conform facturii nr. PH CON FA 3378/26.04.2016, reprezentând contravaloarea închirierii în data de 24.04.2016 a autovehiculului special macara mobilă TATRA cu nr. de înmatriculare PH-58-ZZZ, proprietatea Conpet;</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obligarea pârâtei la plata către Conpet SA a dobânzilor legale penalizatoare în sumă de 114,06 lei, calculate până la data de 02.07.2018, precum și la plata acestora în continuare până la achitarea integrală a debitului;</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obligarea pârâtei la plata cheltuielilor de judecată.</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Precizări:</w:t>
      </w:r>
      <w:r w:rsidRPr="00022D5C">
        <w:rPr>
          <w:rFonts w:ascii="Arial" w:hAnsi="Arial" w:cs="Arial"/>
          <w:bCs/>
          <w:sz w:val="22"/>
          <w:szCs w:val="22"/>
        </w:rPr>
        <w:t xml:space="preserve"> --</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Stadiu procesual</w:t>
      </w:r>
      <w:r w:rsidRPr="00022D5C">
        <w:rPr>
          <w:rFonts w:ascii="Arial" w:hAnsi="Arial" w:cs="Arial"/>
          <w:bCs/>
          <w:sz w:val="22"/>
          <w:szCs w:val="22"/>
        </w:rPr>
        <w:t>: Fond</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Termen:</w:t>
      </w:r>
      <w:r w:rsidRPr="00022D5C">
        <w:rPr>
          <w:rFonts w:ascii="Arial" w:hAnsi="Arial" w:cs="Arial"/>
          <w:bCs/>
          <w:sz w:val="22"/>
          <w:szCs w:val="22"/>
        </w:rPr>
        <w:t xml:space="preserve"> --</w:t>
      </w:r>
    </w:p>
    <w:p w:rsidR="00C60341" w:rsidRPr="00022D5C" w:rsidRDefault="00C60341" w:rsidP="00C60341">
      <w:pPr>
        <w:jc w:val="both"/>
        <w:rPr>
          <w:rFonts w:ascii="Arial" w:hAnsi="Arial" w:cs="Arial"/>
          <w:bCs/>
          <w:sz w:val="22"/>
          <w:szCs w:val="22"/>
        </w:rPr>
      </w:pPr>
    </w:p>
    <w:p w:rsidR="00C60341" w:rsidRDefault="00C60341" w:rsidP="00C60341">
      <w:pPr>
        <w:jc w:val="both"/>
        <w:rPr>
          <w:rFonts w:ascii="Arial" w:hAnsi="Arial" w:cs="Arial"/>
          <w:bCs/>
          <w:sz w:val="22"/>
          <w:szCs w:val="22"/>
        </w:rPr>
      </w:pPr>
    </w:p>
    <w:p w:rsidR="00C964D5" w:rsidRDefault="00C964D5" w:rsidP="00C60341">
      <w:pPr>
        <w:jc w:val="both"/>
        <w:rPr>
          <w:rFonts w:ascii="Arial" w:hAnsi="Arial" w:cs="Arial"/>
          <w:bCs/>
          <w:sz w:val="22"/>
          <w:szCs w:val="22"/>
        </w:rPr>
      </w:pPr>
    </w:p>
    <w:p w:rsidR="00C964D5" w:rsidRDefault="00C964D5" w:rsidP="00C60341">
      <w:pPr>
        <w:jc w:val="both"/>
        <w:rPr>
          <w:rFonts w:ascii="Arial" w:hAnsi="Arial" w:cs="Arial"/>
          <w:bCs/>
          <w:sz w:val="22"/>
          <w:szCs w:val="22"/>
        </w:rPr>
      </w:pPr>
    </w:p>
    <w:p w:rsidR="00C964D5" w:rsidRDefault="00C964D5" w:rsidP="00C60341">
      <w:pPr>
        <w:jc w:val="both"/>
        <w:rPr>
          <w:rFonts w:ascii="Arial" w:hAnsi="Arial" w:cs="Arial"/>
          <w:bCs/>
          <w:sz w:val="22"/>
          <w:szCs w:val="22"/>
        </w:rPr>
      </w:pPr>
    </w:p>
    <w:p w:rsidR="00C964D5" w:rsidRDefault="00C964D5" w:rsidP="00C60341">
      <w:pPr>
        <w:jc w:val="both"/>
        <w:rPr>
          <w:rFonts w:ascii="Arial" w:hAnsi="Arial" w:cs="Arial"/>
          <w:bCs/>
          <w:sz w:val="22"/>
          <w:szCs w:val="22"/>
        </w:rPr>
      </w:pPr>
    </w:p>
    <w:p w:rsidR="00C964D5" w:rsidRDefault="00C964D5" w:rsidP="00C60341">
      <w:pPr>
        <w:jc w:val="both"/>
        <w:rPr>
          <w:rFonts w:ascii="Arial" w:hAnsi="Arial" w:cs="Arial"/>
          <w:bCs/>
          <w:sz w:val="22"/>
          <w:szCs w:val="22"/>
        </w:rPr>
      </w:pPr>
    </w:p>
    <w:p w:rsidR="00C964D5" w:rsidRDefault="00C964D5" w:rsidP="00C60341">
      <w:pPr>
        <w:jc w:val="both"/>
        <w:rPr>
          <w:rFonts w:ascii="Arial" w:hAnsi="Arial" w:cs="Arial"/>
          <w:bCs/>
          <w:sz w:val="22"/>
          <w:szCs w:val="22"/>
        </w:rPr>
      </w:pPr>
    </w:p>
    <w:p w:rsidR="00C964D5" w:rsidRPr="00022D5C" w:rsidRDefault="00C964D5" w:rsidP="00C60341">
      <w:pPr>
        <w:jc w:val="both"/>
        <w:rPr>
          <w:rFonts w:ascii="Arial" w:hAnsi="Arial" w:cs="Arial"/>
          <w:bCs/>
          <w:sz w:val="22"/>
          <w:szCs w:val="22"/>
        </w:rPr>
      </w:pPr>
    </w:p>
    <w:p w:rsidR="00C60341" w:rsidRPr="00022D5C" w:rsidRDefault="00C964D5" w:rsidP="00C60341">
      <w:pPr>
        <w:spacing w:after="200" w:line="276" w:lineRule="auto"/>
        <w:jc w:val="both"/>
        <w:rPr>
          <w:rFonts w:ascii="Arial" w:eastAsia="Calibri" w:hAnsi="Arial" w:cs="Arial"/>
          <w:sz w:val="22"/>
          <w:szCs w:val="22"/>
        </w:rPr>
      </w:pPr>
      <w:r>
        <w:rPr>
          <w:rFonts w:ascii="Arial" w:eastAsia="Calibri" w:hAnsi="Arial" w:cs="Arial"/>
          <w:b/>
          <w:sz w:val="22"/>
          <w:szCs w:val="22"/>
        </w:rPr>
        <w:lastRenderedPageBreak/>
        <w:t>B) LITIGII Î</w:t>
      </w:r>
      <w:r w:rsidR="00C60341" w:rsidRPr="00022D5C">
        <w:rPr>
          <w:rFonts w:ascii="Arial" w:eastAsia="Calibri" w:hAnsi="Arial" w:cs="Arial"/>
          <w:b/>
          <w:sz w:val="22"/>
          <w:szCs w:val="22"/>
        </w:rPr>
        <w:t>N CARE SOCIETATEA CONPET S.A. ARE CALITATEA DE PÂRÂTĂ</w:t>
      </w:r>
      <w:r w:rsidR="00C60341" w:rsidRPr="00022D5C">
        <w:rPr>
          <w:rFonts w:ascii="Arial" w:eastAsia="Calibri" w:hAnsi="Arial" w:cs="Arial"/>
          <w:sz w:val="22"/>
          <w:szCs w:val="22"/>
        </w:rPr>
        <w:t>:</w:t>
      </w:r>
    </w:p>
    <w:p w:rsidR="00C60341" w:rsidRPr="00022D5C" w:rsidRDefault="00C60341" w:rsidP="00C60341">
      <w:pPr>
        <w:jc w:val="both"/>
        <w:rPr>
          <w:rFonts w:ascii="Arial" w:hAnsi="Arial" w:cs="Arial"/>
          <w:b/>
          <w:sz w:val="22"/>
          <w:szCs w:val="22"/>
          <w:lang w:val="it-IT"/>
        </w:rPr>
      </w:pPr>
      <w:r w:rsidRPr="00022D5C">
        <w:rPr>
          <w:rFonts w:ascii="Arial" w:hAnsi="Arial" w:cs="Arial"/>
          <w:b/>
          <w:sz w:val="22"/>
          <w:szCs w:val="22"/>
          <w:lang w:val="it-IT"/>
        </w:rPr>
        <w:t xml:space="preserve">1. Dosar nr. 8296/281/2007 – Judecătoria Ploiești </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Părți :</w:t>
      </w:r>
      <w:r w:rsidRPr="00022D5C">
        <w:rPr>
          <w:rFonts w:ascii="Arial" w:hAnsi="Arial" w:cs="Arial"/>
          <w:sz w:val="22"/>
          <w:szCs w:val="22"/>
          <w:lang w:val="it-IT"/>
        </w:rPr>
        <w:t xml:space="preserve"> Cornea Rodica Aurora – reclamant</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lang w:val="it-IT"/>
        </w:rPr>
        <w:t xml:space="preserve">Conpet S.A., Petrotrans S.A., Regionala Transgaz București, Ministerul Finanțelor – pârâți             </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Obiect :</w:t>
      </w:r>
      <w:r w:rsidRPr="00022D5C">
        <w:rPr>
          <w:rFonts w:ascii="Arial" w:hAnsi="Arial" w:cs="Arial"/>
          <w:sz w:val="22"/>
          <w:szCs w:val="22"/>
          <w:lang w:val="it-IT"/>
        </w:rPr>
        <w:t xml:space="preserve"> Cornea Rodica Aurora solicită obligarea în solidar a pârâtelor la plata de despăgubiri civile în sumă de 74.000 euro reprezentând prejudiciul produs prin prezența unor conducte ce aparțin pârâtelor în subsolul, proprietatea reclamantei și la plata de despăgubiri civile evaluate provizoriu la suma de 10.000 lei pentru perioada februarie 2004 – februarie 2006 ca urmare a folosirii unor conducte ce au traversat proprietatea reclamantei.</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Precizări:</w:t>
      </w:r>
      <w:r w:rsidRPr="00022D5C">
        <w:rPr>
          <w:rFonts w:ascii="Arial" w:hAnsi="Arial" w:cs="Arial"/>
          <w:sz w:val="22"/>
          <w:szCs w:val="22"/>
          <w:lang w:val="it-IT"/>
        </w:rPr>
        <w:t xml:space="preserve"> Cauza este suspendată în baza art. 36 din Legea nr. 85/2006.</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Stadiu procesual:</w:t>
      </w:r>
      <w:r w:rsidRPr="00022D5C">
        <w:rPr>
          <w:rFonts w:ascii="Arial" w:hAnsi="Arial" w:cs="Arial"/>
          <w:sz w:val="22"/>
          <w:szCs w:val="22"/>
          <w:lang w:val="it-IT"/>
        </w:rPr>
        <w:t xml:space="preserve"> Fond</w:t>
      </w:r>
    </w:p>
    <w:p w:rsidR="00C60341" w:rsidRPr="00022D5C" w:rsidRDefault="00C60341" w:rsidP="00C60341">
      <w:pPr>
        <w:jc w:val="both"/>
        <w:rPr>
          <w:rFonts w:ascii="Arial" w:hAnsi="Arial" w:cs="Arial"/>
          <w:b/>
          <w:sz w:val="22"/>
          <w:szCs w:val="22"/>
          <w:lang w:val="it-IT"/>
        </w:rPr>
      </w:pPr>
    </w:p>
    <w:p w:rsidR="00C60341" w:rsidRPr="00022D5C" w:rsidRDefault="00C60341" w:rsidP="00C60341">
      <w:pPr>
        <w:jc w:val="both"/>
        <w:rPr>
          <w:rFonts w:ascii="Arial" w:hAnsi="Arial" w:cs="Arial"/>
          <w:b/>
          <w:sz w:val="22"/>
          <w:szCs w:val="22"/>
          <w:lang w:val="it-IT"/>
        </w:rPr>
      </w:pPr>
      <w:r w:rsidRPr="00022D5C">
        <w:rPr>
          <w:rFonts w:ascii="Arial" w:hAnsi="Arial" w:cs="Arial"/>
          <w:b/>
          <w:sz w:val="22"/>
          <w:szCs w:val="22"/>
          <w:lang w:val="it-IT"/>
        </w:rPr>
        <w:t xml:space="preserve">2. Dosar nr. 8297/281/2007 – Judecătoria Ploiești </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Parti :</w:t>
      </w:r>
      <w:r w:rsidRPr="00022D5C">
        <w:rPr>
          <w:rFonts w:ascii="Arial" w:hAnsi="Arial" w:cs="Arial"/>
          <w:sz w:val="22"/>
          <w:szCs w:val="22"/>
          <w:lang w:val="it-IT"/>
        </w:rPr>
        <w:t xml:space="preserve"> Rusu Mihaela – reclamant</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lang w:val="it-IT"/>
        </w:rPr>
        <w:t xml:space="preserve">Conpet S.A., Petrotrans S.A., Regionala Transgaz Bucuresti, Ministerul Finanțelor – pârâți             </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Obiect :</w:t>
      </w:r>
      <w:r w:rsidRPr="00022D5C">
        <w:rPr>
          <w:rFonts w:ascii="Arial" w:hAnsi="Arial" w:cs="Arial"/>
          <w:sz w:val="22"/>
          <w:szCs w:val="22"/>
          <w:lang w:val="it-IT"/>
        </w:rPr>
        <w:t xml:space="preserve"> Rusu Mihaela solicită obligarea în solidar a pârâtelor la plata de despăgubiri civile în sumă de 74.000 euro reprezentând prejudiciul produs prin prezența unor conducte ce aparțin pârâtelor în subsolul, proprietatea reclamantei.</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Precizări:</w:t>
      </w:r>
      <w:r w:rsidRPr="00022D5C">
        <w:rPr>
          <w:rFonts w:ascii="Arial" w:hAnsi="Arial" w:cs="Arial"/>
          <w:sz w:val="22"/>
          <w:szCs w:val="22"/>
          <w:lang w:val="it-IT"/>
        </w:rPr>
        <w:t xml:space="preserve"> Cauza este suspendată în baza art. 36 din Legea nr. 85/2006.</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Stadiu procesual:</w:t>
      </w:r>
      <w:r w:rsidRPr="00022D5C">
        <w:rPr>
          <w:rFonts w:ascii="Arial" w:hAnsi="Arial" w:cs="Arial"/>
          <w:sz w:val="22"/>
          <w:szCs w:val="22"/>
          <w:lang w:val="it-IT"/>
        </w:rPr>
        <w:t xml:space="preserve"> Fond</w:t>
      </w:r>
    </w:p>
    <w:p w:rsidR="00C60341" w:rsidRPr="00022D5C" w:rsidRDefault="00C60341" w:rsidP="00C60341">
      <w:pPr>
        <w:jc w:val="both"/>
        <w:rPr>
          <w:rFonts w:ascii="Arial" w:hAnsi="Arial" w:cs="Arial"/>
          <w:b/>
          <w:sz w:val="22"/>
          <w:szCs w:val="22"/>
          <w:lang w:val="it-IT"/>
        </w:rPr>
      </w:pPr>
    </w:p>
    <w:p w:rsidR="00C60341" w:rsidRPr="00022D5C" w:rsidRDefault="00C60341" w:rsidP="00C60341">
      <w:pPr>
        <w:jc w:val="both"/>
        <w:rPr>
          <w:rFonts w:ascii="Arial" w:hAnsi="Arial" w:cs="Arial"/>
          <w:b/>
          <w:sz w:val="22"/>
          <w:szCs w:val="22"/>
          <w:lang w:val="it-IT"/>
        </w:rPr>
      </w:pPr>
    </w:p>
    <w:p w:rsidR="00C60341" w:rsidRPr="00022D5C" w:rsidRDefault="00C60341" w:rsidP="00C60341">
      <w:pPr>
        <w:jc w:val="both"/>
        <w:rPr>
          <w:rFonts w:ascii="Arial" w:hAnsi="Arial" w:cs="Arial"/>
          <w:b/>
          <w:sz w:val="22"/>
          <w:szCs w:val="22"/>
          <w:lang w:val="it-IT"/>
        </w:rPr>
      </w:pPr>
      <w:r w:rsidRPr="00022D5C">
        <w:rPr>
          <w:rFonts w:ascii="Arial" w:hAnsi="Arial" w:cs="Arial"/>
          <w:b/>
          <w:sz w:val="22"/>
          <w:szCs w:val="22"/>
          <w:lang w:val="it-IT"/>
        </w:rPr>
        <w:t xml:space="preserve">3. Dosar nr. 2378/105/2009 – Tribunalul Prahova </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 xml:space="preserve">Parti: </w:t>
      </w:r>
      <w:r w:rsidRPr="00022D5C">
        <w:rPr>
          <w:rFonts w:ascii="Arial" w:hAnsi="Arial" w:cs="Arial"/>
          <w:sz w:val="22"/>
          <w:szCs w:val="22"/>
          <w:lang w:val="it-IT"/>
        </w:rPr>
        <w:t>Cojocaru Irinel</w:t>
      </w:r>
      <w:r w:rsidRPr="00022D5C">
        <w:rPr>
          <w:rFonts w:ascii="Arial" w:hAnsi="Arial" w:cs="Arial"/>
          <w:b/>
          <w:sz w:val="22"/>
          <w:szCs w:val="22"/>
          <w:lang w:val="it-IT"/>
        </w:rPr>
        <w:t xml:space="preserve"> (</w:t>
      </w:r>
      <w:r w:rsidRPr="00022D5C">
        <w:rPr>
          <w:rFonts w:ascii="Arial" w:hAnsi="Arial" w:cs="Arial"/>
          <w:sz w:val="22"/>
          <w:szCs w:val="22"/>
          <w:lang w:val="it-IT"/>
        </w:rPr>
        <w:t xml:space="preserve">Bojboiu Marilena) - reclamant </w:t>
      </w:r>
    </w:p>
    <w:p w:rsidR="00C60341" w:rsidRPr="00022D5C" w:rsidRDefault="00C60341" w:rsidP="00C60341">
      <w:pPr>
        <w:jc w:val="both"/>
        <w:rPr>
          <w:rFonts w:ascii="Arial" w:hAnsi="Arial" w:cs="Arial"/>
          <w:sz w:val="22"/>
          <w:szCs w:val="22"/>
        </w:rPr>
      </w:pPr>
      <w:r w:rsidRPr="00022D5C">
        <w:rPr>
          <w:rFonts w:ascii="Arial" w:hAnsi="Arial" w:cs="Arial"/>
          <w:sz w:val="22"/>
          <w:szCs w:val="22"/>
        </w:rPr>
        <w:t>Conpet S.A.</w:t>
      </w:r>
      <w:r w:rsidRPr="00022D5C">
        <w:rPr>
          <w:rFonts w:ascii="Arial" w:hAnsi="Arial" w:cs="Arial"/>
          <w:b/>
          <w:sz w:val="22"/>
          <w:szCs w:val="22"/>
        </w:rPr>
        <w:t xml:space="preserve"> – </w:t>
      </w:r>
      <w:r w:rsidRPr="00022D5C">
        <w:rPr>
          <w:rFonts w:ascii="Arial" w:hAnsi="Arial" w:cs="Arial"/>
          <w:sz w:val="22"/>
          <w:szCs w:val="22"/>
        </w:rPr>
        <w:t xml:space="preserve">pârât </w:t>
      </w:r>
    </w:p>
    <w:p w:rsidR="00C60341" w:rsidRPr="00022D5C" w:rsidRDefault="00C60341" w:rsidP="00C60341">
      <w:pPr>
        <w:jc w:val="both"/>
        <w:rPr>
          <w:rFonts w:ascii="Arial" w:hAnsi="Arial" w:cs="Arial"/>
          <w:b/>
          <w:sz w:val="22"/>
          <w:szCs w:val="22"/>
        </w:rPr>
      </w:pPr>
      <w:r w:rsidRPr="00022D5C">
        <w:rPr>
          <w:rFonts w:ascii="Arial" w:hAnsi="Arial" w:cs="Arial"/>
          <w:b/>
          <w:sz w:val="22"/>
          <w:szCs w:val="22"/>
          <w:lang w:val="it-IT"/>
        </w:rPr>
        <w:t xml:space="preserve">Obiect: </w:t>
      </w:r>
      <w:r w:rsidRPr="00022D5C">
        <w:rPr>
          <w:rFonts w:ascii="Arial" w:hAnsi="Arial" w:cs="Arial"/>
          <w:sz w:val="22"/>
          <w:szCs w:val="22"/>
          <w:lang w:val="it-IT"/>
        </w:rPr>
        <w:t>Bojboiu Marilena formulează cerere de chemare în judecată solicitând:</w:t>
      </w:r>
    </w:p>
    <w:p w:rsidR="00C60341" w:rsidRPr="00022D5C" w:rsidRDefault="00C60341" w:rsidP="00170D7E">
      <w:pPr>
        <w:widowControl/>
        <w:numPr>
          <w:ilvl w:val="0"/>
          <w:numId w:val="46"/>
        </w:numPr>
        <w:autoSpaceDE/>
        <w:autoSpaceDN/>
        <w:adjustRightInd/>
        <w:jc w:val="both"/>
        <w:rPr>
          <w:rFonts w:ascii="Arial" w:hAnsi="Arial" w:cs="Arial"/>
          <w:sz w:val="22"/>
          <w:szCs w:val="22"/>
          <w:lang w:val="it-IT"/>
        </w:rPr>
      </w:pPr>
      <w:r w:rsidRPr="00022D5C">
        <w:rPr>
          <w:rFonts w:ascii="Arial" w:hAnsi="Arial" w:cs="Arial"/>
          <w:sz w:val="22"/>
          <w:szCs w:val="22"/>
          <w:lang w:val="it-IT"/>
        </w:rPr>
        <w:t xml:space="preserve">obligarea Conpet S.A. la lăsarea în deplină proprietate și posesie terenul în suprafață de 2.500 mp, </w:t>
      </w:r>
      <w:r w:rsidRPr="00022D5C">
        <w:rPr>
          <w:rFonts w:ascii="Arial" w:hAnsi="Arial" w:cs="Arial"/>
          <w:b/>
          <w:sz w:val="22"/>
          <w:szCs w:val="22"/>
          <w:lang w:val="it-IT"/>
        </w:rPr>
        <w:t>(</w:t>
      </w:r>
      <w:r w:rsidRPr="00022D5C">
        <w:rPr>
          <w:rFonts w:ascii="Arial" w:hAnsi="Arial" w:cs="Arial"/>
          <w:b/>
          <w:sz w:val="22"/>
          <w:szCs w:val="22"/>
          <w:lang w:val="fr-FR"/>
        </w:rPr>
        <w:t xml:space="preserve">551.518 </w:t>
      </w:r>
      <w:r w:rsidRPr="00022D5C">
        <w:rPr>
          <w:rFonts w:ascii="Arial" w:hAnsi="Arial" w:cs="Arial"/>
          <w:b/>
          <w:sz w:val="22"/>
          <w:szCs w:val="22"/>
        </w:rPr>
        <w:t>RON</w:t>
      </w:r>
      <w:r w:rsidRPr="00022D5C">
        <w:rPr>
          <w:rFonts w:ascii="Arial" w:hAnsi="Arial" w:cs="Arial"/>
          <w:b/>
          <w:sz w:val="22"/>
          <w:szCs w:val="22"/>
          <w:lang w:val="fr-FR"/>
        </w:rPr>
        <w:t xml:space="preserve"> – contravaloare 2.500 mp teren</w:t>
      </w:r>
      <w:r w:rsidRPr="00022D5C">
        <w:rPr>
          <w:rFonts w:ascii="Arial" w:hAnsi="Arial" w:cs="Arial"/>
          <w:b/>
          <w:sz w:val="22"/>
          <w:szCs w:val="22"/>
          <w:lang w:val="it-IT"/>
        </w:rPr>
        <w:t xml:space="preserve"> ) </w:t>
      </w:r>
      <w:r w:rsidRPr="00022D5C">
        <w:rPr>
          <w:rFonts w:ascii="Arial" w:hAnsi="Arial" w:cs="Arial"/>
          <w:sz w:val="22"/>
          <w:szCs w:val="22"/>
          <w:lang w:val="it-IT"/>
        </w:rPr>
        <w:t>situat în Ploiești, str. Rezervoarelor, F.N., aflat în proprietatea sa exclusivă;</w:t>
      </w:r>
    </w:p>
    <w:p w:rsidR="00C60341" w:rsidRPr="00022D5C" w:rsidRDefault="00C60341" w:rsidP="00170D7E">
      <w:pPr>
        <w:widowControl/>
        <w:numPr>
          <w:ilvl w:val="0"/>
          <w:numId w:val="46"/>
        </w:numPr>
        <w:autoSpaceDE/>
        <w:autoSpaceDN/>
        <w:adjustRightInd/>
        <w:jc w:val="both"/>
        <w:rPr>
          <w:rFonts w:ascii="Arial" w:hAnsi="Arial" w:cs="Arial"/>
          <w:sz w:val="22"/>
          <w:szCs w:val="22"/>
          <w:lang w:val="it-IT"/>
        </w:rPr>
      </w:pPr>
      <w:r w:rsidRPr="00022D5C">
        <w:rPr>
          <w:rFonts w:ascii="Arial" w:hAnsi="Arial" w:cs="Arial"/>
          <w:sz w:val="22"/>
          <w:szCs w:val="22"/>
          <w:lang w:val="it-IT"/>
        </w:rPr>
        <w:t>stabilirea liniilor de hotar între terenul proprietatea sa și proprietățile vecine;</w:t>
      </w:r>
    </w:p>
    <w:p w:rsidR="00C60341" w:rsidRPr="00022D5C" w:rsidRDefault="00C60341" w:rsidP="00170D7E">
      <w:pPr>
        <w:widowControl/>
        <w:numPr>
          <w:ilvl w:val="0"/>
          <w:numId w:val="46"/>
        </w:numPr>
        <w:autoSpaceDE/>
        <w:autoSpaceDN/>
        <w:adjustRightInd/>
        <w:jc w:val="both"/>
        <w:rPr>
          <w:rFonts w:ascii="Arial" w:hAnsi="Arial" w:cs="Arial"/>
          <w:sz w:val="22"/>
          <w:szCs w:val="22"/>
          <w:lang w:val="it-IT"/>
        </w:rPr>
      </w:pPr>
      <w:r w:rsidRPr="00022D5C">
        <w:rPr>
          <w:rFonts w:ascii="Arial" w:hAnsi="Arial" w:cs="Arial"/>
          <w:sz w:val="22"/>
          <w:szCs w:val="22"/>
          <w:lang w:val="it-IT"/>
        </w:rPr>
        <w:t>cheltuieli de judecată;</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lang w:val="it-IT"/>
        </w:rPr>
        <w:t>Reclamanta și-a precizat cererea în sensul că în situația în care instanța nu va admite capătul principal de  cerere, instanța să dispună:</w:t>
      </w:r>
    </w:p>
    <w:p w:rsidR="00C60341" w:rsidRPr="00022D5C" w:rsidRDefault="00C60341" w:rsidP="00170D7E">
      <w:pPr>
        <w:widowControl/>
        <w:numPr>
          <w:ilvl w:val="0"/>
          <w:numId w:val="46"/>
        </w:numPr>
        <w:autoSpaceDE/>
        <w:autoSpaceDN/>
        <w:adjustRightInd/>
        <w:jc w:val="both"/>
        <w:rPr>
          <w:rFonts w:ascii="Arial" w:hAnsi="Arial" w:cs="Arial"/>
          <w:sz w:val="22"/>
          <w:szCs w:val="22"/>
          <w:lang w:val="it-IT"/>
        </w:rPr>
      </w:pPr>
      <w:r w:rsidRPr="00022D5C">
        <w:rPr>
          <w:rFonts w:ascii="Arial" w:hAnsi="Arial" w:cs="Arial"/>
          <w:sz w:val="22"/>
          <w:szCs w:val="22"/>
          <w:lang w:val="it-IT"/>
        </w:rPr>
        <w:t xml:space="preserve">obligarea Conpet la plata unei despăgubiri corespunzătoare valorii de înlocuire și de circulație a terenului în suprafață de 2.500 mp, și în subsidiar, </w:t>
      </w:r>
    </w:p>
    <w:p w:rsidR="00C60341" w:rsidRPr="00022D5C" w:rsidRDefault="00C60341" w:rsidP="00170D7E">
      <w:pPr>
        <w:widowControl/>
        <w:numPr>
          <w:ilvl w:val="0"/>
          <w:numId w:val="46"/>
        </w:numPr>
        <w:autoSpaceDE/>
        <w:autoSpaceDN/>
        <w:adjustRightInd/>
        <w:jc w:val="both"/>
        <w:rPr>
          <w:rFonts w:ascii="Arial" w:hAnsi="Arial" w:cs="Arial"/>
          <w:sz w:val="22"/>
          <w:szCs w:val="22"/>
          <w:lang w:val="it-IT"/>
        </w:rPr>
      </w:pPr>
      <w:r w:rsidRPr="00022D5C">
        <w:rPr>
          <w:rFonts w:ascii="Arial" w:hAnsi="Arial" w:cs="Arial"/>
          <w:sz w:val="22"/>
          <w:szCs w:val="22"/>
          <w:lang w:val="it-IT"/>
        </w:rPr>
        <w:t>instituirea unui drept de superficie în favoarea pârâtei și obligarea acesteia la plata lunară a lipsei de folosință pentru terenul menționat anterior, conform unei chirii care va fi stabilită la valoarea de circulație a terenului.</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Notă:</w:t>
      </w:r>
      <w:r w:rsidRPr="00022D5C">
        <w:rPr>
          <w:rFonts w:ascii="Arial" w:hAnsi="Arial" w:cs="Arial"/>
          <w:sz w:val="22"/>
          <w:szCs w:val="22"/>
          <w:lang w:val="it-IT"/>
        </w:rPr>
        <w:t xml:space="preserve"> Reclamantul Cojocaru Irinel a cumpărat drepturile litigioase de la fosta reclamantă Bojboiu Marilena. Prin urmare, reclamant a rămas doar Cojocaru Irinel. </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 xml:space="preserve">Precizări: </w:t>
      </w:r>
      <w:r w:rsidRPr="00022D5C">
        <w:rPr>
          <w:rFonts w:ascii="Arial" w:hAnsi="Arial" w:cs="Arial"/>
          <w:sz w:val="22"/>
          <w:szCs w:val="22"/>
          <w:lang w:val="it-IT"/>
        </w:rPr>
        <w:t>Prin încheierea din data de 24.05.2011 instanța a suspendat cauza în temeiul art. 244 alin. 1 C.proc.civ. La 22.10.2014 dosarul a fost repus pe rol.</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rPr>
        <w:t xml:space="preserve">Prin </w:t>
      </w:r>
      <w:r w:rsidRPr="00022D5C">
        <w:rPr>
          <w:rFonts w:ascii="Arial" w:hAnsi="Arial" w:cs="Arial"/>
          <w:b/>
          <w:sz w:val="22"/>
          <w:szCs w:val="22"/>
        </w:rPr>
        <w:t>sentința nr. 5872/18.12.2017</w:t>
      </w:r>
      <w:r w:rsidRPr="00022D5C">
        <w:rPr>
          <w:rFonts w:ascii="Arial" w:hAnsi="Arial" w:cs="Arial"/>
          <w:sz w:val="22"/>
          <w:szCs w:val="22"/>
        </w:rPr>
        <w:t xml:space="preserve"> Tribunalul Prahova respinge acţiunea, ca neîntemeiată. Hotărârea poate fi atacată cu recurs după comunicare.</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Stadiu procesual:</w:t>
      </w:r>
      <w:r w:rsidRPr="00022D5C">
        <w:rPr>
          <w:rFonts w:ascii="Arial" w:hAnsi="Arial" w:cs="Arial"/>
          <w:sz w:val="22"/>
          <w:szCs w:val="22"/>
          <w:lang w:val="it-IT"/>
        </w:rPr>
        <w:t xml:space="preserve"> --</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Termen:</w:t>
      </w:r>
      <w:r w:rsidRPr="00022D5C">
        <w:rPr>
          <w:rFonts w:ascii="Arial" w:hAnsi="Arial" w:cs="Arial"/>
          <w:sz w:val="22"/>
          <w:szCs w:val="22"/>
          <w:lang w:val="it-IT"/>
        </w:rPr>
        <w:t xml:space="preserve"> --</w:t>
      </w:r>
    </w:p>
    <w:p w:rsidR="00C60341" w:rsidRPr="00022D5C" w:rsidRDefault="00C60341" w:rsidP="00C60341">
      <w:pPr>
        <w:jc w:val="both"/>
        <w:rPr>
          <w:rFonts w:ascii="Arial" w:hAnsi="Arial" w:cs="Arial"/>
          <w:sz w:val="22"/>
          <w:szCs w:val="22"/>
          <w:lang w:val="it-IT"/>
        </w:rPr>
      </w:pPr>
    </w:p>
    <w:p w:rsidR="00C60341" w:rsidRPr="00022D5C" w:rsidRDefault="00C60341" w:rsidP="00C60341">
      <w:pPr>
        <w:jc w:val="both"/>
        <w:rPr>
          <w:rFonts w:ascii="Arial" w:hAnsi="Arial" w:cs="Arial"/>
          <w:b/>
          <w:sz w:val="22"/>
          <w:szCs w:val="22"/>
          <w:lang w:val="it-IT"/>
        </w:rPr>
      </w:pPr>
      <w:r w:rsidRPr="00022D5C">
        <w:rPr>
          <w:rFonts w:ascii="Arial" w:hAnsi="Arial" w:cs="Arial"/>
          <w:b/>
          <w:sz w:val="22"/>
          <w:szCs w:val="22"/>
          <w:lang w:val="it-IT"/>
        </w:rPr>
        <w:t xml:space="preserve">4. Dosar nr. 6544/105/2011* - Tribunalul Prahova </w:t>
      </w:r>
    </w:p>
    <w:p w:rsidR="00C60341" w:rsidRPr="00022D5C" w:rsidRDefault="00C60341" w:rsidP="00C60341">
      <w:pPr>
        <w:jc w:val="both"/>
        <w:rPr>
          <w:rFonts w:ascii="Arial" w:hAnsi="Arial" w:cs="Arial"/>
          <w:sz w:val="22"/>
          <w:szCs w:val="22"/>
          <w:lang w:val="pt-BR"/>
        </w:rPr>
      </w:pPr>
      <w:r w:rsidRPr="00022D5C">
        <w:rPr>
          <w:rFonts w:ascii="Arial" w:hAnsi="Arial" w:cs="Arial"/>
          <w:b/>
          <w:sz w:val="22"/>
          <w:szCs w:val="22"/>
          <w:lang w:val="pt-BR"/>
        </w:rPr>
        <w:t>Părți:</w:t>
      </w:r>
      <w:r w:rsidRPr="00022D5C">
        <w:rPr>
          <w:rFonts w:ascii="Arial" w:hAnsi="Arial" w:cs="Arial"/>
          <w:sz w:val="22"/>
          <w:szCs w:val="22"/>
          <w:lang w:val="pt-BR"/>
        </w:rPr>
        <w:t>. Conpet S.A. - pârât</w:t>
      </w:r>
    </w:p>
    <w:p w:rsidR="00C60341" w:rsidRPr="00022D5C" w:rsidRDefault="00C60341" w:rsidP="00C60341">
      <w:pPr>
        <w:jc w:val="both"/>
        <w:rPr>
          <w:rFonts w:ascii="Arial" w:hAnsi="Arial" w:cs="Arial"/>
          <w:sz w:val="22"/>
          <w:szCs w:val="22"/>
          <w:lang w:val="pt-BR"/>
        </w:rPr>
      </w:pPr>
      <w:r w:rsidRPr="00022D5C">
        <w:rPr>
          <w:rFonts w:ascii="Arial" w:hAnsi="Arial" w:cs="Arial"/>
          <w:sz w:val="22"/>
          <w:szCs w:val="22"/>
          <w:lang w:val="pt-BR"/>
        </w:rPr>
        <w:t>ICIM S.A. - pârât</w:t>
      </w:r>
    </w:p>
    <w:p w:rsidR="00C60341" w:rsidRPr="00022D5C" w:rsidRDefault="00C60341" w:rsidP="00C60341">
      <w:pPr>
        <w:jc w:val="both"/>
        <w:rPr>
          <w:rFonts w:ascii="Arial" w:hAnsi="Arial" w:cs="Arial"/>
          <w:sz w:val="22"/>
          <w:szCs w:val="22"/>
          <w:lang w:val="pt-BR"/>
        </w:rPr>
      </w:pPr>
      <w:r w:rsidRPr="00022D5C">
        <w:rPr>
          <w:rFonts w:ascii="Arial" w:hAnsi="Arial" w:cs="Arial"/>
          <w:sz w:val="22"/>
          <w:szCs w:val="22"/>
          <w:lang w:val="pt-BR"/>
        </w:rPr>
        <w:t xml:space="preserve">E.T.H. Arhitectural Systeme S.R.L. prin lichidator judiciar Societatea Dăscălescu &amp; Co – reclamant </w:t>
      </w:r>
    </w:p>
    <w:p w:rsidR="00C60341" w:rsidRPr="00022D5C" w:rsidRDefault="00C60341" w:rsidP="00C60341">
      <w:pPr>
        <w:jc w:val="both"/>
        <w:rPr>
          <w:rFonts w:ascii="Arial" w:hAnsi="Arial" w:cs="Arial"/>
          <w:sz w:val="22"/>
          <w:szCs w:val="22"/>
          <w:lang w:val="pt-BR"/>
        </w:rPr>
      </w:pPr>
      <w:r w:rsidRPr="00022D5C">
        <w:rPr>
          <w:rFonts w:ascii="Arial" w:hAnsi="Arial" w:cs="Arial"/>
          <w:b/>
          <w:sz w:val="22"/>
          <w:szCs w:val="22"/>
          <w:lang w:val="pt-BR"/>
        </w:rPr>
        <w:t>Obiect:</w:t>
      </w:r>
      <w:r w:rsidRPr="00022D5C">
        <w:rPr>
          <w:rFonts w:ascii="Arial" w:hAnsi="Arial" w:cs="Arial"/>
          <w:sz w:val="22"/>
          <w:szCs w:val="22"/>
          <w:lang w:val="pt-BR"/>
        </w:rPr>
        <w:t xml:space="preserve">  </w:t>
      </w:r>
      <w:r w:rsidRPr="00022D5C">
        <w:rPr>
          <w:rFonts w:ascii="Arial" w:hAnsi="Arial" w:cs="Arial"/>
          <w:b/>
          <w:sz w:val="22"/>
          <w:szCs w:val="22"/>
          <w:lang w:val="pt-BR"/>
        </w:rPr>
        <w:t>Pretenții</w:t>
      </w:r>
      <w:r w:rsidRPr="00022D5C">
        <w:rPr>
          <w:rFonts w:ascii="Arial" w:hAnsi="Arial" w:cs="Arial"/>
          <w:sz w:val="22"/>
          <w:szCs w:val="22"/>
          <w:lang w:val="pt-BR"/>
        </w:rPr>
        <w:t>. E.T.H. Arhitectural Systeme S.R.L. formulează cerere de chemare în judecată solicitând:</w:t>
      </w:r>
    </w:p>
    <w:p w:rsidR="00C60341" w:rsidRPr="00022D5C" w:rsidRDefault="00C60341" w:rsidP="00C60341">
      <w:pPr>
        <w:jc w:val="both"/>
        <w:rPr>
          <w:rFonts w:ascii="Arial" w:hAnsi="Arial" w:cs="Arial"/>
          <w:sz w:val="22"/>
          <w:szCs w:val="22"/>
          <w:lang w:val="pt-BR"/>
        </w:rPr>
      </w:pPr>
      <w:r w:rsidRPr="00022D5C">
        <w:rPr>
          <w:rFonts w:ascii="Arial" w:hAnsi="Arial" w:cs="Arial"/>
          <w:sz w:val="22"/>
          <w:szCs w:val="22"/>
          <w:lang w:val="pt-BR"/>
        </w:rPr>
        <w:t xml:space="preserve">1. obligarea pârâtei ICIM în principal, iar în măsura în care aceasta în calitatea sa de antreprenor general nu a primit în totalitate contravaloarea contractului de la beneficiarul Conpet să obligați </w:t>
      </w:r>
      <w:r w:rsidRPr="00022D5C">
        <w:rPr>
          <w:rFonts w:ascii="Arial" w:hAnsi="Arial" w:cs="Arial"/>
          <w:sz w:val="22"/>
          <w:szCs w:val="22"/>
          <w:lang w:val="pt-BR"/>
        </w:rPr>
        <w:lastRenderedPageBreak/>
        <w:t xml:space="preserve">beneficiarul Conpet la plata sumei de  325.378,20 lei reprezentând c/val. lucrări executate și neachitate precum și obligarea la plata penalităților aferente acestei sume și până la achitarea efectivă conform dispozițiilor contractuale; </w:t>
      </w:r>
    </w:p>
    <w:p w:rsidR="00C60341" w:rsidRPr="00022D5C" w:rsidRDefault="00C60341" w:rsidP="00C60341">
      <w:pPr>
        <w:jc w:val="both"/>
        <w:rPr>
          <w:rFonts w:ascii="Arial" w:hAnsi="Arial" w:cs="Arial"/>
          <w:sz w:val="22"/>
          <w:szCs w:val="22"/>
          <w:lang w:val="pt-BR"/>
        </w:rPr>
      </w:pPr>
      <w:r w:rsidRPr="00022D5C">
        <w:rPr>
          <w:rFonts w:ascii="Arial" w:hAnsi="Arial" w:cs="Arial"/>
          <w:sz w:val="22"/>
          <w:szCs w:val="22"/>
          <w:lang w:val="pt-BR"/>
        </w:rPr>
        <w:t xml:space="preserve">2. obligarea pârâtei ICIM în principal, iar în măsura în care aceasta în calitatea sa de antreprenor general nu a primit în totalitate contravaloarea contractului de la beneficiarul Conpet, să obligați beneficiarul la plata penalităților de întarziere de 0,05% pe zi de întarziere, aplicată la valoarea facturilor neachitate; </w:t>
      </w:r>
    </w:p>
    <w:p w:rsidR="00C60341" w:rsidRPr="00022D5C" w:rsidRDefault="00C60341" w:rsidP="00C60341">
      <w:pPr>
        <w:jc w:val="both"/>
        <w:rPr>
          <w:rFonts w:ascii="Arial" w:hAnsi="Arial" w:cs="Arial"/>
          <w:sz w:val="22"/>
          <w:szCs w:val="22"/>
          <w:lang w:val="pt-BR"/>
        </w:rPr>
      </w:pPr>
      <w:r w:rsidRPr="00022D5C">
        <w:rPr>
          <w:rFonts w:ascii="Arial" w:hAnsi="Arial" w:cs="Arial"/>
          <w:sz w:val="22"/>
          <w:szCs w:val="22"/>
          <w:lang w:val="pt-BR"/>
        </w:rPr>
        <w:t xml:space="preserve">3. obligarea în principal a pârâtei ICIM, iar în măsura în care aceasta în calitatea sa de antreprenor general nu a primit în totalitate contravaloarea contractului de la beneficiarul Conpet, să obligați beneficiarul la plata sumei de </w:t>
      </w:r>
      <w:r w:rsidRPr="00022D5C">
        <w:rPr>
          <w:rFonts w:ascii="Arial" w:hAnsi="Arial" w:cs="Arial"/>
          <w:b/>
          <w:sz w:val="22"/>
          <w:szCs w:val="22"/>
          <w:lang w:val="pt-BR"/>
        </w:rPr>
        <w:t>696.577,60 lei</w:t>
      </w:r>
      <w:r w:rsidRPr="00022D5C">
        <w:rPr>
          <w:rFonts w:ascii="Arial" w:hAnsi="Arial" w:cs="Arial"/>
          <w:sz w:val="22"/>
          <w:szCs w:val="22"/>
          <w:lang w:val="pt-BR"/>
        </w:rPr>
        <w:t xml:space="preserve"> conform factură fiscală nr. 0002/27.06.2011 reprezentând c/val. lucrări executate suplimentar, sumă achitată la zi cu rata inflației precum și obligarea la plata dobânzilor/penalităților aferente acestei sume de la data scadenței și până la achitarea afectivă ce urmează a fi calculate potrivit art. 371 ind. 2 alin. 2 C.pr.civ; </w:t>
      </w:r>
    </w:p>
    <w:p w:rsidR="00C60341" w:rsidRPr="00022D5C" w:rsidRDefault="00C60341" w:rsidP="00C60341">
      <w:pPr>
        <w:jc w:val="both"/>
        <w:rPr>
          <w:rFonts w:ascii="Arial" w:hAnsi="Arial" w:cs="Arial"/>
          <w:sz w:val="22"/>
          <w:szCs w:val="22"/>
          <w:lang w:val="pt-BR"/>
        </w:rPr>
      </w:pPr>
      <w:r w:rsidRPr="00022D5C">
        <w:rPr>
          <w:rFonts w:ascii="Arial" w:hAnsi="Arial" w:cs="Arial"/>
          <w:sz w:val="22"/>
          <w:szCs w:val="22"/>
          <w:lang w:val="pt-BR"/>
        </w:rPr>
        <w:t xml:space="preserve">4. obligarea pârâtei ICIM la restituirea garanției de bună execuție în cuantum total de 232.017,18 lei reținută conform contract; </w:t>
      </w:r>
    </w:p>
    <w:p w:rsidR="00C60341" w:rsidRPr="00022D5C" w:rsidRDefault="00C60341" w:rsidP="00C60341">
      <w:pPr>
        <w:jc w:val="both"/>
        <w:rPr>
          <w:rFonts w:ascii="Arial" w:hAnsi="Arial" w:cs="Arial"/>
          <w:sz w:val="22"/>
          <w:szCs w:val="22"/>
          <w:lang w:val="pt-BR"/>
        </w:rPr>
      </w:pPr>
      <w:r w:rsidRPr="00022D5C">
        <w:rPr>
          <w:rFonts w:ascii="Arial" w:hAnsi="Arial" w:cs="Arial"/>
          <w:sz w:val="22"/>
          <w:szCs w:val="22"/>
          <w:lang w:val="pt-BR"/>
        </w:rPr>
        <w:t>5. obligarea pârâtei în  principal a ICIM  iar în măsura în care aceasta în calitatea sa de antreprenor general nu a primit în totalitate contravaloarea contractului de la beneficiarul Conpet, să obligați beneficiarul la plata sumei de 124.828,9 lei penalități la garanția de bună execuție respectiv:</w:t>
      </w:r>
    </w:p>
    <w:p w:rsidR="00C60341" w:rsidRPr="00022D5C" w:rsidRDefault="00C60341" w:rsidP="00C60341">
      <w:pPr>
        <w:jc w:val="both"/>
        <w:rPr>
          <w:rFonts w:ascii="Arial" w:hAnsi="Arial" w:cs="Arial"/>
          <w:sz w:val="22"/>
          <w:szCs w:val="22"/>
          <w:lang w:val="pt-BR"/>
        </w:rPr>
      </w:pPr>
      <w:r w:rsidRPr="00022D5C">
        <w:rPr>
          <w:rFonts w:ascii="Arial" w:hAnsi="Arial" w:cs="Arial"/>
          <w:sz w:val="22"/>
          <w:szCs w:val="22"/>
          <w:lang w:val="pt-BR"/>
        </w:rPr>
        <w:t xml:space="preserve"> a) dobânzi/penalități pentru suma constituită garanție de bună execuție ce trebuia rambursată în proporție de 50% în cuantum de 105.166,90 lei;</w:t>
      </w:r>
    </w:p>
    <w:p w:rsidR="00C60341" w:rsidRPr="00022D5C" w:rsidRDefault="00C60341" w:rsidP="00C60341">
      <w:pPr>
        <w:jc w:val="both"/>
        <w:rPr>
          <w:rFonts w:ascii="Arial" w:hAnsi="Arial" w:cs="Arial"/>
          <w:sz w:val="22"/>
          <w:szCs w:val="22"/>
          <w:lang w:val="pt-BR"/>
        </w:rPr>
      </w:pPr>
      <w:r w:rsidRPr="00022D5C">
        <w:rPr>
          <w:rFonts w:ascii="Arial" w:hAnsi="Arial" w:cs="Arial"/>
          <w:sz w:val="22"/>
          <w:szCs w:val="22"/>
          <w:lang w:val="pt-BR"/>
        </w:rPr>
        <w:t xml:space="preserve"> b) dobânzi/penalități pentru suma constituită garanție de bună execuție ce trebuia rambursată în proporție de 30% în cuantum de 19.662 lei și cheltuieli de judecată.</w:t>
      </w:r>
    </w:p>
    <w:p w:rsidR="00C60341" w:rsidRPr="00022D5C" w:rsidRDefault="00C60341" w:rsidP="00C60341">
      <w:pPr>
        <w:jc w:val="both"/>
        <w:rPr>
          <w:rFonts w:ascii="Arial" w:hAnsi="Arial" w:cs="Arial"/>
          <w:sz w:val="22"/>
          <w:szCs w:val="22"/>
        </w:rPr>
      </w:pPr>
      <w:r w:rsidRPr="00022D5C">
        <w:rPr>
          <w:rFonts w:ascii="Arial" w:hAnsi="Arial" w:cs="Arial"/>
          <w:b/>
          <w:sz w:val="22"/>
          <w:szCs w:val="22"/>
          <w:lang w:val="pt-BR"/>
        </w:rPr>
        <w:t>Precizări:</w:t>
      </w:r>
      <w:r w:rsidRPr="00022D5C">
        <w:rPr>
          <w:rFonts w:ascii="Arial" w:hAnsi="Arial" w:cs="Arial"/>
          <w:sz w:val="22"/>
          <w:szCs w:val="22"/>
          <w:lang w:val="pt-BR"/>
        </w:rPr>
        <w:t xml:space="preserve"> Prin </w:t>
      </w:r>
      <w:r w:rsidRPr="00022D5C">
        <w:rPr>
          <w:rFonts w:ascii="Arial" w:hAnsi="Arial" w:cs="Arial"/>
          <w:b/>
          <w:sz w:val="22"/>
          <w:szCs w:val="22"/>
          <w:lang w:val="pt-BR"/>
        </w:rPr>
        <w:t>Încheierea din data de 11.04.2017</w:t>
      </w:r>
      <w:r w:rsidRPr="00022D5C">
        <w:rPr>
          <w:rFonts w:ascii="Arial" w:hAnsi="Arial" w:cs="Arial"/>
          <w:sz w:val="22"/>
          <w:szCs w:val="22"/>
          <w:lang w:val="pt-BR"/>
        </w:rPr>
        <w:t xml:space="preserve"> Tribunalul Prahova, î</w:t>
      </w:r>
      <w:r w:rsidRPr="00022D5C">
        <w:rPr>
          <w:rFonts w:ascii="Arial" w:hAnsi="Arial" w:cs="Arial"/>
          <w:sz w:val="22"/>
          <w:szCs w:val="22"/>
        </w:rPr>
        <w:t xml:space="preserve">n baza dispozițiilor art. 262 alin. 4 din Legea nr.85/2014 suspendă judecata. Încheierea a fost atacată cu recurs. Acesta face obiectul dosarului nr. 6544/105/2011*/a1 pe rol la Curtea de Apel Ploiești. Prin </w:t>
      </w:r>
      <w:r w:rsidRPr="00022D5C">
        <w:rPr>
          <w:rFonts w:ascii="Arial" w:hAnsi="Arial" w:cs="Arial"/>
          <w:b/>
          <w:sz w:val="22"/>
          <w:szCs w:val="22"/>
        </w:rPr>
        <w:t xml:space="preserve">hotărârea 1728/28.09.2017 </w:t>
      </w:r>
      <w:r w:rsidRPr="00022D5C">
        <w:rPr>
          <w:rFonts w:ascii="Arial" w:hAnsi="Arial" w:cs="Arial"/>
          <w:sz w:val="22"/>
          <w:szCs w:val="22"/>
        </w:rPr>
        <w:t>Curtea de Apel Ploiești admite recursul. Modifică în parte încheierea recurată şi trimite cauza pentru continuarea judecăţii acţiunii formulată în contradictoriu doar cu pârâta Conpet SA, față de ICIM SA cauza rămânând suspendată.</w:t>
      </w:r>
    </w:p>
    <w:p w:rsidR="00C60341" w:rsidRPr="00022D5C" w:rsidRDefault="00C60341" w:rsidP="00C60341">
      <w:pPr>
        <w:jc w:val="both"/>
        <w:rPr>
          <w:rFonts w:ascii="Arial" w:hAnsi="Arial" w:cs="Arial"/>
          <w:sz w:val="22"/>
          <w:szCs w:val="22"/>
          <w:lang w:val="pt-BR"/>
        </w:rPr>
      </w:pPr>
      <w:r w:rsidRPr="00022D5C">
        <w:rPr>
          <w:rFonts w:ascii="Arial" w:hAnsi="Arial" w:cs="Arial"/>
          <w:sz w:val="22"/>
          <w:szCs w:val="22"/>
        </w:rPr>
        <w:t xml:space="preserve">Prin </w:t>
      </w:r>
      <w:r w:rsidRPr="00022D5C">
        <w:rPr>
          <w:rFonts w:ascii="Arial" w:hAnsi="Arial" w:cs="Arial"/>
          <w:b/>
          <w:sz w:val="22"/>
          <w:szCs w:val="22"/>
        </w:rPr>
        <w:t>sentința nr. 894/23.04.2018</w:t>
      </w:r>
      <w:r w:rsidRPr="00022D5C">
        <w:rPr>
          <w:rFonts w:ascii="Arial" w:hAnsi="Arial" w:cs="Arial"/>
          <w:sz w:val="22"/>
          <w:szCs w:val="22"/>
        </w:rPr>
        <w:t xml:space="preserve"> Tribunalul Prahova admite excepţia lipsei calităţii procesuale active, invocată de către pârâta Conpet SA. Respinge acţiunea ca fiind introdusă de cărte o persoană fără calitate. Hotărârea poate fi atacată cu apel după comunicare. </w:t>
      </w:r>
    </w:p>
    <w:p w:rsidR="00C60341" w:rsidRPr="00022D5C" w:rsidRDefault="00C60341" w:rsidP="00C60341">
      <w:pPr>
        <w:jc w:val="both"/>
        <w:rPr>
          <w:rFonts w:ascii="Arial" w:hAnsi="Arial" w:cs="Arial"/>
          <w:sz w:val="22"/>
          <w:szCs w:val="22"/>
          <w:lang w:val="pt-BR"/>
        </w:rPr>
      </w:pPr>
      <w:r w:rsidRPr="00022D5C">
        <w:rPr>
          <w:rFonts w:ascii="Arial" w:hAnsi="Arial" w:cs="Arial"/>
          <w:b/>
          <w:sz w:val="22"/>
          <w:szCs w:val="22"/>
          <w:lang w:val="pt-BR"/>
        </w:rPr>
        <w:t>Stadiu procesual:</w:t>
      </w:r>
      <w:r w:rsidRPr="00022D5C">
        <w:rPr>
          <w:rFonts w:ascii="Arial" w:hAnsi="Arial" w:cs="Arial"/>
          <w:sz w:val="22"/>
          <w:szCs w:val="22"/>
          <w:lang w:val="pt-BR"/>
        </w:rPr>
        <w:t xml:space="preserve"> --</w:t>
      </w:r>
    </w:p>
    <w:p w:rsidR="00C60341" w:rsidRPr="00022D5C" w:rsidRDefault="00C60341" w:rsidP="00C60341">
      <w:pPr>
        <w:jc w:val="both"/>
        <w:rPr>
          <w:rFonts w:ascii="Arial" w:hAnsi="Arial" w:cs="Arial"/>
          <w:sz w:val="22"/>
          <w:szCs w:val="22"/>
          <w:lang w:val="pt-BR"/>
        </w:rPr>
      </w:pPr>
      <w:r w:rsidRPr="00022D5C">
        <w:rPr>
          <w:rFonts w:ascii="Arial" w:hAnsi="Arial" w:cs="Arial"/>
          <w:b/>
          <w:sz w:val="22"/>
          <w:szCs w:val="22"/>
          <w:lang w:val="pt-BR"/>
        </w:rPr>
        <w:t>Termen:</w:t>
      </w:r>
      <w:r w:rsidRPr="00022D5C">
        <w:rPr>
          <w:rFonts w:ascii="Arial" w:hAnsi="Arial" w:cs="Arial"/>
          <w:sz w:val="22"/>
          <w:szCs w:val="22"/>
          <w:lang w:val="pt-BR"/>
        </w:rPr>
        <w:t xml:space="preserve"> --</w:t>
      </w:r>
    </w:p>
    <w:p w:rsidR="00C60341" w:rsidRPr="00022D5C" w:rsidRDefault="00C60341" w:rsidP="00C60341">
      <w:pPr>
        <w:jc w:val="both"/>
        <w:rPr>
          <w:rFonts w:ascii="Arial" w:hAnsi="Arial" w:cs="Arial"/>
          <w:sz w:val="22"/>
          <w:szCs w:val="22"/>
          <w:lang w:val="pt-BR"/>
        </w:rPr>
      </w:pPr>
    </w:p>
    <w:p w:rsidR="00C60341" w:rsidRPr="00022D5C" w:rsidRDefault="00C60341" w:rsidP="00C60341">
      <w:pPr>
        <w:jc w:val="both"/>
        <w:rPr>
          <w:rFonts w:ascii="Arial" w:hAnsi="Arial" w:cs="Arial"/>
          <w:sz w:val="22"/>
          <w:szCs w:val="22"/>
          <w:lang w:val="pt-BR"/>
        </w:rPr>
      </w:pPr>
      <w:r w:rsidRPr="00022D5C">
        <w:rPr>
          <w:rFonts w:ascii="Arial" w:hAnsi="Arial" w:cs="Arial"/>
          <w:b/>
          <w:sz w:val="22"/>
          <w:szCs w:val="22"/>
          <w:lang w:val="pt-BR"/>
        </w:rPr>
        <w:t>5.</w:t>
      </w:r>
      <w:r w:rsidRPr="00022D5C">
        <w:rPr>
          <w:rFonts w:ascii="Arial" w:hAnsi="Arial" w:cs="Arial"/>
          <w:sz w:val="22"/>
          <w:szCs w:val="22"/>
          <w:lang w:val="pt-BR"/>
        </w:rPr>
        <w:t xml:space="preserve"> </w:t>
      </w:r>
      <w:r w:rsidRPr="00022D5C">
        <w:rPr>
          <w:rFonts w:ascii="Arial" w:hAnsi="Arial" w:cs="Arial"/>
          <w:b/>
          <w:sz w:val="22"/>
          <w:szCs w:val="22"/>
          <w:lang w:val="it-IT"/>
        </w:rPr>
        <w:t xml:space="preserve">Dosar nr. 650/215/2013* -  Tribunalul Dolj </w:t>
      </w:r>
    </w:p>
    <w:p w:rsidR="00C60341" w:rsidRPr="00022D5C" w:rsidRDefault="00C60341" w:rsidP="00C60341">
      <w:pPr>
        <w:jc w:val="both"/>
        <w:rPr>
          <w:rFonts w:ascii="Arial" w:hAnsi="Arial" w:cs="Arial"/>
          <w:sz w:val="22"/>
          <w:szCs w:val="22"/>
          <w:lang w:val="pt-BR"/>
        </w:rPr>
      </w:pPr>
      <w:r w:rsidRPr="00022D5C">
        <w:rPr>
          <w:rFonts w:ascii="Arial" w:hAnsi="Arial" w:cs="Arial"/>
          <w:b/>
          <w:sz w:val="22"/>
          <w:szCs w:val="22"/>
          <w:lang w:val="pt-BR"/>
        </w:rPr>
        <w:t>Părți:</w:t>
      </w:r>
      <w:r w:rsidRPr="00022D5C">
        <w:rPr>
          <w:rFonts w:ascii="Arial" w:hAnsi="Arial" w:cs="Arial"/>
          <w:sz w:val="22"/>
          <w:szCs w:val="22"/>
          <w:lang w:val="pt-BR"/>
        </w:rPr>
        <w:t xml:space="preserve"> Conpet S.A. – pârât</w:t>
      </w:r>
    </w:p>
    <w:p w:rsidR="00C60341" w:rsidRPr="00022D5C" w:rsidRDefault="00C60341" w:rsidP="00C60341">
      <w:pPr>
        <w:jc w:val="both"/>
        <w:rPr>
          <w:rFonts w:ascii="Arial" w:hAnsi="Arial" w:cs="Arial"/>
          <w:sz w:val="22"/>
          <w:szCs w:val="22"/>
          <w:lang w:val="pt-BR"/>
        </w:rPr>
      </w:pPr>
      <w:r w:rsidRPr="00022D5C">
        <w:rPr>
          <w:rFonts w:ascii="Arial" w:hAnsi="Arial" w:cs="Arial"/>
          <w:sz w:val="22"/>
          <w:szCs w:val="22"/>
          <w:lang w:val="pt-BR"/>
        </w:rPr>
        <w:t xml:space="preserve">           Mihai Constantin – reclamant</w:t>
      </w:r>
    </w:p>
    <w:p w:rsidR="00C60341" w:rsidRPr="00022D5C" w:rsidRDefault="00C60341" w:rsidP="00C60341">
      <w:pPr>
        <w:jc w:val="both"/>
        <w:rPr>
          <w:rFonts w:ascii="Arial" w:hAnsi="Arial" w:cs="Arial"/>
          <w:sz w:val="22"/>
          <w:szCs w:val="22"/>
          <w:lang w:val="pt-BR"/>
        </w:rPr>
      </w:pPr>
      <w:r w:rsidRPr="00022D5C">
        <w:rPr>
          <w:rFonts w:ascii="Arial" w:hAnsi="Arial" w:cs="Arial"/>
          <w:sz w:val="22"/>
          <w:szCs w:val="22"/>
          <w:lang w:val="pt-BR"/>
        </w:rPr>
        <w:t xml:space="preserve">           Mihai Norica - reclamant</w:t>
      </w:r>
    </w:p>
    <w:p w:rsidR="00C60341" w:rsidRPr="00022D5C" w:rsidRDefault="00C60341" w:rsidP="00C60341">
      <w:pPr>
        <w:jc w:val="both"/>
        <w:rPr>
          <w:rFonts w:ascii="Arial" w:hAnsi="Arial" w:cs="Arial"/>
          <w:sz w:val="22"/>
          <w:szCs w:val="22"/>
          <w:lang w:val="pt-BR"/>
        </w:rPr>
      </w:pPr>
      <w:r w:rsidRPr="00022D5C">
        <w:rPr>
          <w:rFonts w:ascii="Arial" w:hAnsi="Arial" w:cs="Arial"/>
          <w:b/>
          <w:sz w:val="22"/>
          <w:szCs w:val="22"/>
        </w:rPr>
        <w:t>Obiect: Obligație de a face.</w:t>
      </w:r>
      <w:r w:rsidRPr="00022D5C">
        <w:rPr>
          <w:rFonts w:ascii="Arial" w:hAnsi="Arial" w:cs="Arial"/>
          <w:sz w:val="22"/>
          <w:szCs w:val="22"/>
        </w:rPr>
        <w:t xml:space="preserve"> </w:t>
      </w:r>
      <w:r w:rsidRPr="00022D5C">
        <w:rPr>
          <w:rFonts w:ascii="Arial" w:hAnsi="Arial" w:cs="Arial"/>
          <w:sz w:val="22"/>
          <w:szCs w:val="22"/>
          <w:lang w:val="pt-BR"/>
        </w:rPr>
        <w:t>Mihai Constantin și Mihai Norica formulează cerere de chemare în judecată solicitând instanței ca prin hotărârea pe care o va pronunța să dispună:</w:t>
      </w:r>
    </w:p>
    <w:p w:rsidR="00C60341" w:rsidRPr="00022D5C" w:rsidRDefault="00C60341" w:rsidP="00C60341">
      <w:pPr>
        <w:jc w:val="both"/>
        <w:rPr>
          <w:rFonts w:ascii="Arial" w:hAnsi="Arial" w:cs="Arial"/>
          <w:sz w:val="22"/>
          <w:szCs w:val="22"/>
          <w:lang w:val="pt-BR"/>
        </w:rPr>
      </w:pPr>
      <w:r w:rsidRPr="00022D5C">
        <w:rPr>
          <w:rFonts w:ascii="Arial" w:hAnsi="Arial" w:cs="Arial"/>
          <w:sz w:val="22"/>
          <w:szCs w:val="22"/>
          <w:lang w:val="pt-BR"/>
        </w:rPr>
        <w:t xml:space="preserve">- în baza art. 494 C.civ., pârâta Conpet să fie obligată să-și ridice conducta de transport petrolier; </w:t>
      </w:r>
    </w:p>
    <w:p w:rsidR="00C60341" w:rsidRPr="00022D5C" w:rsidRDefault="00C60341" w:rsidP="00C60341">
      <w:pPr>
        <w:jc w:val="both"/>
        <w:rPr>
          <w:rFonts w:ascii="Arial" w:hAnsi="Arial" w:cs="Arial"/>
          <w:sz w:val="22"/>
          <w:szCs w:val="22"/>
          <w:lang w:val="pt-BR"/>
        </w:rPr>
      </w:pPr>
      <w:r w:rsidRPr="00022D5C">
        <w:rPr>
          <w:rFonts w:ascii="Arial" w:hAnsi="Arial" w:cs="Arial"/>
          <w:sz w:val="22"/>
          <w:szCs w:val="22"/>
          <w:lang w:val="pt-BR"/>
        </w:rPr>
        <w:t>- pârâta Conpet să fie obligată să-i dezdauneze, în baza art. 998 si 999 C.civ., pentru pagubele pe care le-au fost produse prin montarea acestei conducte, în apropierea gospodăriei lor. Reclamanții și-au cuantificat provizoriu pretențiile la suma de 2.000 lei.</w:t>
      </w:r>
    </w:p>
    <w:p w:rsidR="00C60341" w:rsidRPr="00022D5C" w:rsidRDefault="00C60341" w:rsidP="00C60341">
      <w:pPr>
        <w:jc w:val="both"/>
        <w:rPr>
          <w:rFonts w:ascii="Arial" w:hAnsi="Arial" w:cs="Arial"/>
          <w:sz w:val="22"/>
          <w:szCs w:val="22"/>
        </w:rPr>
      </w:pPr>
      <w:r w:rsidRPr="00022D5C">
        <w:rPr>
          <w:rFonts w:ascii="Arial" w:hAnsi="Arial" w:cs="Arial"/>
          <w:b/>
          <w:sz w:val="22"/>
          <w:szCs w:val="22"/>
          <w:lang w:val="pt-BR"/>
        </w:rPr>
        <w:t>Precizări:</w:t>
      </w:r>
      <w:r w:rsidRPr="00022D5C">
        <w:rPr>
          <w:rFonts w:ascii="Arial" w:hAnsi="Arial" w:cs="Arial"/>
          <w:sz w:val="22"/>
          <w:szCs w:val="22"/>
          <w:lang w:val="pt-BR"/>
        </w:rPr>
        <w:t xml:space="preserve"> </w:t>
      </w:r>
      <w:r w:rsidRPr="00022D5C">
        <w:rPr>
          <w:rFonts w:ascii="Arial" w:hAnsi="Arial" w:cs="Arial"/>
          <w:sz w:val="22"/>
          <w:szCs w:val="22"/>
        </w:rPr>
        <w:t xml:space="preserve">Prin </w:t>
      </w:r>
      <w:r w:rsidRPr="00022D5C">
        <w:rPr>
          <w:rFonts w:ascii="Arial" w:hAnsi="Arial" w:cs="Arial"/>
          <w:b/>
          <w:sz w:val="22"/>
          <w:szCs w:val="22"/>
        </w:rPr>
        <w:t>sentința nr. 8895/19.06.2014</w:t>
      </w:r>
      <w:r w:rsidRPr="00022D5C">
        <w:rPr>
          <w:rFonts w:ascii="Arial" w:hAnsi="Arial" w:cs="Arial"/>
          <w:sz w:val="22"/>
          <w:szCs w:val="22"/>
        </w:rPr>
        <w:t xml:space="preserve"> Judecătoria Craiova respinge acţiunea precizată. Ia act că pârâta, prin reprezentantul legal nu a solicitat cheltuieli de judecată. Hotărârea a fost atacată cu apel de Mihai Constantin și Mihai Norica.</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Prin </w:t>
      </w:r>
      <w:r w:rsidRPr="00022D5C">
        <w:rPr>
          <w:rFonts w:ascii="Arial" w:hAnsi="Arial" w:cs="Arial"/>
          <w:b/>
          <w:sz w:val="22"/>
          <w:szCs w:val="22"/>
        </w:rPr>
        <w:t>decizia nr. 195/03.02.2015</w:t>
      </w:r>
      <w:r w:rsidRPr="00022D5C">
        <w:rPr>
          <w:rFonts w:ascii="Arial" w:hAnsi="Arial" w:cs="Arial"/>
          <w:sz w:val="22"/>
          <w:szCs w:val="22"/>
        </w:rPr>
        <w:t xml:space="preserve"> Tribunalul Dolj admite apelul. Anulează sentinţa. Trimite cauza spre rejudecare aceleiași instanţe de fond. </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Prin </w:t>
      </w:r>
      <w:r w:rsidRPr="00022D5C">
        <w:rPr>
          <w:rFonts w:ascii="Arial" w:hAnsi="Arial" w:cs="Arial"/>
          <w:b/>
          <w:sz w:val="22"/>
          <w:szCs w:val="22"/>
        </w:rPr>
        <w:t>Sentința nr. 11014/18.10.2017</w:t>
      </w:r>
      <w:r w:rsidRPr="00022D5C">
        <w:rPr>
          <w:rFonts w:ascii="Arial" w:hAnsi="Arial" w:cs="Arial"/>
          <w:sz w:val="22"/>
          <w:szCs w:val="22"/>
        </w:rPr>
        <w:t xml:space="preserve"> Judecătoria Craiova admite în parte cererea precizată şi formulată de reclamanţi. Obligă pârâta la plata către reclamanţi a sumei de 22.236 lei reprezentând contravaloarea prejudiciului produs reclamanţilor de conducta nr. 4 Craiova-Iancu Jianu aflată în concesiunea pârâtei. Obligă pârâta la plata către reclamanţi a sumei de 7.970,8 lei reprezentând cheltuieli de judecată. Hotărârea a fost atacată cu apel de Conpet și de către reclamanți. </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Prin </w:t>
      </w:r>
      <w:r w:rsidRPr="00022D5C">
        <w:rPr>
          <w:rFonts w:ascii="Arial" w:hAnsi="Arial" w:cs="Arial"/>
          <w:b/>
          <w:sz w:val="22"/>
          <w:szCs w:val="22"/>
        </w:rPr>
        <w:t>decizia nr. 1339/2018  19.06.2018</w:t>
      </w:r>
      <w:r w:rsidRPr="00022D5C">
        <w:rPr>
          <w:rFonts w:ascii="Arial" w:hAnsi="Arial" w:cs="Arial"/>
          <w:sz w:val="22"/>
          <w:szCs w:val="22"/>
        </w:rPr>
        <w:t xml:space="preserve"> Tribunalul Dolj respinge apelurile. Compensează cheltuielile de judecată din apel. Hotărârea poate fi atacată cu recurs după comunicare.   </w:t>
      </w:r>
    </w:p>
    <w:p w:rsidR="00C60341" w:rsidRPr="00022D5C" w:rsidRDefault="00C60341" w:rsidP="00C60341">
      <w:pPr>
        <w:jc w:val="both"/>
        <w:rPr>
          <w:rFonts w:ascii="Arial" w:hAnsi="Arial" w:cs="Arial"/>
          <w:b/>
          <w:sz w:val="22"/>
          <w:szCs w:val="22"/>
          <w:lang w:val="pt-BR"/>
        </w:rPr>
      </w:pPr>
      <w:r w:rsidRPr="00022D5C">
        <w:rPr>
          <w:rFonts w:ascii="Arial" w:hAnsi="Arial" w:cs="Arial"/>
          <w:b/>
          <w:sz w:val="22"/>
          <w:szCs w:val="22"/>
          <w:lang w:val="pt-BR"/>
        </w:rPr>
        <w:lastRenderedPageBreak/>
        <w:t xml:space="preserve">Stadiu procesual: </w:t>
      </w:r>
      <w:r w:rsidRPr="00022D5C">
        <w:rPr>
          <w:rFonts w:ascii="Arial" w:hAnsi="Arial" w:cs="Arial"/>
          <w:sz w:val="22"/>
          <w:szCs w:val="22"/>
          <w:lang w:val="pt-BR"/>
        </w:rPr>
        <w:t>--</w:t>
      </w:r>
    </w:p>
    <w:p w:rsidR="00C60341" w:rsidRPr="00022D5C" w:rsidRDefault="00C60341" w:rsidP="00C60341">
      <w:pPr>
        <w:jc w:val="both"/>
        <w:rPr>
          <w:rFonts w:ascii="Arial" w:hAnsi="Arial" w:cs="Arial"/>
          <w:sz w:val="22"/>
          <w:szCs w:val="22"/>
          <w:lang w:val="pt-BR"/>
        </w:rPr>
      </w:pPr>
      <w:r w:rsidRPr="00022D5C">
        <w:rPr>
          <w:rFonts w:ascii="Arial" w:hAnsi="Arial" w:cs="Arial"/>
          <w:b/>
          <w:sz w:val="22"/>
          <w:szCs w:val="22"/>
          <w:lang w:val="pt-BR"/>
        </w:rPr>
        <w:t>Termen:</w:t>
      </w:r>
      <w:r w:rsidRPr="00022D5C">
        <w:rPr>
          <w:rFonts w:ascii="Arial" w:hAnsi="Arial" w:cs="Arial"/>
          <w:sz w:val="22"/>
          <w:szCs w:val="22"/>
          <w:lang w:val="pt-BR"/>
        </w:rPr>
        <w:t xml:space="preserve"> --</w:t>
      </w:r>
    </w:p>
    <w:p w:rsidR="00C60341" w:rsidRPr="00022D5C" w:rsidRDefault="00C60341" w:rsidP="00C60341">
      <w:pPr>
        <w:jc w:val="both"/>
        <w:rPr>
          <w:rFonts w:ascii="Arial" w:hAnsi="Arial" w:cs="Arial"/>
          <w:sz w:val="22"/>
          <w:szCs w:val="22"/>
          <w:lang w:val="it-IT"/>
        </w:rPr>
      </w:pPr>
    </w:p>
    <w:p w:rsidR="00C60341" w:rsidRPr="00022D5C" w:rsidRDefault="00C60341" w:rsidP="00C60341">
      <w:pPr>
        <w:jc w:val="both"/>
        <w:rPr>
          <w:rFonts w:ascii="Arial" w:hAnsi="Arial" w:cs="Arial"/>
          <w:b/>
          <w:sz w:val="22"/>
          <w:szCs w:val="22"/>
          <w:lang w:val="it-IT"/>
        </w:rPr>
      </w:pPr>
      <w:r w:rsidRPr="00022D5C">
        <w:rPr>
          <w:rFonts w:ascii="Arial" w:hAnsi="Arial" w:cs="Arial"/>
          <w:b/>
          <w:sz w:val="22"/>
          <w:szCs w:val="22"/>
          <w:lang w:val="it-IT"/>
        </w:rPr>
        <w:t xml:space="preserve">6. Dosar nr. 5248/111/2014** – Tribunalul Hunedoara </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 xml:space="preserve">Părți: </w:t>
      </w:r>
      <w:r w:rsidRPr="00022D5C">
        <w:rPr>
          <w:rFonts w:ascii="Arial" w:hAnsi="Arial" w:cs="Arial"/>
          <w:sz w:val="22"/>
          <w:szCs w:val="22"/>
          <w:lang w:val="it-IT"/>
        </w:rPr>
        <w:t>Conpet SA – pârât</w:t>
      </w:r>
    </w:p>
    <w:p w:rsidR="00C60341" w:rsidRPr="00022D5C" w:rsidRDefault="00C60341" w:rsidP="00C60341">
      <w:pPr>
        <w:jc w:val="both"/>
        <w:rPr>
          <w:rFonts w:ascii="Arial" w:hAnsi="Arial" w:cs="Arial"/>
          <w:b/>
          <w:sz w:val="22"/>
          <w:szCs w:val="22"/>
          <w:lang w:val="it-IT"/>
        </w:rPr>
      </w:pPr>
      <w:r w:rsidRPr="00022D5C">
        <w:rPr>
          <w:rFonts w:ascii="Arial" w:hAnsi="Arial" w:cs="Arial"/>
          <w:sz w:val="22"/>
          <w:szCs w:val="22"/>
          <w:lang w:val="it-IT"/>
        </w:rPr>
        <w:t xml:space="preserve">           Poenar Ioan – reclamant</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 xml:space="preserve">Obiect: </w:t>
      </w:r>
      <w:r w:rsidRPr="00022D5C">
        <w:rPr>
          <w:rFonts w:ascii="Arial" w:hAnsi="Arial" w:cs="Arial"/>
          <w:sz w:val="22"/>
          <w:szCs w:val="22"/>
          <w:lang w:val="it-IT"/>
        </w:rPr>
        <w:t>Obligație de a face.</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Precizări:</w:t>
      </w:r>
      <w:r w:rsidRPr="00022D5C">
        <w:rPr>
          <w:rFonts w:ascii="Arial" w:hAnsi="Arial" w:cs="Arial"/>
          <w:sz w:val="22"/>
          <w:szCs w:val="22"/>
          <w:lang w:val="it-IT"/>
        </w:rPr>
        <w:t xml:space="preserve"> Prin hotărârea nr. 27/08.01.2015 Tribunalul Bihor admite excepția necompetenței funcționale a Secției a II-a Civilă, invocată de instanță din oficiu. Transpune acțiunea formulată de reclamant la Secția a III-a de Contencios Administrativ și Fiscal (unde primește *). </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lang w:val="it-IT"/>
        </w:rPr>
        <w:t>Prin hotărârea nr. 1238/16.04.2015 Tribunalul Bihor admite excepţia necompetenţei sale teritoriale. Declină competenţa de soluţionare a cererii precizate în favoarea Tribunalului Hunedoara.</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rPr>
        <w:t>P</w:t>
      </w:r>
      <w:r w:rsidR="00C964D5">
        <w:rPr>
          <w:rFonts w:ascii="Arial" w:hAnsi="Arial" w:cs="Arial"/>
          <w:sz w:val="22"/>
          <w:szCs w:val="22"/>
        </w:rPr>
        <w:t xml:space="preserve">rin sentința nr. 196/16.02.2017 </w:t>
      </w:r>
      <w:r w:rsidRPr="00022D5C">
        <w:rPr>
          <w:rFonts w:ascii="Arial" w:hAnsi="Arial" w:cs="Arial"/>
          <w:sz w:val="22"/>
          <w:szCs w:val="22"/>
        </w:rPr>
        <w:t xml:space="preserve">Tribunalul Hunedoara respinge acţiunea în contencios administrativ formulată de reclamantul Poenar Ioan în contradictoriu cu pârâtele Conpet SA şi Direcţia Generală Regională a Finanţelor Publice Timişoara prin Administraţia Judeţeană a Finanţelor Publice. Hotarârea a fost atacată cu recurs de </w:t>
      </w:r>
      <w:r w:rsidRPr="00022D5C">
        <w:rPr>
          <w:rFonts w:ascii="Arial" w:hAnsi="Arial" w:cs="Arial"/>
          <w:sz w:val="22"/>
          <w:szCs w:val="22"/>
          <w:lang w:val="it-IT"/>
        </w:rPr>
        <w:t>Poenar Ioan.</w:t>
      </w:r>
    </w:p>
    <w:p w:rsidR="00C60341" w:rsidRPr="00022D5C" w:rsidRDefault="00C60341" w:rsidP="00C60341">
      <w:pPr>
        <w:jc w:val="both"/>
        <w:rPr>
          <w:rFonts w:ascii="Arial" w:hAnsi="Arial" w:cs="Arial"/>
          <w:sz w:val="22"/>
          <w:szCs w:val="22"/>
        </w:rPr>
      </w:pPr>
      <w:r w:rsidRPr="00022D5C">
        <w:rPr>
          <w:rFonts w:ascii="Arial" w:hAnsi="Arial" w:cs="Arial"/>
          <w:sz w:val="22"/>
          <w:szCs w:val="22"/>
          <w:lang w:val="it-IT"/>
        </w:rPr>
        <w:t>CA Alba Iulia admite recursul, casează hotărârea atacată si trimite cauza spre rejudecare la Tribunalul Hunedoara.</w:t>
      </w:r>
    </w:p>
    <w:p w:rsidR="00C60341" w:rsidRPr="00022D5C" w:rsidRDefault="00C60341" w:rsidP="00C60341">
      <w:pPr>
        <w:jc w:val="both"/>
        <w:rPr>
          <w:rFonts w:ascii="Arial" w:hAnsi="Arial" w:cs="Arial"/>
          <w:b/>
          <w:sz w:val="22"/>
          <w:szCs w:val="22"/>
          <w:lang w:val="it-IT"/>
        </w:rPr>
      </w:pPr>
      <w:r w:rsidRPr="00022D5C">
        <w:rPr>
          <w:rFonts w:ascii="Arial" w:hAnsi="Arial" w:cs="Arial"/>
          <w:b/>
          <w:sz w:val="22"/>
          <w:szCs w:val="22"/>
          <w:lang w:val="it-IT"/>
        </w:rPr>
        <w:t xml:space="preserve">Stadiu procesual: </w:t>
      </w:r>
      <w:r w:rsidRPr="00022D5C">
        <w:rPr>
          <w:rFonts w:ascii="Arial" w:hAnsi="Arial" w:cs="Arial"/>
          <w:sz w:val="22"/>
          <w:szCs w:val="22"/>
          <w:lang w:val="it-IT"/>
        </w:rPr>
        <w:t>Fond - rejudecare</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 xml:space="preserve">Termen: </w:t>
      </w:r>
      <w:r w:rsidRPr="00022D5C">
        <w:rPr>
          <w:rFonts w:ascii="Arial" w:hAnsi="Arial" w:cs="Arial"/>
          <w:sz w:val="22"/>
          <w:szCs w:val="22"/>
          <w:lang w:val="it-IT"/>
        </w:rPr>
        <w:t>12.09.2018</w:t>
      </w:r>
    </w:p>
    <w:p w:rsidR="00C60341" w:rsidRPr="00022D5C" w:rsidRDefault="00C60341" w:rsidP="00C60341">
      <w:pPr>
        <w:jc w:val="both"/>
        <w:rPr>
          <w:rFonts w:ascii="Arial" w:hAnsi="Arial" w:cs="Arial"/>
          <w:sz w:val="22"/>
          <w:szCs w:val="22"/>
          <w:lang w:val="it-IT"/>
        </w:rPr>
      </w:pPr>
    </w:p>
    <w:p w:rsidR="00C60341" w:rsidRPr="00022D5C" w:rsidRDefault="00C60341" w:rsidP="00C60341">
      <w:pPr>
        <w:jc w:val="both"/>
        <w:rPr>
          <w:rFonts w:ascii="Arial" w:hAnsi="Arial" w:cs="Arial"/>
          <w:b/>
          <w:sz w:val="22"/>
          <w:szCs w:val="22"/>
          <w:lang w:val="it-IT"/>
        </w:rPr>
      </w:pPr>
      <w:r w:rsidRPr="00022D5C">
        <w:rPr>
          <w:rFonts w:ascii="Arial" w:hAnsi="Arial" w:cs="Arial"/>
          <w:b/>
          <w:sz w:val="22"/>
          <w:szCs w:val="22"/>
          <w:lang w:val="it-IT"/>
        </w:rPr>
        <w:t xml:space="preserve">7. Dosar nr. 5119/260/2014 – Tribunalul Prahova </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Parti:</w:t>
      </w:r>
      <w:r w:rsidRPr="00022D5C">
        <w:rPr>
          <w:rFonts w:ascii="Arial" w:hAnsi="Arial" w:cs="Arial"/>
          <w:sz w:val="22"/>
          <w:szCs w:val="22"/>
          <w:lang w:val="it-IT"/>
        </w:rPr>
        <w:t xml:space="preserve"> Conpet SA – pârât</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lang w:val="it-IT"/>
        </w:rPr>
        <w:t xml:space="preserve">           Biodiesel SRL – reclamant</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Obiect:</w:t>
      </w:r>
      <w:r w:rsidRPr="00022D5C">
        <w:rPr>
          <w:rFonts w:ascii="Arial" w:hAnsi="Arial" w:cs="Arial"/>
          <w:sz w:val="22"/>
          <w:szCs w:val="22"/>
          <w:lang w:val="it-IT"/>
        </w:rPr>
        <w:t xml:space="preserve"> Biodiesel SRL a formulat cerere de chemare în judecată solicitând instanței să constate nulitatea contractului de închiriere nr. ADM 89/27.04.2009 și să dispună obligarea Conpet la plata cheltuielilor de judecată.</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Precizări:</w:t>
      </w:r>
      <w:r w:rsidRPr="00022D5C">
        <w:rPr>
          <w:rFonts w:ascii="Arial" w:hAnsi="Arial" w:cs="Arial"/>
          <w:sz w:val="22"/>
          <w:szCs w:val="22"/>
          <w:lang w:val="it-IT"/>
        </w:rPr>
        <w:t xml:space="preserve"> Prin hotărârea nr. 1415/17.09.2015 Judecătoria Onești declină soluţionarea cauzei în favoarea Judecătoriei Ploieşti.</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lang w:val="it-IT"/>
        </w:rPr>
        <w:t xml:space="preserve">Prin sentința civilă nr. 9266/16.11.2016 Judecătoria Ploiești respinge excepţia prescripției dreptului material la acţiune invocată de către pârâtă ca neîntemeiată. Respinge cererea de chemare în judecată ca neîntemeiată. Ia act că nu se solicită cheltuieli de judecată. Hotărârea a fost atacată cu apel de Biodiesel SRL. </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Stadiu procesual:</w:t>
      </w:r>
      <w:r w:rsidRPr="00022D5C">
        <w:rPr>
          <w:rFonts w:ascii="Arial" w:hAnsi="Arial" w:cs="Arial"/>
          <w:sz w:val="22"/>
          <w:szCs w:val="22"/>
          <w:lang w:val="it-IT"/>
        </w:rPr>
        <w:t xml:space="preserve"> Apel</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Termen:</w:t>
      </w:r>
      <w:r w:rsidRPr="00022D5C">
        <w:rPr>
          <w:rFonts w:ascii="Arial" w:hAnsi="Arial" w:cs="Arial"/>
          <w:sz w:val="22"/>
          <w:szCs w:val="22"/>
          <w:lang w:val="it-IT"/>
        </w:rPr>
        <w:t xml:space="preserve"> 20.09.2018</w:t>
      </w:r>
    </w:p>
    <w:p w:rsidR="00C60341" w:rsidRPr="00022D5C" w:rsidRDefault="00C60341" w:rsidP="00C60341">
      <w:pPr>
        <w:jc w:val="both"/>
        <w:rPr>
          <w:rFonts w:ascii="Arial" w:hAnsi="Arial" w:cs="Arial"/>
          <w:sz w:val="22"/>
          <w:szCs w:val="22"/>
          <w:lang w:val="it-IT"/>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lang w:val="it-IT"/>
        </w:rPr>
        <w:t xml:space="preserve">8. </w:t>
      </w:r>
      <w:r w:rsidRPr="00022D5C">
        <w:rPr>
          <w:rFonts w:ascii="Arial" w:hAnsi="Arial" w:cs="Arial"/>
          <w:b/>
          <w:sz w:val="22"/>
          <w:szCs w:val="22"/>
        </w:rPr>
        <w:t xml:space="preserve">Dosar nr. 14960/280/2015 – Judecătoria Pitești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Conpet – pârât</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Cîrstea Stelian - reclamant </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Cîrstea Gherghina – reclamant</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Obligație de a face + Pretenții. Reclamanții au formulat cerere de chemare în judecată solicitând instanței ca prin hotărârea pe care o va pronunța să dispună obligarea Conpet SA la : </w:t>
      </w:r>
    </w:p>
    <w:p w:rsidR="00C60341" w:rsidRPr="00022D5C" w:rsidRDefault="00C60341" w:rsidP="00C60341">
      <w:pPr>
        <w:jc w:val="both"/>
        <w:rPr>
          <w:rFonts w:ascii="Arial" w:hAnsi="Arial" w:cs="Arial"/>
          <w:sz w:val="22"/>
          <w:szCs w:val="22"/>
        </w:rPr>
      </w:pPr>
      <w:r w:rsidRPr="00022D5C">
        <w:rPr>
          <w:rFonts w:ascii="Arial" w:hAnsi="Arial" w:cs="Arial"/>
          <w:sz w:val="22"/>
          <w:szCs w:val="22"/>
        </w:rPr>
        <w:t>1. Plata lipsei de folosință de la data dobândirii în proprietate a terenului - 06.10.2014, lipsă de folosință pe care o evaluează în mod provizoriu la suma de 1000 lei.</w:t>
      </w:r>
    </w:p>
    <w:p w:rsidR="00C60341" w:rsidRPr="00022D5C" w:rsidRDefault="00C60341" w:rsidP="00C60341">
      <w:pPr>
        <w:jc w:val="both"/>
        <w:rPr>
          <w:rFonts w:ascii="Arial" w:hAnsi="Arial" w:cs="Arial"/>
          <w:sz w:val="22"/>
          <w:szCs w:val="22"/>
        </w:rPr>
      </w:pPr>
      <w:r w:rsidRPr="00022D5C">
        <w:rPr>
          <w:rFonts w:ascii="Arial" w:hAnsi="Arial" w:cs="Arial"/>
          <w:sz w:val="22"/>
          <w:szCs w:val="22"/>
        </w:rPr>
        <w:t>2. Ridicarea conductelor și instalațiilor aflate pe terenul proprietatea reclamanților, iar în măsura în care acest lucru nu este posibil obligarea Conpet la plata unei sume lunare echivalentă cu c/val unei chirii pentru terenul afectat de conductele și instalațiile aflate pe el - la nivelul chiriilor practicate pe piața liberă.</w:t>
      </w:r>
    </w:p>
    <w:p w:rsidR="00C60341" w:rsidRPr="00022D5C" w:rsidRDefault="00C60341" w:rsidP="00C60341">
      <w:pPr>
        <w:jc w:val="both"/>
        <w:rPr>
          <w:rFonts w:ascii="Arial" w:hAnsi="Arial" w:cs="Arial"/>
          <w:sz w:val="22"/>
          <w:szCs w:val="22"/>
        </w:rPr>
      </w:pPr>
      <w:r w:rsidRPr="00022D5C">
        <w:rPr>
          <w:rFonts w:ascii="Arial" w:hAnsi="Arial" w:cs="Arial"/>
          <w:sz w:val="22"/>
          <w:szCs w:val="22"/>
        </w:rPr>
        <w:t>3. Plata cheltuielilor de judecată.</w:t>
      </w:r>
    </w:p>
    <w:p w:rsidR="00C60341" w:rsidRPr="00022D5C" w:rsidRDefault="00C60341" w:rsidP="00C60341">
      <w:pPr>
        <w:jc w:val="both"/>
        <w:rPr>
          <w:rFonts w:ascii="Arial" w:hAnsi="Arial" w:cs="Arial"/>
          <w:sz w:val="22"/>
          <w:szCs w:val="22"/>
        </w:rPr>
      </w:pPr>
      <w:r w:rsidRPr="00022D5C">
        <w:rPr>
          <w:rFonts w:ascii="Arial" w:hAnsi="Arial" w:cs="Arial"/>
          <w:b/>
          <w:sz w:val="22"/>
          <w:szCs w:val="22"/>
        </w:rPr>
        <w:t>Stadiu procesual:</w:t>
      </w:r>
      <w:r w:rsidRPr="00022D5C">
        <w:rPr>
          <w:rFonts w:ascii="Arial" w:hAnsi="Arial" w:cs="Arial"/>
          <w:sz w:val="22"/>
          <w:szCs w:val="22"/>
        </w:rPr>
        <w:t xml:space="preserve"> Fond</w:t>
      </w:r>
    </w:p>
    <w:p w:rsidR="00C60341" w:rsidRPr="00022D5C" w:rsidRDefault="00C60341" w:rsidP="00C60341">
      <w:pPr>
        <w:jc w:val="both"/>
        <w:rPr>
          <w:rFonts w:ascii="Arial" w:hAnsi="Arial" w:cs="Arial"/>
          <w:sz w:val="22"/>
          <w:szCs w:val="22"/>
        </w:rPr>
      </w:pPr>
      <w:r w:rsidRPr="00022D5C">
        <w:rPr>
          <w:rFonts w:ascii="Arial" w:hAnsi="Arial" w:cs="Arial"/>
          <w:b/>
          <w:sz w:val="22"/>
          <w:szCs w:val="22"/>
        </w:rPr>
        <w:t>Termen:</w:t>
      </w:r>
      <w:r w:rsidRPr="00022D5C">
        <w:rPr>
          <w:rFonts w:ascii="Arial" w:hAnsi="Arial" w:cs="Arial"/>
          <w:sz w:val="22"/>
          <w:szCs w:val="22"/>
        </w:rPr>
        <w:t xml:space="preserve"> 11.09.2018</w:t>
      </w:r>
    </w:p>
    <w:p w:rsidR="00C60341" w:rsidRPr="00022D5C" w:rsidRDefault="00C60341" w:rsidP="00C60341">
      <w:pPr>
        <w:jc w:val="both"/>
        <w:rPr>
          <w:rFonts w:ascii="Arial" w:hAnsi="Arial" w:cs="Arial"/>
          <w:sz w:val="22"/>
          <w:szCs w:val="22"/>
        </w:rPr>
      </w:pPr>
    </w:p>
    <w:p w:rsidR="00C60341" w:rsidRPr="00022D5C" w:rsidRDefault="00C60341" w:rsidP="00C60341">
      <w:pPr>
        <w:jc w:val="both"/>
        <w:rPr>
          <w:rFonts w:ascii="Arial" w:eastAsia="Calibri" w:hAnsi="Arial" w:cs="Arial"/>
          <w:b/>
          <w:sz w:val="22"/>
          <w:szCs w:val="22"/>
          <w:lang w:val="it-IT"/>
        </w:rPr>
      </w:pPr>
      <w:r w:rsidRPr="00022D5C">
        <w:rPr>
          <w:rFonts w:ascii="Arial" w:hAnsi="Arial" w:cs="Arial"/>
          <w:b/>
          <w:sz w:val="22"/>
          <w:szCs w:val="22"/>
        </w:rPr>
        <w:t xml:space="preserve">9. </w:t>
      </w:r>
      <w:r w:rsidRPr="00022D5C">
        <w:rPr>
          <w:rFonts w:ascii="Arial" w:eastAsia="Calibri" w:hAnsi="Arial" w:cs="Arial"/>
          <w:b/>
          <w:sz w:val="22"/>
          <w:szCs w:val="22"/>
          <w:lang w:val="it-IT"/>
        </w:rPr>
        <w:t xml:space="preserve">Dosar nr. 21382/281/2015 - Judecătoria Ploiești </w:t>
      </w:r>
    </w:p>
    <w:p w:rsidR="00C60341" w:rsidRPr="00022D5C" w:rsidRDefault="00C60341" w:rsidP="00C60341">
      <w:pPr>
        <w:jc w:val="both"/>
        <w:rPr>
          <w:rFonts w:ascii="Arial" w:eastAsia="Calibri" w:hAnsi="Arial" w:cs="Arial"/>
          <w:sz w:val="22"/>
          <w:szCs w:val="22"/>
          <w:lang w:val="it-IT"/>
        </w:rPr>
      </w:pPr>
      <w:r w:rsidRPr="00022D5C">
        <w:rPr>
          <w:rFonts w:ascii="Arial" w:eastAsia="Calibri" w:hAnsi="Arial" w:cs="Arial"/>
          <w:b/>
          <w:sz w:val="22"/>
          <w:szCs w:val="22"/>
          <w:lang w:val="it-IT"/>
        </w:rPr>
        <w:t xml:space="preserve">Parti: </w:t>
      </w:r>
      <w:r w:rsidRPr="00022D5C">
        <w:rPr>
          <w:rFonts w:ascii="Arial" w:eastAsia="Calibri" w:hAnsi="Arial" w:cs="Arial"/>
          <w:sz w:val="22"/>
          <w:szCs w:val="22"/>
          <w:lang w:val="it-IT"/>
        </w:rPr>
        <w:t>Conpet - pârât</w:t>
      </w:r>
    </w:p>
    <w:p w:rsidR="00C60341" w:rsidRPr="00022D5C" w:rsidRDefault="00C60341" w:rsidP="00C60341">
      <w:pPr>
        <w:jc w:val="both"/>
        <w:rPr>
          <w:rFonts w:ascii="Arial" w:eastAsia="Calibri" w:hAnsi="Arial" w:cs="Arial"/>
          <w:sz w:val="22"/>
          <w:szCs w:val="22"/>
          <w:lang w:val="it-IT"/>
        </w:rPr>
      </w:pPr>
      <w:r w:rsidRPr="00022D5C">
        <w:rPr>
          <w:rFonts w:ascii="Arial" w:eastAsia="Calibri" w:hAnsi="Arial" w:cs="Arial"/>
          <w:sz w:val="22"/>
          <w:szCs w:val="22"/>
          <w:lang w:val="it-IT"/>
        </w:rPr>
        <w:t xml:space="preserve">           Iordache Margareta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lang w:val="it-IT"/>
        </w:rPr>
        <w:t>Obiect:</w:t>
      </w:r>
      <w:r w:rsidRPr="00022D5C">
        <w:rPr>
          <w:rFonts w:ascii="Arial" w:eastAsia="Calibri" w:hAnsi="Arial" w:cs="Arial"/>
          <w:sz w:val="22"/>
          <w:szCs w:val="22"/>
        </w:rPr>
        <w:t xml:space="preserve"> Iordache Margareta formulează cerere de chemare în judecată solicitând obligarea pârâtei </w:t>
      </w:r>
      <w:r w:rsidRPr="00022D5C">
        <w:rPr>
          <w:rFonts w:ascii="Arial" w:eastAsia="Calibri" w:hAnsi="Arial" w:cs="Arial"/>
          <w:sz w:val="22"/>
          <w:szCs w:val="22"/>
        </w:rPr>
        <w:lastRenderedPageBreak/>
        <w:t>Conpet la plata contravalorii lipsei de folosință a imobilului proprietatea reclamantei, teren situat în com. Blejoi, sat Ploieștiori, tarlaua 24, parcela 187/15, pentru ultimii trei ani anteriori introducerii acțiunii.</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Prin </w:t>
      </w:r>
      <w:r w:rsidRPr="00022D5C">
        <w:rPr>
          <w:rFonts w:ascii="Arial" w:eastAsia="Calibri" w:hAnsi="Arial" w:cs="Arial"/>
          <w:b/>
          <w:sz w:val="22"/>
          <w:szCs w:val="22"/>
        </w:rPr>
        <w:t>Încheierea din data de 02.05.2017</w:t>
      </w:r>
      <w:r w:rsidRPr="00022D5C">
        <w:rPr>
          <w:rFonts w:ascii="Arial" w:eastAsia="Calibri" w:hAnsi="Arial" w:cs="Arial"/>
          <w:sz w:val="22"/>
          <w:szCs w:val="22"/>
        </w:rPr>
        <w:t xml:space="preserve"> Judecătoria Ploiești suspendă judecata cauzei în temeiul art. 242 alin.(1) C.pr.civ.. Încheierea poate fi atacată cu recurs cât timp durează suspendarea cursului judecării procesului.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procesual:</w:t>
      </w:r>
      <w:r w:rsidRPr="00022D5C">
        <w:rPr>
          <w:rFonts w:ascii="Arial" w:eastAsia="Calibri" w:hAnsi="Arial" w:cs="Arial"/>
          <w:sz w:val="22"/>
          <w:szCs w:val="22"/>
        </w:rPr>
        <w:t xml:space="preserve"> Fond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 xml:space="preserve">Termen: </w:t>
      </w:r>
      <w:r w:rsidR="005A1181">
        <w:rPr>
          <w:rFonts w:ascii="Arial" w:eastAsia="Calibri" w:hAnsi="Arial" w:cs="Arial"/>
          <w:sz w:val="22"/>
          <w:szCs w:val="22"/>
        </w:rPr>
        <w:t>02.10.2018</w:t>
      </w:r>
    </w:p>
    <w:p w:rsidR="00C60341" w:rsidRPr="00022D5C" w:rsidRDefault="00C60341" w:rsidP="00C60341">
      <w:pPr>
        <w:jc w:val="both"/>
        <w:rPr>
          <w:rFonts w:ascii="Arial" w:hAnsi="Arial" w:cs="Arial"/>
          <w:sz w:val="22"/>
          <w:szCs w:val="22"/>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rPr>
        <w:t>10.</w:t>
      </w:r>
      <w:r w:rsidRPr="00022D5C">
        <w:rPr>
          <w:rFonts w:ascii="Arial" w:hAnsi="Arial" w:cs="Arial"/>
          <w:color w:val="FF0000"/>
          <w:sz w:val="22"/>
          <w:szCs w:val="22"/>
        </w:rPr>
        <w:t xml:space="preserve"> </w:t>
      </w:r>
      <w:r w:rsidRPr="00022D5C">
        <w:rPr>
          <w:rFonts w:ascii="Arial" w:hAnsi="Arial" w:cs="Arial"/>
          <w:b/>
          <w:sz w:val="22"/>
          <w:szCs w:val="22"/>
        </w:rPr>
        <w:t xml:space="preserve">Dosar nr. 3451/108/2016* – Înalta Curte de Casație și Justiție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Părți: </w:t>
      </w:r>
      <w:r w:rsidRPr="00022D5C">
        <w:rPr>
          <w:rFonts w:ascii="Arial" w:hAnsi="Arial" w:cs="Arial"/>
          <w:sz w:val="22"/>
          <w:szCs w:val="22"/>
        </w:rPr>
        <w:t>Conpet SA – pârât</w:t>
      </w:r>
    </w:p>
    <w:p w:rsidR="00C60341" w:rsidRPr="00022D5C" w:rsidRDefault="00C60341" w:rsidP="00C60341">
      <w:pPr>
        <w:jc w:val="both"/>
        <w:rPr>
          <w:rFonts w:ascii="Arial" w:hAnsi="Arial" w:cs="Arial"/>
          <w:b/>
          <w:sz w:val="22"/>
          <w:szCs w:val="22"/>
        </w:rPr>
      </w:pPr>
      <w:r w:rsidRPr="00022D5C">
        <w:rPr>
          <w:rFonts w:ascii="Arial" w:hAnsi="Arial" w:cs="Arial"/>
          <w:sz w:val="22"/>
          <w:szCs w:val="22"/>
        </w:rPr>
        <w:t xml:space="preserve">           UAT Orasul Pecica - reclamant</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Obiect: </w:t>
      </w:r>
      <w:r w:rsidRPr="00022D5C">
        <w:rPr>
          <w:rFonts w:ascii="Arial" w:hAnsi="Arial" w:cs="Arial"/>
          <w:sz w:val="22"/>
          <w:szCs w:val="22"/>
        </w:rPr>
        <w:t>UAT a orașului Pecica a formulat cerere de chemare în judecată prin care a solicitat:</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În principal: </w:t>
      </w:r>
    </w:p>
    <w:p w:rsidR="00C60341" w:rsidRPr="00022D5C" w:rsidRDefault="00C60341" w:rsidP="00C60341">
      <w:pPr>
        <w:jc w:val="both"/>
        <w:rPr>
          <w:rFonts w:ascii="Arial" w:hAnsi="Arial" w:cs="Arial"/>
          <w:sz w:val="22"/>
          <w:szCs w:val="22"/>
        </w:rPr>
      </w:pPr>
      <w:r w:rsidRPr="00022D5C">
        <w:rPr>
          <w:rFonts w:ascii="Arial" w:hAnsi="Arial" w:cs="Arial"/>
          <w:sz w:val="22"/>
          <w:szCs w:val="22"/>
        </w:rPr>
        <w:t>-obligarea pârâtei Conpet S.A. să devieze conducta de țiței care traversează un număr de 22 parcele de teren intravilan, destinat construirii de locuințe, aflate în proprietatea noastră, în suprafață totală de 20.287 m.p.</w:t>
      </w:r>
    </w:p>
    <w:p w:rsidR="00C60341" w:rsidRPr="00022D5C" w:rsidRDefault="00C60341" w:rsidP="00C60341">
      <w:pPr>
        <w:jc w:val="both"/>
        <w:rPr>
          <w:rFonts w:ascii="Arial" w:hAnsi="Arial" w:cs="Arial"/>
          <w:sz w:val="22"/>
          <w:szCs w:val="22"/>
        </w:rPr>
      </w:pPr>
      <w:r w:rsidRPr="00022D5C">
        <w:rPr>
          <w:rFonts w:ascii="Arial" w:hAnsi="Arial" w:cs="Arial"/>
          <w:sz w:val="22"/>
          <w:szCs w:val="22"/>
        </w:rPr>
        <w:t>- obligarea pârâtei Conpet S.A. să achite suma de 65.000 de euro reprezentând contravaloarea casei situată în parcela nr. A141.7760/5/174, înscrisă în C.F. nr. 306869 deoarece aceasta nu mai poate să fie valorificată de către subscrisa.</w:t>
      </w:r>
    </w:p>
    <w:p w:rsidR="00C60341" w:rsidRPr="00022D5C" w:rsidRDefault="00C60341" w:rsidP="00C60341">
      <w:pPr>
        <w:jc w:val="both"/>
        <w:rPr>
          <w:rFonts w:ascii="Arial" w:hAnsi="Arial" w:cs="Arial"/>
          <w:sz w:val="22"/>
          <w:szCs w:val="22"/>
        </w:rPr>
      </w:pPr>
      <w:r w:rsidRPr="00022D5C">
        <w:rPr>
          <w:rFonts w:ascii="Arial" w:hAnsi="Arial" w:cs="Arial"/>
          <w:sz w:val="22"/>
          <w:szCs w:val="22"/>
        </w:rPr>
        <w:t>În subsidiar:</w:t>
      </w:r>
    </w:p>
    <w:p w:rsidR="00C60341" w:rsidRPr="00022D5C" w:rsidRDefault="00C60341" w:rsidP="00C60341">
      <w:pPr>
        <w:jc w:val="both"/>
        <w:rPr>
          <w:rFonts w:ascii="Arial" w:hAnsi="Arial" w:cs="Arial"/>
          <w:sz w:val="22"/>
          <w:szCs w:val="22"/>
        </w:rPr>
      </w:pPr>
      <w:r w:rsidRPr="00022D5C">
        <w:rPr>
          <w:rFonts w:ascii="Arial" w:hAnsi="Arial" w:cs="Arial"/>
          <w:sz w:val="22"/>
          <w:szCs w:val="22"/>
        </w:rPr>
        <w:t>- obligarea pârâtei Conpet S.A. la plata unei rente anuale, pe durata existenței conductei, ca urmare grevării suprafețelor arătate supra de dreptul de servitute legală exercitat de Conpet SA;</w:t>
      </w:r>
    </w:p>
    <w:p w:rsidR="00C60341" w:rsidRPr="00022D5C" w:rsidRDefault="00C60341" w:rsidP="00C60341">
      <w:pPr>
        <w:jc w:val="both"/>
        <w:rPr>
          <w:rFonts w:ascii="Arial" w:hAnsi="Arial" w:cs="Arial"/>
          <w:sz w:val="22"/>
          <w:szCs w:val="22"/>
        </w:rPr>
      </w:pPr>
      <w:r w:rsidRPr="00022D5C">
        <w:rPr>
          <w:rFonts w:ascii="Arial" w:hAnsi="Arial" w:cs="Arial"/>
          <w:sz w:val="22"/>
          <w:szCs w:val="22"/>
        </w:rPr>
        <w:t>- obligarea pârâtei Conpet S.A. la acordarea unor despăgubiri pentru perioada 31.10.2014 - 31.05.2016 ca urmare a limitării atributelor dreptului de proprietate a celor 22 de parcele de teren intravilan și a scăderii valorii de circulație a terenului pe piața imobiliară din cauza restricțiilor impuse de Ordinul 196/2006 al A.N.R.M. cu privire la construcții;</w:t>
      </w:r>
    </w:p>
    <w:p w:rsidR="00C60341" w:rsidRPr="00022D5C" w:rsidRDefault="00C60341" w:rsidP="00C60341">
      <w:pPr>
        <w:jc w:val="both"/>
        <w:rPr>
          <w:rFonts w:ascii="Arial" w:hAnsi="Arial" w:cs="Arial"/>
          <w:sz w:val="22"/>
          <w:szCs w:val="22"/>
        </w:rPr>
      </w:pPr>
      <w:r w:rsidRPr="00022D5C">
        <w:rPr>
          <w:rFonts w:ascii="Arial" w:hAnsi="Arial" w:cs="Arial"/>
          <w:sz w:val="22"/>
          <w:szCs w:val="22"/>
        </w:rPr>
        <w:t>- obligarea pârâtei Conpet S.A. ca din 3 in 3 ani să adapteze cuantumul despăgubirilor la valoarea de circulație din acel moment a unor terenuri similare și a prevederilor viitoarelor ordine ale A.N.R.M;</w:t>
      </w:r>
    </w:p>
    <w:p w:rsidR="00C60341" w:rsidRPr="00022D5C" w:rsidRDefault="00C60341" w:rsidP="00C60341">
      <w:pPr>
        <w:jc w:val="both"/>
        <w:rPr>
          <w:rFonts w:ascii="Arial" w:hAnsi="Arial" w:cs="Arial"/>
          <w:sz w:val="22"/>
          <w:szCs w:val="22"/>
        </w:rPr>
      </w:pPr>
      <w:r w:rsidRPr="00022D5C">
        <w:rPr>
          <w:rFonts w:ascii="Arial" w:hAnsi="Arial" w:cs="Arial"/>
          <w:sz w:val="22"/>
          <w:szCs w:val="22"/>
        </w:rPr>
        <w:t>- fixarea de către instanța de judecată a datei scadente la care anual se vor plăti despăgubirile, urmând ca neplata la termenul scadent să atragă plata dobânzii legale aferentă sumei primită ca despăgubire pentru perioada de întarziere;</w:t>
      </w:r>
    </w:p>
    <w:p w:rsidR="00C60341" w:rsidRPr="00022D5C" w:rsidRDefault="00C60341" w:rsidP="00C60341">
      <w:pPr>
        <w:jc w:val="both"/>
        <w:rPr>
          <w:rFonts w:ascii="Arial" w:hAnsi="Arial" w:cs="Arial"/>
          <w:sz w:val="22"/>
          <w:szCs w:val="22"/>
        </w:rPr>
      </w:pPr>
      <w:r w:rsidRPr="00022D5C">
        <w:rPr>
          <w:rFonts w:ascii="Arial" w:hAnsi="Arial" w:cs="Arial"/>
          <w:sz w:val="22"/>
          <w:szCs w:val="22"/>
        </w:rPr>
        <w:t>- acordarea cheltuielilor de judecată ocazionate în cauză în caz de opunere.</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Precizări: </w:t>
      </w:r>
      <w:r w:rsidRPr="00022D5C">
        <w:rPr>
          <w:rFonts w:ascii="Arial" w:hAnsi="Arial" w:cs="Arial"/>
          <w:sz w:val="22"/>
          <w:szCs w:val="22"/>
        </w:rPr>
        <w:t>Prin Încheierea din data de 07.12.2016 Tribunalul Arad constată necompetenţa funcţională a Secţiei I civilă a Tribunalului Arad şi declină în favoarea Secţiei a II-a civilă a Tribunalului Arad, judecata acţiunii formulată de reclamantul Unitatea Administrativ Teritorială a Oraşului Pecica.</w:t>
      </w:r>
    </w:p>
    <w:p w:rsidR="00C60341" w:rsidRPr="00022D5C" w:rsidRDefault="00C60341" w:rsidP="00C60341">
      <w:pPr>
        <w:jc w:val="both"/>
        <w:rPr>
          <w:rFonts w:ascii="Arial" w:hAnsi="Arial" w:cs="Arial"/>
          <w:sz w:val="22"/>
          <w:szCs w:val="22"/>
        </w:rPr>
      </w:pPr>
      <w:r w:rsidRPr="00022D5C">
        <w:rPr>
          <w:rFonts w:ascii="Arial" w:hAnsi="Arial" w:cs="Arial"/>
          <w:sz w:val="22"/>
          <w:szCs w:val="22"/>
        </w:rPr>
        <w:t>Prin Încheierea nr. 40/26.01.2017 Tribunalul Arad respinge cererea de arătare a titularului dreptului formulată de pârâta Conpet SA în contradictoriu cu reclamanta UAT a Oraşului Pecica şi cu intimaţii Statul Român prin MFP şi Agenţia Naţională pentru Resurse Minerale. Încheierea a fost atacată cu apel de Conpet (Dosar nr. 3451/108/2016*/a1 – Curtea de Apel Timisoara, termen: 14.03.2017). Prin hotărârea nr. 211/20.03.2017 Curtea de Apel Timișoara respinge apelul.</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Prin </w:t>
      </w:r>
      <w:r w:rsidRPr="00022D5C">
        <w:rPr>
          <w:rFonts w:ascii="Arial" w:hAnsi="Arial" w:cs="Arial"/>
          <w:b/>
          <w:sz w:val="22"/>
          <w:szCs w:val="22"/>
        </w:rPr>
        <w:t>sentința nr. 336/18.05.2017</w:t>
      </w:r>
      <w:r w:rsidRPr="00022D5C">
        <w:rPr>
          <w:rFonts w:ascii="Arial" w:hAnsi="Arial" w:cs="Arial"/>
          <w:sz w:val="22"/>
          <w:szCs w:val="22"/>
        </w:rPr>
        <w:t xml:space="preserve"> Tribunalul Arad respinge acţiunea civilă formulată de reclamanta UAT a Oraşului Pecica în contradictoriu cu pârâta SC Conpet SA având ca obiect obligaţie de a face şi pretenţii. Fără cheltuieli de judecată. Hotărârea a fost atacată cu apel de UAT Orașul Pecica.</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Prin </w:t>
      </w:r>
      <w:r w:rsidRPr="00022D5C">
        <w:rPr>
          <w:rFonts w:ascii="Arial" w:hAnsi="Arial" w:cs="Arial"/>
          <w:b/>
          <w:sz w:val="22"/>
          <w:szCs w:val="22"/>
        </w:rPr>
        <w:t>decizia nr. 761/23.11.2017</w:t>
      </w:r>
      <w:r w:rsidRPr="00022D5C">
        <w:rPr>
          <w:rFonts w:ascii="Arial" w:hAnsi="Arial" w:cs="Arial"/>
          <w:sz w:val="22"/>
          <w:szCs w:val="22"/>
        </w:rPr>
        <w:t xml:space="preserve"> Curtea de Apel Timișoara admite apelul. Anulează sentinţa apelată şi trimite cauza spre rejudecare la Tribunalul Arad. Conpet a formulat recurs. </w:t>
      </w:r>
    </w:p>
    <w:p w:rsidR="00C60341" w:rsidRPr="00022D5C" w:rsidRDefault="00C60341" w:rsidP="00C60341">
      <w:pPr>
        <w:jc w:val="both"/>
        <w:rPr>
          <w:rFonts w:ascii="Arial" w:hAnsi="Arial" w:cs="Arial"/>
          <w:sz w:val="22"/>
          <w:szCs w:val="22"/>
        </w:rPr>
      </w:pPr>
      <w:r w:rsidRPr="00022D5C">
        <w:rPr>
          <w:rFonts w:ascii="Arial" w:hAnsi="Arial" w:cs="Arial"/>
          <w:sz w:val="22"/>
          <w:szCs w:val="22"/>
        </w:rPr>
        <w:t>Prin Raportul din data de 07.06.2018 Inalta Curte de Casație și Justiție a constatat inadmisibilitatea recursului Conpet, acesta fiind promovat împotriva unei hotărâri definitive, care nu se înscrie în ipoteza reglementată de art. 483 alin. 1 Cod procedură civilă. Părțile pot depune, în scris, un punct de vedere asupra raportului în termen de 10 zile de la comunicarea acestuia.</w:t>
      </w:r>
    </w:p>
    <w:p w:rsidR="00C60341" w:rsidRDefault="00C60341" w:rsidP="00C60341">
      <w:pPr>
        <w:jc w:val="both"/>
        <w:rPr>
          <w:rFonts w:ascii="Arial" w:hAnsi="Arial" w:cs="Arial"/>
          <w:sz w:val="22"/>
          <w:szCs w:val="22"/>
        </w:rPr>
      </w:pPr>
      <w:r w:rsidRPr="00022D5C">
        <w:rPr>
          <w:rFonts w:ascii="Arial" w:hAnsi="Arial" w:cs="Arial"/>
          <w:b/>
          <w:sz w:val="22"/>
          <w:szCs w:val="22"/>
        </w:rPr>
        <w:t xml:space="preserve">Stadiu procesual: </w:t>
      </w:r>
      <w:r w:rsidRPr="00022D5C">
        <w:rPr>
          <w:rFonts w:ascii="Arial" w:hAnsi="Arial" w:cs="Arial"/>
          <w:sz w:val="22"/>
          <w:szCs w:val="22"/>
        </w:rPr>
        <w:t>Recurs</w:t>
      </w:r>
      <w:r w:rsidRPr="00022D5C">
        <w:rPr>
          <w:rFonts w:ascii="Arial" w:hAnsi="Arial" w:cs="Arial"/>
          <w:sz w:val="22"/>
          <w:szCs w:val="22"/>
        </w:rPr>
        <w:br/>
      </w:r>
      <w:r w:rsidRPr="00022D5C">
        <w:rPr>
          <w:rFonts w:ascii="Arial" w:hAnsi="Arial" w:cs="Arial"/>
          <w:b/>
          <w:sz w:val="22"/>
          <w:szCs w:val="22"/>
        </w:rPr>
        <w:t xml:space="preserve">Termen: </w:t>
      </w:r>
      <w:r w:rsidR="005A1181">
        <w:rPr>
          <w:rFonts w:ascii="Arial" w:hAnsi="Arial" w:cs="Arial"/>
          <w:sz w:val="22"/>
          <w:szCs w:val="22"/>
        </w:rPr>
        <w:t>--</w:t>
      </w:r>
    </w:p>
    <w:p w:rsidR="00C964D5" w:rsidRPr="00022D5C" w:rsidRDefault="00C964D5" w:rsidP="00C60341">
      <w:pPr>
        <w:jc w:val="both"/>
        <w:rPr>
          <w:rFonts w:ascii="Arial" w:hAnsi="Arial" w:cs="Arial"/>
          <w:sz w:val="22"/>
          <w:szCs w:val="22"/>
        </w:rPr>
      </w:pPr>
    </w:p>
    <w:p w:rsidR="00C60341" w:rsidRPr="00022D5C" w:rsidRDefault="00C60341" w:rsidP="00C60341">
      <w:pPr>
        <w:jc w:val="both"/>
        <w:rPr>
          <w:rFonts w:ascii="Arial" w:hAnsi="Arial" w:cs="Arial"/>
          <w:sz w:val="22"/>
          <w:szCs w:val="22"/>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rPr>
        <w:lastRenderedPageBreak/>
        <w:t xml:space="preserve">11. Dosar nr. 1978/223/2016 – Judecătoria Drăgășani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Conpet SA - pârât</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Florea C. Nicolae – reclamant</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Obiect: </w:t>
      </w:r>
      <w:r w:rsidRPr="00022D5C">
        <w:rPr>
          <w:rFonts w:ascii="Arial" w:hAnsi="Arial" w:cs="Arial"/>
          <w:sz w:val="22"/>
          <w:szCs w:val="22"/>
        </w:rPr>
        <w:t>Florea C. Nicolae a formulat cerere de chemare în judecată solicitând instanței să dispună:</w:t>
      </w:r>
    </w:p>
    <w:p w:rsidR="00C60341" w:rsidRPr="00022D5C" w:rsidRDefault="00C60341" w:rsidP="00170D7E">
      <w:pPr>
        <w:widowControl/>
        <w:numPr>
          <w:ilvl w:val="0"/>
          <w:numId w:val="46"/>
        </w:numPr>
        <w:autoSpaceDE/>
        <w:autoSpaceDN/>
        <w:adjustRightInd/>
        <w:jc w:val="both"/>
        <w:rPr>
          <w:rFonts w:ascii="Arial" w:hAnsi="Arial" w:cs="Arial"/>
          <w:b/>
          <w:sz w:val="22"/>
          <w:szCs w:val="22"/>
        </w:rPr>
      </w:pPr>
      <w:r w:rsidRPr="00022D5C">
        <w:rPr>
          <w:rFonts w:ascii="Arial" w:hAnsi="Arial" w:cs="Arial"/>
          <w:sz w:val="22"/>
          <w:szCs w:val="22"/>
        </w:rPr>
        <w:t>obligarea Conpet să readucă la situația anterioară terenul în suprafață de 759 mp situat în extravilanul comumei Drăgoești, județul Vâlcea, tarla 65 parcela 1/3 în punctul “Picătura”, teren afectat de produsele petroliere transportate de pârâtă; în caz contrar solicită reclamantul să fie autorizat să execute aceste lucrări pe cheltuiala pârâtei Conpet. Contravaloarea acestor lucrări o estimeaza la suma de 1.000 lei;</w:t>
      </w:r>
    </w:p>
    <w:p w:rsidR="00C60341" w:rsidRPr="00022D5C" w:rsidRDefault="00C60341" w:rsidP="00170D7E">
      <w:pPr>
        <w:widowControl/>
        <w:numPr>
          <w:ilvl w:val="0"/>
          <w:numId w:val="46"/>
        </w:numPr>
        <w:autoSpaceDE/>
        <w:autoSpaceDN/>
        <w:adjustRightInd/>
        <w:jc w:val="both"/>
        <w:rPr>
          <w:rFonts w:ascii="Arial" w:hAnsi="Arial" w:cs="Arial"/>
          <w:b/>
          <w:sz w:val="22"/>
          <w:szCs w:val="22"/>
        </w:rPr>
      </w:pPr>
      <w:r w:rsidRPr="00022D5C">
        <w:rPr>
          <w:rFonts w:ascii="Arial" w:hAnsi="Arial" w:cs="Arial"/>
          <w:sz w:val="22"/>
          <w:szCs w:val="22"/>
        </w:rPr>
        <w:t>obligarea Conpet la plata contravalorii lipsei de folosință a terenului pe ultimii trei ani precum și pentru perioada necesară refacerii stratului fertil și a categoriei de folosință a terenului. Estimează lipsa de folosință la o valoare de 5.000 lei.</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Stadiu procesual: </w:t>
      </w:r>
      <w:r w:rsidRPr="00022D5C">
        <w:rPr>
          <w:rFonts w:ascii="Arial" w:hAnsi="Arial" w:cs="Arial"/>
          <w:sz w:val="22"/>
          <w:szCs w:val="22"/>
        </w:rPr>
        <w:t>Fond</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Termen: </w:t>
      </w:r>
      <w:r w:rsidR="005A1181">
        <w:rPr>
          <w:rFonts w:ascii="Arial" w:hAnsi="Arial" w:cs="Arial"/>
          <w:sz w:val="22"/>
          <w:szCs w:val="22"/>
        </w:rPr>
        <w:t>13.09.2018</w:t>
      </w:r>
    </w:p>
    <w:p w:rsidR="00C60341" w:rsidRPr="00022D5C" w:rsidRDefault="00C60341" w:rsidP="00C60341">
      <w:pPr>
        <w:jc w:val="both"/>
        <w:rPr>
          <w:rFonts w:ascii="Arial" w:hAnsi="Arial" w:cs="Arial"/>
          <w:b/>
          <w:sz w:val="22"/>
          <w:szCs w:val="22"/>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rPr>
        <w:t xml:space="preserve">12. Dosar nr. 7237/105/2016 – Curtea de Apel Ploiești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Conpet – pârât</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Petrotel Lukoil SA – pârât</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           Toma Marian – reclamant</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xml:space="preserve"> Acțiune în constatare. Toma Marian a formulat cerere de chemare în judecată prin care a solicitat instanței să constate că a muncit în condiții grele de muncă ce trebuie încadrate în Grupa a I-a conform Ordinului nr. 50/1990 și să oblige pârâtele la eliberarea unor adeverințe din care să rezulte că trebuia să beneficieze de drepturile mai sus- mentionate.</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Prin </w:t>
      </w:r>
      <w:r w:rsidRPr="00022D5C">
        <w:rPr>
          <w:rFonts w:ascii="Arial" w:hAnsi="Arial" w:cs="Arial"/>
          <w:b/>
          <w:sz w:val="22"/>
          <w:szCs w:val="22"/>
        </w:rPr>
        <w:t>sentința nr. 950/08.03.2018</w:t>
      </w:r>
      <w:r w:rsidRPr="00022D5C">
        <w:rPr>
          <w:rFonts w:ascii="Arial" w:hAnsi="Arial" w:cs="Arial"/>
          <w:sz w:val="22"/>
          <w:szCs w:val="22"/>
        </w:rPr>
        <w:t xml:space="preserve"> Tribunalul Prahova admite în parte cererea precizată. Constată că reclamantul beneficiază de grupa I de muncă în procent de 100% pentru activităţile desfăşurate în cadrul unităţii angajatoare SC Petrotel Lukoil SA, pentru perioadele: 04.03.</w:t>
      </w:r>
      <w:r w:rsidR="00167485">
        <w:rPr>
          <w:rFonts w:ascii="Arial" w:hAnsi="Arial" w:cs="Arial"/>
          <w:sz w:val="22"/>
          <w:szCs w:val="22"/>
        </w:rPr>
        <w:t>1980 – 26.10.1983 si 14.03.1985</w:t>
      </w:r>
      <w:r w:rsidRPr="00022D5C">
        <w:rPr>
          <w:rFonts w:ascii="Arial" w:hAnsi="Arial" w:cs="Arial"/>
          <w:sz w:val="22"/>
          <w:szCs w:val="22"/>
        </w:rPr>
        <w:t xml:space="preserve">–18.03.1985. Obligă pârâta SC Petrotel Lukoil SA să elibereze reclamantului adeverinţa din care să rezulte perioada, grupa şi procentul în care acesta şi-a desfăşurat activitatea. Respinge acțiunea față de Conpet SA. Hotărârea a fost atacată cu apel de Toma Marian.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Stadiu procesual:</w:t>
      </w:r>
      <w:r w:rsidRPr="00022D5C">
        <w:rPr>
          <w:rFonts w:ascii="Arial" w:hAnsi="Arial" w:cs="Arial"/>
          <w:sz w:val="22"/>
          <w:szCs w:val="22"/>
        </w:rPr>
        <w:t xml:space="preserve"> Apel</w:t>
      </w:r>
    </w:p>
    <w:p w:rsidR="00C60341" w:rsidRPr="00022D5C" w:rsidRDefault="00C60341" w:rsidP="00C60341">
      <w:pPr>
        <w:jc w:val="both"/>
        <w:rPr>
          <w:rFonts w:ascii="Arial" w:hAnsi="Arial" w:cs="Arial"/>
          <w:sz w:val="22"/>
          <w:szCs w:val="22"/>
        </w:rPr>
      </w:pPr>
      <w:r w:rsidRPr="00022D5C">
        <w:rPr>
          <w:rFonts w:ascii="Arial" w:hAnsi="Arial" w:cs="Arial"/>
          <w:b/>
          <w:sz w:val="22"/>
          <w:szCs w:val="22"/>
        </w:rPr>
        <w:t>Termen:</w:t>
      </w:r>
      <w:r w:rsidRPr="00022D5C">
        <w:rPr>
          <w:rFonts w:ascii="Arial" w:hAnsi="Arial" w:cs="Arial"/>
          <w:sz w:val="22"/>
          <w:szCs w:val="22"/>
        </w:rPr>
        <w:t xml:space="preserve"> 19.09.2018</w:t>
      </w:r>
    </w:p>
    <w:p w:rsidR="00C60341" w:rsidRPr="00022D5C" w:rsidRDefault="00C60341" w:rsidP="00C60341">
      <w:pPr>
        <w:jc w:val="both"/>
        <w:rPr>
          <w:rFonts w:ascii="Arial"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 xml:space="preserve">13. Dosar nr.  7091/105/2016 – Tribunalul Prahova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 xml:space="preserve">Părți: </w:t>
      </w:r>
      <w:r w:rsidR="00167485">
        <w:rPr>
          <w:rFonts w:ascii="Arial" w:eastAsia="Calibri" w:hAnsi="Arial" w:cs="Arial"/>
          <w:b/>
          <w:sz w:val="22"/>
          <w:szCs w:val="22"/>
        </w:rPr>
        <w:t xml:space="preserve">  </w:t>
      </w:r>
      <w:r w:rsidRPr="00022D5C">
        <w:rPr>
          <w:rFonts w:ascii="Arial" w:eastAsia="Calibri" w:hAnsi="Arial" w:cs="Arial"/>
          <w:sz w:val="22"/>
          <w:szCs w:val="22"/>
        </w:rPr>
        <w:t>Conpet SA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Mărgean Elena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 xml:space="preserve">Obiect: </w:t>
      </w:r>
      <w:r w:rsidRPr="00022D5C">
        <w:rPr>
          <w:rFonts w:ascii="Arial" w:eastAsia="Calibri" w:hAnsi="Arial" w:cs="Arial"/>
          <w:sz w:val="22"/>
          <w:szCs w:val="22"/>
        </w:rPr>
        <w:t>Mărgean Elena a formulat cerere de chemare prin care a solicitat instanței să constate încadrarea în grupa I de muncă pentru perioada 11.08.2004 – 30.05.2005. Motivele cererii de chemare în judecată au la bază considerentul că perioada în care reclamanta a desfășurat activitate în cadrul societății, se încadrează în grupa I-a de muncă.</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Prin </w:t>
      </w:r>
      <w:r w:rsidRPr="00022D5C">
        <w:rPr>
          <w:rFonts w:ascii="Arial" w:eastAsia="Calibri" w:hAnsi="Arial" w:cs="Arial"/>
          <w:b/>
          <w:sz w:val="22"/>
          <w:szCs w:val="22"/>
        </w:rPr>
        <w:t>sentința nr. 6018/22.12.2017</w:t>
      </w:r>
      <w:r w:rsidRPr="00022D5C">
        <w:rPr>
          <w:rFonts w:ascii="Arial" w:eastAsia="Calibri" w:hAnsi="Arial" w:cs="Arial"/>
          <w:sz w:val="22"/>
          <w:szCs w:val="22"/>
        </w:rPr>
        <w:t xml:space="preserve"> Tribunalul Prahova admite cererea formulată de reclamanta Mărgean Elena. Constată că reclamanta beneficiază, în procent de 100% din programul de lucru, de încadrarea în grupa a II-a de muncă, potrivit concluziilor raportului de expertiză în specialitatea organizarea muncii, salarizare, întocmit de expert Anton Carmen. Obligă pârâta să elibereze reclamantei adeverinţă în sensul arătat. Hotărârea poate fi atacată cu apel după comunicare.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procesual</w:t>
      </w:r>
      <w:r w:rsidRPr="00022D5C">
        <w:rPr>
          <w:rFonts w:ascii="Arial" w:eastAsia="Calibri" w:hAnsi="Arial" w:cs="Arial"/>
          <w:sz w:val="22"/>
          <w:szCs w:val="22"/>
        </w:rPr>
        <w:t>: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sidRPr="00022D5C">
        <w:rPr>
          <w:rFonts w:ascii="Arial" w:eastAsia="Calibri" w:hAnsi="Arial" w:cs="Arial"/>
          <w:sz w:val="22"/>
          <w:szCs w:val="22"/>
        </w:rPr>
        <w:t>: --</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 xml:space="preserve">14. Dosar nr. 3581/281/2017 – Judecătoria Ploiești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 xml:space="preserve">Părți: </w:t>
      </w:r>
      <w:r w:rsidR="00167485">
        <w:rPr>
          <w:rFonts w:ascii="Arial" w:eastAsia="Calibri" w:hAnsi="Arial" w:cs="Arial"/>
          <w:b/>
          <w:sz w:val="22"/>
          <w:szCs w:val="22"/>
        </w:rPr>
        <w:t xml:space="preserve"> </w:t>
      </w:r>
      <w:r w:rsidRPr="00022D5C">
        <w:rPr>
          <w:rFonts w:ascii="Arial" w:eastAsia="Calibri" w:hAnsi="Arial" w:cs="Arial"/>
          <w:sz w:val="22"/>
          <w:szCs w:val="22"/>
        </w:rPr>
        <w:t>Conpet SA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Direcția Regională Drumuri și Poduri Iași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xml:space="preserve"> Direcția Regională Drumuri și Poduri Iași a formulat cerere de chemare în judecată solictând instanței să dispună obligarea pârâtei CONPET SA la plata sumei de 487,22 lei reprezentând contravaloarea Autorizației de amplasare nr. 310/04.07. 2014 plus cheltuieli de judecată. Motivele cererii de chemare în judecată au la bază considerentul că societatea noastră </w:t>
      </w:r>
      <w:r w:rsidRPr="00022D5C">
        <w:rPr>
          <w:rFonts w:ascii="Arial" w:eastAsia="Calibri" w:hAnsi="Arial" w:cs="Arial"/>
          <w:sz w:val="22"/>
          <w:szCs w:val="22"/>
        </w:rPr>
        <w:lastRenderedPageBreak/>
        <w:t>a solicitat emiterea autorizației pentru amplasarea și execuția lucrărilor de ”Înlocuire conductă țiței Lucăcești – Vermești – Rafinăria Dărmănești, în zona ventil traversare CF – halta Vasiești, pe o lungime de 1,1 km, loc. Moinești, jud. Bacău”- subtraversare DN 2G cu conducta de gaze naturale în zona DN 2G Km 51+261, loc. Moinești, jud. Bacău, refuzând ulterior la plată Factura nr. 3630/13.11/2014 întrucât s-a renunțat la realizarea proiectului.</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Prin </w:t>
      </w:r>
      <w:r w:rsidRPr="00022D5C">
        <w:rPr>
          <w:rFonts w:ascii="Arial" w:eastAsia="Calibri" w:hAnsi="Arial" w:cs="Arial"/>
          <w:b/>
          <w:sz w:val="22"/>
          <w:szCs w:val="22"/>
        </w:rPr>
        <w:t>sentința nr. 3632/27.04.2018</w:t>
      </w:r>
      <w:r w:rsidRPr="00022D5C">
        <w:rPr>
          <w:rFonts w:ascii="Arial" w:eastAsia="Calibri" w:hAnsi="Arial" w:cs="Arial"/>
          <w:sz w:val="22"/>
          <w:szCs w:val="22"/>
        </w:rPr>
        <w:t xml:space="preserve"> Judecătoria Ploiești respinge excepţia lipsei capacităţii de folosinţă a C.N.A.I.R. S.A. prin Direcţia Regională Drumuri şi Poduri Iaşi, invocată de pârâta Conpet SA. Admite cererea de chemare în judecată având ca obiect pretenţii formulată de reclamanta C.N.A.I.R. S.A. prin Direcţia Regională Drumuri şi Poduri Iaşi în contradictoriu cu pârâta Conpet SA. Obligă pârâta la plata către reclamantă a sumei de 487,22 lei reprezentând contravaloare autorizaţie nr. 310/04.07.2014. Obligă pârâta la plata către reclamantă a cheltuielilor de judecată în cuantum de 38,97 lei reprezentând taxă de timbru. Hotărârea a fost atacată cu apel de Conpet.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 xml:space="preserve">Stadiu procesul: </w:t>
      </w:r>
      <w:r w:rsidRPr="00022D5C">
        <w:rPr>
          <w:rFonts w:ascii="Arial" w:eastAsia="Calibri" w:hAnsi="Arial" w:cs="Arial"/>
          <w:sz w:val="22"/>
          <w:szCs w:val="22"/>
        </w:rPr>
        <w:t>--</w:t>
      </w:r>
    </w:p>
    <w:p w:rsidR="00C60341" w:rsidRPr="005A1181" w:rsidRDefault="00C60341" w:rsidP="00C60341">
      <w:pPr>
        <w:jc w:val="both"/>
        <w:rPr>
          <w:rFonts w:ascii="Arial" w:eastAsia="Calibri" w:hAnsi="Arial" w:cs="Arial"/>
          <w:sz w:val="22"/>
          <w:szCs w:val="22"/>
        </w:rPr>
      </w:pPr>
      <w:r w:rsidRPr="00022D5C">
        <w:rPr>
          <w:rFonts w:ascii="Arial" w:eastAsia="Calibri" w:hAnsi="Arial" w:cs="Arial"/>
          <w:b/>
          <w:sz w:val="22"/>
          <w:szCs w:val="22"/>
        </w:rPr>
        <w:t xml:space="preserve">Termen: </w:t>
      </w:r>
      <w:r w:rsidR="005A1181">
        <w:rPr>
          <w:rFonts w:ascii="Arial" w:eastAsia="Calibri" w:hAnsi="Arial" w:cs="Arial"/>
          <w:sz w:val="22"/>
          <w:szCs w:val="22"/>
        </w:rPr>
        <w:t>--</w:t>
      </w:r>
    </w:p>
    <w:p w:rsidR="00C60341" w:rsidRPr="00022D5C" w:rsidRDefault="00C60341" w:rsidP="00C60341">
      <w:pPr>
        <w:jc w:val="both"/>
        <w:rPr>
          <w:rFonts w:ascii="Arial" w:eastAsia="Calibri" w:hAnsi="Arial" w:cs="Arial"/>
          <w:b/>
          <w:color w:val="FF0000"/>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 xml:space="preserve">15. Dosar nr. 220/262/2017 – Judecătoria Moreni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w:t>
      </w:r>
      <w:r w:rsidR="00167485">
        <w:rPr>
          <w:rFonts w:ascii="Arial" w:eastAsia="Calibri" w:hAnsi="Arial" w:cs="Arial"/>
          <w:sz w:val="22"/>
          <w:szCs w:val="22"/>
        </w:rPr>
        <w:t xml:space="preserve"> </w:t>
      </w:r>
      <w:r w:rsidRPr="00022D5C">
        <w:rPr>
          <w:rFonts w:ascii="Arial" w:eastAsia="Calibri" w:hAnsi="Arial" w:cs="Arial"/>
          <w:sz w:val="22"/>
          <w:szCs w:val="22"/>
        </w:rPr>
        <w:t>Conpet SA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Chivu Ion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Chivu Ion a formulat cerere de chemare în judecată solicitând instanței să dispună:</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obligarea Conpet SA să devieze conducta petrolieră ce traversează terenul proprietatea sa, în suprafață de 1.753 mp situate în comuna Ocnița T14, P114;</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stabilirea amplasamentului de acces cu obligarea Conpet SA la plata unei rente anuale aferente atât pentru calea de acces cât și pentru conducta ce produce prejudicii terenului;</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despăgubiri pentru terenul afectat de conductă.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procesul:</w:t>
      </w:r>
      <w:r w:rsidRPr="00022D5C">
        <w:rPr>
          <w:rFonts w:ascii="Arial" w:eastAsia="Calibri" w:hAnsi="Arial" w:cs="Arial"/>
          <w:sz w:val="22"/>
          <w:szCs w:val="22"/>
        </w:rPr>
        <w:t xml:space="preserve"> Fond</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sidRPr="00022D5C">
        <w:rPr>
          <w:rFonts w:ascii="Arial" w:eastAsia="Calibri" w:hAnsi="Arial" w:cs="Arial"/>
          <w:sz w:val="22"/>
          <w:szCs w:val="22"/>
        </w:rPr>
        <w:t xml:space="preserve"> 21.08.2018</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 xml:space="preserve">16. Dosar nr. 1268/302/2018 (8047/302/2017) – Tribunalul București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00167485">
        <w:rPr>
          <w:rFonts w:ascii="Arial" w:eastAsia="Calibri" w:hAnsi="Arial" w:cs="Arial"/>
          <w:b/>
          <w:sz w:val="22"/>
          <w:szCs w:val="22"/>
        </w:rPr>
        <w:t xml:space="preserve"> </w:t>
      </w:r>
      <w:r w:rsidRPr="00022D5C">
        <w:rPr>
          <w:rFonts w:ascii="Arial" w:eastAsia="Calibri" w:hAnsi="Arial" w:cs="Arial"/>
          <w:sz w:val="22"/>
          <w:szCs w:val="22"/>
        </w:rPr>
        <w:t xml:space="preserve"> Conpet SA – intimat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Dobrogeanu Păun Ioan – contestator</w:t>
      </w:r>
    </w:p>
    <w:p w:rsidR="00C60341" w:rsidRPr="00022D5C" w:rsidRDefault="00C60341" w:rsidP="00C60341">
      <w:pPr>
        <w:jc w:val="both"/>
        <w:rPr>
          <w:rFonts w:ascii="Arial"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xml:space="preserve"> </w:t>
      </w:r>
      <w:r w:rsidRPr="00022D5C">
        <w:rPr>
          <w:rFonts w:ascii="Arial" w:hAnsi="Arial" w:cs="Arial"/>
          <w:sz w:val="22"/>
          <w:szCs w:val="22"/>
        </w:rPr>
        <w:t>Dobogeanu Păun Ioan formulează Contestație la executare împotriva actelor de executare silită emisă în dosarele de executare silită nr. 10/2013 al BEJ Răduță Nicoleta lșa cererea Conpet prin care s-a solicitat înființarea urmăririi silite pri poprire asupra veniturilor sale pe care le realizează de la terțul poprit SC GEGEREUL AGROTRANS SRL și solicită admiterea contestației și anularea încheierii privind stabilirea cheltuielilor de executare emisă la data de 01.03.2017 pentru suma de 1.381,11 lei.</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Precizări:</w:t>
      </w:r>
      <w:r w:rsidRPr="00022D5C">
        <w:rPr>
          <w:rFonts w:ascii="Arial" w:hAnsi="Arial" w:cs="Arial"/>
          <w:sz w:val="22"/>
          <w:szCs w:val="22"/>
        </w:rPr>
        <w:t xml:space="preserve"> Prin </w:t>
      </w:r>
      <w:r w:rsidRPr="00022D5C">
        <w:rPr>
          <w:rFonts w:ascii="Arial" w:hAnsi="Arial" w:cs="Arial"/>
          <w:b/>
          <w:sz w:val="22"/>
          <w:szCs w:val="22"/>
        </w:rPr>
        <w:t>sentința nr. 4933/30.06.2017</w:t>
      </w:r>
      <w:r w:rsidRPr="00022D5C">
        <w:rPr>
          <w:rFonts w:ascii="Arial" w:hAnsi="Arial" w:cs="Arial"/>
          <w:sz w:val="22"/>
          <w:szCs w:val="22"/>
        </w:rPr>
        <w:t xml:space="preserve"> Judecătoria Sector 5 București admite excepţia necompetenţei teritoriale a Judecătoriei Sector 5 Bucureşti invocată de instanţă din oficiu. Declină cauza având ca obiect contestaţie la executare silită la Judecătoria Sector 6 Bucureşti. </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Admite excepţia necompetenţei teritoriale a Judecătoriei sectorului 6 Bucureşti invocată din oficiu. Prin </w:t>
      </w:r>
      <w:r w:rsidRPr="00022D5C">
        <w:rPr>
          <w:rFonts w:ascii="Arial" w:hAnsi="Arial" w:cs="Arial"/>
          <w:b/>
          <w:sz w:val="22"/>
          <w:szCs w:val="22"/>
        </w:rPr>
        <w:t>hotărârea nr. 8520/24.10.2017</w:t>
      </w:r>
      <w:r w:rsidRPr="00022D5C">
        <w:rPr>
          <w:rFonts w:ascii="Arial" w:hAnsi="Arial" w:cs="Arial"/>
          <w:sz w:val="22"/>
          <w:szCs w:val="22"/>
        </w:rPr>
        <w:t xml:space="preserve"> Judecătoria Sector 6 Bucureşti declină competenţa de soluţionare a cererii formulate de contestatorul Dobrogeanu Păun Ioan în contradictoriu cu Conpet SA, în favoarea Judecătoriei sectorului 5 Bucureşti. Constată conflict negativ de competenţă şi suspendă din oficiu judecata cauzei. Înaintează dosarul în vederea soluţionării conflictului Tri</w:t>
      </w:r>
      <w:r w:rsidR="00167485">
        <w:rPr>
          <w:rFonts w:ascii="Arial" w:hAnsi="Arial" w:cs="Arial"/>
          <w:sz w:val="22"/>
          <w:szCs w:val="22"/>
        </w:rPr>
        <w:t>bunalului Bucureşti – dosar nr.</w:t>
      </w:r>
      <w:r w:rsidRPr="00022D5C">
        <w:rPr>
          <w:rFonts w:ascii="Arial" w:hAnsi="Arial" w:cs="Arial"/>
          <w:sz w:val="22"/>
          <w:szCs w:val="22"/>
        </w:rPr>
        <w:t xml:space="preserve">41964/3/2017 Prin </w:t>
      </w:r>
      <w:r w:rsidRPr="00022D5C">
        <w:rPr>
          <w:rFonts w:ascii="Arial" w:hAnsi="Arial" w:cs="Arial"/>
          <w:b/>
          <w:sz w:val="22"/>
          <w:szCs w:val="22"/>
        </w:rPr>
        <w:t>sentința nr. 1728/28.11.2017</w:t>
      </w:r>
      <w:r w:rsidRPr="00022D5C">
        <w:rPr>
          <w:rFonts w:ascii="Arial" w:hAnsi="Arial" w:cs="Arial"/>
          <w:sz w:val="22"/>
          <w:szCs w:val="22"/>
        </w:rPr>
        <w:t xml:space="preserve"> Tribunalul București stabileşte competenţa de soluţionare a contestaţiei la executare în favoarea Judecătoriei Sectorului 5 Bucureşti. Trimite de îndată dosarul la această instanţă, spre competentă soluţionare. Definitivă. La Judecătoria Sectorului 5 Bucureşti dosarul primește numărul 1268/302/2018.</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Prin </w:t>
      </w:r>
      <w:r w:rsidRPr="00022D5C">
        <w:rPr>
          <w:rFonts w:ascii="Arial" w:hAnsi="Arial" w:cs="Arial"/>
          <w:b/>
          <w:sz w:val="22"/>
          <w:szCs w:val="22"/>
        </w:rPr>
        <w:t>sentința nr. 1837/02.03.2018</w:t>
      </w:r>
      <w:r w:rsidRPr="00022D5C">
        <w:rPr>
          <w:rFonts w:ascii="Arial" w:hAnsi="Arial" w:cs="Arial"/>
          <w:sz w:val="22"/>
          <w:szCs w:val="22"/>
        </w:rPr>
        <w:t xml:space="preserve"> Judecătoria Sectorului 5 București respinge contestaţia la executare formulată împotriva încheierii privind suplimentarea cheltuielilor de executare emisă la data de 01.03.2017 în dosarul de executare 10/2013 al BEJ Răduţă Nicoleta, ca nefondată. Obligă contestatorul la plata către intimată a sumei de 200 lei reprezentând cheltuieli de judecată cu onorariu avocet. Hotărârea a fost atacată cu apel de Dobrogeanu Păun Ioan. </w:t>
      </w:r>
      <w:r w:rsidRPr="00022D5C">
        <w:rPr>
          <w:rFonts w:ascii="Arial" w:hAnsi="Arial" w:cs="Arial"/>
          <w:sz w:val="22"/>
          <w:szCs w:val="22"/>
        </w:rPr>
        <w:br/>
      </w:r>
      <w:r w:rsidRPr="00022D5C">
        <w:rPr>
          <w:rFonts w:ascii="Arial" w:hAnsi="Arial" w:cs="Arial"/>
          <w:b/>
          <w:sz w:val="22"/>
          <w:szCs w:val="22"/>
        </w:rPr>
        <w:t>Stadiu procesual:</w:t>
      </w:r>
      <w:r w:rsidRPr="00022D5C">
        <w:rPr>
          <w:rFonts w:ascii="Arial" w:hAnsi="Arial" w:cs="Arial"/>
          <w:sz w:val="22"/>
          <w:szCs w:val="22"/>
        </w:rPr>
        <w:t xml:space="preserve"> Apel</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Termen: </w:t>
      </w:r>
      <w:r w:rsidR="005A1181">
        <w:rPr>
          <w:rFonts w:ascii="Arial" w:hAnsi="Arial" w:cs="Arial"/>
          <w:sz w:val="22"/>
          <w:szCs w:val="22"/>
        </w:rPr>
        <w:t>--</w:t>
      </w:r>
    </w:p>
    <w:p w:rsidR="00C60341" w:rsidRPr="00022D5C" w:rsidRDefault="00C60341" w:rsidP="00C60341">
      <w:pPr>
        <w:jc w:val="both"/>
        <w:rPr>
          <w:rFonts w:ascii="Arial" w:hAnsi="Arial" w:cs="Arial"/>
          <w:sz w:val="22"/>
          <w:szCs w:val="22"/>
        </w:rPr>
      </w:pPr>
    </w:p>
    <w:p w:rsidR="00C60341" w:rsidRPr="00022D5C" w:rsidRDefault="00C60341" w:rsidP="00C60341">
      <w:pPr>
        <w:jc w:val="both"/>
        <w:rPr>
          <w:rFonts w:ascii="Arial" w:hAnsi="Arial" w:cs="Arial"/>
          <w:b/>
          <w:bCs/>
          <w:sz w:val="22"/>
          <w:szCs w:val="22"/>
        </w:rPr>
      </w:pPr>
      <w:r w:rsidRPr="00022D5C">
        <w:rPr>
          <w:rFonts w:ascii="Arial" w:hAnsi="Arial" w:cs="Arial"/>
          <w:b/>
          <w:sz w:val="22"/>
          <w:szCs w:val="22"/>
        </w:rPr>
        <w:t xml:space="preserve">17. </w:t>
      </w:r>
      <w:r w:rsidRPr="00022D5C">
        <w:rPr>
          <w:rFonts w:ascii="Arial" w:hAnsi="Arial" w:cs="Arial"/>
          <w:b/>
          <w:bCs/>
          <w:sz w:val="22"/>
          <w:szCs w:val="22"/>
        </w:rPr>
        <w:t xml:space="preserve">Dosar nr. 9919/281/2017 - Judecătoria Ploiești </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Părți:</w:t>
      </w:r>
      <w:r w:rsidRPr="00022D5C">
        <w:rPr>
          <w:rFonts w:ascii="Arial" w:hAnsi="Arial" w:cs="Arial"/>
          <w:sz w:val="22"/>
          <w:szCs w:val="22"/>
        </w:rPr>
        <w:t xml:space="preserve"> </w:t>
      </w:r>
      <w:r w:rsidRPr="00022D5C">
        <w:rPr>
          <w:rFonts w:ascii="Arial" w:hAnsi="Arial" w:cs="Arial"/>
          <w:bCs/>
          <w:sz w:val="22"/>
          <w:szCs w:val="22"/>
        </w:rPr>
        <w:t>Societatea Litex Impex SRL - contestator</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ASSET LEASING IFN SA - intimat  </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ACON BUSINESS SOLUŢION SRL -  terţ poprit  </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ALCOPROD SERVICE SA -  terţ poprit  </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BANCA COMERCILĂ ROMÂNĂ SA -  terţ poprit  </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BCR LEASING IFN SA -  terţ poprit  </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CLUBUL AGRICULTORILOR SRL - terţ poprit  </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CONPET SA PLOIESTI - terţ poprit  </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DIRECŢIA GENERALĂ REGIONALĂ A FINANŢELOR PUBLICE PLOIEŞTI -  terţ poprit  </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DIRECŢIA SILVICĂ PRAHOVA - terţ poprit  </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FIMPLAST IMPEX SRL - terţ poprit  </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KR ROAD CAR SRL - terţ poprit  </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MUTTER 2008 SRL - terţ poprit  </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PIRAEUS BANK ROMANIA SA – terţ poprit</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PRAGOSA ROMÂNIA SRL – terț poprit</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RAIFFEISEN BANK SA – terț poprit</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REDOXIM SRL – terț poprit</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SARA SRL – terț poprit</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TRANSPORT CĂLĂTORI EXPRESS SA – terț poprit</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TREZORERIA PLOIEȘTI – terț poprit</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TRI FARM SRL – terț poprit</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UNICREDIT LEASING CORPORATION IFN SA – terț poprit</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VEHICLE MANAGEMENT SYSTEM SRL – terț poprit</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xml:space="preserve">         VIORAL INTER SRL – terț poprit</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Obiect:</w:t>
      </w:r>
      <w:r w:rsidRPr="00022D5C">
        <w:rPr>
          <w:rFonts w:ascii="Arial" w:hAnsi="Arial" w:cs="Arial"/>
          <w:sz w:val="22"/>
          <w:szCs w:val="22"/>
        </w:rPr>
        <w:t xml:space="preserve"> </w:t>
      </w:r>
      <w:r w:rsidRPr="00022D5C">
        <w:rPr>
          <w:rFonts w:ascii="Arial" w:hAnsi="Arial" w:cs="Arial"/>
          <w:bCs/>
          <w:sz w:val="22"/>
          <w:szCs w:val="22"/>
        </w:rPr>
        <w:t>Societatea Litex Impex SRL formulează contestație la executare, solicitând:</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anularea încheierii nr. 2471/ 22.03.2017 pronunțată de Judecătoria Ploiești privinsd admiterea cererii de executare silită, a adreselor de înființare a popririi nr. 355/13.04.2017 către terții popriți, a încheierii din data de 13.04.2017 privind stabilirea cheltuielilor de executare, precum și a somației nr. 355/13.04.2017, acte de executare emise în dosarul de executare nr. 355/2017 (dosar instanță nr. 5902/281/2017) al BEJ Roșu Cristian Cornel;</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anularea măsurii scadenței anticipate, lămurirea întinderii titlului executoriu cu privire la suma reală pe care societatea nostră o datorează creditorului și obligarea creditorului Asset Leasing IFN să emita un nou grafic de rambursare potrivit creanței real datorate;</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întoarcerea executării silite;</w:t>
      </w:r>
    </w:p>
    <w:p w:rsidR="00C60341" w:rsidRPr="00022D5C" w:rsidRDefault="00C60341" w:rsidP="00C60341">
      <w:pPr>
        <w:jc w:val="both"/>
        <w:rPr>
          <w:rFonts w:ascii="Arial" w:hAnsi="Arial" w:cs="Arial"/>
          <w:bCs/>
          <w:sz w:val="22"/>
          <w:szCs w:val="22"/>
        </w:rPr>
      </w:pPr>
      <w:r w:rsidRPr="00022D5C">
        <w:rPr>
          <w:rFonts w:ascii="Arial" w:hAnsi="Arial" w:cs="Arial"/>
          <w:bCs/>
          <w:sz w:val="22"/>
          <w:szCs w:val="22"/>
        </w:rPr>
        <w:t>- obligarea creditorului Asset Leasing IFN la plata cheltuielilor de judecată ocazionate de prezentul proces.</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Precizări:</w:t>
      </w:r>
      <w:r w:rsidRPr="00022D5C">
        <w:rPr>
          <w:rFonts w:ascii="Arial" w:hAnsi="Arial" w:cs="Arial"/>
          <w:bCs/>
          <w:sz w:val="22"/>
          <w:szCs w:val="22"/>
        </w:rPr>
        <w:t xml:space="preserve"> Prin </w:t>
      </w:r>
      <w:r w:rsidRPr="00022D5C">
        <w:rPr>
          <w:rFonts w:ascii="Arial" w:hAnsi="Arial" w:cs="Arial"/>
          <w:b/>
          <w:bCs/>
          <w:sz w:val="22"/>
          <w:szCs w:val="22"/>
        </w:rPr>
        <w:t>sentința nr. 1241/19.02.2018</w:t>
      </w:r>
      <w:r w:rsidRPr="00022D5C">
        <w:rPr>
          <w:rFonts w:ascii="Arial" w:hAnsi="Arial" w:cs="Arial"/>
          <w:bCs/>
          <w:sz w:val="22"/>
          <w:szCs w:val="22"/>
        </w:rPr>
        <w:t xml:space="preserve"> Judecătoria Ploiești ia act de renunţarea la judecată formulată de reclamantul Litex Impex SRL. Hotărârea poate fi atacată cu recurs după comunicare.</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 xml:space="preserve">Stadiu procesual: </w:t>
      </w:r>
      <w:r w:rsidRPr="00022D5C">
        <w:rPr>
          <w:rFonts w:ascii="Arial" w:hAnsi="Arial" w:cs="Arial"/>
          <w:bCs/>
          <w:sz w:val="22"/>
          <w:szCs w:val="22"/>
        </w:rPr>
        <w:t>--</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 xml:space="preserve">Termen: </w:t>
      </w:r>
      <w:r w:rsidRPr="00022D5C">
        <w:rPr>
          <w:rFonts w:ascii="Arial" w:hAnsi="Arial" w:cs="Arial"/>
          <w:bCs/>
          <w:sz w:val="22"/>
          <w:szCs w:val="22"/>
        </w:rPr>
        <w:t>--</w:t>
      </w:r>
    </w:p>
    <w:p w:rsidR="00C60341" w:rsidRPr="00022D5C" w:rsidRDefault="00C60341" w:rsidP="00C60341">
      <w:pPr>
        <w:jc w:val="both"/>
        <w:rPr>
          <w:rFonts w:ascii="Arial" w:hAnsi="Arial" w:cs="Arial"/>
          <w:sz w:val="22"/>
          <w:szCs w:val="22"/>
        </w:rPr>
      </w:pPr>
    </w:p>
    <w:p w:rsidR="00C60341" w:rsidRPr="00022D5C" w:rsidRDefault="00C60341" w:rsidP="00C60341">
      <w:pPr>
        <w:jc w:val="both"/>
        <w:rPr>
          <w:rFonts w:ascii="Arial" w:hAnsi="Arial" w:cs="Arial"/>
          <w:b/>
          <w:bCs/>
          <w:sz w:val="22"/>
          <w:szCs w:val="22"/>
        </w:rPr>
      </w:pPr>
      <w:r w:rsidRPr="00022D5C">
        <w:rPr>
          <w:rFonts w:ascii="Arial" w:hAnsi="Arial" w:cs="Arial"/>
          <w:b/>
          <w:bCs/>
          <w:sz w:val="22"/>
          <w:szCs w:val="22"/>
        </w:rPr>
        <w:t xml:space="preserve">18. Dosar nr. 12905/302/2017 - Judecătoria Sector 6 București </w:t>
      </w:r>
    </w:p>
    <w:p w:rsidR="00C60341" w:rsidRPr="00022D5C" w:rsidRDefault="00C60341" w:rsidP="00C60341">
      <w:pPr>
        <w:jc w:val="both"/>
        <w:rPr>
          <w:rFonts w:ascii="Arial" w:hAnsi="Arial" w:cs="Arial"/>
          <w:bCs/>
          <w:sz w:val="22"/>
          <w:szCs w:val="22"/>
        </w:rPr>
      </w:pPr>
      <w:r w:rsidRPr="00022D5C">
        <w:rPr>
          <w:rFonts w:ascii="Arial" w:hAnsi="Arial" w:cs="Arial"/>
          <w:b/>
          <w:bCs/>
          <w:sz w:val="22"/>
          <w:szCs w:val="22"/>
        </w:rPr>
        <w:t>Părți:</w:t>
      </w:r>
      <w:r w:rsidR="00167485">
        <w:rPr>
          <w:rFonts w:ascii="Arial" w:hAnsi="Arial" w:cs="Arial"/>
          <w:b/>
          <w:bCs/>
          <w:sz w:val="22"/>
          <w:szCs w:val="22"/>
        </w:rPr>
        <w:t xml:space="preserve"> </w:t>
      </w:r>
      <w:r w:rsidRPr="00022D5C">
        <w:rPr>
          <w:rFonts w:ascii="Arial" w:hAnsi="Arial" w:cs="Arial"/>
          <w:b/>
          <w:bCs/>
          <w:sz w:val="22"/>
          <w:szCs w:val="22"/>
        </w:rPr>
        <w:t xml:space="preserve"> </w:t>
      </w:r>
      <w:r w:rsidRPr="00022D5C">
        <w:rPr>
          <w:rFonts w:ascii="Arial" w:hAnsi="Arial" w:cs="Arial"/>
          <w:bCs/>
          <w:sz w:val="22"/>
          <w:szCs w:val="22"/>
        </w:rPr>
        <w:t xml:space="preserve">Conpet SA - intimat </w:t>
      </w:r>
    </w:p>
    <w:p w:rsidR="00C60341" w:rsidRPr="00022D5C" w:rsidRDefault="00167485" w:rsidP="00C60341">
      <w:pPr>
        <w:jc w:val="both"/>
        <w:rPr>
          <w:rFonts w:ascii="Arial" w:hAnsi="Arial" w:cs="Arial"/>
          <w:bCs/>
          <w:sz w:val="22"/>
          <w:szCs w:val="22"/>
        </w:rPr>
      </w:pPr>
      <w:r>
        <w:rPr>
          <w:rFonts w:ascii="Arial" w:hAnsi="Arial" w:cs="Arial"/>
          <w:bCs/>
          <w:sz w:val="22"/>
          <w:szCs w:val="22"/>
        </w:rPr>
        <w:t xml:space="preserve">           Dobrogeanu Pă</w:t>
      </w:r>
      <w:r w:rsidR="00C60341" w:rsidRPr="00022D5C">
        <w:rPr>
          <w:rFonts w:ascii="Arial" w:hAnsi="Arial" w:cs="Arial"/>
          <w:bCs/>
          <w:sz w:val="22"/>
          <w:szCs w:val="22"/>
        </w:rPr>
        <w:t xml:space="preserve">un Ioan - contestator             </w:t>
      </w:r>
    </w:p>
    <w:p w:rsidR="00C60341" w:rsidRPr="00022D5C" w:rsidRDefault="00C60341" w:rsidP="00C60341">
      <w:pPr>
        <w:jc w:val="both"/>
        <w:rPr>
          <w:rFonts w:ascii="Arial" w:eastAsia="Calibri" w:hAnsi="Arial" w:cs="Arial"/>
          <w:sz w:val="22"/>
          <w:szCs w:val="22"/>
        </w:rPr>
      </w:pPr>
      <w:r w:rsidRPr="00022D5C">
        <w:rPr>
          <w:rFonts w:ascii="Arial" w:hAnsi="Arial" w:cs="Arial"/>
          <w:b/>
          <w:bCs/>
          <w:sz w:val="22"/>
          <w:szCs w:val="22"/>
        </w:rPr>
        <w:t>Obiect:</w:t>
      </w:r>
      <w:r w:rsidRPr="00022D5C">
        <w:rPr>
          <w:rFonts w:ascii="Arial" w:hAnsi="Arial" w:cs="Arial"/>
          <w:bCs/>
          <w:sz w:val="22"/>
          <w:szCs w:val="22"/>
        </w:rPr>
        <w:t xml:space="preserve"> Dobrogeanu Păun Ioan formulează contestație la executare î</w:t>
      </w:r>
      <w:r w:rsidRPr="00022D5C">
        <w:rPr>
          <w:rFonts w:ascii="Arial" w:eastAsia="Calibri" w:hAnsi="Arial" w:cs="Arial"/>
          <w:sz w:val="22"/>
          <w:szCs w:val="22"/>
        </w:rPr>
        <w:t xml:space="preserve">mpotriva actelor de executare ce formează obiectul dosarului nr. 16/2017 al BEJ Răduță Nicoleta prin care s-a dispus înființarea popririi către terții INTERCEREAL S.A. și Casa de Asigurări a Avocaților din România, solicitând admiterea contestației la executare și anularea Încheierii privind stabilirea cheltuielilor de executare în sumă de 681,24 lei și 1.573, 24 lei reprezentând onorarii executor.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Prin hotărârea nr. 8105/15.11.2017 Judecătoria Sector 5 București admite excepţia necompetenţei teritoriale a instanţei invocată de Conpet. Declină competenţa de soluţionare a cauzei în favoarea Judecătoriei Sectorului 6 Bucureşti.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Prin </w:t>
      </w:r>
      <w:r w:rsidRPr="00022D5C">
        <w:rPr>
          <w:rFonts w:ascii="Arial" w:eastAsia="Calibri" w:hAnsi="Arial" w:cs="Arial"/>
          <w:b/>
          <w:sz w:val="22"/>
          <w:szCs w:val="22"/>
        </w:rPr>
        <w:t>sentința nr. 3197/30.04.2018</w:t>
      </w:r>
      <w:r w:rsidRPr="00022D5C">
        <w:rPr>
          <w:rFonts w:ascii="Arial" w:eastAsia="Calibri" w:hAnsi="Arial" w:cs="Arial"/>
          <w:sz w:val="22"/>
          <w:szCs w:val="22"/>
        </w:rPr>
        <w:t xml:space="preserve"> Judecătoria Sector 6 București respinge ca neîntemeiată contestaţia la executare. Obligă pe contestator la plata către BEJ Răduţă Nicoleta a sumei de </w:t>
      </w:r>
      <w:r w:rsidRPr="00022D5C">
        <w:rPr>
          <w:rFonts w:ascii="Arial" w:eastAsia="Calibri" w:hAnsi="Arial" w:cs="Arial"/>
          <w:sz w:val="22"/>
          <w:szCs w:val="22"/>
        </w:rPr>
        <w:lastRenderedPageBreak/>
        <w:t xml:space="preserve">184,45 lei reprezentând cheltuieli determinate de xerocopierea şi transmiterea dosarului de executare nr. 16/2017. Hotărârea poate fi atacată cu apel după comunicare.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procesual:</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 xml:space="preserve">Termen: </w:t>
      </w:r>
      <w:r w:rsidRPr="00022D5C">
        <w:rPr>
          <w:rFonts w:ascii="Arial" w:eastAsia="Calibri" w:hAnsi="Arial" w:cs="Arial"/>
          <w:sz w:val="22"/>
          <w:szCs w:val="22"/>
        </w:rPr>
        <w:t>--</w:t>
      </w:r>
    </w:p>
    <w:p w:rsidR="00EE31FF" w:rsidRDefault="00EE31FF" w:rsidP="00C60341">
      <w:pPr>
        <w:jc w:val="both"/>
        <w:rPr>
          <w:rFonts w:ascii="Arial" w:eastAsia="Calibri" w:hAnsi="Arial" w:cs="Arial"/>
          <w:b/>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19.</w:t>
      </w:r>
      <w:r w:rsidRPr="00022D5C">
        <w:rPr>
          <w:rFonts w:ascii="Arial" w:eastAsia="Calibri" w:hAnsi="Arial" w:cs="Arial"/>
          <w:sz w:val="22"/>
          <w:szCs w:val="22"/>
        </w:rPr>
        <w:t xml:space="preserve"> </w:t>
      </w:r>
      <w:r w:rsidRPr="00022D5C">
        <w:rPr>
          <w:rFonts w:ascii="Arial" w:eastAsia="Calibri" w:hAnsi="Arial" w:cs="Arial"/>
          <w:b/>
          <w:sz w:val="22"/>
          <w:szCs w:val="22"/>
        </w:rPr>
        <w:t xml:space="preserve">Dosar nr. 7127/105/2017 – Tribunalul Prahova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w:t>
      </w:r>
      <w:r w:rsidR="00167485">
        <w:rPr>
          <w:rFonts w:ascii="Arial" w:eastAsia="Calibri" w:hAnsi="Arial" w:cs="Arial"/>
          <w:sz w:val="22"/>
          <w:szCs w:val="22"/>
        </w:rPr>
        <w:t xml:space="preserve"> </w:t>
      </w:r>
      <w:r w:rsidRPr="00022D5C">
        <w:rPr>
          <w:rFonts w:ascii="Arial" w:eastAsia="Calibri" w:hAnsi="Arial" w:cs="Arial"/>
          <w:sz w:val="22"/>
          <w:szCs w:val="22"/>
        </w:rPr>
        <w:t>Conpet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VICTORIA SA MICHELIN ROMÂNIA FLOREȘTI SA (fosta VICTORIA FLOREȘTI)</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UPETROM 1 MAI SA PLOIEȘTI</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PETROM BUCUREȘTI – SCHELA DE PETROL BOLDEȘTI</w:t>
      </w:r>
    </w:p>
    <w:p w:rsidR="00C60341" w:rsidRPr="00022D5C" w:rsidRDefault="00167485" w:rsidP="00C60341">
      <w:pPr>
        <w:jc w:val="both"/>
        <w:rPr>
          <w:rFonts w:ascii="Arial" w:eastAsia="Calibri" w:hAnsi="Arial" w:cs="Arial"/>
          <w:sz w:val="22"/>
          <w:szCs w:val="22"/>
        </w:rPr>
      </w:pPr>
      <w:r>
        <w:rPr>
          <w:rFonts w:ascii="Arial" w:eastAsia="Calibri" w:hAnsi="Arial" w:cs="Arial"/>
          <w:sz w:val="22"/>
          <w:szCs w:val="22"/>
        </w:rPr>
        <w:t xml:space="preserve">           </w:t>
      </w:r>
      <w:r w:rsidR="00C60341" w:rsidRPr="00022D5C">
        <w:rPr>
          <w:rFonts w:ascii="Arial" w:eastAsia="Calibri" w:hAnsi="Arial" w:cs="Arial"/>
          <w:sz w:val="22"/>
          <w:szCs w:val="22"/>
        </w:rPr>
        <w:t>Grigorescu Gheorghe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xml:space="preserve"> </w:t>
      </w:r>
      <w:r w:rsidRPr="00022D5C">
        <w:rPr>
          <w:rFonts w:ascii="Arial" w:eastAsia="Calibri" w:hAnsi="Arial" w:cs="Arial"/>
          <w:b/>
          <w:sz w:val="22"/>
          <w:szCs w:val="22"/>
        </w:rPr>
        <w:t>Acțiune în constatare.</w:t>
      </w:r>
      <w:r w:rsidRPr="00022D5C">
        <w:rPr>
          <w:rFonts w:ascii="Arial" w:eastAsia="Calibri" w:hAnsi="Arial" w:cs="Arial"/>
          <w:sz w:val="22"/>
          <w:szCs w:val="22"/>
        </w:rPr>
        <w:t xml:space="preserve"> Grigorescu Gheorghe formulează cerere de chemare în judecată solicitând instanței ca prin hotărârea  pe care o va pronunța să constate că a fost angajat în cadrul societăților pârâte, în funcții și a lucrat efectiv 100% din programul de lucru în secțiile cuprinse în grupa I sau a II-a de muncă, după caz, conform anexei la cerere și pe cale de consecință să dispună obligarea pârâtelor la eliberarea adeverinței în acest sens, din care să rezulte perioada lucrată conform solicitărilor.</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Prin </w:t>
      </w:r>
      <w:r w:rsidRPr="00022D5C">
        <w:rPr>
          <w:rFonts w:ascii="Arial" w:eastAsia="Calibri" w:hAnsi="Arial" w:cs="Arial"/>
          <w:b/>
          <w:sz w:val="22"/>
          <w:szCs w:val="22"/>
        </w:rPr>
        <w:t>sentința nr. 2168/02.07.2018</w:t>
      </w:r>
      <w:r w:rsidRPr="00022D5C">
        <w:rPr>
          <w:rFonts w:ascii="Arial" w:eastAsia="Calibri" w:hAnsi="Arial" w:cs="Arial"/>
          <w:sz w:val="22"/>
          <w:szCs w:val="22"/>
        </w:rPr>
        <w:t xml:space="preserve"> Tribunalul Prahova respinge cererea ca neîntemeiată față de pârâtele SC UPETROM 1 MAI SA, SC CONPET SA, SC A&amp;M ARHIVE CENTER SRL și ca ramasă fară obiect față de SC MICHELIN ROMANIA SA. Hotărârea poate fi atacată cu apel după comunicare.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procesual:</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 xml:space="preserve">20. Dosar nr. 5413/204/2017 – Tribunalul Prahova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 xml:space="preserve">Părți: </w:t>
      </w:r>
      <w:r w:rsidRPr="00022D5C">
        <w:rPr>
          <w:rFonts w:ascii="Arial" w:eastAsia="Calibri" w:hAnsi="Arial" w:cs="Arial"/>
          <w:sz w:val="22"/>
          <w:szCs w:val="22"/>
        </w:rPr>
        <w:t>Conpet SA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ANRM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Dobrogeanu Dumitru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Dobrogeanu Păun Ioan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 xml:space="preserve">Obiect: </w:t>
      </w:r>
      <w:r w:rsidRPr="00022D5C">
        <w:rPr>
          <w:rFonts w:ascii="Arial" w:eastAsia="Calibri" w:hAnsi="Arial" w:cs="Arial"/>
          <w:sz w:val="22"/>
          <w:szCs w:val="22"/>
        </w:rPr>
        <w:t>Pretenții. Dobrogeanu Dumitru și Dobrogeanu Păun Ioan au formulat cerere de chemare în judecată solicitând instanței ca prin hotărârea pe care o va pronunța să dispună obligarea pârâtelor la :</w:t>
      </w:r>
    </w:p>
    <w:p w:rsidR="00C60341" w:rsidRPr="00022D5C" w:rsidRDefault="00C60341" w:rsidP="00170D7E">
      <w:pPr>
        <w:widowControl/>
        <w:numPr>
          <w:ilvl w:val="0"/>
          <w:numId w:val="47"/>
        </w:numPr>
        <w:autoSpaceDE/>
        <w:autoSpaceDN/>
        <w:adjustRightInd/>
        <w:jc w:val="both"/>
        <w:rPr>
          <w:rFonts w:ascii="Arial" w:eastAsia="Calibri" w:hAnsi="Arial" w:cs="Arial"/>
          <w:sz w:val="22"/>
          <w:szCs w:val="22"/>
        </w:rPr>
      </w:pPr>
      <w:r w:rsidRPr="00022D5C">
        <w:rPr>
          <w:rFonts w:ascii="Arial" w:eastAsia="Calibri" w:hAnsi="Arial" w:cs="Arial"/>
          <w:sz w:val="22"/>
          <w:szCs w:val="22"/>
        </w:rPr>
        <w:t>Plata unei rente anuale pentru suprafețele de teren ocupate de cele două conducte de transport produse petroliere (țiței) începând cu data de 01.07.2014 și în viitor, pe toată durata existenței conductelor;</w:t>
      </w:r>
    </w:p>
    <w:p w:rsidR="00C60341" w:rsidRPr="00022D5C" w:rsidRDefault="00C60341" w:rsidP="00170D7E">
      <w:pPr>
        <w:widowControl/>
        <w:numPr>
          <w:ilvl w:val="0"/>
          <w:numId w:val="47"/>
        </w:numPr>
        <w:autoSpaceDE/>
        <w:autoSpaceDN/>
        <w:adjustRightInd/>
        <w:jc w:val="both"/>
        <w:rPr>
          <w:rFonts w:ascii="Arial" w:eastAsia="Calibri" w:hAnsi="Arial" w:cs="Arial"/>
          <w:sz w:val="22"/>
          <w:szCs w:val="22"/>
        </w:rPr>
      </w:pPr>
      <w:r w:rsidRPr="00022D5C">
        <w:rPr>
          <w:rFonts w:ascii="Arial" w:eastAsia="Calibri" w:hAnsi="Arial" w:cs="Arial"/>
          <w:sz w:val="22"/>
          <w:szCs w:val="22"/>
        </w:rPr>
        <w:t>Obligarea pârâtelor la plata pierderilor suferite prin nerealizarea unor obiective economice pe zona rămasă între cele două conducte după restricția lor și zona de-a lungul DN1 (E60);</w:t>
      </w:r>
    </w:p>
    <w:p w:rsidR="00C60341" w:rsidRPr="00022D5C" w:rsidRDefault="00C60341" w:rsidP="00170D7E">
      <w:pPr>
        <w:widowControl/>
        <w:numPr>
          <w:ilvl w:val="0"/>
          <w:numId w:val="47"/>
        </w:numPr>
        <w:autoSpaceDE/>
        <w:autoSpaceDN/>
        <w:adjustRightInd/>
        <w:jc w:val="both"/>
        <w:rPr>
          <w:rFonts w:ascii="Arial" w:eastAsia="Calibri" w:hAnsi="Arial" w:cs="Arial"/>
          <w:sz w:val="22"/>
          <w:szCs w:val="22"/>
        </w:rPr>
      </w:pPr>
      <w:r w:rsidRPr="00022D5C">
        <w:rPr>
          <w:rFonts w:ascii="Arial" w:eastAsia="Calibri" w:hAnsi="Arial" w:cs="Arial"/>
          <w:sz w:val="22"/>
          <w:szCs w:val="22"/>
        </w:rPr>
        <w:t>Plata cheltuielilor de judecată.</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Primul capăt de cerere a fost estimat de reclamanți la suma de 48.000 Euro/an (220.000 lei), iar capătul al doilea la suma de 25.000 lei/an.</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 xml:space="preserve">Precizări: </w:t>
      </w:r>
      <w:r w:rsidRPr="00022D5C">
        <w:rPr>
          <w:rFonts w:ascii="Arial" w:eastAsia="Calibri" w:hAnsi="Arial" w:cs="Arial"/>
          <w:sz w:val="22"/>
          <w:szCs w:val="22"/>
        </w:rPr>
        <w:t xml:space="preserve">Prin hotarârea nr. 594/28.02.2018 Judecătoria Câmpina admite excepţia necompetenţei materiale de soluţionare a cauzei a Judecătoriei Câmpina, invocată de instanţă din oficiu. Declină competenţa de soluţionare a cererii în favoarea Tribunalului Prahova. Fără cale de atac.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processual:</w:t>
      </w:r>
      <w:r w:rsidRPr="00022D5C">
        <w:rPr>
          <w:rFonts w:ascii="Arial" w:eastAsia="Calibri" w:hAnsi="Arial" w:cs="Arial"/>
          <w:sz w:val="22"/>
          <w:szCs w:val="22"/>
        </w:rPr>
        <w:t xml:space="preserve"> Fond</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sidRPr="00022D5C">
        <w:rPr>
          <w:rFonts w:ascii="Arial" w:eastAsia="Calibri" w:hAnsi="Arial" w:cs="Arial"/>
          <w:sz w:val="22"/>
          <w:szCs w:val="22"/>
        </w:rPr>
        <w:t xml:space="preserve"> 28.08.2018</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 xml:space="preserve">21. Dosar nr. 23204/302/2017 – Tribunalul București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w:t>
      </w:r>
      <w:r w:rsidR="00167485">
        <w:rPr>
          <w:rFonts w:ascii="Arial" w:eastAsia="Calibri" w:hAnsi="Arial" w:cs="Arial"/>
          <w:sz w:val="22"/>
          <w:szCs w:val="22"/>
        </w:rPr>
        <w:t xml:space="preserve"> </w:t>
      </w:r>
      <w:r w:rsidRPr="00022D5C">
        <w:rPr>
          <w:rFonts w:ascii="Arial" w:eastAsia="Calibri" w:hAnsi="Arial" w:cs="Arial"/>
          <w:sz w:val="22"/>
          <w:szCs w:val="22"/>
        </w:rPr>
        <w:t>Conpet SA – intimat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C. I. Av. Dobrogeanu Păun Ioan</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Dobrogeanu Păun Ioan</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xml:space="preserve"> Contestație la executare. C. I. Av. Dobrogeanu Păun Ioan și Dobrogeanu Păun Ioan au formulat contestație la executare împotriva executării silite ce face obiectul dosarului de executare nr. 10/2013 al BEJ Răduță Nicoleta și a actelor de executare, respectiv: adresa de poprire din 29.09.2017, înștiințarea de poprire din 29.09.2017, încheierea din 29.09.2017, încheierea din 29.09.2017 privind stabilirea cheltuielilor suplimentare de executare (550,97 lei) și încheierea din 23.02.2013 a Judecătoriei Sectorului 5 București, privind încuviințarea executării silite. Cu cheltuieli </w:t>
      </w:r>
      <w:r w:rsidRPr="00022D5C">
        <w:rPr>
          <w:rFonts w:ascii="Arial" w:eastAsia="Calibri" w:hAnsi="Arial" w:cs="Arial"/>
          <w:sz w:val="22"/>
          <w:szCs w:val="22"/>
        </w:rPr>
        <w:lastRenderedPageBreak/>
        <w:t>de judecată.</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Prin </w:t>
      </w:r>
      <w:r w:rsidRPr="00022D5C">
        <w:rPr>
          <w:rFonts w:ascii="Arial" w:eastAsia="Calibri" w:hAnsi="Arial" w:cs="Arial"/>
          <w:b/>
          <w:sz w:val="22"/>
          <w:szCs w:val="22"/>
        </w:rPr>
        <w:t>sentința nr. 2346/19.03.2018</w:t>
      </w:r>
      <w:r w:rsidRPr="00022D5C">
        <w:rPr>
          <w:rFonts w:ascii="Arial" w:eastAsia="Calibri" w:hAnsi="Arial" w:cs="Arial"/>
          <w:sz w:val="22"/>
          <w:szCs w:val="22"/>
        </w:rPr>
        <w:t xml:space="preserve"> Judecătoria Sector 5 București admite excepţia lipsei calităţii procesuale active, invocată de intimatul BEJ Răduţă Nicoleta. Respinge contestaţia la executare formulată de contestatorul Cabinet Individual de Avocat Dobrogeanu Păun Ioan în contradictoriu cu intimaţii Conpet SA şi Biroul Executorului Judecătoresc Răduţă Nicoleta, ca fiind introdusă de o persoană fără calitate procesuală activă. Admite excepţia lipsei calităţii procesuale pasive, invocată de intimatul Biroul Executorului Judecătoresc Răduţă Nicoleta. Respinge contestaţia la executare formulată de contestatorul Dobrogeanu Păun Ioan în contradictoriu cu intimatul Biroul Executorului Judecătoresc Răduţă Nicoleta, ca fiind îndreptată împotriva unei persoane fără calitate procesuală pasivă. Admite excepţia tardivităţii, invocată de instanţă din oficiu. Respinge ca tardiv formulată contestaţia la executare având ca obiect executarea silită însăşi, încheierea din data de 25.02.2013, pronunţată de Judecătoria Sectorului 5 Bucureşti în dosarul nr. 4198/302/2013, şi încheierea de stabilire a cheltuielilor de executare suplimentare, emisă la data de 29.09.2017 în dosarul de executare nr. 10/2013 al Biroului Executorului Judecătoresc Răduţă Nicoleta. Respinge în rest, ca neîntemeiată, contestaţia la executare formulată de contestatorul Dobrogeanu Păun Ioan în contradictoriu cu intimata Conpet SA. Respinge ca neîntemeiată cererea contestatorilor având ca obiect cheltuieli de judecată. Obligă pe contestatori, în solidar, să achite Biroului Executorului Judecătoresc Răduţă Nicoleta suma de 458,15 lei cu titlu de cheltuieli de fotocopiere şi comunicare a dosarului de executare. Hotărârea a fost atacată cu apel de C. I. Av. Dobrogeanu Păun Ioan.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procesual:</w:t>
      </w:r>
      <w:r w:rsidRPr="00022D5C">
        <w:rPr>
          <w:rFonts w:ascii="Arial" w:eastAsia="Calibri" w:hAnsi="Arial" w:cs="Arial"/>
          <w:sz w:val="22"/>
          <w:szCs w:val="22"/>
        </w:rPr>
        <w:t xml:space="preserve"> Apel</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 xml:space="preserve">22. Dosar nr. 8928/105/2017 – Curtea de Apel Ploiești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w:t>
      </w:r>
      <w:r w:rsidR="00167485">
        <w:rPr>
          <w:rFonts w:ascii="Arial" w:eastAsia="Calibri" w:hAnsi="Arial" w:cs="Arial"/>
          <w:sz w:val="22"/>
          <w:szCs w:val="22"/>
        </w:rPr>
        <w:t xml:space="preserve"> </w:t>
      </w:r>
      <w:r w:rsidRPr="00022D5C">
        <w:rPr>
          <w:rFonts w:ascii="Arial" w:eastAsia="Calibri" w:hAnsi="Arial" w:cs="Arial"/>
          <w:sz w:val="22"/>
          <w:szCs w:val="22"/>
        </w:rPr>
        <w:t>Conpet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Asocierea Tera Gaz Construct SRL – Vialis Engineering SA</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xml:space="preserve"> Anulare licitație. Asocierea Tera Gaz Construct SRL – Vialis Engineering SA a formulat contestație impotriva Deciziei nr. 11/04.12.2017 emisă de către Conpet SA – Direcția Comercială și Activități Reglementate, cu privire la Contestația nr. 936/06.11.2017, înregistrată la Conpet SA sub nr. 44953/06.11.2017 formulată de către Asocierea Terra Gaz Construct SRL – Vialis Engeneering SA împotriva rezultatului procedurii de atribuire a contractului de lucrari având ca obiect “Reabilitare ansamblu Sediul II, str. Rezervoarelor nr. 8” și a solicitat:</w:t>
      </w:r>
    </w:p>
    <w:p w:rsidR="00C60341" w:rsidRPr="00022D5C" w:rsidRDefault="00167485" w:rsidP="00170D7E">
      <w:pPr>
        <w:widowControl/>
        <w:numPr>
          <w:ilvl w:val="0"/>
          <w:numId w:val="46"/>
        </w:numPr>
        <w:autoSpaceDE/>
        <w:autoSpaceDN/>
        <w:adjustRightInd/>
        <w:jc w:val="both"/>
        <w:rPr>
          <w:rFonts w:ascii="Arial" w:eastAsia="Calibri" w:hAnsi="Arial" w:cs="Arial"/>
          <w:sz w:val="22"/>
          <w:szCs w:val="22"/>
        </w:rPr>
      </w:pPr>
      <w:r>
        <w:rPr>
          <w:rFonts w:ascii="Arial" w:eastAsia="Calibri" w:hAnsi="Arial" w:cs="Arial"/>
          <w:sz w:val="22"/>
          <w:szCs w:val="22"/>
        </w:rPr>
        <w:t>a</w:t>
      </w:r>
      <w:r w:rsidR="00C60341" w:rsidRPr="00022D5C">
        <w:rPr>
          <w:rFonts w:ascii="Arial" w:eastAsia="Calibri" w:hAnsi="Arial" w:cs="Arial"/>
          <w:sz w:val="22"/>
          <w:szCs w:val="22"/>
        </w:rPr>
        <w:t>nularea Deciziei nr. 11/04.12.2017 emisă de către Conpet SA - Direcția Comercială și Activități Reglementate, cu privire la Contestația subscrisei împotriva comunicării rezultatului procedurii;</w:t>
      </w:r>
    </w:p>
    <w:p w:rsidR="00C60341" w:rsidRPr="00022D5C" w:rsidRDefault="00167485" w:rsidP="00170D7E">
      <w:pPr>
        <w:widowControl/>
        <w:numPr>
          <w:ilvl w:val="0"/>
          <w:numId w:val="46"/>
        </w:numPr>
        <w:autoSpaceDE/>
        <w:autoSpaceDN/>
        <w:adjustRightInd/>
        <w:jc w:val="both"/>
        <w:rPr>
          <w:rFonts w:ascii="Arial" w:eastAsia="Calibri" w:hAnsi="Arial" w:cs="Arial"/>
          <w:sz w:val="22"/>
          <w:szCs w:val="22"/>
        </w:rPr>
      </w:pPr>
      <w:r>
        <w:rPr>
          <w:rFonts w:ascii="Arial" w:eastAsia="Calibri" w:hAnsi="Arial" w:cs="Arial"/>
          <w:sz w:val="22"/>
          <w:szCs w:val="22"/>
        </w:rPr>
        <w:t>a</w:t>
      </w:r>
      <w:r w:rsidR="00C60341" w:rsidRPr="00022D5C">
        <w:rPr>
          <w:rFonts w:ascii="Arial" w:eastAsia="Calibri" w:hAnsi="Arial" w:cs="Arial"/>
          <w:sz w:val="22"/>
          <w:szCs w:val="22"/>
        </w:rPr>
        <w:t>nularea adresei înregistrate sub nr. 43929/31.10.2017 la sediul Conpet SA - Direcția Comercială și Activități Reglementate, reprezentând comunicarea rezultatului evaluării ofertelor prin intermediul căreia i s-a adus la cunoștință anularea procedurii de atribuire, și pe cale de consecință anularea deciziei de anulare a Procedurii de achiziție;</w:t>
      </w:r>
    </w:p>
    <w:p w:rsidR="00C60341" w:rsidRPr="00022D5C" w:rsidRDefault="00167485" w:rsidP="00170D7E">
      <w:pPr>
        <w:widowControl/>
        <w:numPr>
          <w:ilvl w:val="0"/>
          <w:numId w:val="46"/>
        </w:numPr>
        <w:autoSpaceDE/>
        <w:autoSpaceDN/>
        <w:adjustRightInd/>
        <w:jc w:val="both"/>
        <w:rPr>
          <w:rFonts w:ascii="Arial" w:eastAsia="Calibri" w:hAnsi="Arial" w:cs="Arial"/>
          <w:sz w:val="22"/>
          <w:szCs w:val="22"/>
        </w:rPr>
      </w:pPr>
      <w:r>
        <w:rPr>
          <w:rFonts w:ascii="Arial" w:eastAsia="Calibri" w:hAnsi="Arial" w:cs="Arial"/>
          <w:sz w:val="22"/>
          <w:szCs w:val="22"/>
        </w:rPr>
        <w:t>a</w:t>
      </w:r>
      <w:r w:rsidR="00C60341" w:rsidRPr="00022D5C">
        <w:rPr>
          <w:rFonts w:ascii="Arial" w:eastAsia="Calibri" w:hAnsi="Arial" w:cs="Arial"/>
          <w:sz w:val="22"/>
          <w:szCs w:val="22"/>
        </w:rPr>
        <w:t>nularea raportului procedurii, precum și a tuturor actelor ulterioare, inclusiv cele privind comunicarea rezultatului procedurii, respectiv adresa nr. 43929;</w:t>
      </w:r>
    </w:p>
    <w:p w:rsidR="00C60341" w:rsidRPr="00022D5C" w:rsidRDefault="00167485" w:rsidP="00170D7E">
      <w:pPr>
        <w:widowControl/>
        <w:numPr>
          <w:ilvl w:val="0"/>
          <w:numId w:val="46"/>
        </w:numPr>
        <w:autoSpaceDE/>
        <w:autoSpaceDN/>
        <w:adjustRightInd/>
        <w:jc w:val="both"/>
        <w:rPr>
          <w:rFonts w:ascii="Arial" w:eastAsia="Calibri" w:hAnsi="Arial" w:cs="Arial"/>
          <w:sz w:val="22"/>
          <w:szCs w:val="22"/>
        </w:rPr>
      </w:pPr>
      <w:r>
        <w:rPr>
          <w:rFonts w:ascii="Arial" w:eastAsia="Calibri" w:hAnsi="Arial" w:cs="Arial"/>
          <w:sz w:val="22"/>
          <w:szCs w:val="22"/>
        </w:rPr>
        <w:t>a</w:t>
      </w:r>
      <w:r w:rsidR="00C60341" w:rsidRPr="00022D5C">
        <w:rPr>
          <w:rFonts w:ascii="Arial" w:eastAsia="Calibri" w:hAnsi="Arial" w:cs="Arial"/>
          <w:sz w:val="22"/>
          <w:szCs w:val="22"/>
        </w:rPr>
        <w:t>bligarea Autorității Contractante la reluarea procedurii de atribuire și reevaluarea ofertelor admisibile, raportat la cerințele documentației de atribuire și a dispozițiilor legale, cu întocmirea unui nou raport al procedurii de atribuire și aplicarea criteriului de atribuire publicat în invitația de participare.</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Prin </w:t>
      </w:r>
      <w:r w:rsidRPr="00022D5C">
        <w:rPr>
          <w:rFonts w:ascii="Arial" w:eastAsia="Calibri" w:hAnsi="Arial" w:cs="Arial"/>
          <w:b/>
          <w:sz w:val="22"/>
          <w:szCs w:val="22"/>
        </w:rPr>
        <w:t>sentința nr. 613/14.03.2018</w:t>
      </w:r>
      <w:r w:rsidRPr="00022D5C">
        <w:rPr>
          <w:rFonts w:ascii="Arial" w:eastAsia="Calibri" w:hAnsi="Arial" w:cs="Arial"/>
          <w:sz w:val="22"/>
          <w:szCs w:val="22"/>
        </w:rPr>
        <w:t xml:space="preserve"> Tribunalul Prahova admite cererea de chemare în judecată formulată de reclamanta Asocierea Terra Gaz Construct S.R.L. – Vialis Engineering S.A. Anulează decizia nr. 11/04.12.2017 şi adresa nr. 43929/31.10.2017 emise de pârâtă. Hotărârea a fost atacată cu recurs de Conpet.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procesual:</w:t>
      </w:r>
      <w:r w:rsidRPr="00022D5C">
        <w:rPr>
          <w:rFonts w:ascii="Arial" w:eastAsia="Calibri" w:hAnsi="Arial" w:cs="Arial"/>
          <w:sz w:val="22"/>
          <w:szCs w:val="22"/>
        </w:rPr>
        <w:t xml:space="preserve"> Recurs</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Pr>
          <w:rFonts w:ascii="Arial" w:eastAsia="Calibri" w:hAnsi="Arial" w:cs="Arial"/>
          <w:sz w:val="22"/>
          <w:szCs w:val="22"/>
        </w:rPr>
        <w:t xml:space="preserve"> 19.07.2018</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23. Dosar nr. 1099/281/2017 – Judecătoria Ploiești</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 xml:space="preserve">Părți: </w:t>
      </w:r>
      <w:r w:rsidRPr="00022D5C">
        <w:rPr>
          <w:rFonts w:ascii="Arial" w:eastAsia="Calibri" w:hAnsi="Arial" w:cs="Arial"/>
          <w:sz w:val="22"/>
          <w:szCs w:val="22"/>
        </w:rPr>
        <w:t>Conpet SA – intimat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Dobrogeanu Dumitru – contestator</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BEJ Petcu Alexandru - intimat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lastRenderedPageBreak/>
        <w:t xml:space="preserve">Obiect: </w:t>
      </w:r>
      <w:r w:rsidRPr="00022D5C">
        <w:rPr>
          <w:rFonts w:ascii="Arial" w:eastAsia="Calibri" w:hAnsi="Arial" w:cs="Arial"/>
          <w:sz w:val="22"/>
          <w:szCs w:val="22"/>
        </w:rPr>
        <w:t>Dobrogeanu Dumitru formulează contestație la executare împotriva formelor de executare emise de BEJ Petcu Alexandru în dosarul de executare silită nr. 224/2017 solicitând instanței:</w:t>
      </w:r>
    </w:p>
    <w:p w:rsidR="00C60341" w:rsidRPr="00022D5C" w:rsidRDefault="00C60341" w:rsidP="00170D7E">
      <w:pPr>
        <w:widowControl/>
        <w:numPr>
          <w:ilvl w:val="0"/>
          <w:numId w:val="46"/>
        </w:numPr>
        <w:autoSpaceDE/>
        <w:autoSpaceDN/>
        <w:adjustRightInd/>
        <w:spacing w:line="252" w:lineRule="auto"/>
        <w:jc w:val="both"/>
        <w:rPr>
          <w:rFonts w:ascii="Arial" w:eastAsia="Calibri" w:hAnsi="Arial" w:cs="Arial"/>
          <w:sz w:val="22"/>
          <w:szCs w:val="22"/>
        </w:rPr>
      </w:pPr>
      <w:r w:rsidRPr="00022D5C">
        <w:rPr>
          <w:rFonts w:ascii="Arial" w:eastAsia="Calibri" w:hAnsi="Arial" w:cs="Arial"/>
          <w:sz w:val="22"/>
          <w:szCs w:val="22"/>
        </w:rPr>
        <w:t>Obligarea BEJ Petcu Alexandru să dispună eliberarea sumei de 2.096 lei reprezentând rentă anuală de 262 lei începând cu anul 2006 până la 01.07.2014 conform raportului de expertiză agro întocmit de expertul tehnic Voinea Adina, parte integrantă din Decizia nr. 433/25.06.2014 pronunțată de Tribunalul Prahova în dosarul nr. 5216/204/2008* care a schimbat în tot sentința civilă nr. 244/12.10.2011 pronunțată de Judecătoria Câmpina, conform cererii de executare formulată din data de 16.06.2017 și  Încheierii nr. 8544/06.11.2017 pronunțată de Judecătoria Ploiești în dosarul nr. 12660/281/2017</w:t>
      </w:r>
    </w:p>
    <w:p w:rsidR="00C60341" w:rsidRPr="00022D5C" w:rsidRDefault="00C60341" w:rsidP="00170D7E">
      <w:pPr>
        <w:widowControl/>
        <w:numPr>
          <w:ilvl w:val="0"/>
          <w:numId w:val="46"/>
        </w:numPr>
        <w:autoSpaceDE/>
        <w:autoSpaceDN/>
        <w:adjustRightInd/>
        <w:spacing w:line="252" w:lineRule="auto"/>
        <w:jc w:val="both"/>
        <w:rPr>
          <w:rFonts w:ascii="Arial" w:eastAsia="Calibri" w:hAnsi="Arial" w:cs="Arial"/>
          <w:sz w:val="22"/>
          <w:szCs w:val="22"/>
        </w:rPr>
      </w:pPr>
      <w:r w:rsidRPr="00022D5C">
        <w:rPr>
          <w:rFonts w:ascii="Arial" w:eastAsia="Calibri" w:hAnsi="Arial" w:cs="Arial"/>
          <w:sz w:val="22"/>
          <w:szCs w:val="22"/>
        </w:rPr>
        <w:t>Anularea în tot a procesului verbal încheiat în data de 04.01.2018 și a Încheierii nr. 1 și eliberarea sumei realizate prin executarea silită din data de 12.01.2018 care nu au legătură cu executarea silită ce a format cererea de executare silită în data de 16.06.2017 – dosar executare nr. 244/16.06.2017 și Încheierea nr. 8544/06.11.2017 pronunțată de Judecătoria Ploiești în dosarul nr. 12660/281/2017</w:t>
      </w:r>
    </w:p>
    <w:p w:rsidR="00C60341" w:rsidRPr="00022D5C" w:rsidRDefault="00C60341" w:rsidP="00170D7E">
      <w:pPr>
        <w:widowControl/>
        <w:numPr>
          <w:ilvl w:val="0"/>
          <w:numId w:val="46"/>
        </w:numPr>
        <w:autoSpaceDE/>
        <w:autoSpaceDN/>
        <w:adjustRightInd/>
        <w:spacing w:line="252" w:lineRule="auto"/>
        <w:jc w:val="both"/>
        <w:rPr>
          <w:rFonts w:ascii="Arial" w:eastAsia="Calibri" w:hAnsi="Arial" w:cs="Arial"/>
          <w:sz w:val="22"/>
          <w:szCs w:val="22"/>
        </w:rPr>
      </w:pPr>
      <w:r w:rsidRPr="00022D5C">
        <w:rPr>
          <w:rFonts w:ascii="Arial" w:eastAsia="Calibri" w:hAnsi="Arial" w:cs="Arial"/>
          <w:sz w:val="22"/>
          <w:szCs w:val="22"/>
        </w:rPr>
        <w:t>Cheltuieli de judecată</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procesual</w:t>
      </w:r>
      <w:r w:rsidRPr="00022D5C">
        <w:rPr>
          <w:rFonts w:ascii="Arial" w:eastAsia="Calibri" w:hAnsi="Arial" w:cs="Arial"/>
          <w:sz w:val="22"/>
          <w:szCs w:val="22"/>
        </w:rPr>
        <w:t>: Fond</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 xml:space="preserve">24. Dosar nr. 18/54/2002 – Curtea de Apel Craiova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Conpet SA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Gărăiacu Vasile (decedat)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Gărăiacu Vasile a formulat acțiune pe Legea 10/2001. Acțiunea privește un teren în suprafață de 1.220 m² situat în comuna Bărbătești, județul Gorj.</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Prin </w:t>
      </w:r>
      <w:r w:rsidRPr="00022D5C">
        <w:rPr>
          <w:rFonts w:ascii="Arial" w:eastAsia="Calibri" w:hAnsi="Arial" w:cs="Arial"/>
          <w:b/>
          <w:sz w:val="22"/>
          <w:szCs w:val="22"/>
        </w:rPr>
        <w:t>Sentința nr. 59/14.03.2002</w:t>
      </w:r>
      <w:r w:rsidRPr="00022D5C">
        <w:rPr>
          <w:rFonts w:ascii="Arial" w:eastAsia="Calibri" w:hAnsi="Arial" w:cs="Arial"/>
          <w:sz w:val="22"/>
          <w:szCs w:val="22"/>
        </w:rPr>
        <w:t xml:space="preserve"> (dosar nr. 1197/2002) acțiunea a fost respinsă. Hotărârea a fost atacată cu apel de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Prin </w:t>
      </w:r>
      <w:r w:rsidRPr="00022D5C">
        <w:rPr>
          <w:rFonts w:ascii="Arial" w:eastAsia="Calibri" w:hAnsi="Arial" w:cs="Arial"/>
          <w:b/>
          <w:sz w:val="22"/>
          <w:szCs w:val="22"/>
        </w:rPr>
        <w:t>hotărârea nr. 1067/02.04.2018</w:t>
      </w:r>
      <w:r w:rsidRPr="00022D5C">
        <w:rPr>
          <w:rFonts w:ascii="Arial" w:eastAsia="Calibri" w:hAnsi="Arial" w:cs="Arial"/>
          <w:sz w:val="22"/>
          <w:szCs w:val="22"/>
        </w:rPr>
        <w:t xml:space="preserve"> Curtea de Apel Craiova constată perimat apelul. Hotărârea poate fi atacată cu recurs după comunicare.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procesual</w:t>
      </w:r>
      <w:r w:rsidRPr="00022D5C">
        <w:rPr>
          <w:rFonts w:ascii="Arial" w:eastAsia="Calibri" w:hAnsi="Arial" w:cs="Arial"/>
          <w:sz w:val="22"/>
          <w:szCs w:val="22"/>
        </w:rPr>
        <w:t>: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Pr>
          <w:rFonts w:ascii="Arial" w:eastAsia="Calibri" w:hAnsi="Arial" w:cs="Arial"/>
          <w:sz w:val="22"/>
          <w:szCs w:val="22"/>
        </w:rPr>
        <w:t>: --</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25. Dosar nr. 4561/281/2018 – Judecătoria Ploiești</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Conpet SA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Ovidenie Dumitru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xml:space="preserve"> Ovidenie Dumitru a formulat cerere de chemare în judecată solicitând instanței :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-să se constate că pe terenul în suprafață de 335 mp situat in com. Brazi, T31, parcela 178/19, în conformitate cu art.7 alin.1 din Legea nr. 238/2004 actualizată este instituit un drept de servitute legală;</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-să se stabilească renta anuală către reclamant, potrivit disp. art.7 alin.2 din Legea nr.238/2004, calculată la 5 Euro/mp;</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-să se dispună obligarea pârâtei la achitarea acestei rente pe  ultimii 3 ani”.</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procesual:</w:t>
      </w:r>
      <w:r w:rsidRPr="00022D5C">
        <w:rPr>
          <w:rFonts w:ascii="Arial" w:eastAsia="Calibri" w:hAnsi="Arial" w:cs="Arial"/>
          <w:sz w:val="22"/>
          <w:szCs w:val="22"/>
        </w:rPr>
        <w:t xml:space="preserve"> Fond</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sidRPr="00022D5C">
        <w:rPr>
          <w:rFonts w:ascii="Arial" w:eastAsia="Calibri" w:hAnsi="Arial" w:cs="Arial"/>
          <w:sz w:val="22"/>
          <w:szCs w:val="22"/>
        </w:rPr>
        <w:t xml:space="preserve"> 13.09.2018</w:t>
      </w: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26. Dosar nr. 2970/105/2018 – Tribunalul Prahova – A. Pîrvu</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Conpet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Tîrcavu Cornel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Ionescu Ion – reclamant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xml:space="preserve"> Tîrcavu Cornel și Ionescu Ion formulează cerere de chemare în judecată solicitând instanței ca prin hotărârea pe care o va pronunța să constate că în perioadele menționate în cărțile de muncă au fost angajați în funcții și au lucrat efectiv 100% din programul de lucru în cadrul secțiilor cuprinse în grupa a II-a de muncă și grupa I de muncă, respectiv condiții deosebite, speciale și pe cale de consecință să obligați pârâta la eliberarea adeverințelor.</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procesual:</w:t>
      </w:r>
      <w:r w:rsidRPr="00022D5C">
        <w:rPr>
          <w:rFonts w:ascii="Arial" w:eastAsia="Calibri" w:hAnsi="Arial" w:cs="Arial"/>
          <w:sz w:val="22"/>
          <w:szCs w:val="22"/>
        </w:rPr>
        <w:t xml:space="preserve"> Fond</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 xml:space="preserve">27. Dosar nr. 2971/105/2018 – Tribunalul Prahova – A. Pîrvu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Conpet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Ghioaca Constanța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Tănăsescu Constantin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xml:space="preserve"> Ghioaca Constanța și Tănăsescu Constantin au formulat cerere de chemare în judecată solicitând instanței ca prin hotărârea pe care o va pronunța să constate că în perioadele menționate în cărțile de muncă au fost angajați în funcții și au lucrat efectiv 100% din programul de lucru în cadrul secțiilor cuprinse în grupa a II-a de muncă și grupa I de muncă, respectiv condiții deosebite, speciale și pe cale de consecință să obligați pârâta la eliberarea adeverințelor.</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procesual:</w:t>
      </w:r>
      <w:r w:rsidRPr="00022D5C">
        <w:rPr>
          <w:rFonts w:ascii="Arial" w:eastAsia="Calibri" w:hAnsi="Arial" w:cs="Arial"/>
          <w:sz w:val="22"/>
          <w:szCs w:val="22"/>
        </w:rPr>
        <w:t xml:space="preserve"> Fond</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 xml:space="preserve">28. Dosar nr. 2966/105/2018 – Tribunalul Prahova – S. Albu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Conpet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Constantinescu Ion - Irinel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Aron Constantin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xml:space="preserve"> Constantinescu Ion - Irinel  și Aron Constantin au formulat cerere de chemare în judecată solicitând instanței ca prin hotărârea pe care o va pronunța să constate că în perioadele menționate în cărțile de muncă au fost angajați în funcții și au lucrat efectiv 100% din programul de lucru în cadrul secțiilor cuprinse în grupa a II-a de muncă și grupa I de muncă, respectiv condiții deosebite, speciale și pe cale de consecință să obligați pârâta la eliberarea adeverințelor.</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procesual:</w:t>
      </w:r>
      <w:r w:rsidRPr="00022D5C">
        <w:rPr>
          <w:rFonts w:ascii="Arial" w:eastAsia="Calibri" w:hAnsi="Arial" w:cs="Arial"/>
          <w:sz w:val="22"/>
          <w:szCs w:val="22"/>
        </w:rPr>
        <w:t xml:space="preserve"> Fond</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 xml:space="preserve">29. Dosar nr. 2972/105/2018 – Tribunalul Prahova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Conpet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Mos Emanuel - Marius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Cazan Marian Ion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xml:space="preserve"> Mos Emanuel - Marius și Cazan Marian Ion au formulat cerere de chemare în judecată solicitând instanței ca prin hotărârea pe care o va pronunța să constate că în perioadele menționate în cărțile de muncă au fost angajați în funcții și au lucrat efectiv 100% din programul de lucru în cadrul secțiilor cuprinse în grupa a II-a de muncă și grupa I de muncă, respectiv condiții deosebite, speciale și pe cale de consecință să obligați pârâta la eliberarea adeverințelor.</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processual:</w:t>
      </w:r>
      <w:r w:rsidRPr="00022D5C">
        <w:rPr>
          <w:rFonts w:ascii="Arial" w:eastAsia="Calibri" w:hAnsi="Arial" w:cs="Arial"/>
          <w:sz w:val="22"/>
          <w:szCs w:val="22"/>
        </w:rPr>
        <w:t xml:space="preserve"> Fond</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 xml:space="preserve">30. Dosar nr. 3061/105/2018 – Tribunalul Prahova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Conpet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Catana Florin - Eduard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Catană Victoria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xml:space="preserve"> Catana Florin - Eduard și Catană Victoria au formulat cerere de chemare în judecată solicitând instanței ca prin hotărârea pe care o va pronunța să constate că în perioadele menționate în cărțile de muncă au fost angajați în funcții și au lucrat efectiv 100% din programul de lucru în cadrul secțiilor cuprinse în grupa a II-a de muncă și grupa I de muncă, respectiv condiții deosebite, speciale și pe cale de consecință să obligați pârâta la eliberarea adeverințelor.</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procesual:</w:t>
      </w:r>
      <w:r w:rsidRPr="00022D5C">
        <w:rPr>
          <w:rFonts w:ascii="Arial" w:eastAsia="Calibri" w:hAnsi="Arial" w:cs="Arial"/>
          <w:sz w:val="22"/>
          <w:szCs w:val="22"/>
        </w:rPr>
        <w:t xml:space="preserve"> Fond</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 xml:space="preserve">31. Dosar nr. 3054/105/2018 – Tribunalul Prahova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Conpet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Moise Gabriel - Horia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lastRenderedPageBreak/>
        <w:t xml:space="preserve">           Popa Petre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xml:space="preserve"> Moise Gabriel - Horia și Popa Petre au formulat cerere de chemare în judecată solicitând instanței ca prin hotărârea pe care o va pronunța să constate că în perioadele menționate în cărțile de muncă au fost angajați în funcții și au lucrat efectiv 100% din programul de lucru în cadrul secțiilor cuprinse în grupa a II-a de muncă și grupa I de muncă, respectiv condiții deosebite, speciale și pe cale de consecință să obligați pârâta la eliberarea adeverințelor.</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procesual:</w:t>
      </w:r>
      <w:r w:rsidRPr="00022D5C">
        <w:rPr>
          <w:rFonts w:ascii="Arial" w:eastAsia="Calibri" w:hAnsi="Arial" w:cs="Arial"/>
          <w:sz w:val="22"/>
          <w:szCs w:val="22"/>
        </w:rPr>
        <w:t xml:space="preserve"> Fond</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 xml:space="preserve">32. Dosar nr. 3053/105/2018 – Tribunalul Prahova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Conpet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Cristache Vasile Gabriel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Bocsan Ioan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xml:space="preserve"> Cristache Vasile Gabriel și Bocsan Ioan au formulat cerere de chemare în judecată solicitând instanței ca prin hotărârea pe care o va pronunța să constate că în perioadele menționate în cărțile de muncă au fost angajați în funcții și au lucrat efectiv 100% din programul de lucru în cadrul secțiilor cuprinse în grupa a II-a de muncă și grupa I de muncă, respectiv condiții deosebite, speciale și pe cale de consecință să obligați pârâta la eliberarea adeverințelor.</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procesual:</w:t>
      </w:r>
      <w:r w:rsidRPr="00022D5C">
        <w:rPr>
          <w:rFonts w:ascii="Arial" w:eastAsia="Calibri" w:hAnsi="Arial" w:cs="Arial"/>
          <w:sz w:val="22"/>
          <w:szCs w:val="22"/>
        </w:rPr>
        <w:t xml:space="preserve"> Fond</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 xml:space="preserve">33. Dosar nr. 3058/105/2018 – Tribunalul Prahova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Conpet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Radu Marin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Brutaru Gheorghe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xml:space="preserve"> Radu Marin și Brutaru Gheorghe au formulat cerere de chemare în judecată solicitând instanței ca prin hotărârea pe care o va pronunța să constate că în perioadele menționate în cărțile de muncă au fost angajați în funcții și au lucrat efectiv 100% din programul de lucru în cadrul secțiilor cuprinse în grupa a II-a de muncă și grupa I de muncă, respectiv condiții deosebite, speciale și pe cale de consecință să obligați pârâta la eliberarea adeverințelor.</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processual:</w:t>
      </w:r>
      <w:r w:rsidRPr="00022D5C">
        <w:rPr>
          <w:rFonts w:ascii="Arial" w:eastAsia="Calibri" w:hAnsi="Arial" w:cs="Arial"/>
          <w:sz w:val="22"/>
          <w:szCs w:val="22"/>
        </w:rPr>
        <w:t xml:space="preserve"> Fond</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 xml:space="preserve">34. Dosar nr. 3059/105/2018 – Tribunalul Prahova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Conpet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Bratu Vasile - Virgiliu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Nita Marian - Paul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xml:space="preserve"> Bratu Vasile - Virgiliu și Nita Marian - Paul au formulat cerere de chemare în judecată solicitând instanței ca prin hotărârea pe care o va pronunța să constate că în perioadele menționate în cărțile de muncă au fost angajați în funcții și au lucrat efectiv 100% din programul de lucru în cadrul secțiilor cuprinse în grupa a II-a de muncă și grupa I de muncă, respectiv condiții deosebite, speciale și pe cale de consecință să obligați pârâta la eliberarea adeverințelor.</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processual:</w:t>
      </w:r>
      <w:r w:rsidRPr="00022D5C">
        <w:rPr>
          <w:rFonts w:ascii="Arial" w:eastAsia="Calibri" w:hAnsi="Arial" w:cs="Arial"/>
          <w:sz w:val="22"/>
          <w:szCs w:val="22"/>
        </w:rPr>
        <w:t xml:space="preserve"> Fond</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 xml:space="preserve">35. Dosar nr. 3056/105/2018 – Tribunalul Prahova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Conpet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Mihaila Georgiana - Zoe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Constantin Doru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xml:space="preserve"> Mihaila Georgiana - Zoe și Constantin Doru au formulat cerere de chemare în judecată solicitând instanței ca prin hotărârea pe care o va pronunța să constate că în perioadele menționate în cărțile de muncă au fost angajați în funcții și au lucrat efectiv 100% din programul de lucru în </w:t>
      </w:r>
      <w:r w:rsidRPr="00022D5C">
        <w:rPr>
          <w:rFonts w:ascii="Arial" w:eastAsia="Calibri" w:hAnsi="Arial" w:cs="Arial"/>
          <w:sz w:val="22"/>
          <w:szCs w:val="22"/>
        </w:rPr>
        <w:lastRenderedPageBreak/>
        <w:t>cadrul secțiilor cuprinse în grupa a II-a de muncă și grupa I de muncă, respectiv condiții deosebite, speciale și pe cale de consecință să obligați pârâta la eliberarea adeverințelor.</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processual:</w:t>
      </w:r>
      <w:r w:rsidRPr="00022D5C">
        <w:rPr>
          <w:rFonts w:ascii="Arial" w:eastAsia="Calibri" w:hAnsi="Arial" w:cs="Arial"/>
          <w:sz w:val="22"/>
          <w:szCs w:val="22"/>
        </w:rPr>
        <w:t xml:space="preserve"> Fond</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 xml:space="preserve">36. Dosar nr. 3055/105/2018 – Tribunalul Prahova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Conpet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Voinescu Sorin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Manolache Cristian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xml:space="preserve"> Voinescu Sorin și Manolache Cristian au formulat cerere de chemare în judecată solicitând instanței ca prin hotărârea pe care o va pronunța să constate că în perioadele menționate în cărțile de muncă au fost angajați în funcții și au lucrat efectiv 100% din programul de lucru în cadrul secțiilor cuprinse în grupa a II-a de muncă și grupa I de muncă, respectiv condiții deosebite, speciale și pe cale de consecință să obligați pârâta la eliberarea adeverințelor.</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processual:</w:t>
      </w:r>
      <w:r w:rsidRPr="00022D5C">
        <w:rPr>
          <w:rFonts w:ascii="Arial" w:eastAsia="Calibri" w:hAnsi="Arial" w:cs="Arial"/>
          <w:sz w:val="22"/>
          <w:szCs w:val="22"/>
        </w:rPr>
        <w:t xml:space="preserve"> Fond</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 xml:space="preserve">37. Dosar nr. 2965/105/2018 – Tribunalul Prahova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Conpet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Istrătescu Laurențiu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Petrescu Ioan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xml:space="preserve"> Istrătescu Laurențiu și Petrescu Ioan au formulat cerere de chemare în judecată solicitând instanței ca prin hotărârea pe care o va pronunța să constate că în perioadele menționate în cărțile de muncă au fost angajați în funcții și au lucrat efectiv 100% din programul de lucru în cadrul secțiilor cuprinse în grupa a II-a de muncă și grupa I de muncă, respectiv condiții deosebite, speciale și pe cale de consecință să obligați pârâta la eliberarea adeverințelor.</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processual:</w:t>
      </w:r>
      <w:r w:rsidRPr="00022D5C">
        <w:rPr>
          <w:rFonts w:ascii="Arial" w:eastAsia="Calibri" w:hAnsi="Arial" w:cs="Arial"/>
          <w:sz w:val="22"/>
          <w:szCs w:val="22"/>
        </w:rPr>
        <w:t xml:space="preserve"> Fond</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38.</w:t>
      </w:r>
      <w:r w:rsidRPr="00022D5C">
        <w:rPr>
          <w:rFonts w:ascii="Arial" w:eastAsia="Calibri" w:hAnsi="Arial" w:cs="Arial"/>
          <w:sz w:val="22"/>
          <w:szCs w:val="22"/>
        </w:rPr>
        <w:t xml:space="preserve"> </w:t>
      </w:r>
      <w:r w:rsidRPr="00022D5C">
        <w:rPr>
          <w:rFonts w:ascii="Arial" w:eastAsia="Calibri" w:hAnsi="Arial" w:cs="Arial"/>
          <w:b/>
          <w:sz w:val="22"/>
          <w:szCs w:val="22"/>
        </w:rPr>
        <w:t xml:space="preserve">Dosar nr. 3062/105/2018 – Tribunalul Prahova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Conpet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Stanciu Vasile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Dumitrescu Ștefan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xml:space="preserve"> Stanciu Vasile și Dumitrescu Ștefan au formulat cerere de chemare în judecată solicitând instanței ca prin hotărârea pe care o va pronunța să constate că în perioadele menționate în cărțile de muncă au fost angajați în funcții și au lucrat efectiv 100% din programul de lucru în cadrul secțiilor cuprinse în grupa a II-a de muncă și grupa I de muncă, respectiv condiții deosebite, speciale și pe cale de consecință să obligați pârâta la eliberarea adeverințelor.</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processual:</w:t>
      </w:r>
      <w:r w:rsidRPr="00022D5C">
        <w:rPr>
          <w:rFonts w:ascii="Arial" w:eastAsia="Calibri" w:hAnsi="Arial" w:cs="Arial"/>
          <w:sz w:val="22"/>
          <w:szCs w:val="22"/>
        </w:rPr>
        <w:t xml:space="preserve"> Fond</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39.</w:t>
      </w:r>
      <w:r w:rsidRPr="00022D5C">
        <w:rPr>
          <w:rFonts w:ascii="Arial" w:eastAsia="Calibri" w:hAnsi="Arial" w:cs="Arial"/>
          <w:sz w:val="22"/>
          <w:szCs w:val="22"/>
        </w:rPr>
        <w:t xml:space="preserve"> </w:t>
      </w:r>
      <w:r w:rsidRPr="00022D5C">
        <w:rPr>
          <w:rFonts w:ascii="Arial" w:eastAsia="Calibri" w:hAnsi="Arial" w:cs="Arial"/>
          <w:b/>
          <w:sz w:val="22"/>
          <w:szCs w:val="22"/>
        </w:rPr>
        <w:t xml:space="preserve">Dosar nr. 3062/105/2018 – Tribunalul Prahova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Conpet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Pelin Simona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Pelin Marian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xml:space="preserve"> Pelin Simona și Pelin Marian au formulat cerere de chemare în judecată solicitând instanței ca prin hotărârea pe care o va pronunța să constate că în perioadele menționate în cărțile de muncă au fost angajați în funcții și au lucrat efectiv 100% din programul de lucru în cadrul secțiilor cuprinse în grupa a II-a de muncă și grupa I de muncă, respectiv condiții deosebite, speciale și pe cale de consecință să obligați pârâta la eliberarea adeverințelor.</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processual:</w:t>
      </w:r>
      <w:r w:rsidRPr="00022D5C">
        <w:rPr>
          <w:rFonts w:ascii="Arial" w:eastAsia="Calibri" w:hAnsi="Arial" w:cs="Arial"/>
          <w:sz w:val="22"/>
          <w:szCs w:val="22"/>
        </w:rPr>
        <w:t xml:space="preserve"> Fond</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lastRenderedPageBreak/>
        <w:t>Termen:</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40.</w:t>
      </w:r>
      <w:r w:rsidRPr="00022D5C">
        <w:rPr>
          <w:rFonts w:ascii="Arial" w:eastAsia="Calibri" w:hAnsi="Arial" w:cs="Arial"/>
          <w:sz w:val="22"/>
          <w:szCs w:val="22"/>
        </w:rPr>
        <w:t xml:space="preserve"> </w:t>
      </w:r>
      <w:r w:rsidRPr="00022D5C">
        <w:rPr>
          <w:rFonts w:ascii="Arial" w:eastAsia="Calibri" w:hAnsi="Arial" w:cs="Arial"/>
          <w:b/>
          <w:sz w:val="22"/>
          <w:szCs w:val="22"/>
        </w:rPr>
        <w:t xml:space="preserve">Dosar nr. 3062/105/2018 – Tribunalul Prahova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Conpet – 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Pop Liviu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           Ciordas Gheorghe – reclamant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xml:space="preserve"> Pop Liviu și Ciordas Gheorghe au formulat cerere de chemare în judecată solicitând instanței ca prin hotărârea pe care o va pronunța să constate că în perioadele menționate în cărțile de muncă au fost angajați în funcții și au lucrat efectiv 100% din programul de lucru în cadrul secțiilor cuprinse în grupa a II-a de muncă și grupa I de muncă, respectiv condiții deosebite, speciale și pe cale de consecință să obligați pârâta la eliberarea adeverințelor.</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Precizări:</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processual:</w:t>
      </w:r>
      <w:r w:rsidRPr="00022D5C">
        <w:rPr>
          <w:rFonts w:ascii="Arial" w:eastAsia="Calibri" w:hAnsi="Arial" w:cs="Arial"/>
          <w:sz w:val="22"/>
          <w:szCs w:val="22"/>
        </w:rPr>
        <w:t xml:space="preserve"> Fond</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sidRPr="00022D5C">
        <w:rPr>
          <w:rFonts w:ascii="Arial" w:eastAsia="Calibri" w:hAnsi="Arial" w:cs="Arial"/>
          <w:sz w:val="22"/>
          <w:szCs w:val="22"/>
        </w:rPr>
        <w:t xml:space="preserve"> --</w:t>
      </w:r>
    </w:p>
    <w:p w:rsidR="00C60341" w:rsidRPr="00022D5C" w:rsidRDefault="00C60341" w:rsidP="00C60341">
      <w:pPr>
        <w:jc w:val="both"/>
        <w:rPr>
          <w:rFonts w:ascii="Arial" w:eastAsia="Calibri" w:hAnsi="Arial" w:cs="Arial"/>
          <w:sz w:val="22"/>
          <w:szCs w:val="22"/>
        </w:rPr>
      </w:pPr>
    </w:p>
    <w:p w:rsidR="00C60341" w:rsidRPr="00022D5C" w:rsidRDefault="00C60341" w:rsidP="00C60341">
      <w:pPr>
        <w:spacing w:after="200" w:line="276" w:lineRule="auto"/>
        <w:contextualSpacing/>
        <w:jc w:val="both"/>
        <w:rPr>
          <w:rFonts w:ascii="Arial" w:eastAsia="Calibri" w:hAnsi="Arial" w:cs="Arial"/>
          <w:b/>
          <w:sz w:val="22"/>
          <w:szCs w:val="22"/>
        </w:rPr>
      </w:pPr>
      <w:r w:rsidRPr="00022D5C">
        <w:rPr>
          <w:rFonts w:ascii="Arial" w:eastAsia="Calibri" w:hAnsi="Arial" w:cs="Arial"/>
          <w:b/>
          <w:sz w:val="22"/>
          <w:szCs w:val="22"/>
        </w:rPr>
        <w:t>C) LITIGII IN CARE SOCIETATEA</w:t>
      </w:r>
      <w:r w:rsidRPr="00022D5C">
        <w:rPr>
          <w:rFonts w:ascii="Arial" w:eastAsia="Calibri" w:hAnsi="Arial" w:cs="Arial"/>
          <w:sz w:val="22"/>
          <w:szCs w:val="22"/>
        </w:rPr>
        <w:t xml:space="preserve"> </w:t>
      </w:r>
      <w:r w:rsidRPr="00022D5C">
        <w:rPr>
          <w:rFonts w:ascii="Arial" w:eastAsia="Calibri" w:hAnsi="Arial" w:cs="Arial"/>
          <w:b/>
          <w:sz w:val="22"/>
          <w:szCs w:val="22"/>
        </w:rPr>
        <w:t>CONPET S.A. ARE DUBLĂ CALITATE:</w:t>
      </w:r>
    </w:p>
    <w:p w:rsidR="00C60341" w:rsidRDefault="00C60341" w:rsidP="00C60341">
      <w:pPr>
        <w:jc w:val="both"/>
        <w:rPr>
          <w:rFonts w:ascii="Arial" w:eastAsia="Calibri" w:hAnsi="Arial" w:cs="Arial"/>
          <w:sz w:val="22"/>
          <w:szCs w:val="22"/>
        </w:rPr>
      </w:pPr>
    </w:p>
    <w:p w:rsidR="00C60341" w:rsidRPr="00022D5C" w:rsidRDefault="00C60341" w:rsidP="00C60341">
      <w:pPr>
        <w:jc w:val="both"/>
        <w:rPr>
          <w:rFonts w:ascii="Arial" w:hAnsi="Arial" w:cs="Arial"/>
          <w:b/>
          <w:sz w:val="22"/>
          <w:szCs w:val="22"/>
          <w:lang w:val="it-IT"/>
        </w:rPr>
      </w:pPr>
      <w:r w:rsidRPr="00022D5C">
        <w:rPr>
          <w:rFonts w:ascii="Arial" w:hAnsi="Arial" w:cs="Arial"/>
          <w:b/>
          <w:sz w:val="22"/>
          <w:szCs w:val="22"/>
          <w:lang w:val="it-IT"/>
        </w:rPr>
        <w:t xml:space="preserve">1. Dosar nr. 378/105/2007 – Tribunalul Prahova </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Părți:</w:t>
      </w:r>
      <w:r w:rsidRPr="00022D5C">
        <w:rPr>
          <w:rFonts w:ascii="Arial" w:hAnsi="Arial" w:cs="Arial"/>
          <w:sz w:val="22"/>
          <w:szCs w:val="22"/>
          <w:lang w:val="it-IT"/>
        </w:rPr>
        <w:t xml:space="preserve">  Conpet S.A. – reclamant-pârât</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lang w:val="it-IT"/>
        </w:rPr>
        <w:t>Petroconduct S.A. – pârât-reconvenient</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Obiect:</w:t>
      </w:r>
      <w:r w:rsidRPr="00022D5C">
        <w:rPr>
          <w:rFonts w:ascii="Arial" w:hAnsi="Arial" w:cs="Arial"/>
          <w:sz w:val="22"/>
          <w:szCs w:val="22"/>
          <w:lang w:val="it-IT"/>
        </w:rPr>
        <w:t xml:space="preserve"> Conpet S.A. solicită obligarea pârâtei Petroconduct S.A. Ploiesti la :</w:t>
      </w:r>
    </w:p>
    <w:p w:rsidR="00C60341" w:rsidRPr="00022D5C" w:rsidRDefault="00C60341" w:rsidP="00C60341">
      <w:pPr>
        <w:ind w:firstLine="720"/>
        <w:jc w:val="both"/>
        <w:rPr>
          <w:rFonts w:ascii="Arial" w:hAnsi="Arial" w:cs="Arial"/>
          <w:sz w:val="22"/>
          <w:szCs w:val="22"/>
          <w:lang w:val="it-IT"/>
        </w:rPr>
      </w:pPr>
      <w:r w:rsidRPr="00022D5C">
        <w:rPr>
          <w:rFonts w:ascii="Arial" w:hAnsi="Arial" w:cs="Arial"/>
          <w:sz w:val="22"/>
          <w:szCs w:val="22"/>
          <w:lang w:val="it-IT"/>
        </w:rPr>
        <w:t>- plata sumei de 80.548,49 RON reprezentând penalități pentru neexecutarea la termen a obligațiilor asumate prin contractul nr. L 45/18.03.2004 și contractul nr. M 59/9.06.2004</w:t>
      </w:r>
    </w:p>
    <w:p w:rsidR="00C60341" w:rsidRPr="00022D5C" w:rsidRDefault="00C60341" w:rsidP="00C60341">
      <w:pPr>
        <w:ind w:firstLine="720"/>
        <w:jc w:val="both"/>
        <w:rPr>
          <w:rFonts w:ascii="Arial" w:hAnsi="Arial" w:cs="Arial"/>
          <w:sz w:val="22"/>
          <w:szCs w:val="22"/>
          <w:lang w:val="it-IT"/>
        </w:rPr>
      </w:pPr>
      <w:r w:rsidRPr="00022D5C">
        <w:rPr>
          <w:rFonts w:ascii="Arial" w:hAnsi="Arial" w:cs="Arial"/>
          <w:sz w:val="22"/>
          <w:szCs w:val="22"/>
          <w:lang w:val="it-IT"/>
        </w:rPr>
        <w:t xml:space="preserve">- predarea materialului tubular compus din țeavă oțel China în cantitate de 504 în valoare de 21.344,4 euro și țeavă oțel China în cantitate de 96 m în valoare de 4.366,08 euro sau la plata către societatea noastră a contravalorii acesteia adică a sumei de 89.291,50 RON. </w:t>
      </w:r>
    </w:p>
    <w:p w:rsidR="00C60341" w:rsidRPr="00022D5C" w:rsidRDefault="00C60341" w:rsidP="00C60341">
      <w:pPr>
        <w:ind w:firstLine="720"/>
        <w:jc w:val="both"/>
        <w:rPr>
          <w:rFonts w:ascii="Arial" w:hAnsi="Arial" w:cs="Arial"/>
          <w:sz w:val="22"/>
          <w:szCs w:val="22"/>
          <w:lang w:val="it-IT"/>
        </w:rPr>
      </w:pPr>
      <w:r w:rsidRPr="00022D5C">
        <w:rPr>
          <w:rFonts w:ascii="Arial" w:hAnsi="Arial" w:cs="Arial"/>
          <w:sz w:val="22"/>
          <w:szCs w:val="22"/>
          <w:lang w:val="it-IT"/>
        </w:rPr>
        <w:t>- plata sumei de 20.626 RON reprezentând cheltuieli de transport, încarcat, descarcat a materialului tubular</w:t>
      </w:r>
    </w:p>
    <w:p w:rsidR="00C60341" w:rsidRPr="00022D5C" w:rsidRDefault="00C60341" w:rsidP="00C60341">
      <w:pPr>
        <w:ind w:firstLine="720"/>
        <w:jc w:val="both"/>
        <w:rPr>
          <w:rFonts w:ascii="Arial" w:hAnsi="Arial" w:cs="Arial"/>
          <w:sz w:val="22"/>
          <w:szCs w:val="22"/>
          <w:lang w:val="it-IT"/>
        </w:rPr>
      </w:pPr>
      <w:r w:rsidRPr="00022D5C">
        <w:rPr>
          <w:rFonts w:ascii="Arial" w:hAnsi="Arial" w:cs="Arial"/>
          <w:sz w:val="22"/>
          <w:szCs w:val="22"/>
          <w:lang w:val="it-IT"/>
        </w:rPr>
        <w:t xml:space="preserve">- plata cheltuielilor de judecată în sumă de 5.062,24 RON din care 5.057,24 RON taxă judiciară de timbru si 5,00 RON timbru judiciar precum și la alte cheltuieli de judecată pe care le vom efectua în acest proces. </w:t>
      </w:r>
    </w:p>
    <w:p w:rsidR="00C60341" w:rsidRPr="00022D5C" w:rsidRDefault="00C60341" w:rsidP="00C60341">
      <w:pPr>
        <w:ind w:firstLine="720"/>
        <w:jc w:val="both"/>
        <w:rPr>
          <w:rFonts w:ascii="Arial" w:hAnsi="Arial" w:cs="Arial"/>
          <w:sz w:val="22"/>
          <w:szCs w:val="22"/>
          <w:lang w:val="it-IT"/>
        </w:rPr>
      </w:pPr>
      <w:r w:rsidRPr="00022D5C">
        <w:rPr>
          <w:rFonts w:ascii="Arial" w:hAnsi="Arial" w:cs="Arial"/>
          <w:sz w:val="22"/>
          <w:szCs w:val="22"/>
          <w:lang w:val="it-IT"/>
        </w:rPr>
        <w:t>Petroconduct S.A. a formulat cerere reconvențională prin care a solicitat obligarea Conpet SA la plata sumei de 46.214,01 lei, reprezentând contravaloarea lucrărilor executate de către aceasta în baza contractelor de execuție de lucrări nr. L 45/18.03.2004 și nr. MST 09/09.06.2004, în favoarea beneficiarului Conpet SA.</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Precizări:</w:t>
      </w:r>
      <w:r w:rsidRPr="00022D5C">
        <w:rPr>
          <w:rFonts w:ascii="Arial" w:hAnsi="Arial" w:cs="Arial"/>
          <w:sz w:val="22"/>
          <w:szCs w:val="22"/>
          <w:lang w:val="it-IT"/>
        </w:rPr>
        <w:t xml:space="preserve"> În data de 22.02.2010, în baza art. 36 din Legea nr. 85/2006 instanța a dispus suspendarea cauzei.</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Stadiu procesual:</w:t>
      </w:r>
      <w:r w:rsidRPr="00022D5C">
        <w:rPr>
          <w:rFonts w:ascii="Arial" w:hAnsi="Arial" w:cs="Arial"/>
          <w:sz w:val="22"/>
          <w:szCs w:val="22"/>
          <w:lang w:val="it-IT"/>
        </w:rPr>
        <w:t xml:space="preserve"> Fond</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Termen:</w:t>
      </w:r>
      <w:r w:rsidRPr="00022D5C">
        <w:rPr>
          <w:rFonts w:ascii="Arial" w:hAnsi="Arial" w:cs="Arial"/>
          <w:sz w:val="22"/>
          <w:szCs w:val="22"/>
          <w:lang w:val="it-IT"/>
        </w:rPr>
        <w:t xml:space="preserve"> Suspendat</w:t>
      </w:r>
    </w:p>
    <w:p w:rsidR="00C60341" w:rsidRDefault="00C60341" w:rsidP="00C60341">
      <w:pPr>
        <w:jc w:val="both"/>
        <w:rPr>
          <w:rFonts w:ascii="Arial" w:hAnsi="Arial" w:cs="Arial"/>
          <w:sz w:val="22"/>
          <w:szCs w:val="22"/>
          <w:lang w:val="it-IT"/>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lang w:val="it-IT"/>
        </w:rPr>
        <w:t>2.</w:t>
      </w:r>
      <w:r w:rsidRPr="00022D5C">
        <w:rPr>
          <w:rFonts w:ascii="Arial" w:hAnsi="Arial" w:cs="Arial"/>
          <w:sz w:val="22"/>
          <w:szCs w:val="22"/>
          <w:lang w:val="it-IT"/>
        </w:rPr>
        <w:t xml:space="preserve"> </w:t>
      </w:r>
      <w:r w:rsidRPr="00022D5C">
        <w:rPr>
          <w:rFonts w:ascii="Arial" w:hAnsi="Arial" w:cs="Arial"/>
          <w:b/>
          <w:sz w:val="22"/>
          <w:szCs w:val="22"/>
        </w:rPr>
        <w:t xml:space="preserve">Dosar nr. 538/317/2014* – Judecătoria Târgu-Cărbunești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Părți:</w:t>
      </w:r>
      <w:r w:rsidRPr="00022D5C">
        <w:rPr>
          <w:rFonts w:ascii="Arial" w:hAnsi="Arial" w:cs="Arial"/>
          <w:sz w:val="22"/>
          <w:szCs w:val="22"/>
        </w:rPr>
        <w:t xml:space="preserve"> Conpet SA – pârât-reconvenient</w:t>
      </w:r>
    </w:p>
    <w:p w:rsidR="00C60341" w:rsidRPr="00022D5C" w:rsidRDefault="00C60341" w:rsidP="00C60341">
      <w:pPr>
        <w:ind w:firstLine="720"/>
        <w:jc w:val="both"/>
        <w:rPr>
          <w:rFonts w:ascii="Arial" w:hAnsi="Arial" w:cs="Arial"/>
          <w:sz w:val="22"/>
          <w:szCs w:val="22"/>
        </w:rPr>
      </w:pPr>
      <w:r w:rsidRPr="00022D5C">
        <w:rPr>
          <w:rFonts w:ascii="Arial" w:hAnsi="Arial" w:cs="Arial"/>
          <w:sz w:val="22"/>
          <w:szCs w:val="22"/>
        </w:rPr>
        <w:t xml:space="preserve">           Bălțoi Mariana – reclamant-pârât</w:t>
      </w:r>
    </w:p>
    <w:p w:rsidR="00C60341" w:rsidRPr="00022D5C" w:rsidRDefault="00C60341" w:rsidP="00C60341">
      <w:pPr>
        <w:jc w:val="both"/>
        <w:rPr>
          <w:rFonts w:ascii="Arial" w:hAnsi="Arial" w:cs="Arial"/>
          <w:sz w:val="22"/>
          <w:szCs w:val="22"/>
        </w:rPr>
      </w:pPr>
      <w:r w:rsidRPr="00022D5C">
        <w:rPr>
          <w:rFonts w:ascii="Arial" w:hAnsi="Arial" w:cs="Arial"/>
          <w:b/>
          <w:sz w:val="22"/>
          <w:szCs w:val="22"/>
        </w:rPr>
        <w:t>Obiect</w:t>
      </w:r>
      <w:r w:rsidRPr="00022D5C">
        <w:rPr>
          <w:rFonts w:ascii="Arial" w:hAnsi="Arial" w:cs="Arial"/>
          <w:sz w:val="22"/>
          <w:szCs w:val="22"/>
        </w:rPr>
        <w:t>: Bălțoi Mariana formulează cerere de chemare în judecată solicitând instanței ca prin hotărârea ce o va pronunța să dispună obligarea Conpet la plata despăgubirilor civile pentru perioada anilor 2011 - 2014 (ianuarie) în cuantum de 500.000.000 lei vechi, iar lunar câte o chirie în cuatum de 10.000 lei.</w:t>
      </w:r>
    </w:p>
    <w:p w:rsidR="00C60341" w:rsidRPr="00022D5C" w:rsidRDefault="00C60341" w:rsidP="00C60341">
      <w:pPr>
        <w:jc w:val="both"/>
        <w:rPr>
          <w:rFonts w:ascii="Arial" w:hAnsi="Arial" w:cs="Arial"/>
          <w:sz w:val="22"/>
          <w:szCs w:val="22"/>
        </w:rPr>
      </w:pPr>
      <w:r w:rsidRPr="00022D5C">
        <w:rPr>
          <w:rFonts w:ascii="Arial" w:hAnsi="Arial" w:cs="Arial"/>
          <w:sz w:val="22"/>
          <w:szCs w:val="22"/>
        </w:rPr>
        <w:t>Conpet formulează cerere reconvențională solicitând:</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lang w:val="it-IT"/>
        </w:rPr>
        <w:t xml:space="preserve">1. Obligarea reclamantei </w:t>
      </w:r>
      <w:r w:rsidRPr="00022D5C">
        <w:rPr>
          <w:rFonts w:ascii="Arial" w:hAnsi="Arial" w:cs="Arial"/>
          <w:sz w:val="22"/>
          <w:szCs w:val="22"/>
          <w:lang w:val="pt-BR"/>
        </w:rPr>
        <w:t xml:space="preserve">Bălțoi Mariana </w:t>
      </w:r>
      <w:r w:rsidRPr="00022D5C">
        <w:rPr>
          <w:rFonts w:ascii="Arial" w:hAnsi="Arial" w:cs="Arial"/>
          <w:sz w:val="22"/>
          <w:szCs w:val="22"/>
          <w:lang w:val="it-IT"/>
        </w:rPr>
        <w:t xml:space="preserve">să permită societății Conpet SA exercițiul dreptului de servitute legală instituit de dispozițiile art. 7 și urm. din Legea nr. 238/2004 pe terenul aflat în proprietatea sa.  Exercițiul dreptului de servitute legală urmează să se facă pe un culoar de  2,4 metri lățime amplasat  de-a lungul conductei de transport petrolier care aparține sistemului național de transport al petrolului și care este ingropată pe terenul reclamantei, în scopul dobândirii accesului permanent la conducta de transport în vederea verificării zilnice a stării ei tehnice și executării eventualelor lucrări de reparații. Durata servituții urmează să fie aceeași cu durata existenței conductei de transport petrolier. Solicităm totodată să stabiliți cuantumul rentei anuale </w:t>
      </w:r>
      <w:r w:rsidRPr="00022D5C">
        <w:rPr>
          <w:rFonts w:ascii="Arial" w:hAnsi="Arial" w:cs="Arial"/>
          <w:sz w:val="22"/>
          <w:szCs w:val="22"/>
          <w:lang w:val="it-IT"/>
        </w:rPr>
        <w:lastRenderedPageBreak/>
        <w:t>prevazută de lege datorată de noi reclamantei în schimbul exercitării dreptului de servitute legală astfel instituit.</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lang w:val="it-IT"/>
        </w:rPr>
        <w:t xml:space="preserve">2. Instituirea unui drept de servitute asupra terenului reclamantei constând în dreptul de folosință al suprafețelor de teren pe care sunt amplasate la suprafata solului instalațiile și echipamentele aparținând sistemului național de transport al petrolului. Durata servituții urmează să fie aceeași cu durata existenței echipamentelor și instalațiilor respective. S-a solicitat totodată și stabilirea contravalorii folosinței terenului pe care se instituie servitutea. </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Precizări:</w:t>
      </w:r>
      <w:r w:rsidRPr="00022D5C">
        <w:rPr>
          <w:rFonts w:ascii="Arial" w:hAnsi="Arial" w:cs="Arial"/>
          <w:sz w:val="22"/>
          <w:szCs w:val="22"/>
          <w:lang w:val="it-IT"/>
        </w:rPr>
        <w:t xml:space="preserve"> Prin </w:t>
      </w:r>
      <w:r w:rsidRPr="00022D5C">
        <w:rPr>
          <w:rFonts w:ascii="Arial" w:hAnsi="Arial" w:cs="Arial"/>
          <w:b/>
          <w:sz w:val="22"/>
          <w:szCs w:val="22"/>
          <w:lang w:val="it-IT"/>
        </w:rPr>
        <w:t>sentința nr. 128/20.01.2016</w:t>
      </w:r>
      <w:r w:rsidRPr="00022D5C">
        <w:rPr>
          <w:rFonts w:ascii="Arial" w:hAnsi="Arial" w:cs="Arial"/>
          <w:sz w:val="22"/>
          <w:szCs w:val="22"/>
          <w:lang w:val="it-IT"/>
        </w:rPr>
        <w:t xml:space="preserve"> Judecătoria Târgu Cărbunești respinge excepţia lipsei calităţii procesuale active a reclamantei, invocată de pârâtă. Admite în parte acţiunea precizată. Admite cererea reconvenţională. Obligă pârâta –reclamantă reconvenţional să plătească reclamantei-pârâtă reconvenţional suma de 184,25 lei despăgubiri civile reprezentând contravaloarea lipsei de folosinţă aferentă terenului cu suprafaţa de 268 mp, pentru anii 2011, 2012, 2013. Instituie în favoarea pârâtei-reclamante reconvenţional un drept de servitute asupra terenului reclamantei-pârâtă reconvenţional , în suprafaţa totală de 50 mp , pe durata operaţiunilor petroliere, teren delimitat de punctele 37-38-39-40-46-45-44-43, astfel cum a fost identificat de expertul topograf Grămadă Constantin, în anexa 1 la raportul de expertiză. Obligă pârâta reclamantă reconvenţional la plata către reclamanta pârâtă reconvenţional a sumei de 7 lei anual, reprezentând contravaloarea rentei, pe perioada existenţei servituţii. Compensează în parte cheltuielile de judecată şi obligă pârâta reclamantă reconvenţional la plata către reclamanta pârâtă reconvenţional a sumei de 825 lei reprezentând cheltuieli de judecată. Hotărârea a fost atacata cu apel de Bălțoi Mariana.</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rPr>
        <w:t xml:space="preserve">Prin </w:t>
      </w:r>
      <w:r w:rsidRPr="00022D5C">
        <w:rPr>
          <w:rFonts w:ascii="Arial" w:hAnsi="Arial" w:cs="Arial"/>
          <w:b/>
          <w:sz w:val="22"/>
          <w:szCs w:val="22"/>
        </w:rPr>
        <w:t>Decizia nr. 633/15.11.2016</w:t>
      </w:r>
      <w:r w:rsidRPr="00022D5C">
        <w:rPr>
          <w:rFonts w:ascii="Arial" w:hAnsi="Arial" w:cs="Arial"/>
          <w:sz w:val="22"/>
          <w:szCs w:val="22"/>
        </w:rPr>
        <w:t xml:space="preserve"> Tribunalul Gorj admite apelul, anulează sentinţa şi trimite cauza spre rejudecare la aceeaşi instanţă. </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Stadiu procesual</w:t>
      </w:r>
      <w:r w:rsidRPr="00022D5C">
        <w:rPr>
          <w:rFonts w:ascii="Arial" w:hAnsi="Arial" w:cs="Arial"/>
          <w:sz w:val="22"/>
          <w:szCs w:val="22"/>
          <w:lang w:val="it-IT"/>
        </w:rPr>
        <w:t>: Fond - rejudecare</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Termen</w:t>
      </w:r>
      <w:r w:rsidRPr="00022D5C">
        <w:rPr>
          <w:rFonts w:ascii="Arial" w:hAnsi="Arial" w:cs="Arial"/>
          <w:sz w:val="22"/>
          <w:szCs w:val="22"/>
          <w:lang w:val="it-IT"/>
        </w:rPr>
        <w:t>: 18.09.2018</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lang w:val="it-IT"/>
        </w:rPr>
        <w:tab/>
      </w:r>
    </w:p>
    <w:p w:rsidR="00C60341" w:rsidRPr="00022D5C" w:rsidRDefault="00C60341" w:rsidP="00C60341">
      <w:pPr>
        <w:jc w:val="both"/>
        <w:rPr>
          <w:rFonts w:ascii="Arial" w:hAnsi="Arial" w:cs="Arial"/>
          <w:b/>
          <w:sz w:val="22"/>
          <w:szCs w:val="22"/>
          <w:lang w:val="it-IT"/>
        </w:rPr>
      </w:pPr>
      <w:r w:rsidRPr="00022D5C">
        <w:rPr>
          <w:rFonts w:ascii="Arial" w:hAnsi="Arial" w:cs="Arial"/>
          <w:b/>
          <w:sz w:val="22"/>
          <w:szCs w:val="22"/>
          <w:lang w:val="it-IT"/>
        </w:rPr>
        <w:t xml:space="preserve">3. Dosar nr. 8425/281/2015 – Judecătoria Ploiești </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Părți:</w:t>
      </w:r>
      <w:r w:rsidRPr="00022D5C">
        <w:rPr>
          <w:rFonts w:ascii="Arial" w:hAnsi="Arial" w:cs="Arial"/>
          <w:sz w:val="22"/>
          <w:szCs w:val="22"/>
          <w:lang w:val="it-IT"/>
        </w:rPr>
        <w:t xml:space="preserve"> Conpet SA- pârât-reconvenient</w:t>
      </w:r>
    </w:p>
    <w:p w:rsidR="00C60341" w:rsidRPr="00022D5C" w:rsidRDefault="00C60341" w:rsidP="00C60341">
      <w:pPr>
        <w:jc w:val="both"/>
        <w:rPr>
          <w:rFonts w:ascii="Arial" w:hAnsi="Arial" w:cs="Arial"/>
          <w:sz w:val="22"/>
          <w:szCs w:val="22"/>
          <w:lang w:val="it-IT"/>
        </w:rPr>
      </w:pPr>
      <w:r>
        <w:rPr>
          <w:rFonts w:ascii="Arial" w:hAnsi="Arial" w:cs="Arial"/>
          <w:sz w:val="22"/>
          <w:szCs w:val="22"/>
          <w:lang w:val="it-IT"/>
        </w:rPr>
        <w:t xml:space="preserve">          </w:t>
      </w:r>
      <w:r w:rsidRPr="00022D5C">
        <w:rPr>
          <w:rFonts w:ascii="Arial" w:hAnsi="Arial" w:cs="Arial"/>
          <w:sz w:val="22"/>
          <w:szCs w:val="22"/>
          <w:lang w:val="it-IT"/>
        </w:rPr>
        <w:t>Panaitescu Mircea – reclamant-pârât</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Obiect:</w:t>
      </w:r>
      <w:r w:rsidRPr="00022D5C">
        <w:rPr>
          <w:rFonts w:ascii="Arial" w:hAnsi="Arial" w:cs="Arial"/>
          <w:sz w:val="22"/>
          <w:szCs w:val="22"/>
          <w:lang w:val="it-IT"/>
        </w:rPr>
        <w:t xml:space="preserve"> Pretenții. Panaitescu Mircea formulează cerere de chemare în judecată solicitând obligarea Conpet la plata sumei de 5.000 lei lipsă de folosință și rentă anuală de  12.000 lei. Conpet a formulat cerere reconvențională prin care a solicitat instituirea dreptului de servitute legală și stabilirea rentei anuale.</w:t>
      </w:r>
    </w:p>
    <w:p w:rsidR="00C60341" w:rsidRPr="00022D5C" w:rsidRDefault="00C60341" w:rsidP="00C60341">
      <w:pPr>
        <w:jc w:val="both"/>
        <w:rPr>
          <w:rFonts w:ascii="Arial" w:hAnsi="Arial" w:cs="Arial"/>
          <w:sz w:val="22"/>
          <w:szCs w:val="22"/>
        </w:rPr>
      </w:pPr>
      <w:r w:rsidRPr="00022D5C">
        <w:rPr>
          <w:rFonts w:ascii="Arial" w:hAnsi="Arial" w:cs="Arial"/>
          <w:b/>
          <w:sz w:val="22"/>
          <w:szCs w:val="22"/>
          <w:lang w:val="it-IT"/>
        </w:rPr>
        <w:t>Preciz</w:t>
      </w:r>
      <w:r w:rsidRPr="00022D5C">
        <w:rPr>
          <w:rFonts w:ascii="Arial" w:hAnsi="Arial" w:cs="Arial"/>
          <w:b/>
          <w:sz w:val="22"/>
          <w:szCs w:val="22"/>
        </w:rPr>
        <w:t>ări:</w:t>
      </w:r>
      <w:r w:rsidRPr="00022D5C">
        <w:rPr>
          <w:rFonts w:ascii="Arial" w:hAnsi="Arial" w:cs="Arial"/>
          <w:sz w:val="22"/>
          <w:szCs w:val="22"/>
        </w:rPr>
        <w:t xml:space="preserve"> Prin </w:t>
      </w:r>
      <w:r w:rsidRPr="00022D5C">
        <w:rPr>
          <w:rFonts w:ascii="Arial" w:hAnsi="Arial" w:cs="Arial"/>
          <w:b/>
          <w:sz w:val="22"/>
          <w:szCs w:val="22"/>
        </w:rPr>
        <w:t>Sentința nr. 5772/29.06.2018</w:t>
      </w:r>
      <w:r w:rsidRPr="00022D5C">
        <w:rPr>
          <w:rFonts w:ascii="Arial" w:hAnsi="Arial" w:cs="Arial"/>
          <w:sz w:val="22"/>
          <w:szCs w:val="22"/>
        </w:rPr>
        <w:t xml:space="preserve"> Judecătoria Ploiești admite în parte cererea de chemare în judecată. Admiterea în parte a cererea reconvenţională. Obligă pârâta la plata unei rente anuale în cuantum de 58,89 lei (79,66 kg grau STAS) pentru exercitarea de către pârâta a dreptului de servitute legală, pentru o suprafaţă de teren de 461 mp corespunzătoare culoarului de 2,5 m, de la data introducerii acţiunii. Obligă pârâta la plata cheltuielilor de judecată în cuantum de 20 lei reprezentând taxă judiciară de timbru aferent capătului de cerere admis, 600 lei reprezentând onorariu expertiză specialitatea agricultură şi 600 lei onorariu avocat redus. Cu cheltuieli de judecată pe cale separată pentru pârâtă. Hotărârea poate fi atacată cu apel după comunicare. </w:t>
      </w:r>
    </w:p>
    <w:p w:rsidR="00C60341" w:rsidRPr="00022D5C" w:rsidRDefault="00C60341" w:rsidP="00C60341">
      <w:pPr>
        <w:jc w:val="both"/>
        <w:rPr>
          <w:rFonts w:ascii="Arial" w:hAnsi="Arial" w:cs="Arial"/>
          <w:sz w:val="22"/>
          <w:szCs w:val="22"/>
          <w:lang w:val="it-IT"/>
        </w:rPr>
      </w:pPr>
      <w:r w:rsidRPr="00022D5C">
        <w:rPr>
          <w:rFonts w:ascii="Arial" w:hAnsi="Arial" w:cs="Arial"/>
          <w:b/>
          <w:sz w:val="22"/>
          <w:szCs w:val="22"/>
          <w:lang w:val="it-IT"/>
        </w:rPr>
        <w:t>Stadiu procesual:</w:t>
      </w:r>
      <w:r w:rsidRPr="00022D5C">
        <w:rPr>
          <w:rFonts w:ascii="Arial" w:hAnsi="Arial" w:cs="Arial"/>
          <w:sz w:val="22"/>
          <w:szCs w:val="22"/>
          <w:lang w:val="it-IT"/>
        </w:rPr>
        <w:t xml:space="preserve"> --</w:t>
      </w:r>
    </w:p>
    <w:p w:rsidR="00C60341" w:rsidRDefault="00C60341" w:rsidP="00C60341">
      <w:pPr>
        <w:jc w:val="both"/>
        <w:rPr>
          <w:rFonts w:ascii="Arial" w:hAnsi="Arial" w:cs="Arial"/>
          <w:sz w:val="22"/>
          <w:szCs w:val="22"/>
          <w:lang w:val="it-IT"/>
        </w:rPr>
      </w:pPr>
      <w:r w:rsidRPr="00022D5C">
        <w:rPr>
          <w:rFonts w:ascii="Arial" w:hAnsi="Arial" w:cs="Arial"/>
          <w:b/>
          <w:sz w:val="22"/>
          <w:szCs w:val="22"/>
          <w:lang w:val="it-IT"/>
        </w:rPr>
        <w:t xml:space="preserve">Termen: </w:t>
      </w:r>
      <w:r>
        <w:rPr>
          <w:rFonts w:ascii="Arial" w:hAnsi="Arial" w:cs="Arial"/>
          <w:sz w:val="22"/>
          <w:szCs w:val="22"/>
          <w:lang w:val="it-IT"/>
        </w:rPr>
        <w:t>--</w:t>
      </w:r>
    </w:p>
    <w:p w:rsidR="00C60341" w:rsidRDefault="00C60341" w:rsidP="00C60341">
      <w:pPr>
        <w:jc w:val="both"/>
        <w:rPr>
          <w:rFonts w:ascii="Arial" w:hAnsi="Arial" w:cs="Arial"/>
          <w:sz w:val="22"/>
          <w:szCs w:val="22"/>
          <w:lang w:val="it-IT"/>
        </w:rPr>
      </w:pPr>
    </w:p>
    <w:p w:rsidR="00C60341" w:rsidRPr="00022D5C" w:rsidRDefault="00C60341" w:rsidP="00C60341">
      <w:pPr>
        <w:jc w:val="both"/>
        <w:rPr>
          <w:rFonts w:ascii="Arial" w:eastAsia="Calibri" w:hAnsi="Arial" w:cs="Arial"/>
          <w:b/>
          <w:sz w:val="22"/>
          <w:szCs w:val="22"/>
        </w:rPr>
      </w:pPr>
      <w:r w:rsidRPr="00022D5C">
        <w:rPr>
          <w:rFonts w:ascii="Arial" w:hAnsi="Arial" w:cs="Arial"/>
          <w:b/>
          <w:sz w:val="22"/>
          <w:szCs w:val="22"/>
          <w:lang w:val="it-IT"/>
        </w:rPr>
        <w:t>4.</w:t>
      </w:r>
      <w:r w:rsidRPr="00022D5C">
        <w:rPr>
          <w:rFonts w:ascii="Arial" w:hAnsi="Arial" w:cs="Arial"/>
          <w:sz w:val="22"/>
          <w:szCs w:val="22"/>
          <w:lang w:val="it-IT"/>
        </w:rPr>
        <w:t xml:space="preserve"> </w:t>
      </w:r>
      <w:r w:rsidRPr="00022D5C">
        <w:rPr>
          <w:rFonts w:ascii="Arial" w:eastAsia="Calibri" w:hAnsi="Arial" w:cs="Arial"/>
          <w:b/>
          <w:sz w:val="22"/>
          <w:szCs w:val="22"/>
        </w:rPr>
        <w:t xml:space="preserve">Dosar nr. 1372/212/2017 – Judecătoria Constanța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Conpet SA – pârât-reconvenient</w:t>
      </w:r>
    </w:p>
    <w:p w:rsidR="00C60341" w:rsidRPr="00022D5C" w:rsidRDefault="00C60341" w:rsidP="00C60341">
      <w:pPr>
        <w:jc w:val="both"/>
        <w:rPr>
          <w:rFonts w:ascii="Arial" w:eastAsia="Calibri" w:hAnsi="Arial" w:cs="Arial"/>
          <w:sz w:val="22"/>
          <w:szCs w:val="22"/>
        </w:rPr>
      </w:pPr>
      <w:r>
        <w:rPr>
          <w:rFonts w:ascii="Arial" w:eastAsia="Calibri" w:hAnsi="Arial" w:cs="Arial"/>
          <w:sz w:val="22"/>
          <w:szCs w:val="22"/>
        </w:rPr>
        <w:t xml:space="preserve">          </w:t>
      </w:r>
      <w:r w:rsidRPr="00022D5C">
        <w:rPr>
          <w:rFonts w:ascii="Arial" w:eastAsia="Calibri" w:hAnsi="Arial" w:cs="Arial"/>
          <w:sz w:val="22"/>
          <w:szCs w:val="22"/>
        </w:rPr>
        <w:t>Cruceanu Alin Florinel – reclamant-pârât</w:t>
      </w:r>
    </w:p>
    <w:p w:rsidR="00C60341" w:rsidRPr="00022D5C" w:rsidRDefault="00C60341" w:rsidP="00C60341">
      <w:pPr>
        <w:jc w:val="both"/>
        <w:rPr>
          <w:rFonts w:ascii="Arial" w:eastAsia="Calibri" w:hAnsi="Arial" w:cs="Arial"/>
          <w:sz w:val="22"/>
          <w:szCs w:val="22"/>
        </w:rPr>
      </w:pPr>
      <w:r>
        <w:rPr>
          <w:rFonts w:ascii="Arial" w:eastAsia="Calibri" w:hAnsi="Arial" w:cs="Arial"/>
          <w:sz w:val="22"/>
          <w:szCs w:val="22"/>
        </w:rPr>
        <w:t xml:space="preserve"> </w:t>
      </w:r>
      <w:r w:rsidRPr="00022D5C">
        <w:rPr>
          <w:rFonts w:ascii="Arial" w:eastAsia="Calibri" w:hAnsi="Arial" w:cs="Arial"/>
          <w:b/>
          <w:sz w:val="22"/>
          <w:szCs w:val="22"/>
        </w:rPr>
        <w:t>Obiect:</w:t>
      </w:r>
      <w:r w:rsidRPr="00022D5C">
        <w:rPr>
          <w:rFonts w:ascii="Arial" w:eastAsia="Calibri" w:hAnsi="Arial" w:cs="Arial"/>
          <w:sz w:val="22"/>
          <w:szCs w:val="22"/>
        </w:rPr>
        <w:t xml:space="preserve"> Cruceanu Alin Florinel a formulat cerere de chemare în judecată solicitând instanței să dispună:</w:t>
      </w:r>
    </w:p>
    <w:p w:rsidR="00C60341" w:rsidRPr="00022D5C" w:rsidRDefault="00C60341" w:rsidP="00C60341">
      <w:pPr>
        <w:ind w:firstLine="720"/>
        <w:jc w:val="both"/>
        <w:rPr>
          <w:rFonts w:ascii="Arial" w:eastAsia="Calibri" w:hAnsi="Arial" w:cs="Arial"/>
          <w:sz w:val="22"/>
          <w:szCs w:val="22"/>
        </w:rPr>
      </w:pPr>
      <w:r w:rsidRPr="00022D5C">
        <w:rPr>
          <w:rFonts w:ascii="Arial" w:eastAsia="Calibri" w:hAnsi="Arial" w:cs="Arial"/>
          <w:sz w:val="22"/>
          <w:szCs w:val="22"/>
        </w:rPr>
        <w:t>-  obligarea Conpet SA la plata de despăgubiri egale cu contravaloarea de piață a imobilului teren în suprafață de 460 mp situat în comuna Lazu, str. Luceafărului nr. 29, județul Constanța și a imobilului teren în suprafață de 460 mp situate în comuna Lazu, str. Luceafărului nr. 31, județul Constanța, contravaloarea apreciată la suma de 30.000 euro, echivalentul în lei 134.700;</w:t>
      </w:r>
    </w:p>
    <w:p w:rsidR="00C60341" w:rsidRPr="00022D5C" w:rsidRDefault="00C60341" w:rsidP="00C60341">
      <w:pPr>
        <w:ind w:firstLine="720"/>
        <w:jc w:val="both"/>
        <w:rPr>
          <w:rFonts w:ascii="Arial" w:eastAsia="Calibri" w:hAnsi="Arial" w:cs="Arial"/>
          <w:sz w:val="22"/>
          <w:szCs w:val="22"/>
        </w:rPr>
      </w:pPr>
      <w:r w:rsidRPr="00022D5C">
        <w:rPr>
          <w:rFonts w:ascii="Arial" w:eastAsia="Calibri" w:hAnsi="Arial" w:cs="Arial"/>
          <w:sz w:val="22"/>
          <w:szCs w:val="22"/>
        </w:rPr>
        <w:t>- obligarea Conpet SA la plata contravalorii lipsei de folosință a terenurilor sub forma unei rente anuale pe ultimii trei ani;</w:t>
      </w:r>
    </w:p>
    <w:p w:rsidR="00C60341" w:rsidRPr="00022D5C" w:rsidRDefault="00C60341" w:rsidP="00C60341">
      <w:pPr>
        <w:ind w:firstLine="720"/>
        <w:jc w:val="both"/>
        <w:rPr>
          <w:rFonts w:ascii="Arial" w:eastAsia="Calibri" w:hAnsi="Arial" w:cs="Arial"/>
          <w:sz w:val="22"/>
          <w:szCs w:val="22"/>
        </w:rPr>
      </w:pPr>
      <w:r w:rsidRPr="00022D5C">
        <w:rPr>
          <w:rFonts w:ascii="Arial" w:eastAsia="Calibri" w:hAnsi="Arial" w:cs="Arial"/>
          <w:sz w:val="22"/>
          <w:szCs w:val="22"/>
        </w:rPr>
        <w:t xml:space="preserve">- obligarea Conpet SA la plata cheltuielilor de judecată ocazionate de soluționarea </w:t>
      </w:r>
      <w:r w:rsidRPr="00022D5C">
        <w:rPr>
          <w:rFonts w:ascii="Arial" w:eastAsia="Calibri" w:hAnsi="Arial" w:cs="Arial"/>
          <w:sz w:val="22"/>
          <w:szCs w:val="22"/>
        </w:rPr>
        <w:lastRenderedPageBreak/>
        <w:t>prezentei cereri.</w:t>
      </w:r>
    </w:p>
    <w:p w:rsidR="00C60341" w:rsidRPr="00022D5C" w:rsidRDefault="00C60341" w:rsidP="00C60341">
      <w:pPr>
        <w:ind w:firstLine="720"/>
        <w:jc w:val="both"/>
        <w:rPr>
          <w:rFonts w:ascii="Arial" w:eastAsia="Calibri" w:hAnsi="Arial" w:cs="Arial"/>
          <w:sz w:val="22"/>
          <w:szCs w:val="22"/>
        </w:rPr>
      </w:pPr>
      <w:r w:rsidRPr="00022D5C">
        <w:rPr>
          <w:rFonts w:ascii="Arial" w:eastAsia="Calibri" w:hAnsi="Arial" w:cs="Arial"/>
          <w:sz w:val="22"/>
          <w:szCs w:val="22"/>
        </w:rPr>
        <w:t>Ulterior, reclamantul și-a precizat acțiunea cu privire la cel de-al doilea capăt de cerere solicitand instanței:</w:t>
      </w:r>
    </w:p>
    <w:p w:rsidR="00C60341" w:rsidRPr="00022D5C" w:rsidRDefault="00C60341" w:rsidP="00C60341">
      <w:pPr>
        <w:ind w:firstLine="720"/>
        <w:jc w:val="both"/>
        <w:rPr>
          <w:rFonts w:ascii="Arial" w:eastAsia="Calibri" w:hAnsi="Arial" w:cs="Arial"/>
          <w:sz w:val="22"/>
          <w:szCs w:val="22"/>
        </w:rPr>
      </w:pPr>
      <w:r w:rsidRPr="00022D5C">
        <w:rPr>
          <w:rFonts w:ascii="Arial" w:eastAsia="Calibri" w:hAnsi="Arial" w:cs="Arial"/>
          <w:sz w:val="22"/>
          <w:szCs w:val="22"/>
        </w:rPr>
        <w:t>- obligarea Conpet SA la plata sumei reprezentând lipsa de folosință a celor două imobile teren pentru perioada cuprinsă între 10.12.2015 și data rămânerii definitive a hotărârii prin care a fost admis primul capăt de cerere.</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 xml:space="preserve">Lipsa de folosință a fost evaluată </w:t>
      </w:r>
      <w:r w:rsidRPr="00022D5C">
        <w:rPr>
          <w:rFonts w:ascii="Arial" w:eastAsia="Calibri" w:hAnsi="Arial" w:cs="Arial"/>
          <w:bCs/>
          <w:sz w:val="22"/>
          <w:szCs w:val="22"/>
        </w:rPr>
        <w:t>provizoriu</w:t>
      </w:r>
      <w:r w:rsidRPr="00022D5C">
        <w:rPr>
          <w:rFonts w:ascii="Arial" w:eastAsia="Calibri" w:hAnsi="Arial" w:cs="Arial"/>
          <w:sz w:val="22"/>
          <w:szCs w:val="22"/>
        </w:rPr>
        <w:t xml:space="preserve"> în vederea timbrării la suma de </w:t>
      </w:r>
      <w:r w:rsidRPr="00022D5C">
        <w:rPr>
          <w:rFonts w:ascii="Arial" w:eastAsia="Calibri" w:hAnsi="Arial" w:cs="Arial"/>
          <w:bCs/>
          <w:sz w:val="22"/>
          <w:szCs w:val="22"/>
        </w:rPr>
        <w:t>5.000 lei.</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sz w:val="22"/>
          <w:szCs w:val="22"/>
        </w:rPr>
        <w:t>Conpet a formulat cerere reconvențională prin care a solicitat:</w:t>
      </w:r>
    </w:p>
    <w:p w:rsidR="00C60341" w:rsidRPr="00022D5C" w:rsidRDefault="00C60341" w:rsidP="00C60341">
      <w:pPr>
        <w:ind w:firstLine="720"/>
        <w:jc w:val="both"/>
        <w:rPr>
          <w:rFonts w:ascii="Arial" w:eastAsia="Calibri" w:hAnsi="Arial" w:cs="Arial"/>
          <w:sz w:val="22"/>
          <w:szCs w:val="22"/>
          <w:lang w:val="it-IT"/>
        </w:rPr>
      </w:pPr>
      <w:r w:rsidRPr="00022D5C">
        <w:rPr>
          <w:rFonts w:ascii="Arial" w:eastAsia="Calibri" w:hAnsi="Arial" w:cs="Arial"/>
          <w:sz w:val="22"/>
          <w:szCs w:val="22"/>
          <w:lang w:val="it-IT"/>
        </w:rPr>
        <w:t xml:space="preserve">- Obligarea reclamanatului să permită societății Conpet S.A. exercițiul dreptului de servitute legală instituit de dispozițiile art. 7 și urm. din Legea nr. 238/2004 pe cele două terenuri aflate în proprietatea reclamantului </w:t>
      </w:r>
      <w:r w:rsidRPr="00022D5C">
        <w:rPr>
          <w:rFonts w:ascii="Arial" w:eastAsia="Calibri" w:hAnsi="Arial" w:cs="Arial"/>
          <w:sz w:val="22"/>
          <w:szCs w:val="22"/>
          <w:lang w:val="pt-BR"/>
        </w:rPr>
        <w:t>Cruceanu Alin Florinel,</w:t>
      </w:r>
      <w:r w:rsidRPr="00022D5C">
        <w:rPr>
          <w:rFonts w:ascii="Arial" w:eastAsia="Calibri" w:hAnsi="Arial" w:cs="Arial"/>
          <w:sz w:val="22"/>
          <w:szCs w:val="22"/>
          <w:lang w:val="it-IT"/>
        </w:rPr>
        <w:t xml:space="preserve"> situate în comuna Agigea, satul Lazu, str. Luceafărului nr. 29 respectiv 31, jud. Constanța. Exercițiul dreptului de servitute legală urmează să se facă pe un culoar de 2,4 metri lățime amplasat  de-a lungul conductei magistrale de transport a țițeiului </w:t>
      </w:r>
      <w:r w:rsidRPr="00022D5C">
        <w:rPr>
          <w:rFonts w:ascii="Arial" w:eastAsia="Calibri" w:hAnsi="Arial" w:cs="Arial"/>
          <w:sz w:val="22"/>
          <w:szCs w:val="22"/>
        </w:rPr>
        <w:t>Ø 20 ˝ Constanța-Bărăganu î</w:t>
      </w:r>
      <w:r w:rsidRPr="00022D5C">
        <w:rPr>
          <w:rFonts w:ascii="Arial" w:eastAsia="Calibri" w:hAnsi="Arial" w:cs="Arial"/>
          <w:sz w:val="22"/>
          <w:szCs w:val="22"/>
          <w:lang w:val="it-IT"/>
        </w:rPr>
        <w:t>n scopul accesului permanent la conductă în vederea verificării zilnice a stării conductei și executării eventualelor lucrări de reparații.</w:t>
      </w:r>
    </w:p>
    <w:p w:rsidR="00C60341" w:rsidRPr="00022D5C" w:rsidRDefault="00C60341" w:rsidP="00C60341">
      <w:pPr>
        <w:ind w:firstLine="720"/>
        <w:jc w:val="both"/>
        <w:rPr>
          <w:rFonts w:ascii="Arial" w:eastAsia="Calibri" w:hAnsi="Arial" w:cs="Arial"/>
          <w:sz w:val="22"/>
          <w:szCs w:val="22"/>
        </w:rPr>
      </w:pPr>
      <w:r w:rsidRPr="00022D5C">
        <w:rPr>
          <w:rFonts w:ascii="Arial" w:eastAsia="Calibri" w:hAnsi="Arial" w:cs="Arial"/>
          <w:sz w:val="22"/>
          <w:szCs w:val="22"/>
          <w:lang w:val="it-IT"/>
        </w:rPr>
        <w:t>- Stabilirea cuantumului rentei anuale prevazută de lege datorată de noi subscrisa reclamantului în schimbul exercitării dreptului de servitute legală.</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procesual:</w:t>
      </w:r>
      <w:r w:rsidRPr="00022D5C">
        <w:rPr>
          <w:rFonts w:ascii="Arial" w:eastAsia="Calibri" w:hAnsi="Arial" w:cs="Arial"/>
          <w:sz w:val="22"/>
          <w:szCs w:val="22"/>
        </w:rPr>
        <w:t xml:space="preserve"> Fond</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Pr>
          <w:rFonts w:ascii="Arial" w:eastAsia="Calibri" w:hAnsi="Arial" w:cs="Arial"/>
          <w:sz w:val="22"/>
          <w:szCs w:val="22"/>
        </w:rPr>
        <w:t xml:space="preserve"> 03.09.2018</w:t>
      </w:r>
    </w:p>
    <w:p w:rsidR="00C60341" w:rsidRPr="00022D5C" w:rsidRDefault="00C60341" w:rsidP="00C60341">
      <w:pPr>
        <w:ind w:firstLine="720"/>
        <w:jc w:val="both"/>
        <w:rPr>
          <w:rFonts w:ascii="Arial" w:eastAsia="Calibri" w:hAnsi="Arial" w:cs="Arial"/>
          <w:sz w:val="22"/>
          <w:szCs w:val="22"/>
        </w:rPr>
      </w:pPr>
    </w:p>
    <w:p w:rsidR="00C60341" w:rsidRPr="00022D5C" w:rsidRDefault="00C60341" w:rsidP="00C60341">
      <w:pPr>
        <w:jc w:val="both"/>
        <w:rPr>
          <w:rFonts w:ascii="Arial" w:eastAsia="Calibri" w:hAnsi="Arial" w:cs="Arial"/>
          <w:b/>
          <w:sz w:val="22"/>
          <w:szCs w:val="22"/>
        </w:rPr>
      </w:pPr>
      <w:r w:rsidRPr="00022D5C">
        <w:rPr>
          <w:rFonts w:ascii="Arial" w:eastAsia="Calibri" w:hAnsi="Arial" w:cs="Arial"/>
          <w:b/>
          <w:sz w:val="22"/>
          <w:szCs w:val="22"/>
        </w:rPr>
        <w:t xml:space="preserve">5. Dosar nr. 18344/212/2017 – Judecătoria Constanța </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Părți:</w:t>
      </w:r>
      <w:r w:rsidRPr="00022D5C">
        <w:rPr>
          <w:rFonts w:ascii="Arial" w:eastAsia="Calibri" w:hAnsi="Arial" w:cs="Arial"/>
          <w:sz w:val="22"/>
          <w:szCs w:val="22"/>
        </w:rPr>
        <w:t xml:space="preserve"> Conpet SA – pârât-reconvenient</w:t>
      </w:r>
    </w:p>
    <w:p w:rsidR="00C60341" w:rsidRPr="00022D5C" w:rsidRDefault="00C60341" w:rsidP="00C60341">
      <w:pPr>
        <w:jc w:val="both"/>
        <w:rPr>
          <w:rFonts w:ascii="Arial" w:eastAsia="Calibri" w:hAnsi="Arial" w:cs="Arial"/>
          <w:sz w:val="22"/>
          <w:szCs w:val="22"/>
        </w:rPr>
      </w:pPr>
      <w:r>
        <w:rPr>
          <w:rFonts w:ascii="Arial" w:eastAsia="Calibri" w:hAnsi="Arial" w:cs="Arial"/>
          <w:sz w:val="22"/>
          <w:szCs w:val="22"/>
        </w:rPr>
        <w:t xml:space="preserve">          </w:t>
      </w:r>
      <w:r w:rsidRPr="00022D5C">
        <w:rPr>
          <w:rFonts w:ascii="Arial" w:eastAsia="Calibri" w:hAnsi="Arial" w:cs="Arial"/>
          <w:sz w:val="22"/>
          <w:szCs w:val="22"/>
        </w:rPr>
        <w:t>Mitu Dumitru – reclamant-pârât</w:t>
      </w:r>
    </w:p>
    <w:p w:rsidR="00C60341" w:rsidRPr="00022D5C" w:rsidRDefault="00C60341" w:rsidP="00C60341">
      <w:pPr>
        <w:jc w:val="both"/>
        <w:rPr>
          <w:rFonts w:ascii="Arial" w:eastAsia="Calibri" w:hAnsi="Arial" w:cs="Arial"/>
          <w:sz w:val="22"/>
          <w:szCs w:val="22"/>
        </w:rPr>
      </w:pPr>
      <w:r>
        <w:rPr>
          <w:rFonts w:ascii="Arial" w:eastAsia="Calibri" w:hAnsi="Arial" w:cs="Arial"/>
          <w:sz w:val="22"/>
          <w:szCs w:val="22"/>
        </w:rPr>
        <w:t xml:space="preserve">          </w:t>
      </w:r>
      <w:r w:rsidRPr="00022D5C">
        <w:rPr>
          <w:rFonts w:ascii="Arial" w:eastAsia="Calibri" w:hAnsi="Arial" w:cs="Arial"/>
          <w:sz w:val="22"/>
          <w:szCs w:val="22"/>
        </w:rPr>
        <w:t>Mitu Rodica – reclamant-pârât</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Obiect</w:t>
      </w:r>
      <w:r w:rsidRPr="00022D5C">
        <w:rPr>
          <w:rFonts w:ascii="Arial" w:eastAsia="Calibri" w:hAnsi="Arial" w:cs="Arial"/>
          <w:sz w:val="22"/>
          <w:szCs w:val="22"/>
        </w:rPr>
        <w:t>: Obligație de a face. Mitu Dumitru și Mitu Rodica formulează cerere de chemare în judecată prin care solicit obligarea Conpet la plata de despăgubiri pentru cele două loturi de teren situate în sat Lazu, comuma Agigea, județul Constanța afectate de traseul onor conducte care transport produse petroliere, precum și obligarea pârâtei la plata unei rente anuale pentru lipsa de folosință asupra terenului afectat de exercițiul dreptului de servitude legală, începând cu data de 20.06.2014 și a unor despăgubiri sub forma unei plăți anuale pentru afectarea folosintei părții din teren pe care nu este amplasată conducta, cu obligarea la plata cheltuielilor de judecată.</w:t>
      </w:r>
    </w:p>
    <w:p w:rsidR="00C60341" w:rsidRPr="00022D5C" w:rsidRDefault="00C60341" w:rsidP="00C60341">
      <w:pPr>
        <w:ind w:firstLine="720"/>
        <w:jc w:val="both"/>
        <w:rPr>
          <w:rFonts w:ascii="Arial" w:eastAsia="Calibri" w:hAnsi="Arial" w:cs="Arial"/>
          <w:sz w:val="22"/>
          <w:szCs w:val="22"/>
        </w:rPr>
      </w:pPr>
      <w:r w:rsidRPr="00022D5C">
        <w:rPr>
          <w:rFonts w:ascii="Arial" w:eastAsia="Calibri" w:hAnsi="Arial" w:cs="Arial"/>
          <w:sz w:val="22"/>
          <w:szCs w:val="22"/>
        </w:rPr>
        <w:t xml:space="preserve">Reclamanții </w:t>
      </w:r>
      <w:r w:rsidRPr="00022D5C">
        <w:rPr>
          <w:rFonts w:ascii="Arial" w:eastAsia="Calibri" w:hAnsi="Arial" w:cs="Arial"/>
          <w:bCs/>
          <w:sz w:val="22"/>
          <w:szCs w:val="22"/>
        </w:rPr>
        <w:t>au evaluat pretențiile</w:t>
      </w:r>
      <w:r w:rsidRPr="00022D5C">
        <w:rPr>
          <w:rFonts w:ascii="Arial" w:eastAsia="Calibri" w:hAnsi="Arial" w:cs="Arial"/>
          <w:sz w:val="22"/>
          <w:szCs w:val="22"/>
        </w:rPr>
        <w:t xml:space="preserve"> deduse judecății la suma de </w:t>
      </w:r>
      <w:r w:rsidRPr="00022D5C">
        <w:rPr>
          <w:rFonts w:ascii="Arial" w:eastAsia="Calibri" w:hAnsi="Arial" w:cs="Arial"/>
          <w:bCs/>
          <w:sz w:val="22"/>
          <w:szCs w:val="22"/>
        </w:rPr>
        <w:t>10.000 lei</w:t>
      </w:r>
      <w:r w:rsidRPr="00022D5C">
        <w:rPr>
          <w:rFonts w:ascii="Arial" w:eastAsia="Calibri" w:hAnsi="Arial" w:cs="Arial"/>
          <w:sz w:val="22"/>
          <w:szCs w:val="22"/>
        </w:rPr>
        <w:t xml:space="preserve"> în vederea timbrării cererii arătând că după stabilirea valorilor prin expertiza ce o vor administra în cauză să achite diferența de taxă judiciară.</w:t>
      </w:r>
    </w:p>
    <w:p w:rsidR="00C60341" w:rsidRPr="00022D5C" w:rsidRDefault="00C60341" w:rsidP="00C60341">
      <w:pPr>
        <w:ind w:firstLine="720"/>
        <w:jc w:val="both"/>
        <w:rPr>
          <w:rFonts w:ascii="Arial" w:eastAsia="Calibri" w:hAnsi="Arial" w:cs="Arial"/>
          <w:sz w:val="22"/>
          <w:szCs w:val="22"/>
        </w:rPr>
      </w:pPr>
      <w:r w:rsidRPr="00022D5C">
        <w:rPr>
          <w:rFonts w:ascii="Arial" w:eastAsia="Calibri" w:hAnsi="Arial" w:cs="Arial"/>
          <w:sz w:val="22"/>
          <w:szCs w:val="22"/>
        </w:rPr>
        <w:t>Conpet a formulat cerere reconvențională prin care a solicitat instanței:</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lang w:val="it-IT"/>
        </w:rPr>
        <w:t xml:space="preserve">1. Să oblige reclamanții să permită societății Conpet S.A. exercițiul dreptului de servitute legală instituit de dispozițiile art. 7 și urm. din Legea nr. 238/2004 pe cele două loturi de terenuri aflate în proprietatea reclamanților. Exercițiul dreptului de servitute legală urmează să se facă pe un culoar de 2,4 metri lățime amplasat de-a lungul conductei magistrale de transport a țițeiului F2 </w:t>
      </w:r>
      <w:r w:rsidRPr="00022D5C">
        <w:rPr>
          <w:rFonts w:ascii="Arial" w:eastAsia="Calibri" w:hAnsi="Arial" w:cs="Arial"/>
          <w:sz w:val="22"/>
          <w:szCs w:val="22"/>
        </w:rPr>
        <w:t>Ø 20 ˝ Constanța-Bărăganu î</w:t>
      </w:r>
      <w:r w:rsidRPr="00022D5C">
        <w:rPr>
          <w:rFonts w:ascii="Arial" w:hAnsi="Arial" w:cs="Arial"/>
          <w:sz w:val="22"/>
          <w:szCs w:val="22"/>
          <w:lang w:val="it-IT"/>
        </w:rPr>
        <w:t>n scopul accesului permanent la conductă în vederea verificării zilnice a stării conductei și executării eventualelor lucrări de reparații.</w:t>
      </w:r>
    </w:p>
    <w:p w:rsidR="00C60341" w:rsidRPr="00022D5C" w:rsidRDefault="00C60341" w:rsidP="00C60341">
      <w:pPr>
        <w:jc w:val="both"/>
        <w:rPr>
          <w:rFonts w:ascii="Arial" w:hAnsi="Arial" w:cs="Arial"/>
          <w:sz w:val="22"/>
          <w:szCs w:val="22"/>
          <w:lang w:val="it-IT"/>
        </w:rPr>
      </w:pPr>
      <w:r w:rsidRPr="00022D5C">
        <w:rPr>
          <w:rFonts w:ascii="Arial" w:hAnsi="Arial" w:cs="Arial"/>
          <w:sz w:val="22"/>
          <w:szCs w:val="22"/>
          <w:lang w:val="it-IT"/>
        </w:rPr>
        <w:t>2. Să stabilească cuantumul rentei anuale prevazută de lege datorată de Conpet reclamanților în schimbul exercitării dreptului de servitute legală.</w:t>
      </w:r>
    </w:p>
    <w:p w:rsidR="00C60341" w:rsidRPr="00022D5C" w:rsidRDefault="00C60341" w:rsidP="00C60341">
      <w:pPr>
        <w:jc w:val="both"/>
        <w:rPr>
          <w:rFonts w:ascii="Arial" w:eastAsia="Calibri" w:hAnsi="Arial" w:cs="Arial"/>
          <w:b/>
          <w:sz w:val="22"/>
          <w:szCs w:val="22"/>
        </w:rPr>
      </w:pPr>
      <w:r w:rsidRPr="00022D5C">
        <w:rPr>
          <w:rFonts w:ascii="Arial" w:hAnsi="Arial" w:cs="Arial"/>
          <w:sz w:val="22"/>
          <w:szCs w:val="22"/>
          <w:lang w:val="it-IT"/>
        </w:rPr>
        <w:tab/>
        <w:t xml:space="preserve">De asemenea, Conpet a formulat cerere de chemare în garanție a </w:t>
      </w:r>
      <w:r w:rsidRPr="00022D5C">
        <w:rPr>
          <w:rFonts w:ascii="Arial" w:hAnsi="Arial" w:cs="Arial"/>
          <w:sz w:val="22"/>
          <w:szCs w:val="22"/>
          <w:lang w:val="pt-BR"/>
        </w:rPr>
        <w:t xml:space="preserve">Ministerului Finanțelor Publice și a Agenției Naționale pentru Resurse Minerale (A.N.R.M.) </w:t>
      </w:r>
      <w:r w:rsidRPr="00022D5C">
        <w:rPr>
          <w:rFonts w:ascii="Arial" w:hAnsi="Arial" w:cs="Arial"/>
          <w:sz w:val="22"/>
          <w:szCs w:val="22"/>
          <w:lang w:val="it-IT"/>
        </w:rPr>
        <w:t>pentru ca în cazul în care Conpet S.A. Ploiești va cădea în pretenții cu privire la pretențiile reclamanților  formulate în cererea de chemare în judecată să ne despăgubească cu sumele pe care vom fi obligați să le plătim reclamanților.</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Stadiu procesual:</w:t>
      </w:r>
      <w:r w:rsidRPr="00022D5C">
        <w:rPr>
          <w:rFonts w:ascii="Arial" w:eastAsia="Calibri" w:hAnsi="Arial" w:cs="Arial"/>
          <w:sz w:val="22"/>
          <w:szCs w:val="22"/>
        </w:rPr>
        <w:t xml:space="preserve"> Fond</w:t>
      </w:r>
    </w:p>
    <w:p w:rsidR="00C60341" w:rsidRPr="00022D5C" w:rsidRDefault="00C60341" w:rsidP="00C60341">
      <w:pPr>
        <w:jc w:val="both"/>
        <w:rPr>
          <w:rFonts w:ascii="Arial" w:eastAsia="Calibri" w:hAnsi="Arial" w:cs="Arial"/>
          <w:sz w:val="22"/>
          <w:szCs w:val="22"/>
        </w:rPr>
      </w:pPr>
      <w:r w:rsidRPr="00022D5C">
        <w:rPr>
          <w:rFonts w:ascii="Arial" w:eastAsia="Calibri" w:hAnsi="Arial" w:cs="Arial"/>
          <w:b/>
          <w:sz w:val="22"/>
          <w:szCs w:val="22"/>
        </w:rPr>
        <w:t>Termen:</w:t>
      </w:r>
      <w:r w:rsidRPr="00022D5C">
        <w:rPr>
          <w:rFonts w:ascii="Arial" w:eastAsia="Calibri" w:hAnsi="Arial" w:cs="Arial"/>
          <w:sz w:val="22"/>
          <w:szCs w:val="22"/>
        </w:rPr>
        <w:t xml:space="preserve"> 05.09.2018   </w:t>
      </w:r>
    </w:p>
    <w:p w:rsidR="00C60341" w:rsidRPr="00022D5C" w:rsidRDefault="00C60341" w:rsidP="00C60341">
      <w:pPr>
        <w:jc w:val="both"/>
        <w:rPr>
          <w:rFonts w:ascii="Arial" w:hAnsi="Arial" w:cs="Arial"/>
          <w:b/>
          <w:sz w:val="22"/>
          <w:szCs w:val="22"/>
          <w:lang w:val="it-IT"/>
        </w:rPr>
      </w:pPr>
    </w:p>
    <w:p w:rsidR="00C60341" w:rsidRPr="00022D5C" w:rsidRDefault="00C60341" w:rsidP="00C60341">
      <w:pPr>
        <w:jc w:val="both"/>
        <w:rPr>
          <w:rFonts w:ascii="Arial" w:hAnsi="Arial" w:cs="Arial"/>
          <w:b/>
          <w:sz w:val="22"/>
          <w:szCs w:val="22"/>
        </w:rPr>
      </w:pPr>
      <w:r w:rsidRPr="00022D5C">
        <w:rPr>
          <w:rFonts w:ascii="Arial" w:hAnsi="Arial" w:cs="Arial"/>
          <w:b/>
          <w:sz w:val="22"/>
          <w:szCs w:val="22"/>
          <w:lang w:val="it-IT"/>
        </w:rPr>
        <w:t xml:space="preserve">6. </w:t>
      </w:r>
      <w:r w:rsidRPr="00022D5C">
        <w:rPr>
          <w:rFonts w:ascii="Arial" w:hAnsi="Arial" w:cs="Arial"/>
          <w:b/>
          <w:sz w:val="22"/>
          <w:szCs w:val="22"/>
        </w:rPr>
        <w:t>Dosar nr. 2323/120/2018 – Tribunalul Dâmbovița</w:t>
      </w:r>
    </w:p>
    <w:p w:rsidR="00C60341" w:rsidRDefault="00C60341" w:rsidP="00C60341">
      <w:pPr>
        <w:jc w:val="both"/>
        <w:rPr>
          <w:rFonts w:ascii="Arial" w:hAnsi="Arial" w:cs="Arial"/>
          <w:sz w:val="22"/>
          <w:szCs w:val="22"/>
        </w:rPr>
      </w:pPr>
      <w:r w:rsidRPr="00022D5C">
        <w:rPr>
          <w:rFonts w:ascii="Arial" w:hAnsi="Arial" w:cs="Arial"/>
          <w:b/>
          <w:sz w:val="22"/>
          <w:szCs w:val="22"/>
        </w:rPr>
        <w:t xml:space="preserve">Părți: </w:t>
      </w:r>
      <w:r w:rsidRPr="00022D5C">
        <w:rPr>
          <w:rFonts w:ascii="Arial" w:hAnsi="Arial" w:cs="Arial"/>
          <w:sz w:val="22"/>
          <w:szCs w:val="22"/>
        </w:rPr>
        <w:t>Co</w:t>
      </w:r>
      <w:r>
        <w:rPr>
          <w:rFonts w:ascii="Arial" w:hAnsi="Arial" w:cs="Arial"/>
          <w:sz w:val="22"/>
          <w:szCs w:val="22"/>
        </w:rPr>
        <w:t xml:space="preserve">npet SA – pârât – reconvenient </w:t>
      </w:r>
    </w:p>
    <w:p w:rsidR="00C60341" w:rsidRPr="00022D5C" w:rsidRDefault="00C60341" w:rsidP="00C60341">
      <w:pPr>
        <w:jc w:val="both"/>
        <w:rPr>
          <w:rFonts w:ascii="Arial" w:hAnsi="Arial" w:cs="Arial"/>
          <w:sz w:val="22"/>
          <w:szCs w:val="22"/>
        </w:rPr>
      </w:pPr>
      <w:r>
        <w:rPr>
          <w:rFonts w:ascii="Arial" w:hAnsi="Arial" w:cs="Arial"/>
          <w:sz w:val="22"/>
          <w:szCs w:val="22"/>
        </w:rPr>
        <w:t xml:space="preserve">         </w:t>
      </w:r>
      <w:r w:rsidRPr="00022D5C">
        <w:rPr>
          <w:rFonts w:ascii="Arial" w:hAnsi="Arial" w:cs="Arial"/>
          <w:sz w:val="22"/>
          <w:szCs w:val="22"/>
        </w:rPr>
        <w:t xml:space="preserve"> Buzatu Florin – reclamant – pârât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Obiect: </w:t>
      </w:r>
      <w:r w:rsidRPr="00022D5C">
        <w:rPr>
          <w:rFonts w:ascii="Arial" w:hAnsi="Arial" w:cs="Arial"/>
          <w:sz w:val="22"/>
          <w:szCs w:val="22"/>
        </w:rPr>
        <w:t>Buzatu Florin formulează cerere de chemare în judecată solicitând instanței:</w:t>
      </w:r>
    </w:p>
    <w:p w:rsidR="00C60341" w:rsidRPr="00022D5C" w:rsidRDefault="00C60341" w:rsidP="00C60341">
      <w:pPr>
        <w:jc w:val="both"/>
        <w:rPr>
          <w:rFonts w:ascii="Arial" w:hAnsi="Arial" w:cs="Arial"/>
          <w:sz w:val="22"/>
          <w:szCs w:val="22"/>
        </w:rPr>
      </w:pPr>
      <w:r w:rsidRPr="00022D5C">
        <w:rPr>
          <w:rFonts w:ascii="Arial" w:hAnsi="Arial" w:cs="Arial"/>
          <w:sz w:val="22"/>
          <w:szCs w:val="22"/>
        </w:rPr>
        <w:t xml:space="preserve">1. Obligarea pârâtei Conpet SA să plătească reclamantului suma de 150.000 euro, plătibilă la </w:t>
      </w:r>
      <w:r w:rsidRPr="00022D5C">
        <w:rPr>
          <w:rFonts w:ascii="Arial" w:hAnsi="Arial" w:cs="Arial"/>
          <w:sz w:val="22"/>
          <w:szCs w:val="22"/>
        </w:rPr>
        <w:lastRenderedPageBreak/>
        <w:t>cursul de schimb BNR din ziua plății (sumă ce va fi reevaluată cu ocazia finalizării raportului de expertiză evaluare proprietăți imobiliare ce se va efectua în cauză în probațiune, urmând  să ne redimensionăm și să precizăm valoarea pretențiilor, coroborat cu adaptarea corespunzătoare a taxelor de timbru), reprezentând despăgubirea justă și echitabilă pentru prejudiciul suferit prin restrângerea posibilității exercitării dreptului său de proprietate asupra suprafeței de tern de 5980 m.p. situat în intravilanul localității Slobozia Moară, județul Dâmbovița, având număr cadastral 70618, înscris în cartea funciară 70618/UAT Slobozia Moară județul Dâmbovița, pe care se află conductele de gaze subterane și dispozitivele supraterane proprietatea pârâtei, teren ce nu poate fi folosit în scopul construirii unui imobil;</w:t>
      </w:r>
    </w:p>
    <w:p w:rsidR="00C60341" w:rsidRPr="00022D5C" w:rsidRDefault="00C60341" w:rsidP="00C60341">
      <w:pPr>
        <w:jc w:val="both"/>
        <w:rPr>
          <w:rFonts w:ascii="Arial" w:hAnsi="Arial" w:cs="Arial"/>
          <w:sz w:val="22"/>
          <w:szCs w:val="22"/>
        </w:rPr>
      </w:pPr>
      <w:r w:rsidRPr="00022D5C">
        <w:rPr>
          <w:rFonts w:ascii="Arial" w:hAnsi="Arial" w:cs="Arial"/>
          <w:sz w:val="22"/>
          <w:szCs w:val="22"/>
        </w:rPr>
        <w:t>2. Obligarea pârâtei Conpet SA să plătească o indemnizație lunară de 1.000 euro plătibilă la cursul de schimb valutar BNR din ziua plății, începând cu data pronunțării hotărârii, pe toată durata existenței conductelor subterane și a dispozitivelor supraterane, onstrucții aflate pe terenul proprietatea reclamantului și să suporte toate costurile efectuate de reclamantă pentru etapele premergătoare autorizării construcției;</w:t>
      </w:r>
    </w:p>
    <w:p w:rsidR="00C60341" w:rsidRPr="00022D5C" w:rsidRDefault="00C60341" w:rsidP="00C60341">
      <w:pPr>
        <w:jc w:val="both"/>
        <w:rPr>
          <w:rFonts w:ascii="Arial" w:hAnsi="Arial" w:cs="Arial"/>
          <w:sz w:val="22"/>
          <w:szCs w:val="22"/>
        </w:rPr>
      </w:pPr>
      <w:r w:rsidRPr="00022D5C">
        <w:rPr>
          <w:rFonts w:ascii="Arial" w:hAnsi="Arial" w:cs="Arial"/>
          <w:sz w:val="22"/>
          <w:szCs w:val="22"/>
        </w:rPr>
        <w:t>3. În subsidiar, solicită obligarea pârâtei să ridice toate construcțiile edificate pe ternul proprietatea reclamantului, respectiv conductele de gaze și dispozitivele supraterane, să aducă terenul în starea inițială sau abilitarea reclamantului de a executa obligația de a face, pe cheltuiala exclusivă a pârâtei;</w:t>
      </w:r>
    </w:p>
    <w:p w:rsidR="00C60341" w:rsidRPr="00022D5C" w:rsidRDefault="00C60341" w:rsidP="00C60341">
      <w:pPr>
        <w:jc w:val="both"/>
        <w:rPr>
          <w:rFonts w:ascii="Arial" w:hAnsi="Arial" w:cs="Arial"/>
          <w:sz w:val="22"/>
          <w:szCs w:val="22"/>
        </w:rPr>
      </w:pPr>
      <w:r w:rsidRPr="00022D5C">
        <w:rPr>
          <w:rFonts w:ascii="Arial" w:hAnsi="Arial" w:cs="Arial"/>
          <w:sz w:val="22"/>
          <w:szCs w:val="22"/>
        </w:rPr>
        <w:t>4. Obligarea pârâtei Conpet SA la plata cheltuielilor de judecată generate de prezentul demers judiciar.</w:t>
      </w:r>
    </w:p>
    <w:p w:rsidR="00C60341" w:rsidRPr="00022D5C" w:rsidRDefault="00C60341" w:rsidP="00C60341">
      <w:pPr>
        <w:jc w:val="both"/>
        <w:rPr>
          <w:rFonts w:ascii="Arial" w:hAnsi="Arial" w:cs="Arial"/>
          <w:sz w:val="22"/>
          <w:szCs w:val="22"/>
        </w:rPr>
      </w:pPr>
      <w:r w:rsidRPr="00022D5C">
        <w:rPr>
          <w:rFonts w:ascii="Arial" w:hAnsi="Arial" w:cs="Arial"/>
          <w:sz w:val="22"/>
          <w:szCs w:val="22"/>
        </w:rPr>
        <w:t>Conpet va formula cerere reconvențională.</w:t>
      </w:r>
    </w:p>
    <w:p w:rsidR="00C60341" w:rsidRPr="00022D5C" w:rsidRDefault="00C60341" w:rsidP="00C60341">
      <w:pPr>
        <w:jc w:val="both"/>
        <w:rPr>
          <w:rFonts w:ascii="Arial" w:hAnsi="Arial" w:cs="Arial"/>
          <w:b/>
          <w:sz w:val="22"/>
          <w:szCs w:val="22"/>
        </w:rPr>
      </w:pPr>
      <w:r w:rsidRPr="00022D5C">
        <w:rPr>
          <w:rFonts w:ascii="Arial" w:hAnsi="Arial" w:cs="Arial"/>
          <w:b/>
          <w:sz w:val="22"/>
          <w:szCs w:val="22"/>
        </w:rPr>
        <w:t>Precizări: --</w:t>
      </w:r>
    </w:p>
    <w:p w:rsidR="00C60341" w:rsidRPr="00022D5C" w:rsidRDefault="00C60341" w:rsidP="00C60341">
      <w:pPr>
        <w:jc w:val="both"/>
        <w:rPr>
          <w:rFonts w:ascii="Arial" w:hAnsi="Arial" w:cs="Arial"/>
          <w:sz w:val="22"/>
          <w:szCs w:val="22"/>
        </w:rPr>
      </w:pPr>
      <w:r w:rsidRPr="00022D5C">
        <w:rPr>
          <w:rFonts w:ascii="Arial" w:hAnsi="Arial" w:cs="Arial"/>
          <w:b/>
          <w:sz w:val="22"/>
          <w:szCs w:val="22"/>
        </w:rPr>
        <w:t xml:space="preserve">Stadiu procesual: </w:t>
      </w:r>
      <w:r w:rsidRPr="00022D5C">
        <w:rPr>
          <w:rFonts w:ascii="Arial" w:hAnsi="Arial" w:cs="Arial"/>
          <w:sz w:val="22"/>
          <w:szCs w:val="22"/>
        </w:rPr>
        <w:t>Fond</w:t>
      </w:r>
    </w:p>
    <w:p w:rsidR="00C60341" w:rsidRPr="00022D5C" w:rsidRDefault="00C60341" w:rsidP="00C60341">
      <w:pPr>
        <w:jc w:val="both"/>
        <w:rPr>
          <w:rFonts w:ascii="Arial" w:hAnsi="Arial" w:cs="Arial"/>
          <w:b/>
          <w:sz w:val="22"/>
          <w:szCs w:val="22"/>
        </w:rPr>
      </w:pPr>
      <w:r w:rsidRPr="00022D5C">
        <w:rPr>
          <w:rFonts w:ascii="Arial" w:hAnsi="Arial" w:cs="Arial"/>
          <w:b/>
          <w:sz w:val="22"/>
          <w:szCs w:val="22"/>
        </w:rPr>
        <w:t>Termen: --</w:t>
      </w:r>
    </w:p>
    <w:p w:rsidR="00C60341" w:rsidRPr="00022D5C" w:rsidRDefault="00C60341" w:rsidP="00C60341">
      <w:pPr>
        <w:ind w:firstLine="720"/>
        <w:jc w:val="both"/>
        <w:rPr>
          <w:rFonts w:ascii="Arial" w:hAnsi="Arial" w:cs="Arial"/>
          <w:b/>
          <w:sz w:val="22"/>
          <w:szCs w:val="22"/>
          <w:lang w:val="it-IT"/>
        </w:rPr>
      </w:pPr>
    </w:p>
    <w:p w:rsidR="00C60341" w:rsidRPr="00022D5C" w:rsidRDefault="00C60341" w:rsidP="00C60341">
      <w:pPr>
        <w:ind w:firstLine="720"/>
        <w:jc w:val="both"/>
        <w:rPr>
          <w:rFonts w:ascii="Arial" w:hAnsi="Arial" w:cs="Arial"/>
          <w:b/>
          <w:sz w:val="22"/>
          <w:szCs w:val="22"/>
          <w:lang w:val="it-IT"/>
        </w:rPr>
      </w:pPr>
    </w:p>
    <w:p w:rsidR="00C60341" w:rsidRPr="00022D5C" w:rsidRDefault="00C60341" w:rsidP="00C60341">
      <w:pPr>
        <w:ind w:firstLine="720"/>
        <w:jc w:val="both"/>
        <w:rPr>
          <w:rFonts w:ascii="Arial" w:hAnsi="Arial" w:cs="Arial"/>
          <w:b/>
          <w:sz w:val="22"/>
          <w:szCs w:val="22"/>
          <w:lang w:val="it-IT"/>
        </w:rPr>
      </w:pPr>
    </w:p>
    <w:p w:rsidR="00C60341" w:rsidRPr="00022D5C" w:rsidRDefault="00C60341" w:rsidP="00C60341">
      <w:pPr>
        <w:ind w:firstLine="720"/>
        <w:jc w:val="both"/>
        <w:rPr>
          <w:rFonts w:ascii="Arial" w:hAnsi="Arial" w:cs="Arial"/>
          <w:b/>
          <w:sz w:val="22"/>
          <w:szCs w:val="22"/>
          <w:lang w:val="it-IT"/>
        </w:rPr>
      </w:pPr>
    </w:p>
    <w:p w:rsidR="00C60341" w:rsidRPr="00022D5C" w:rsidRDefault="00C60341" w:rsidP="00C60341">
      <w:pPr>
        <w:ind w:firstLine="720"/>
        <w:jc w:val="both"/>
        <w:rPr>
          <w:rFonts w:ascii="Arial" w:hAnsi="Arial" w:cs="Arial"/>
          <w:b/>
          <w:sz w:val="22"/>
          <w:szCs w:val="22"/>
          <w:lang w:val="it-IT"/>
        </w:rPr>
      </w:pPr>
    </w:p>
    <w:p w:rsidR="00C60341" w:rsidRPr="00022D5C" w:rsidRDefault="00C60341" w:rsidP="00C60341">
      <w:pPr>
        <w:ind w:firstLine="720"/>
        <w:jc w:val="both"/>
        <w:rPr>
          <w:rFonts w:ascii="Arial" w:hAnsi="Arial" w:cs="Arial"/>
          <w:b/>
          <w:sz w:val="22"/>
          <w:szCs w:val="22"/>
          <w:lang w:val="it-IT"/>
        </w:rPr>
      </w:pPr>
    </w:p>
    <w:p w:rsidR="00C60341" w:rsidRPr="00022D5C" w:rsidRDefault="00C60341" w:rsidP="00C60341">
      <w:pPr>
        <w:ind w:firstLine="720"/>
        <w:jc w:val="both"/>
        <w:rPr>
          <w:rFonts w:ascii="Arial" w:hAnsi="Arial" w:cs="Arial"/>
          <w:b/>
          <w:sz w:val="22"/>
          <w:szCs w:val="22"/>
          <w:lang w:val="it-IT"/>
        </w:rPr>
      </w:pPr>
    </w:p>
    <w:p w:rsidR="00022D5C" w:rsidRPr="00022D5C" w:rsidRDefault="00022D5C" w:rsidP="00022D5C">
      <w:pPr>
        <w:jc w:val="both"/>
        <w:rPr>
          <w:rFonts w:ascii="Arial" w:hAnsi="Arial" w:cs="Arial"/>
          <w:sz w:val="22"/>
          <w:szCs w:val="22"/>
        </w:rPr>
      </w:pPr>
    </w:p>
    <w:p w:rsidR="00022D5C" w:rsidRPr="00022D5C" w:rsidRDefault="00022D5C" w:rsidP="00022D5C">
      <w:pPr>
        <w:jc w:val="both"/>
        <w:rPr>
          <w:rFonts w:ascii="Arial" w:hAnsi="Arial" w:cs="Arial"/>
          <w:sz w:val="22"/>
          <w:szCs w:val="22"/>
        </w:rPr>
      </w:pPr>
    </w:p>
    <w:sectPr w:rsidR="00022D5C" w:rsidRPr="00022D5C" w:rsidSect="00CF026A">
      <w:pgSz w:w="11909" w:h="16834" w:code="9"/>
      <w:pgMar w:top="1138" w:right="1138" w:bottom="706" w:left="1282" w:header="706" w:footer="562" w:gutter="0"/>
      <w:pgNumType w:start="56"/>
      <w:cols w:space="60"/>
      <w:noEndnote/>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512" w:rsidRDefault="008F4512" w:rsidP="00EB3498">
      <w:r>
        <w:separator/>
      </w:r>
    </w:p>
  </w:endnote>
  <w:endnote w:type="continuationSeparator" w:id="0">
    <w:p w:rsidR="008F4512" w:rsidRDefault="008F4512" w:rsidP="00EB3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KPMG Logo">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45 Light">
    <w:charset w:val="00"/>
    <w:family w:val="auto"/>
    <w:pitch w:val="variable"/>
    <w:sig w:usb0="8000002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Y Gothic Comp BookPS">
    <w:altName w:val="Arial"/>
    <w:panose1 w:val="00000000000000000000"/>
    <w:charset w:val="00"/>
    <w:family w:val="swiss"/>
    <w:notTrueType/>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34A" w:rsidRPr="001D737F" w:rsidRDefault="0069434A" w:rsidP="001D737F">
    <w:pPr>
      <w:pStyle w:val="Footer"/>
      <w:jc w:val="center"/>
      <w:rPr>
        <w:rFonts w:ascii="Arial" w:hAnsi="Arial" w:cs="Arial"/>
        <w:sz w:val="22"/>
        <w:szCs w:val="22"/>
      </w:rPr>
    </w:pPr>
    <w:r w:rsidRPr="001D737F">
      <w:rPr>
        <w:rFonts w:ascii="Arial" w:hAnsi="Arial" w:cs="Arial"/>
        <w:sz w:val="22"/>
        <w:szCs w:val="22"/>
      </w:rPr>
      <w:t>54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077374"/>
      <w:docPartObj>
        <w:docPartGallery w:val="Page Numbers (Bottom of Page)"/>
        <w:docPartUnique/>
      </w:docPartObj>
    </w:sdtPr>
    <w:sdtEndPr>
      <w:rPr>
        <w:noProof/>
      </w:rPr>
    </w:sdtEndPr>
    <w:sdtContent>
      <w:p w:rsidR="0069434A" w:rsidRDefault="0069434A">
        <w:pPr>
          <w:pStyle w:val="Footer"/>
          <w:jc w:val="center"/>
        </w:pPr>
        <w:r>
          <w:rPr>
            <w:noProof/>
            <w:lang w:val="en-US" w:eastAsia="en-US"/>
          </w:rPr>
          <mc:AlternateContent>
            <mc:Choice Requires="wps">
              <w:drawing>
                <wp:inline distT="0" distB="0" distL="0" distR="0">
                  <wp:extent cx="5467350" cy="54610"/>
                  <wp:effectExtent l="38100" t="0" r="0" b="21590"/>
                  <wp:docPr id="2" name="Flowchart: Decisio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accent1">
                              <a:lumMod val="5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808C435" id="_x0000_t110" coordsize="21600,21600" o:spt="110" path="m10800,l,10800,10800,21600,21600,10800xe">
                  <v:stroke joinstyle="miter"/>
                  <v:path gradientshapeok="t" o:connecttype="rect" textboxrect="5400,5400,16200,16200"/>
                </v:shapetype>
                <v:shape id="Flowchart: Decision 2"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" fillcolor="#1f4d78 [1604]">
                  <w10:anchorlock/>
                </v:shape>
              </w:pict>
            </mc:Fallback>
          </mc:AlternateContent>
        </w:r>
      </w:p>
      <w:p w:rsidR="0069434A" w:rsidRDefault="0069434A">
        <w:pPr>
          <w:pStyle w:val="Footer"/>
          <w:jc w:val="center"/>
        </w:pPr>
        <w:r>
          <w:fldChar w:fldCharType="begin"/>
        </w:r>
        <w:r>
          <w:instrText xml:space="preserve"> PAGE    \* MERGEFORMAT </w:instrText>
        </w:r>
        <w:r>
          <w:fldChar w:fldCharType="separate"/>
        </w:r>
        <w:r w:rsidR="0020139A">
          <w:rPr>
            <w:noProof/>
          </w:rPr>
          <w:t>53</w:t>
        </w:r>
        <w:r>
          <w:rPr>
            <w:noProof/>
          </w:rPr>
          <w:fldChar w:fldCharType="end"/>
        </w:r>
      </w:p>
    </w:sdtContent>
  </w:sdt>
  <w:p w:rsidR="0069434A" w:rsidRDefault="0069434A" w:rsidP="00EF61D1">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34A" w:rsidRDefault="0069434A">
    <w:pPr>
      <w:pStyle w:val="Footer"/>
    </w:pPr>
    <w:r>
      <w:tab/>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512" w:rsidRDefault="008F4512" w:rsidP="00EB3498">
      <w:r>
        <w:separator/>
      </w:r>
    </w:p>
  </w:footnote>
  <w:footnote w:type="continuationSeparator" w:id="0">
    <w:p w:rsidR="008F4512" w:rsidRDefault="008F4512" w:rsidP="00EB34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34A" w:rsidRPr="00A74CF5" w:rsidRDefault="0069434A" w:rsidP="00907DF4">
    <w:pPr>
      <w:pStyle w:val="Header"/>
      <w:pBdr>
        <w:bottom w:val="single" w:sz="4" w:space="0" w:color="auto"/>
      </w:pBdr>
      <w:rPr>
        <w:rFonts w:ascii="Arial" w:hAnsi="Arial" w:cs="Arial"/>
        <w:sz w:val="18"/>
        <w:szCs w:val="18"/>
        <w:lang w:val="en-US"/>
      </w:rPr>
    </w:pPr>
    <w:r w:rsidRPr="00A74CF5">
      <w:rPr>
        <w:rFonts w:ascii="Arial" w:hAnsi="Arial" w:cs="Arial"/>
        <w:sz w:val="18"/>
        <w:szCs w:val="18"/>
        <w:lang w:val="en-US"/>
      </w:rPr>
      <w:t xml:space="preserve"> </w:t>
    </w:r>
    <w:r>
      <w:rPr>
        <w:rFonts w:ascii="Arial" w:hAnsi="Arial" w:cs="Arial"/>
        <w:b/>
        <w:i/>
        <w:color w:val="1F4E79" w:themeColor="accent1" w:themeShade="80"/>
        <w:sz w:val="18"/>
        <w:szCs w:val="18"/>
        <w:lang w:val="en-US"/>
      </w:rPr>
      <w:t xml:space="preserve">Raportul </w:t>
    </w:r>
    <w:r w:rsidRPr="00052F94">
      <w:rPr>
        <w:rFonts w:ascii="Arial" w:hAnsi="Arial" w:cs="Arial"/>
        <w:b/>
        <w:i/>
        <w:color w:val="1F4E79" w:themeColor="accent1" w:themeShade="80"/>
        <w:sz w:val="18"/>
        <w:szCs w:val="18"/>
        <w:lang w:val="en-US"/>
      </w:rPr>
      <w:t xml:space="preserve">administratorilor pe semestrul I 2018 </w:t>
    </w:r>
    <w:r w:rsidRPr="00052F94">
      <w:rPr>
        <w:rFonts w:ascii="Arial" w:hAnsi="Arial" w:cs="Arial"/>
        <w:b/>
        <w:i/>
        <w:noProof/>
        <w:color w:val="1F4E79" w:themeColor="accent1" w:themeShade="80"/>
        <w:lang w:val="en-US" w:eastAsia="en-US"/>
      </w:rPr>
      <w:t xml:space="preserve">          </w:t>
    </w:r>
    <w:r w:rsidRPr="00052F94">
      <w:rPr>
        <w:rFonts w:ascii="Arial" w:hAnsi="Arial" w:cs="Arial"/>
        <w:noProof/>
        <w:color w:val="1F4E79" w:themeColor="accent1" w:themeShade="80"/>
        <w:lang w:val="en-US" w:eastAsia="en-US"/>
      </w:rPr>
      <w:t xml:space="preserve">                                                        </w:t>
    </w:r>
    <w:r w:rsidRPr="00B662A2">
      <w:rPr>
        <w:rFonts w:ascii="Arial" w:hAnsi="Arial" w:cs="Arial"/>
        <w:noProof/>
        <w:lang w:val="en-US" w:eastAsia="en-US"/>
      </w:rPr>
      <w:drawing>
        <wp:inline distT="0" distB="0" distL="0" distR="0" wp14:anchorId="0568183D" wp14:editId="05768D78">
          <wp:extent cx="948802" cy="186690"/>
          <wp:effectExtent l="0" t="0" r="3810" b="3810"/>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8128" cy="200331"/>
                  </a:xfrm>
                  <a:prstGeom prst="rect">
                    <a:avLst/>
                  </a:prstGeom>
                </pic:spPr>
              </pic:pic>
            </a:graphicData>
          </a:graphic>
        </wp:inline>
      </w:drawing>
    </w:r>
  </w:p>
  <w:p w:rsidR="0069434A" w:rsidRPr="00A74CF5" w:rsidRDefault="0069434A" w:rsidP="00022D5C">
    <w:pPr>
      <w:pStyle w:val="Header"/>
      <w:tabs>
        <w:tab w:val="clear" w:pos="9360"/>
        <w:tab w:val="left" w:pos="933"/>
        <w:tab w:val="right" w:pos="14990"/>
      </w:tabs>
      <w:rPr>
        <w:rFonts w:ascii="Arial" w:hAnsi="Arial" w:cs="Arial"/>
        <w:sz w:val="18"/>
        <w:szCs w:val="18"/>
        <w:lang w:val="en-US"/>
      </w:rPr>
    </w:pPr>
    <w:r w:rsidRPr="00A74CF5">
      <w:rPr>
        <w:rFonts w:ascii="Arial" w:hAnsi="Arial" w:cs="Arial"/>
        <w:sz w:val="18"/>
        <w:szCs w:val="18"/>
        <w:lang w:val="en-US"/>
      </w:rPr>
      <w:tab/>
    </w:r>
    <w:r>
      <w:rPr>
        <w:rFonts w:ascii="Arial" w:hAnsi="Arial" w:cs="Arial"/>
        <w:sz w:val="18"/>
        <w:szCs w:val="18"/>
        <w:lang w:val="en-US"/>
      </w:rPr>
      <w:tab/>
    </w:r>
    <w:r>
      <w:rPr>
        <w:i/>
        <w:noProof/>
        <w:lang w:val="en-US" w:eastAsia="en-US"/>
      </w:rPr>
      <mc:AlternateContent>
        <mc:Choice Requires="wps">
          <w:drawing>
            <wp:anchor distT="0" distB="0" distL="114300" distR="114300" simplePos="0" relativeHeight="251659264" behindDoc="0" locked="0" layoutInCell="1" allowOverlap="1" wp14:anchorId="301DD5A3" wp14:editId="0399AC07">
              <wp:simplePos x="0" y="0"/>
              <wp:positionH relativeFrom="column">
                <wp:posOffset>0</wp:posOffset>
              </wp:positionH>
              <wp:positionV relativeFrom="paragraph">
                <wp:posOffset>0</wp:posOffset>
              </wp:positionV>
              <wp:extent cx="5943600" cy="58"/>
              <wp:effectExtent l="0" t="0" r="19050" b="19050"/>
              <wp:wrapNone/>
              <wp:docPr id="56" name="Straight Connector 56"/>
              <wp:cNvGraphicFramePr/>
              <a:graphic xmlns:a="http://schemas.openxmlformats.org/drawingml/2006/main">
                <a:graphicData uri="http://schemas.microsoft.com/office/word/2010/wordprocessingShape">
                  <wps:wsp>
                    <wps:cNvCnPr/>
                    <wps:spPr>
                      <a:xfrm flipV="1">
                        <a:off x="0" y="0"/>
                        <a:ext cx="5943600" cy="58"/>
                      </a:xfrm>
                      <a:prstGeom prst="line">
                        <a:avLst/>
                      </a:prstGeom>
                      <a:noFill/>
                      <a:ln w="19050" cap="flat" cmpd="sng" algn="ctr">
                        <a:solidFill>
                          <a:srgbClr val="5B9BD5">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C70309" id="Straight Connector 5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" strokecolor="#1f4e79" strokeweight="1.5pt">
              <v:stroke joinstyle="miter"/>
            </v:line>
          </w:pict>
        </mc:Fallback>
      </mc:AlternateContent>
    </w:r>
    <w:r w:rsidRPr="00A74CF5">
      <w:rPr>
        <w:rFonts w:ascii="Arial" w:hAnsi="Arial" w:cs="Arial"/>
        <w:sz w:val="18"/>
        <w:szCs w:val="18"/>
        <w:lang w:val="en-US"/>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34A" w:rsidRDefault="0069434A">
    <w:pPr>
      <w:pStyle w:val="Header"/>
    </w:pPr>
    <w:r w:rsidRPr="00CD7235">
      <w:rPr>
        <w:noProof/>
        <w:lang w:val="en-US" w:eastAsia="en-US"/>
      </w:rPr>
      <w:drawing>
        <wp:inline distT="0" distB="0" distL="0" distR="0">
          <wp:extent cx="5935345" cy="849183"/>
          <wp:effectExtent l="0" t="0" r="0" b="8255"/>
          <wp:docPr id="53" name="Picture 53" descr="Antet Conpet 2018_sus_R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Conpet 2018_sus_RO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5345" cy="84918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0F4"/>
    <w:multiLevelType w:val="hybridMultilevel"/>
    <w:tmpl w:val="9DB48190"/>
    <w:lvl w:ilvl="0" w:tplc="E264A6B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53036"/>
    <w:multiLevelType w:val="hybridMultilevel"/>
    <w:tmpl w:val="08F4F68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15:restartNumberingAfterBreak="0">
    <w:nsid w:val="051C3977"/>
    <w:multiLevelType w:val="hybridMultilevel"/>
    <w:tmpl w:val="5016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80F9C"/>
    <w:multiLevelType w:val="hybridMultilevel"/>
    <w:tmpl w:val="27369F1E"/>
    <w:lvl w:ilvl="0" w:tplc="0409000B">
      <w:start w:val="1"/>
      <w:numFmt w:val="bullet"/>
      <w:lvlText w:val=""/>
      <w:lvlJc w:val="left"/>
      <w:pPr>
        <w:ind w:left="1355" w:hanging="360"/>
      </w:pPr>
      <w:rPr>
        <w:rFonts w:ascii="Wingdings" w:hAnsi="Wingdings" w:hint="default"/>
      </w:rPr>
    </w:lvl>
    <w:lvl w:ilvl="1" w:tplc="04090003" w:tentative="1">
      <w:start w:val="1"/>
      <w:numFmt w:val="bullet"/>
      <w:lvlText w:val="o"/>
      <w:lvlJc w:val="left"/>
      <w:pPr>
        <w:ind w:left="2075" w:hanging="360"/>
      </w:pPr>
      <w:rPr>
        <w:rFonts w:ascii="Courier New" w:hAnsi="Courier New" w:cs="Courier New" w:hint="default"/>
      </w:rPr>
    </w:lvl>
    <w:lvl w:ilvl="2" w:tplc="04090005" w:tentative="1">
      <w:start w:val="1"/>
      <w:numFmt w:val="bullet"/>
      <w:lvlText w:val=""/>
      <w:lvlJc w:val="left"/>
      <w:pPr>
        <w:ind w:left="2795" w:hanging="360"/>
      </w:pPr>
      <w:rPr>
        <w:rFonts w:ascii="Wingdings" w:hAnsi="Wingdings" w:hint="default"/>
      </w:rPr>
    </w:lvl>
    <w:lvl w:ilvl="3" w:tplc="04090001" w:tentative="1">
      <w:start w:val="1"/>
      <w:numFmt w:val="bullet"/>
      <w:lvlText w:val=""/>
      <w:lvlJc w:val="left"/>
      <w:pPr>
        <w:ind w:left="3515" w:hanging="360"/>
      </w:pPr>
      <w:rPr>
        <w:rFonts w:ascii="Symbol" w:hAnsi="Symbol" w:hint="default"/>
      </w:rPr>
    </w:lvl>
    <w:lvl w:ilvl="4" w:tplc="04090003" w:tentative="1">
      <w:start w:val="1"/>
      <w:numFmt w:val="bullet"/>
      <w:lvlText w:val="o"/>
      <w:lvlJc w:val="left"/>
      <w:pPr>
        <w:ind w:left="4235" w:hanging="360"/>
      </w:pPr>
      <w:rPr>
        <w:rFonts w:ascii="Courier New" w:hAnsi="Courier New" w:cs="Courier New" w:hint="default"/>
      </w:rPr>
    </w:lvl>
    <w:lvl w:ilvl="5" w:tplc="04090005" w:tentative="1">
      <w:start w:val="1"/>
      <w:numFmt w:val="bullet"/>
      <w:lvlText w:val=""/>
      <w:lvlJc w:val="left"/>
      <w:pPr>
        <w:ind w:left="4955" w:hanging="360"/>
      </w:pPr>
      <w:rPr>
        <w:rFonts w:ascii="Wingdings" w:hAnsi="Wingdings" w:hint="default"/>
      </w:rPr>
    </w:lvl>
    <w:lvl w:ilvl="6" w:tplc="04090001" w:tentative="1">
      <w:start w:val="1"/>
      <w:numFmt w:val="bullet"/>
      <w:lvlText w:val=""/>
      <w:lvlJc w:val="left"/>
      <w:pPr>
        <w:ind w:left="5675" w:hanging="360"/>
      </w:pPr>
      <w:rPr>
        <w:rFonts w:ascii="Symbol" w:hAnsi="Symbol" w:hint="default"/>
      </w:rPr>
    </w:lvl>
    <w:lvl w:ilvl="7" w:tplc="04090003" w:tentative="1">
      <w:start w:val="1"/>
      <w:numFmt w:val="bullet"/>
      <w:lvlText w:val="o"/>
      <w:lvlJc w:val="left"/>
      <w:pPr>
        <w:ind w:left="6395" w:hanging="360"/>
      </w:pPr>
      <w:rPr>
        <w:rFonts w:ascii="Courier New" w:hAnsi="Courier New" w:cs="Courier New" w:hint="default"/>
      </w:rPr>
    </w:lvl>
    <w:lvl w:ilvl="8" w:tplc="04090005" w:tentative="1">
      <w:start w:val="1"/>
      <w:numFmt w:val="bullet"/>
      <w:lvlText w:val=""/>
      <w:lvlJc w:val="left"/>
      <w:pPr>
        <w:ind w:left="7115" w:hanging="360"/>
      </w:pPr>
      <w:rPr>
        <w:rFonts w:ascii="Wingdings" w:hAnsi="Wingdings" w:hint="default"/>
      </w:rPr>
    </w:lvl>
  </w:abstractNum>
  <w:abstractNum w:abstractNumId="4" w15:restartNumberingAfterBreak="0">
    <w:nsid w:val="0879410C"/>
    <w:multiLevelType w:val="hybridMultilevel"/>
    <w:tmpl w:val="593E0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8CC3B45"/>
    <w:multiLevelType w:val="multilevel"/>
    <w:tmpl w:val="B7C4622C"/>
    <w:lvl w:ilvl="0">
      <w:start w:val="1"/>
      <w:numFmt w:val="bullet"/>
      <w:lvlText w:val=""/>
      <w:lvlJc w:val="left"/>
      <w:pPr>
        <w:tabs>
          <w:tab w:val="num" w:pos="720"/>
        </w:tabs>
        <w:ind w:left="720" w:hanging="360"/>
      </w:pPr>
      <w:rPr>
        <w:rFonts w:ascii="Symbol" w:hAnsi="Symbol" w:hint="default"/>
        <w:color w:val="auto"/>
        <w:sz w:val="22"/>
      </w:rPr>
    </w:lvl>
    <w:lvl w:ilvl="1">
      <w:start w:val="65535"/>
      <w:numFmt w:val="bullet"/>
      <w:lvlText w:val="•"/>
      <w:lvlJc w:val="left"/>
      <w:pPr>
        <w:ind w:left="1440" w:hanging="360"/>
      </w:pPr>
      <w:rPr>
        <w:rFonts w:ascii="Times New Roman" w:hAnsi="Times New Roman" w:cs="Times New Roman" w:hint="default"/>
      </w:rPr>
    </w:lvl>
    <w:lvl w:ilvl="2">
      <w:start w:val="1"/>
      <w:numFmt w:val="lowerRoman"/>
      <w:lvlText w:val="%3."/>
      <w:lvlJc w:val="left"/>
      <w:pPr>
        <w:ind w:left="2520" w:hanging="720"/>
      </w:pPr>
      <w:rPr>
        <w:rFonts w:hint="default"/>
      </w:rPr>
    </w:lvl>
    <w:lvl w:ilvl="3">
      <w:start w:val="2"/>
      <w:numFmt w:val="decimal"/>
      <w:lvlText w:val="%4."/>
      <w:lvlJc w:val="left"/>
      <w:pPr>
        <w:ind w:left="3621" w:hanging="360"/>
      </w:pPr>
      <w:rPr>
        <w:rFonts w:hint="default"/>
      </w:rPr>
    </w:lvl>
    <w:lvl w:ilvl="4">
      <w:start w:val="3"/>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42DB2"/>
    <w:multiLevelType w:val="hybridMultilevel"/>
    <w:tmpl w:val="166C9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A0DA9"/>
    <w:multiLevelType w:val="hybridMultilevel"/>
    <w:tmpl w:val="4AA89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9531E"/>
    <w:multiLevelType w:val="multilevel"/>
    <w:tmpl w:val="EC423F24"/>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8376A0"/>
    <w:multiLevelType w:val="hybridMultilevel"/>
    <w:tmpl w:val="585E9510"/>
    <w:lvl w:ilvl="0" w:tplc="026EAA9A">
      <w:start w:val="1"/>
      <w:numFmt w:val="bullet"/>
      <w:lvlText w:val="-"/>
      <w:lvlJc w:val="left"/>
      <w:pPr>
        <w:ind w:left="720" w:hanging="360"/>
      </w:pPr>
      <w:rPr>
        <w:rFonts w:ascii="Arial" w:eastAsia="Times New Roman" w:hAnsi="Arial" w:cs="Arial" w:hint="default"/>
        <w:b w:val="0"/>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9324AFF"/>
    <w:multiLevelType w:val="hybridMultilevel"/>
    <w:tmpl w:val="0764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24DD3"/>
    <w:multiLevelType w:val="hybridMultilevel"/>
    <w:tmpl w:val="449EF3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DA7B79"/>
    <w:multiLevelType w:val="hybridMultilevel"/>
    <w:tmpl w:val="0E2C07BC"/>
    <w:lvl w:ilvl="0" w:tplc="EF567BE2">
      <w:start w:val="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203ECE"/>
    <w:multiLevelType w:val="hybridMultilevel"/>
    <w:tmpl w:val="457C26F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C9C4C56"/>
    <w:multiLevelType w:val="multilevel"/>
    <w:tmpl w:val="9E52277E"/>
    <w:lvl w:ilvl="0">
      <w:start w:val="1"/>
      <w:numFmt w:val="decimal"/>
      <w:lvlText w:val="%1"/>
      <w:lvlJc w:val="left"/>
      <w:pPr>
        <w:ind w:left="405" w:hanging="405"/>
      </w:pPr>
      <w:rPr>
        <w:rFonts w:hint="default"/>
      </w:rPr>
    </w:lvl>
    <w:lvl w:ilvl="1">
      <w:start w:val="1"/>
      <w:numFmt w:val="decimal"/>
      <w:lvlText w:val="%1.%2"/>
      <w:lvlJc w:val="left"/>
      <w:pPr>
        <w:ind w:left="398" w:hanging="405"/>
      </w:pPr>
      <w:rPr>
        <w:rFonts w:hint="default"/>
      </w:rPr>
    </w:lvl>
    <w:lvl w:ilvl="2">
      <w:start w:val="1"/>
      <w:numFmt w:val="decimal"/>
      <w:lvlText w:val="%1.%2.%3"/>
      <w:lvlJc w:val="left"/>
      <w:pPr>
        <w:ind w:left="706" w:hanging="720"/>
      </w:pPr>
      <w:rPr>
        <w:rFonts w:hint="default"/>
      </w:rPr>
    </w:lvl>
    <w:lvl w:ilvl="3">
      <w:start w:val="1"/>
      <w:numFmt w:val="decimal"/>
      <w:lvlText w:val="%1.%2.%3.%4"/>
      <w:lvlJc w:val="left"/>
      <w:pPr>
        <w:ind w:left="1059" w:hanging="1080"/>
      </w:pPr>
      <w:rPr>
        <w:rFonts w:hint="default"/>
      </w:rPr>
    </w:lvl>
    <w:lvl w:ilvl="4">
      <w:start w:val="1"/>
      <w:numFmt w:val="decimal"/>
      <w:lvlText w:val="%1.%2.%3.%4.%5"/>
      <w:lvlJc w:val="left"/>
      <w:pPr>
        <w:ind w:left="1052" w:hanging="1080"/>
      </w:pPr>
      <w:rPr>
        <w:rFonts w:hint="default"/>
      </w:rPr>
    </w:lvl>
    <w:lvl w:ilvl="5">
      <w:start w:val="1"/>
      <w:numFmt w:val="decimal"/>
      <w:lvlText w:val="%1.%2.%3.%4.%5.%6"/>
      <w:lvlJc w:val="left"/>
      <w:pPr>
        <w:ind w:left="1405" w:hanging="1440"/>
      </w:pPr>
      <w:rPr>
        <w:rFonts w:hint="default"/>
      </w:rPr>
    </w:lvl>
    <w:lvl w:ilvl="6">
      <w:start w:val="1"/>
      <w:numFmt w:val="decimal"/>
      <w:lvlText w:val="%1.%2.%3.%4.%5.%6.%7"/>
      <w:lvlJc w:val="left"/>
      <w:pPr>
        <w:ind w:left="1398" w:hanging="1440"/>
      </w:pPr>
      <w:rPr>
        <w:rFonts w:hint="default"/>
      </w:rPr>
    </w:lvl>
    <w:lvl w:ilvl="7">
      <w:start w:val="1"/>
      <w:numFmt w:val="decimal"/>
      <w:lvlText w:val="%1.%2.%3.%4.%5.%6.%7.%8"/>
      <w:lvlJc w:val="left"/>
      <w:pPr>
        <w:ind w:left="1751" w:hanging="1800"/>
      </w:pPr>
      <w:rPr>
        <w:rFonts w:hint="default"/>
      </w:rPr>
    </w:lvl>
    <w:lvl w:ilvl="8">
      <w:start w:val="1"/>
      <w:numFmt w:val="decimal"/>
      <w:lvlText w:val="%1.%2.%3.%4.%5.%6.%7.%8.%9"/>
      <w:lvlJc w:val="left"/>
      <w:pPr>
        <w:ind w:left="1744" w:hanging="1800"/>
      </w:pPr>
      <w:rPr>
        <w:rFonts w:hint="default"/>
      </w:rPr>
    </w:lvl>
  </w:abstractNum>
  <w:abstractNum w:abstractNumId="15" w15:restartNumberingAfterBreak="0">
    <w:nsid w:val="1F024AC3"/>
    <w:multiLevelType w:val="hybridMultilevel"/>
    <w:tmpl w:val="9A789A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5347A7"/>
    <w:multiLevelType w:val="hybridMultilevel"/>
    <w:tmpl w:val="303C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5205CB"/>
    <w:multiLevelType w:val="hybridMultilevel"/>
    <w:tmpl w:val="FB884A5A"/>
    <w:lvl w:ilvl="0" w:tplc="0418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E58D2B"/>
    <w:multiLevelType w:val="multilevel"/>
    <w:tmpl w:val="536317D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9" w15:restartNumberingAfterBreak="0">
    <w:nsid w:val="27D30FB5"/>
    <w:multiLevelType w:val="hybridMultilevel"/>
    <w:tmpl w:val="93A48E3E"/>
    <w:lvl w:ilvl="0" w:tplc="65D2B0D0">
      <w:start w:val="65535"/>
      <w:numFmt w:val="bullet"/>
      <w:lvlText w:val="•"/>
      <w:lvlJc w:val="left"/>
      <w:pPr>
        <w:ind w:left="360" w:hanging="360"/>
      </w:pPr>
      <w:rPr>
        <w:rFonts w:ascii="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515FA5"/>
    <w:multiLevelType w:val="hybridMultilevel"/>
    <w:tmpl w:val="81DEB658"/>
    <w:lvl w:ilvl="0" w:tplc="04090017">
      <w:start w:val="1"/>
      <w:numFmt w:val="bullet"/>
      <w:lvlText w:val=""/>
      <w:lvlJc w:val="left"/>
      <w:pPr>
        <w:ind w:left="720" w:hanging="360"/>
      </w:pPr>
      <w:rPr>
        <w:rFonts w:ascii="Symbol" w:hAnsi="Symbol" w:hint="default"/>
      </w:rPr>
    </w:lvl>
    <w:lvl w:ilvl="1" w:tplc="26807C14"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29B54E82"/>
    <w:multiLevelType w:val="multilevel"/>
    <w:tmpl w:val="4DE8346E"/>
    <w:lvl w:ilvl="0">
      <w:start w:val="3"/>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AEF4065"/>
    <w:multiLevelType w:val="hybridMultilevel"/>
    <w:tmpl w:val="70CEFE60"/>
    <w:lvl w:ilvl="0" w:tplc="0409000B">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BE23F7A"/>
    <w:multiLevelType w:val="multilevel"/>
    <w:tmpl w:val="20ACEDEE"/>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b/>
        <w:color w:val="1F4E79" w:themeColor="accent1"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E6E6705"/>
    <w:multiLevelType w:val="hybridMultilevel"/>
    <w:tmpl w:val="EAC8984A"/>
    <w:styleLink w:val="Style11"/>
    <w:lvl w:ilvl="0" w:tplc="5F5A7D7C">
      <w:start w:val="1"/>
      <w:numFmt w:val="bullet"/>
      <w:lvlText w:val=""/>
      <w:lvlJc w:val="left"/>
      <w:pPr>
        <w:ind w:left="360" w:hanging="360"/>
      </w:pPr>
      <w:rPr>
        <w:rFonts w:ascii="Wingdings" w:hAnsi="Wingdings" w:hint="default"/>
        <w:color w:val="1F497D"/>
      </w:rPr>
    </w:lvl>
    <w:lvl w:ilvl="1" w:tplc="04090001">
      <w:start w:val="1"/>
      <w:numFmt w:val="bullet"/>
      <w:lvlText w:val=""/>
      <w:lvlJc w:val="left"/>
      <w:pPr>
        <w:ind w:left="1080" w:hanging="360"/>
      </w:pPr>
      <w:rPr>
        <w:rFonts w:ascii="Symbol" w:hAnsi="Symbol" w:hint="default"/>
        <w:color w:val="auto"/>
        <w:sz w:val="22"/>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05F7A1D"/>
    <w:multiLevelType w:val="hybridMultilevel"/>
    <w:tmpl w:val="08D40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E57B97"/>
    <w:multiLevelType w:val="hybridMultilevel"/>
    <w:tmpl w:val="2102AA1C"/>
    <w:lvl w:ilvl="0" w:tplc="0409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7" w15:restartNumberingAfterBreak="0">
    <w:nsid w:val="3B2238F2"/>
    <w:multiLevelType w:val="multilevel"/>
    <w:tmpl w:val="B1ACBC44"/>
    <w:lvl w:ilvl="0">
      <w:start w:val="3"/>
      <w:numFmt w:val="decimal"/>
      <w:lvlText w:val="%1."/>
      <w:lvlJc w:val="left"/>
      <w:pPr>
        <w:ind w:left="585" w:hanging="585"/>
      </w:pPr>
      <w:rPr>
        <w:rFonts w:hint="default"/>
        <w:sz w:val="24"/>
      </w:rPr>
    </w:lvl>
    <w:lvl w:ilvl="1">
      <w:start w:val="3"/>
      <w:numFmt w:val="decimal"/>
      <w:lvlText w:val="%1.%2."/>
      <w:lvlJc w:val="left"/>
      <w:pPr>
        <w:ind w:left="585" w:hanging="585"/>
      </w:pPr>
      <w:rPr>
        <w:rFonts w:hint="default"/>
        <w:sz w:val="24"/>
      </w:rPr>
    </w:lvl>
    <w:lvl w:ilvl="2">
      <w:start w:val="4"/>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8" w15:restartNumberingAfterBreak="0">
    <w:nsid w:val="3B3E72E4"/>
    <w:multiLevelType w:val="multilevel"/>
    <w:tmpl w:val="E5382480"/>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403598C"/>
    <w:multiLevelType w:val="multilevel"/>
    <w:tmpl w:val="4D40F73C"/>
    <w:lvl w:ilvl="0">
      <w:start w:val="3"/>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4C1E662A"/>
    <w:multiLevelType w:val="multilevel"/>
    <w:tmpl w:val="63EA6E5C"/>
    <w:lvl w:ilvl="0">
      <w:start w:val="3"/>
      <w:numFmt w:val="decimal"/>
      <w:lvlText w:val="%1"/>
      <w:lvlJc w:val="left"/>
      <w:pPr>
        <w:ind w:left="525" w:hanging="525"/>
      </w:pPr>
      <w:rPr>
        <w:rFonts w:hint="default"/>
        <w:sz w:val="24"/>
      </w:rPr>
    </w:lvl>
    <w:lvl w:ilvl="1">
      <w:start w:val="3"/>
      <w:numFmt w:val="decimal"/>
      <w:lvlText w:val="%1.%2"/>
      <w:lvlJc w:val="left"/>
      <w:pPr>
        <w:ind w:left="525" w:hanging="525"/>
      </w:pPr>
      <w:rPr>
        <w:rFonts w:hint="default"/>
        <w:sz w:val="24"/>
      </w:rPr>
    </w:lvl>
    <w:lvl w:ilvl="2">
      <w:start w:val="4"/>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1" w15:restartNumberingAfterBreak="0">
    <w:nsid w:val="4FD84A5B"/>
    <w:multiLevelType w:val="multilevel"/>
    <w:tmpl w:val="0409001F"/>
    <w:styleLink w:val="Style1"/>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1F27F2"/>
    <w:multiLevelType w:val="hybridMultilevel"/>
    <w:tmpl w:val="D748914C"/>
    <w:lvl w:ilvl="0" w:tplc="0409000B">
      <w:start w:val="65535"/>
      <w:numFmt w:val="bullet"/>
      <w:lvlText w:val="•"/>
      <w:lvlJc w:val="left"/>
      <w:pPr>
        <w:ind w:left="720" w:hanging="360"/>
      </w:pPr>
      <w:rPr>
        <w:rFonts w:ascii="Times New Roman" w:hAnsi="Times New Roman" w:cs="Times New Roman"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A5281D"/>
    <w:multiLevelType w:val="hybridMultilevel"/>
    <w:tmpl w:val="37727C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5AA657CF"/>
    <w:multiLevelType w:val="hybridMultilevel"/>
    <w:tmpl w:val="CF22C4B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5C8A58B0"/>
    <w:multiLevelType w:val="hybridMultilevel"/>
    <w:tmpl w:val="1FC2A7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0E0DD2"/>
    <w:multiLevelType w:val="hybridMultilevel"/>
    <w:tmpl w:val="BF6C09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5F4C2F96"/>
    <w:multiLevelType w:val="multilevel"/>
    <w:tmpl w:val="B1BE420E"/>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2151DC7"/>
    <w:multiLevelType w:val="hybridMultilevel"/>
    <w:tmpl w:val="EE5E0DE8"/>
    <w:styleLink w:val="Style111"/>
    <w:lvl w:ilvl="0" w:tplc="0409000F">
      <w:start w:val="1"/>
      <w:numFmt w:val="bullet"/>
      <w:pStyle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6886600C" w:tentative="1">
      <w:start w:val="1"/>
      <w:numFmt w:val="bullet"/>
      <w:lvlText w:val=""/>
      <w:lvlJc w:val="left"/>
      <w:pPr>
        <w:tabs>
          <w:tab w:val="num" w:pos="2880"/>
        </w:tabs>
        <w:ind w:left="2880" w:hanging="360"/>
      </w:pPr>
      <w:rPr>
        <w:rFonts w:ascii="Symbol" w:hAnsi="Symbol" w:hint="default"/>
      </w:rPr>
    </w:lvl>
    <w:lvl w:ilvl="4" w:tplc="5C76AF70"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113ECA"/>
    <w:multiLevelType w:val="hybridMultilevel"/>
    <w:tmpl w:val="3A067CA6"/>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6727153"/>
    <w:multiLevelType w:val="hybridMultilevel"/>
    <w:tmpl w:val="81F06AB6"/>
    <w:lvl w:ilvl="0" w:tplc="04090001">
      <w:start w:val="1"/>
      <w:numFmt w:val="bullet"/>
      <w:lvlText w:val=""/>
      <w:lvlJc w:val="left"/>
      <w:pPr>
        <w:ind w:left="2786" w:hanging="360"/>
      </w:pPr>
      <w:rPr>
        <w:rFonts w:ascii="Symbol" w:hAnsi="Symbol" w:hint="default"/>
      </w:rPr>
    </w:lvl>
    <w:lvl w:ilvl="1" w:tplc="2E68DB9A">
      <w:numFmt w:val="bullet"/>
      <w:lvlText w:val="-"/>
      <w:lvlJc w:val="left"/>
      <w:pPr>
        <w:ind w:left="3506" w:hanging="360"/>
      </w:pPr>
      <w:rPr>
        <w:rFonts w:ascii="Arial" w:eastAsia="Times New Roman" w:hAnsi="Arial" w:cs="Arial" w:hint="default"/>
      </w:rPr>
    </w:lvl>
    <w:lvl w:ilvl="2" w:tplc="04090005" w:tentative="1">
      <w:start w:val="1"/>
      <w:numFmt w:val="bullet"/>
      <w:lvlText w:val=""/>
      <w:lvlJc w:val="left"/>
      <w:pPr>
        <w:ind w:left="4226" w:hanging="360"/>
      </w:pPr>
      <w:rPr>
        <w:rFonts w:ascii="Wingdings" w:hAnsi="Wingdings" w:hint="default"/>
      </w:rPr>
    </w:lvl>
    <w:lvl w:ilvl="3" w:tplc="04090001" w:tentative="1">
      <w:start w:val="1"/>
      <w:numFmt w:val="bullet"/>
      <w:lvlText w:val=""/>
      <w:lvlJc w:val="left"/>
      <w:pPr>
        <w:ind w:left="4946" w:hanging="360"/>
      </w:pPr>
      <w:rPr>
        <w:rFonts w:ascii="Symbol" w:hAnsi="Symbol" w:hint="default"/>
      </w:rPr>
    </w:lvl>
    <w:lvl w:ilvl="4" w:tplc="04090003" w:tentative="1">
      <w:start w:val="1"/>
      <w:numFmt w:val="bullet"/>
      <w:lvlText w:val="o"/>
      <w:lvlJc w:val="left"/>
      <w:pPr>
        <w:ind w:left="5666" w:hanging="360"/>
      </w:pPr>
      <w:rPr>
        <w:rFonts w:ascii="Courier New" w:hAnsi="Courier New" w:cs="Courier New" w:hint="default"/>
      </w:rPr>
    </w:lvl>
    <w:lvl w:ilvl="5" w:tplc="04090005" w:tentative="1">
      <w:start w:val="1"/>
      <w:numFmt w:val="bullet"/>
      <w:lvlText w:val=""/>
      <w:lvlJc w:val="left"/>
      <w:pPr>
        <w:ind w:left="6386" w:hanging="360"/>
      </w:pPr>
      <w:rPr>
        <w:rFonts w:ascii="Wingdings" w:hAnsi="Wingdings" w:hint="default"/>
      </w:rPr>
    </w:lvl>
    <w:lvl w:ilvl="6" w:tplc="04090001" w:tentative="1">
      <w:start w:val="1"/>
      <w:numFmt w:val="bullet"/>
      <w:lvlText w:val=""/>
      <w:lvlJc w:val="left"/>
      <w:pPr>
        <w:ind w:left="7106" w:hanging="360"/>
      </w:pPr>
      <w:rPr>
        <w:rFonts w:ascii="Symbol" w:hAnsi="Symbol" w:hint="default"/>
      </w:rPr>
    </w:lvl>
    <w:lvl w:ilvl="7" w:tplc="04090003" w:tentative="1">
      <w:start w:val="1"/>
      <w:numFmt w:val="bullet"/>
      <w:lvlText w:val="o"/>
      <w:lvlJc w:val="left"/>
      <w:pPr>
        <w:ind w:left="7826" w:hanging="360"/>
      </w:pPr>
      <w:rPr>
        <w:rFonts w:ascii="Courier New" w:hAnsi="Courier New" w:cs="Courier New" w:hint="default"/>
      </w:rPr>
    </w:lvl>
    <w:lvl w:ilvl="8" w:tplc="04090005" w:tentative="1">
      <w:start w:val="1"/>
      <w:numFmt w:val="bullet"/>
      <w:lvlText w:val=""/>
      <w:lvlJc w:val="left"/>
      <w:pPr>
        <w:ind w:left="8546" w:hanging="360"/>
      </w:pPr>
      <w:rPr>
        <w:rFonts w:ascii="Wingdings" w:hAnsi="Wingdings" w:hint="default"/>
      </w:rPr>
    </w:lvl>
  </w:abstractNum>
  <w:abstractNum w:abstractNumId="41" w15:restartNumberingAfterBreak="0">
    <w:nsid w:val="66B87709"/>
    <w:multiLevelType w:val="hybridMultilevel"/>
    <w:tmpl w:val="B21C9214"/>
    <w:lvl w:ilvl="0" w:tplc="0409000D">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2" w15:restartNumberingAfterBreak="0">
    <w:nsid w:val="674B0586"/>
    <w:multiLevelType w:val="multilevel"/>
    <w:tmpl w:val="071AD386"/>
    <w:lvl w:ilvl="0">
      <w:start w:val="3"/>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9925277"/>
    <w:multiLevelType w:val="hybridMultilevel"/>
    <w:tmpl w:val="D04C7D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387513"/>
    <w:multiLevelType w:val="multilevel"/>
    <w:tmpl w:val="7B1A2E48"/>
    <w:lvl w:ilvl="0">
      <w:start w:val="3"/>
      <w:numFmt w:val="decimal"/>
      <w:lvlText w:val="%1"/>
      <w:lvlJc w:val="left"/>
      <w:pPr>
        <w:ind w:left="525" w:hanging="525"/>
      </w:pPr>
      <w:rPr>
        <w:rFonts w:hint="default"/>
      </w:rPr>
    </w:lvl>
    <w:lvl w:ilvl="1">
      <w:start w:val="5"/>
      <w:numFmt w:val="decimal"/>
      <w:lvlText w:val="%1.%2"/>
      <w:lvlJc w:val="left"/>
      <w:pPr>
        <w:ind w:left="885" w:hanging="52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73792F3B"/>
    <w:multiLevelType w:val="hybridMultilevel"/>
    <w:tmpl w:val="ED9ACFC0"/>
    <w:lvl w:ilvl="0" w:tplc="B622C83A">
      <w:start w:val="1"/>
      <w:numFmt w:val="bullet"/>
      <w:lvlText w:val=""/>
      <w:lvlJc w:val="left"/>
      <w:pPr>
        <w:ind w:left="630" w:hanging="360"/>
      </w:pPr>
      <w:rPr>
        <w:rFonts w:ascii="Symbol" w:hAnsi="Symbol" w:hint="default"/>
        <w:sz w:val="20"/>
        <w:szCs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6" w15:restartNumberingAfterBreak="0">
    <w:nsid w:val="776E18FF"/>
    <w:multiLevelType w:val="hybridMultilevel"/>
    <w:tmpl w:val="E4507AE2"/>
    <w:lvl w:ilvl="0" w:tplc="494A1CA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7E00A6"/>
    <w:multiLevelType w:val="hybridMultilevel"/>
    <w:tmpl w:val="1658A62A"/>
    <w:lvl w:ilvl="0" w:tplc="0409001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C51180"/>
    <w:multiLevelType w:val="multilevel"/>
    <w:tmpl w:val="35EE4EA8"/>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EE14258"/>
    <w:multiLevelType w:val="hybridMultilevel"/>
    <w:tmpl w:val="770C9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31"/>
  </w:num>
  <w:num w:numId="3">
    <w:abstractNumId w:val="45"/>
  </w:num>
  <w:num w:numId="4">
    <w:abstractNumId w:val="35"/>
  </w:num>
  <w:num w:numId="5">
    <w:abstractNumId w:val="16"/>
  </w:num>
  <w:num w:numId="6">
    <w:abstractNumId w:val="34"/>
  </w:num>
  <w:num w:numId="7">
    <w:abstractNumId w:val="36"/>
  </w:num>
  <w:num w:numId="8">
    <w:abstractNumId w:val="12"/>
  </w:num>
  <w:num w:numId="9">
    <w:abstractNumId w:val="49"/>
  </w:num>
  <w:num w:numId="10">
    <w:abstractNumId w:val="11"/>
  </w:num>
  <w:num w:numId="11">
    <w:abstractNumId w:val="39"/>
  </w:num>
  <w:num w:numId="12">
    <w:abstractNumId w:val="43"/>
  </w:num>
  <w:num w:numId="13">
    <w:abstractNumId w:val="20"/>
  </w:num>
  <w:num w:numId="14">
    <w:abstractNumId w:val="4"/>
  </w:num>
  <w:num w:numId="15">
    <w:abstractNumId w:val="9"/>
  </w:num>
  <w:num w:numId="16">
    <w:abstractNumId w:val="33"/>
  </w:num>
  <w:num w:numId="17">
    <w:abstractNumId w:val="24"/>
  </w:num>
  <w:num w:numId="18">
    <w:abstractNumId w:val="22"/>
  </w:num>
  <w:num w:numId="19">
    <w:abstractNumId w:val="32"/>
  </w:num>
  <w:num w:numId="20">
    <w:abstractNumId w:val="15"/>
  </w:num>
  <w:num w:numId="21">
    <w:abstractNumId w:val="18"/>
  </w:num>
  <w:num w:numId="22">
    <w:abstractNumId w:val="47"/>
  </w:num>
  <w:num w:numId="23">
    <w:abstractNumId w:val="5"/>
  </w:num>
  <w:num w:numId="24">
    <w:abstractNumId w:val="13"/>
  </w:num>
  <w:num w:numId="25">
    <w:abstractNumId w:val="26"/>
  </w:num>
  <w:num w:numId="26">
    <w:abstractNumId w:val="23"/>
  </w:num>
  <w:num w:numId="27">
    <w:abstractNumId w:val="19"/>
  </w:num>
  <w:num w:numId="28">
    <w:abstractNumId w:val="37"/>
  </w:num>
  <w:num w:numId="29">
    <w:abstractNumId w:val="41"/>
  </w:num>
  <w:num w:numId="30">
    <w:abstractNumId w:val="40"/>
  </w:num>
  <w:num w:numId="31">
    <w:abstractNumId w:val="48"/>
  </w:num>
  <w:num w:numId="32">
    <w:abstractNumId w:val="10"/>
  </w:num>
  <w:num w:numId="33">
    <w:abstractNumId w:val="2"/>
  </w:num>
  <w:num w:numId="34">
    <w:abstractNumId w:val="7"/>
  </w:num>
  <w:num w:numId="35">
    <w:abstractNumId w:val="28"/>
  </w:num>
  <w:num w:numId="36">
    <w:abstractNumId w:val="8"/>
  </w:num>
  <w:num w:numId="37">
    <w:abstractNumId w:val="27"/>
  </w:num>
  <w:num w:numId="38">
    <w:abstractNumId w:val="42"/>
  </w:num>
  <w:num w:numId="39">
    <w:abstractNumId w:val="21"/>
  </w:num>
  <w:num w:numId="40">
    <w:abstractNumId w:val="17"/>
  </w:num>
  <w:num w:numId="41">
    <w:abstractNumId w:val="14"/>
  </w:num>
  <w:num w:numId="42">
    <w:abstractNumId w:val="3"/>
  </w:num>
  <w:num w:numId="43">
    <w:abstractNumId w:val="44"/>
  </w:num>
  <w:num w:numId="44">
    <w:abstractNumId w:val="1"/>
  </w:num>
  <w:num w:numId="45">
    <w:abstractNumId w:val="0"/>
  </w:num>
  <w:num w:numId="46">
    <w:abstractNumId w:val="46"/>
  </w:num>
  <w:num w:numId="47">
    <w:abstractNumId w:val="6"/>
  </w:num>
  <w:num w:numId="48">
    <w:abstractNumId w:val="30"/>
  </w:num>
  <w:num w:numId="49">
    <w:abstractNumId w:val="25"/>
  </w:num>
  <w:num w:numId="50">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259"/>
    <w:rsid w:val="000000D6"/>
    <w:rsid w:val="0000073E"/>
    <w:rsid w:val="00000C68"/>
    <w:rsid w:val="0000116C"/>
    <w:rsid w:val="00001C68"/>
    <w:rsid w:val="0000201D"/>
    <w:rsid w:val="000023B1"/>
    <w:rsid w:val="000025CC"/>
    <w:rsid w:val="0000278C"/>
    <w:rsid w:val="000027C3"/>
    <w:rsid w:val="00002D41"/>
    <w:rsid w:val="00002D8B"/>
    <w:rsid w:val="00002DE5"/>
    <w:rsid w:val="00003244"/>
    <w:rsid w:val="000032AA"/>
    <w:rsid w:val="00003371"/>
    <w:rsid w:val="00003403"/>
    <w:rsid w:val="000035C0"/>
    <w:rsid w:val="0000371F"/>
    <w:rsid w:val="00003AD6"/>
    <w:rsid w:val="00003B1C"/>
    <w:rsid w:val="00003FC3"/>
    <w:rsid w:val="00004390"/>
    <w:rsid w:val="000045BC"/>
    <w:rsid w:val="00004717"/>
    <w:rsid w:val="00004C77"/>
    <w:rsid w:val="000052FF"/>
    <w:rsid w:val="00005506"/>
    <w:rsid w:val="000056AC"/>
    <w:rsid w:val="000057A2"/>
    <w:rsid w:val="00005987"/>
    <w:rsid w:val="00005F3E"/>
    <w:rsid w:val="000061B3"/>
    <w:rsid w:val="00006286"/>
    <w:rsid w:val="00006550"/>
    <w:rsid w:val="00006809"/>
    <w:rsid w:val="0000683D"/>
    <w:rsid w:val="00006CAA"/>
    <w:rsid w:val="00006CDE"/>
    <w:rsid w:val="00006E05"/>
    <w:rsid w:val="00006F97"/>
    <w:rsid w:val="000074AE"/>
    <w:rsid w:val="00007A0D"/>
    <w:rsid w:val="00007B3E"/>
    <w:rsid w:val="00007CE1"/>
    <w:rsid w:val="0001001C"/>
    <w:rsid w:val="00010117"/>
    <w:rsid w:val="000104C1"/>
    <w:rsid w:val="000109DE"/>
    <w:rsid w:val="00010D27"/>
    <w:rsid w:val="00010ECD"/>
    <w:rsid w:val="0001180A"/>
    <w:rsid w:val="00011951"/>
    <w:rsid w:val="00011DFB"/>
    <w:rsid w:val="000120C9"/>
    <w:rsid w:val="0001234A"/>
    <w:rsid w:val="00012A9E"/>
    <w:rsid w:val="00012C88"/>
    <w:rsid w:val="00012FA0"/>
    <w:rsid w:val="00012FE4"/>
    <w:rsid w:val="00013A31"/>
    <w:rsid w:val="00013C75"/>
    <w:rsid w:val="00013D8B"/>
    <w:rsid w:val="00013EFE"/>
    <w:rsid w:val="000143F2"/>
    <w:rsid w:val="00014836"/>
    <w:rsid w:val="00014CEF"/>
    <w:rsid w:val="00014D47"/>
    <w:rsid w:val="00015FB3"/>
    <w:rsid w:val="00016211"/>
    <w:rsid w:val="00016432"/>
    <w:rsid w:val="00016594"/>
    <w:rsid w:val="00016791"/>
    <w:rsid w:val="0001680D"/>
    <w:rsid w:val="000177DC"/>
    <w:rsid w:val="00017D43"/>
    <w:rsid w:val="00017FFB"/>
    <w:rsid w:val="00020081"/>
    <w:rsid w:val="0002011C"/>
    <w:rsid w:val="000202B7"/>
    <w:rsid w:val="00020C30"/>
    <w:rsid w:val="00020EAC"/>
    <w:rsid w:val="000210FF"/>
    <w:rsid w:val="00021273"/>
    <w:rsid w:val="0002149B"/>
    <w:rsid w:val="0002200E"/>
    <w:rsid w:val="000223CB"/>
    <w:rsid w:val="0002265B"/>
    <w:rsid w:val="000226B1"/>
    <w:rsid w:val="0002289C"/>
    <w:rsid w:val="00022978"/>
    <w:rsid w:val="0002297D"/>
    <w:rsid w:val="00022D5C"/>
    <w:rsid w:val="00022EEC"/>
    <w:rsid w:val="00023009"/>
    <w:rsid w:val="000233AA"/>
    <w:rsid w:val="00023D9F"/>
    <w:rsid w:val="00023F12"/>
    <w:rsid w:val="0002420B"/>
    <w:rsid w:val="00024267"/>
    <w:rsid w:val="0002523D"/>
    <w:rsid w:val="00025458"/>
    <w:rsid w:val="0002554F"/>
    <w:rsid w:val="00025674"/>
    <w:rsid w:val="000258A4"/>
    <w:rsid w:val="00025C8F"/>
    <w:rsid w:val="00025F85"/>
    <w:rsid w:val="00026570"/>
    <w:rsid w:val="00026667"/>
    <w:rsid w:val="0002694E"/>
    <w:rsid w:val="00026A84"/>
    <w:rsid w:val="00027315"/>
    <w:rsid w:val="000276EC"/>
    <w:rsid w:val="00027B92"/>
    <w:rsid w:val="00027BE5"/>
    <w:rsid w:val="00030357"/>
    <w:rsid w:val="0003089C"/>
    <w:rsid w:val="000308DD"/>
    <w:rsid w:val="00030965"/>
    <w:rsid w:val="000309DE"/>
    <w:rsid w:val="00030D5C"/>
    <w:rsid w:val="00031E51"/>
    <w:rsid w:val="000322B1"/>
    <w:rsid w:val="00032492"/>
    <w:rsid w:val="00032541"/>
    <w:rsid w:val="00032CE7"/>
    <w:rsid w:val="00032D12"/>
    <w:rsid w:val="00032E40"/>
    <w:rsid w:val="00032F45"/>
    <w:rsid w:val="0003346C"/>
    <w:rsid w:val="00034356"/>
    <w:rsid w:val="00034687"/>
    <w:rsid w:val="000348EF"/>
    <w:rsid w:val="00034C44"/>
    <w:rsid w:val="00035661"/>
    <w:rsid w:val="00035677"/>
    <w:rsid w:val="000356A1"/>
    <w:rsid w:val="000359EB"/>
    <w:rsid w:val="00035E0A"/>
    <w:rsid w:val="00035ED0"/>
    <w:rsid w:val="00036026"/>
    <w:rsid w:val="000360F8"/>
    <w:rsid w:val="00036115"/>
    <w:rsid w:val="000363BA"/>
    <w:rsid w:val="00036568"/>
    <w:rsid w:val="00036831"/>
    <w:rsid w:val="00036BA2"/>
    <w:rsid w:val="00036C5D"/>
    <w:rsid w:val="00036CD6"/>
    <w:rsid w:val="0003728F"/>
    <w:rsid w:val="00037293"/>
    <w:rsid w:val="000372CB"/>
    <w:rsid w:val="0003736B"/>
    <w:rsid w:val="0003740B"/>
    <w:rsid w:val="000374D4"/>
    <w:rsid w:val="000375D2"/>
    <w:rsid w:val="00037D7B"/>
    <w:rsid w:val="0004052A"/>
    <w:rsid w:val="00041401"/>
    <w:rsid w:val="00041574"/>
    <w:rsid w:val="00041627"/>
    <w:rsid w:val="00041800"/>
    <w:rsid w:val="00041DFF"/>
    <w:rsid w:val="0004201D"/>
    <w:rsid w:val="000431F5"/>
    <w:rsid w:val="00043730"/>
    <w:rsid w:val="000438C0"/>
    <w:rsid w:val="00043A02"/>
    <w:rsid w:val="00043F36"/>
    <w:rsid w:val="000446E3"/>
    <w:rsid w:val="0004496C"/>
    <w:rsid w:val="00044B27"/>
    <w:rsid w:val="00044F01"/>
    <w:rsid w:val="000458A1"/>
    <w:rsid w:val="000458CA"/>
    <w:rsid w:val="00045BD9"/>
    <w:rsid w:val="00046307"/>
    <w:rsid w:val="00046DC7"/>
    <w:rsid w:val="00046FF7"/>
    <w:rsid w:val="000471F8"/>
    <w:rsid w:val="0004771E"/>
    <w:rsid w:val="00047988"/>
    <w:rsid w:val="00047C83"/>
    <w:rsid w:val="00047DCA"/>
    <w:rsid w:val="000502E4"/>
    <w:rsid w:val="0005045F"/>
    <w:rsid w:val="00050878"/>
    <w:rsid w:val="00050A20"/>
    <w:rsid w:val="00050E2E"/>
    <w:rsid w:val="00050E9C"/>
    <w:rsid w:val="00050F95"/>
    <w:rsid w:val="000517AC"/>
    <w:rsid w:val="000519FC"/>
    <w:rsid w:val="00051CEA"/>
    <w:rsid w:val="00052035"/>
    <w:rsid w:val="000523AF"/>
    <w:rsid w:val="00052656"/>
    <w:rsid w:val="000527DD"/>
    <w:rsid w:val="00052CF5"/>
    <w:rsid w:val="00052F94"/>
    <w:rsid w:val="00053124"/>
    <w:rsid w:val="000531E5"/>
    <w:rsid w:val="0005358F"/>
    <w:rsid w:val="000537BE"/>
    <w:rsid w:val="000543FF"/>
    <w:rsid w:val="00054874"/>
    <w:rsid w:val="000548A5"/>
    <w:rsid w:val="00054B8C"/>
    <w:rsid w:val="00054D4A"/>
    <w:rsid w:val="00054E40"/>
    <w:rsid w:val="00054F91"/>
    <w:rsid w:val="0005510C"/>
    <w:rsid w:val="000552C6"/>
    <w:rsid w:val="00055345"/>
    <w:rsid w:val="0005567A"/>
    <w:rsid w:val="00055DF0"/>
    <w:rsid w:val="00055E54"/>
    <w:rsid w:val="00055FDA"/>
    <w:rsid w:val="0005647A"/>
    <w:rsid w:val="000568E7"/>
    <w:rsid w:val="00056BEF"/>
    <w:rsid w:val="00057200"/>
    <w:rsid w:val="00057694"/>
    <w:rsid w:val="00057929"/>
    <w:rsid w:val="00057A44"/>
    <w:rsid w:val="00057B26"/>
    <w:rsid w:val="00057CD7"/>
    <w:rsid w:val="00057D80"/>
    <w:rsid w:val="00060105"/>
    <w:rsid w:val="000603A7"/>
    <w:rsid w:val="0006044D"/>
    <w:rsid w:val="0006082D"/>
    <w:rsid w:val="00060D97"/>
    <w:rsid w:val="00060E5E"/>
    <w:rsid w:val="00061190"/>
    <w:rsid w:val="0006129D"/>
    <w:rsid w:val="000613B6"/>
    <w:rsid w:val="000616E6"/>
    <w:rsid w:val="0006183F"/>
    <w:rsid w:val="00061E4B"/>
    <w:rsid w:val="00061E94"/>
    <w:rsid w:val="00062115"/>
    <w:rsid w:val="000626CE"/>
    <w:rsid w:val="00062AC9"/>
    <w:rsid w:val="00062B9F"/>
    <w:rsid w:val="00062C99"/>
    <w:rsid w:val="00063213"/>
    <w:rsid w:val="0006322F"/>
    <w:rsid w:val="00063288"/>
    <w:rsid w:val="000637BD"/>
    <w:rsid w:val="00063B78"/>
    <w:rsid w:val="00063C2A"/>
    <w:rsid w:val="00063D13"/>
    <w:rsid w:val="000649D0"/>
    <w:rsid w:val="00064D58"/>
    <w:rsid w:val="00064DBC"/>
    <w:rsid w:val="000653D1"/>
    <w:rsid w:val="00065599"/>
    <w:rsid w:val="000658C1"/>
    <w:rsid w:val="00065B35"/>
    <w:rsid w:val="00065B41"/>
    <w:rsid w:val="00066622"/>
    <w:rsid w:val="000667AA"/>
    <w:rsid w:val="00066C95"/>
    <w:rsid w:val="00066EEE"/>
    <w:rsid w:val="000671AC"/>
    <w:rsid w:val="00067D47"/>
    <w:rsid w:val="00067E3B"/>
    <w:rsid w:val="00070344"/>
    <w:rsid w:val="00070387"/>
    <w:rsid w:val="0007073C"/>
    <w:rsid w:val="00071290"/>
    <w:rsid w:val="00071686"/>
    <w:rsid w:val="0007199E"/>
    <w:rsid w:val="000728BD"/>
    <w:rsid w:val="00072A6E"/>
    <w:rsid w:val="00072D3E"/>
    <w:rsid w:val="00072E9C"/>
    <w:rsid w:val="000730E7"/>
    <w:rsid w:val="00073158"/>
    <w:rsid w:val="00073168"/>
    <w:rsid w:val="000735A3"/>
    <w:rsid w:val="00073C65"/>
    <w:rsid w:val="00073DE2"/>
    <w:rsid w:val="00074046"/>
    <w:rsid w:val="000741E3"/>
    <w:rsid w:val="0007421C"/>
    <w:rsid w:val="000744B8"/>
    <w:rsid w:val="00074721"/>
    <w:rsid w:val="00074FE3"/>
    <w:rsid w:val="0007517D"/>
    <w:rsid w:val="00075818"/>
    <w:rsid w:val="00075940"/>
    <w:rsid w:val="0007597C"/>
    <w:rsid w:val="00075A0A"/>
    <w:rsid w:val="00075A24"/>
    <w:rsid w:val="00075B02"/>
    <w:rsid w:val="00075F8C"/>
    <w:rsid w:val="0007607B"/>
    <w:rsid w:val="00076257"/>
    <w:rsid w:val="00076638"/>
    <w:rsid w:val="000769B6"/>
    <w:rsid w:val="00076ABB"/>
    <w:rsid w:val="00076F79"/>
    <w:rsid w:val="00077728"/>
    <w:rsid w:val="000778D7"/>
    <w:rsid w:val="00077B54"/>
    <w:rsid w:val="00077EC1"/>
    <w:rsid w:val="000800A0"/>
    <w:rsid w:val="000806CC"/>
    <w:rsid w:val="000808ED"/>
    <w:rsid w:val="00080CF0"/>
    <w:rsid w:val="00080F2D"/>
    <w:rsid w:val="000813BD"/>
    <w:rsid w:val="00081535"/>
    <w:rsid w:val="00081730"/>
    <w:rsid w:val="00081A09"/>
    <w:rsid w:val="00081CBC"/>
    <w:rsid w:val="00081DF5"/>
    <w:rsid w:val="00082082"/>
    <w:rsid w:val="0008251E"/>
    <w:rsid w:val="000827EC"/>
    <w:rsid w:val="00082E15"/>
    <w:rsid w:val="00082E3E"/>
    <w:rsid w:val="00083180"/>
    <w:rsid w:val="00083435"/>
    <w:rsid w:val="00083989"/>
    <w:rsid w:val="00083E60"/>
    <w:rsid w:val="00083F03"/>
    <w:rsid w:val="00084550"/>
    <w:rsid w:val="0008456E"/>
    <w:rsid w:val="000847F0"/>
    <w:rsid w:val="00085123"/>
    <w:rsid w:val="00085290"/>
    <w:rsid w:val="00085395"/>
    <w:rsid w:val="00085A46"/>
    <w:rsid w:val="00085B77"/>
    <w:rsid w:val="00085F35"/>
    <w:rsid w:val="00085FED"/>
    <w:rsid w:val="00086164"/>
    <w:rsid w:val="000862B2"/>
    <w:rsid w:val="00086819"/>
    <w:rsid w:val="00086B15"/>
    <w:rsid w:val="00087033"/>
    <w:rsid w:val="000872AD"/>
    <w:rsid w:val="0008738A"/>
    <w:rsid w:val="0008746B"/>
    <w:rsid w:val="000874BE"/>
    <w:rsid w:val="0008776F"/>
    <w:rsid w:val="000877C3"/>
    <w:rsid w:val="000900D3"/>
    <w:rsid w:val="0009026F"/>
    <w:rsid w:val="00090436"/>
    <w:rsid w:val="00090766"/>
    <w:rsid w:val="00090C62"/>
    <w:rsid w:val="00090E19"/>
    <w:rsid w:val="00090F8B"/>
    <w:rsid w:val="000912ED"/>
    <w:rsid w:val="000915EC"/>
    <w:rsid w:val="00091A19"/>
    <w:rsid w:val="00091D6D"/>
    <w:rsid w:val="00091F0C"/>
    <w:rsid w:val="000924E1"/>
    <w:rsid w:val="000926E1"/>
    <w:rsid w:val="000927AC"/>
    <w:rsid w:val="00092B59"/>
    <w:rsid w:val="0009386F"/>
    <w:rsid w:val="00093C7B"/>
    <w:rsid w:val="00094304"/>
    <w:rsid w:val="00094FA5"/>
    <w:rsid w:val="0009553E"/>
    <w:rsid w:val="00095B4C"/>
    <w:rsid w:val="00095C16"/>
    <w:rsid w:val="00095E19"/>
    <w:rsid w:val="0009686C"/>
    <w:rsid w:val="00096A54"/>
    <w:rsid w:val="00096EF1"/>
    <w:rsid w:val="00097226"/>
    <w:rsid w:val="00097594"/>
    <w:rsid w:val="000976A2"/>
    <w:rsid w:val="00097888"/>
    <w:rsid w:val="00097CCC"/>
    <w:rsid w:val="00097E28"/>
    <w:rsid w:val="000A0021"/>
    <w:rsid w:val="000A01C9"/>
    <w:rsid w:val="000A01F8"/>
    <w:rsid w:val="000A0314"/>
    <w:rsid w:val="000A0CEC"/>
    <w:rsid w:val="000A169E"/>
    <w:rsid w:val="000A17C2"/>
    <w:rsid w:val="000A1A59"/>
    <w:rsid w:val="000A1F8D"/>
    <w:rsid w:val="000A2023"/>
    <w:rsid w:val="000A277A"/>
    <w:rsid w:val="000A2BBE"/>
    <w:rsid w:val="000A2C7A"/>
    <w:rsid w:val="000A315C"/>
    <w:rsid w:val="000A3172"/>
    <w:rsid w:val="000A31D1"/>
    <w:rsid w:val="000A33A9"/>
    <w:rsid w:val="000A3595"/>
    <w:rsid w:val="000A36C9"/>
    <w:rsid w:val="000A3A88"/>
    <w:rsid w:val="000A3B83"/>
    <w:rsid w:val="000A3F8E"/>
    <w:rsid w:val="000A4E9D"/>
    <w:rsid w:val="000A5198"/>
    <w:rsid w:val="000A5570"/>
    <w:rsid w:val="000A5A96"/>
    <w:rsid w:val="000A6163"/>
    <w:rsid w:val="000A695E"/>
    <w:rsid w:val="000A7011"/>
    <w:rsid w:val="000A70D7"/>
    <w:rsid w:val="000A7BAF"/>
    <w:rsid w:val="000B0262"/>
    <w:rsid w:val="000B0758"/>
    <w:rsid w:val="000B09D9"/>
    <w:rsid w:val="000B0A87"/>
    <w:rsid w:val="000B0A8B"/>
    <w:rsid w:val="000B0ED5"/>
    <w:rsid w:val="000B10B9"/>
    <w:rsid w:val="000B1558"/>
    <w:rsid w:val="000B169C"/>
    <w:rsid w:val="000B17DD"/>
    <w:rsid w:val="000B1A09"/>
    <w:rsid w:val="000B1A3C"/>
    <w:rsid w:val="000B28F5"/>
    <w:rsid w:val="000B2AEC"/>
    <w:rsid w:val="000B368B"/>
    <w:rsid w:val="000B36B0"/>
    <w:rsid w:val="000B3AFD"/>
    <w:rsid w:val="000B3D58"/>
    <w:rsid w:val="000B3F6A"/>
    <w:rsid w:val="000B3F7B"/>
    <w:rsid w:val="000B40E7"/>
    <w:rsid w:val="000B418D"/>
    <w:rsid w:val="000B445E"/>
    <w:rsid w:val="000B45B4"/>
    <w:rsid w:val="000B45D9"/>
    <w:rsid w:val="000B45E6"/>
    <w:rsid w:val="000B4926"/>
    <w:rsid w:val="000B4D4A"/>
    <w:rsid w:val="000B5062"/>
    <w:rsid w:val="000B50F4"/>
    <w:rsid w:val="000B567B"/>
    <w:rsid w:val="000B5C70"/>
    <w:rsid w:val="000B5D07"/>
    <w:rsid w:val="000B5D50"/>
    <w:rsid w:val="000B60DB"/>
    <w:rsid w:val="000B6488"/>
    <w:rsid w:val="000B648E"/>
    <w:rsid w:val="000B6729"/>
    <w:rsid w:val="000B6884"/>
    <w:rsid w:val="000B6A31"/>
    <w:rsid w:val="000B6BBB"/>
    <w:rsid w:val="000B6EC1"/>
    <w:rsid w:val="000B72D9"/>
    <w:rsid w:val="000C012E"/>
    <w:rsid w:val="000C0278"/>
    <w:rsid w:val="000C06A4"/>
    <w:rsid w:val="000C0EFF"/>
    <w:rsid w:val="000C1064"/>
    <w:rsid w:val="000C15CF"/>
    <w:rsid w:val="000C1843"/>
    <w:rsid w:val="000C2259"/>
    <w:rsid w:val="000C2503"/>
    <w:rsid w:val="000C266D"/>
    <w:rsid w:val="000C2861"/>
    <w:rsid w:val="000C2EF5"/>
    <w:rsid w:val="000C2FE3"/>
    <w:rsid w:val="000C3055"/>
    <w:rsid w:val="000C30A6"/>
    <w:rsid w:val="000C3637"/>
    <w:rsid w:val="000C38BF"/>
    <w:rsid w:val="000C395A"/>
    <w:rsid w:val="000C4733"/>
    <w:rsid w:val="000C4D06"/>
    <w:rsid w:val="000C5012"/>
    <w:rsid w:val="000C5732"/>
    <w:rsid w:val="000C5E02"/>
    <w:rsid w:val="000C67E9"/>
    <w:rsid w:val="000C6FF4"/>
    <w:rsid w:val="000C7136"/>
    <w:rsid w:val="000C7239"/>
    <w:rsid w:val="000C73E4"/>
    <w:rsid w:val="000C743D"/>
    <w:rsid w:val="000C75AF"/>
    <w:rsid w:val="000C7861"/>
    <w:rsid w:val="000C7C3D"/>
    <w:rsid w:val="000D03EE"/>
    <w:rsid w:val="000D0763"/>
    <w:rsid w:val="000D0780"/>
    <w:rsid w:val="000D0A93"/>
    <w:rsid w:val="000D0E79"/>
    <w:rsid w:val="000D0FA1"/>
    <w:rsid w:val="000D155D"/>
    <w:rsid w:val="000D2654"/>
    <w:rsid w:val="000D2761"/>
    <w:rsid w:val="000D309D"/>
    <w:rsid w:val="000D319C"/>
    <w:rsid w:val="000D3BDE"/>
    <w:rsid w:val="000D4187"/>
    <w:rsid w:val="000D41FE"/>
    <w:rsid w:val="000D432F"/>
    <w:rsid w:val="000D461A"/>
    <w:rsid w:val="000D4FB0"/>
    <w:rsid w:val="000D504F"/>
    <w:rsid w:val="000D6279"/>
    <w:rsid w:val="000D627E"/>
    <w:rsid w:val="000D675B"/>
    <w:rsid w:val="000D6EA8"/>
    <w:rsid w:val="000D6FEE"/>
    <w:rsid w:val="000D77C4"/>
    <w:rsid w:val="000D79AD"/>
    <w:rsid w:val="000E0137"/>
    <w:rsid w:val="000E0335"/>
    <w:rsid w:val="000E0355"/>
    <w:rsid w:val="000E064B"/>
    <w:rsid w:val="000E09EF"/>
    <w:rsid w:val="000E138D"/>
    <w:rsid w:val="000E183E"/>
    <w:rsid w:val="000E19C7"/>
    <w:rsid w:val="000E1D44"/>
    <w:rsid w:val="000E231A"/>
    <w:rsid w:val="000E27F3"/>
    <w:rsid w:val="000E31DE"/>
    <w:rsid w:val="000E34AE"/>
    <w:rsid w:val="000E35D2"/>
    <w:rsid w:val="000E386C"/>
    <w:rsid w:val="000E38DA"/>
    <w:rsid w:val="000E3C72"/>
    <w:rsid w:val="000E3D83"/>
    <w:rsid w:val="000E4247"/>
    <w:rsid w:val="000E4BFA"/>
    <w:rsid w:val="000E5235"/>
    <w:rsid w:val="000E52BE"/>
    <w:rsid w:val="000E5A9D"/>
    <w:rsid w:val="000E5AB3"/>
    <w:rsid w:val="000E5DA7"/>
    <w:rsid w:val="000E5F9F"/>
    <w:rsid w:val="000E63DC"/>
    <w:rsid w:val="000E650F"/>
    <w:rsid w:val="000E6941"/>
    <w:rsid w:val="000E74C7"/>
    <w:rsid w:val="000E7C31"/>
    <w:rsid w:val="000E7EB0"/>
    <w:rsid w:val="000E7F39"/>
    <w:rsid w:val="000F0254"/>
    <w:rsid w:val="000F046E"/>
    <w:rsid w:val="000F0599"/>
    <w:rsid w:val="000F05DE"/>
    <w:rsid w:val="000F0876"/>
    <w:rsid w:val="000F08C7"/>
    <w:rsid w:val="000F0B12"/>
    <w:rsid w:val="000F1372"/>
    <w:rsid w:val="000F22FB"/>
    <w:rsid w:val="000F2586"/>
    <w:rsid w:val="000F25DF"/>
    <w:rsid w:val="000F28C8"/>
    <w:rsid w:val="000F3020"/>
    <w:rsid w:val="000F3122"/>
    <w:rsid w:val="000F3309"/>
    <w:rsid w:val="000F353F"/>
    <w:rsid w:val="000F36B4"/>
    <w:rsid w:val="000F3850"/>
    <w:rsid w:val="000F38DA"/>
    <w:rsid w:val="000F3FBD"/>
    <w:rsid w:val="000F4263"/>
    <w:rsid w:val="000F435A"/>
    <w:rsid w:val="000F5414"/>
    <w:rsid w:val="000F549F"/>
    <w:rsid w:val="000F6077"/>
    <w:rsid w:val="000F632F"/>
    <w:rsid w:val="000F637C"/>
    <w:rsid w:val="000F64BA"/>
    <w:rsid w:val="000F66C5"/>
    <w:rsid w:val="000F6D10"/>
    <w:rsid w:val="000F7310"/>
    <w:rsid w:val="000F77EC"/>
    <w:rsid w:val="000F7C43"/>
    <w:rsid w:val="000F7C53"/>
    <w:rsid w:val="000F7D15"/>
    <w:rsid w:val="00100DDC"/>
    <w:rsid w:val="00100F51"/>
    <w:rsid w:val="00100FC9"/>
    <w:rsid w:val="00100FF2"/>
    <w:rsid w:val="00101473"/>
    <w:rsid w:val="00101751"/>
    <w:rsid w:val="00101797"/>
    <w:rsid w:val="00101855"/>
    <w:rsid w:val="001018BD"/>
    <w:rsid w:val="00101F3A"/>
    <w:rsid w:val="001025E2"/>
    <w:rsid w:val="00102927"/>
    <w:rsid w:val="00102D47"/>
    <w:rsid w:val="00102DE3"/>
    <w:rsid w:val="00102EDE"/>
    <w:rsid w:val="00102F36"/>
    <w:rsid w:val="001030B5"/>
    <w:rsid w:val="00103111"/>
    <w:rsid w:val="001034FC"/>
    <w:rsid w:val="001036C1"/>
    <w:rsid w:val="00103A22"/>
    <w:rsid w:val="0010428E"/>
    <w:rsid w:val="00104AFF"/>
    <w:rsid w:val="00104C26"/>
    <w:rsid w:val="00104EE4"/>
    <w:rsid w:val="0010503E"/>
    <w:rsid w:val="00105322"/>
    <w:rsid w:val="001054BD"/>
    <w:rsid w:val="0010583A"/>
    <w:rsid w:val="001059E3"/>
    <w:rsid w:val="001061C6"/>
    <w:rsid w:val="001064CB"/>
    <w:rsid w:val="00106762"/>
    <w:rsid w:val="00106B35"/>
    <w:rsid w:val="00106EC6"/>
    <w:rsid w:val="00106FAD"/>
    <w:rsid w:val="00107315"/>
    <w:rsid w:val="00107484"/>
    <w:rsid w:val="00107964"/>
    <w:rsid w:val="00107D24"/>
    <w:rsid w:val="00110044"/>
    <w:rsid w:val="0011016A"/>
    <w:rsid w:val="001111D8"/>
    <w:rsid w:val="001125AA"/>
    <w:rsid w:val="00112737"/>
    <w:rsid w:val="001127C2"/>
    <w:rsid w:val="00112BF7"/>
    <w:rsid w:val="00112F23"/>
    <w:rsid w:val="00112F82"/>
    <w:rsid w:val="0011336E"/>
    <w:rsid w:val="0011359B"/>
    <w:rsid w:val="0011541A"/>
    <w:rsid w:val="0011556C"/>
    <w:rsid w:val="00115735"/>
    <w:rsid w:val="00115E3D"/>
    <w:rsid w:val="0011643A"/>
    <w:rsid w:val="001165E3"/>
    <w:rsid w:val="00116862"/>
    <w:rsid w:val="00116C8A"/>
    <w:rsid w:val="001176BB"/>
    <w:rsid w:val="00117C4A"/>
    <w:rsid w:val="0012031F"/>
    <w:rsid w:val="001203FB"/>
    <w:rsid w:val="001206EC"/>
    <w:rsid w:val="00120827"/>
    <w:rsid w:val="0012168A"/>
    <w:rsid w:val="00121A56"/>
    <w:rsid w:val="00121F9C"/>
    <w:rsid w:val="00122050"/>
    <w:rsid w:val="001224A6"/>
    <w:rsid w:val="001225C2"/>
    <w:rsid w:val="001226C6"/>
    <w:rsid w:val="0012295A"/>
    <w:rsid w:val="00122EF1"/>
    <w:rsid w:val="001231D5"/>
    <w:rsid w:val="001235CB"/>
    <w:rsid w:val="00123666"/>
    <w:rsid w:val="0012397E"/>
    <w:rsid w:val="00123B5B"/>
    <w:rsid w:val="00123D58"/>
    <w:rsid w:val="00123EEF"/>
    <w:rsid w:val="00123FE0"/>
    <w:rsid w:val="001242BC"/>
    <w:rsid w:val="00124495"/>
    <w:rsid w:val="0012469F"/>
    <w:rsid w:val="00124FD0"/>
    <w:rsid w:val="00125D90"/>
    <w:rsid w:val="0012660D"/>
    <w:rsid w:val="001266DE"/>
    <w:rsid w:val="00126919"/>
    <w:rsid w:val="00126D1E"/>
    <w:rsid w:val="0013019A"/>
    <w:rsid w:val="001302E9"/>
    <w:rsid w:val="00130871"/>
    <w:rsid w:val="00130966"/>
    <w:rsid w:val="00130AA1"/>
    <w:rsid w:val="00130F9C"/>
    <w:rsid w:val="00131130"/>
    <w:rsid w:val="00131477"/>
    <w:rsid w:val="0013155B"/>
    <w:rsid w:val="00131832"/>
    <w:rsid w:val="001321BD"/>
    <w:rsid w:val="001321C8"/>
    <w:rsid w:val="00132526"/>
    <w:rsid w:val="00132B35"/>
    <w:rsid w:val="0013351B"/>
    <w:rsid w:val="00133987"/>
    <w:rsid w:val="00133B56"/>
    <w:rsid w:val="00133C4F"/>
    <w:rsid w:val="00133CF4"/>
    <w:rsid w:val="00133F31"/>
    <w:rsid w:val="00134350"/>
    <w:rsid w:val="00134583"/>
    <w:rsid w:val="0013537A"/>
    <w:rsid w:val="0013540D"/>
    <w:rsid w:val="00135557"/>
    <w:rsid w:val="00135A54"/>
    <w:rsid w:val="00135A9D"/>
    <w:rsid w:val="00135D7F"/>
    <w:rsid w:val="00135E3E"/>
    <w:rsid w:val="00135FA6"/>
    <w:rsid w:val="001363B6"/>
    <w:rsid w:val="0013657E"/>
    <w:rsid w:val="0013683E"/>
    <w:rsid w:val="00136922"/>
    <w:rsid w:val="00137275"/>
    <w:rsid w:val="001375CD"/>
    <w:rsid w:val="00137B27"/>
    <w:rsid w:val="00137C86"/>
    <w:rsid w:val="00137F71"/>
    <w:rsid w:val="00140537"/>
    <w:rsid w:val="00140BAB"/>
    <w:rsid w:val="00140CE5"/>
    <w:rsid w:val="00140DCE"/>
    <w:rsid w:val="001411D8"/>
    <w:rsid w:val="00141F4C"/>
    <w:rsid w:val="001424F1"/>
    <w:rsid w:val="001429D3"/>
    <w:rsid w:val="00143663"/>
    <w:rsid w:val="00143E3F"/>
    <w:rsid w:val="001445AB"/>
    <w:rsid w:val="001445D0"/>
    <w:rsid w:val="00144BA1"/>
    <w:rsid w:val="0014541F"/>
    <w:rsid w:val="00145747"/>
    <w:rsid w:val="00145AF2"/>
    <w:rsid w:val="00145BA8"/>
    <w:rsid w:val="00145D74"/>
    <w:rsid w:val="00145E70"/>
    <w:rsid w:val="00145FE0"/>
    <w:rsid w:val="001460E3"/>
    <w:rsid w:val="0014625B"/>
    <w:rsid w:val="0014656E"/>
    <w:rsid w:val="00146570"/>
    <w:rsid w:val="00147C07"/>
    <w:rsid w:val="00150219"/>
    <w:rsid w:val="001502DA"/>
    <w:rsid w:val="00150A3B"/>
    <w:rsid w:val="00150AEA"/>
    <w:rsid w:val="00150F62"/>
    <w:rsid w:val="0015140B"/>
    <w:rsid w:val="00151A10"/>
    <w:rsid w:val="00152520"/>
    <w:rsid w:val="00152A32"/>
    <w:rsid w:val="00152C4E"/>
    <w:rsid w:val="00152C7F"/>
    <w:rsid w:val="001532F2"/>
    <w:rsid w:val="00153348"/>
    <w:rsid w:val="0015352A"/>
    <w:rsid w:val="0015355A"/>
    <w:rsid w:val="0015382C"/>
    <w:rsid w:val="00153BCD"/>
    <w:rsid w:val="00153D27"/>
    <w:rsid w:val="00153F42"/>
    <w:rsid w:val="001547B4"/>
    <w:rsid w:val="00155089"/>
    <w:rsid w:val="0015594F"/>
    <w:rsid w:val="00155A57"/>
    <w:rsid w:val="00155F8A"/>
    <w:rsid w:val="00156C2E"/>
    <w:rsid w:val="0015706D"/>
    <w:rsid w:val="00157969"/>
    <w:rsid w:val="00157991"/>
    <w:rsid w:val="00157F85"/>
    <w:rsid w:val="001605DD"/>
    <w:rsid w:val="001607CF"/>
    <w:rsid w:val="00160E01"/>
    <w:rsid w:val="0016111B"/>
    <w:rsid w:val="0016120A"/>
    <w:rsid w:val="001613B7"/>
    <w:rsid w:val="00161903"/>
    <w:rsid w:val="0016196A"/>
    <w:rsid w:val="00161AED"/>
    <w:rsid w:val="00161E2E"/>
    <w:rsid w:val="00162780"/>
    <w:rsid w:val="00162805"/>
    <w:rsid w:val="00162E1D"/>
    <w:rsid w:val="0016356F"/>
    <w:rsid w:val="00163585"/>
    <w:rsid w:val="00163901"/>
    <w:rsid w:val="00163BEF"/>
    <w:rsid w:val="00163E5F"/>
    <w:rsid w:val="0016442D"/>
    <w:rsid w:val="00164497"/>
    <w:rsid w:val="001648AE"/>
    <w:rsid w:val="00164A0D"/>
    <w:rsid w:val="00164E60"/>
    <w:rsid w:val="0016596C"/>
    <w:rsid w:val="00165EE5"/>
    <w:rsid w:val="0016610D"/>
    <w:rsid w:val="0016617E"/>
    <w:rsid w:val="001663EB"/>
    <w:rsid w:val="001665B4"/>
    <w:rsid w:val="001667A3"/>
    <w:rsid w:val="00166BD8"/>
    <w:rsid w:val="00167485"/>
    <w:rsid w:val="00167B6A"/>
    <w:rsid w:val="001701E6"/>
    <w:rsid w:val="00170639"/>
    <w:rsid w:val="00170C8B"/>
    <w:rsid w:val="00170D7E"/>
    <w:rsid w:val="00171145"/>
    <w:rsid w:val="0017156F"/>
    <w:rsid w:val="00171CBB"/>
    <w:rsid w:val="00172411"/>
    <w:rsid w:val="00172B95"/>
    <w:rsid w:val="00172D2F"/>
    <w:rsid w:val="00172FBD"/>
    <w:rsid w:val="001730E0"/>
    <w:rsid w:val="00173489"/>
    <w:rsid w:val="001735E8"/>
    <w:rsid w:val="001737B5"/>
    <w:rsid w:val="00173A0D"/>
    <w:rsid w:val="00173B32"/>
    <w:rsid w:val="00173C70"/>
    <w:rsid w:val="00174285"/>
    <w:rsid w:val="001745CA"/>
    <w:rsid w:val="0017479B"/>
    <w:rsid w:val="001748CF"/>
    <w:rsid w:val="001748E7"/>
    <w:rsid w:val="00174B51"/>
    <w:rsid w:val="00174E5F"/>
    <w:rsid w:val="00174EA3"/>
    <w:rsid w:val="00175020"/>
    <w:rsid w:val="001750D2"/>
    <w:rsid w:val="00175668"/>
    <w:rsid w:val="001758C4"/>
    <w:rsid w:val="00176158"/>
    <w:rsid w:val="00176602"/>
    <w:rsid w:val="00176A53"/>
    <w:rsid w:val="00176A55"/>
    <w:rsid w:val="00176B86"/>
    <w:rsid w:val="001771B4"/>
    <w:rsid w:val="00177389"/>
    <w:rsid w:val="00177522"/>
    <w:rsid w:val="0018066D"/>
    <w:rsid w:val="00181093"/>
    <w:rsid w:val="00181127"/>
    <w:rsid w:val="00181400"/>
    <w:rsid w:val="00181559"/>
    <w:rsid w:val="0018170E"/>
    <w:rsid w:val="001819A5"/>
    <w:rsid w:val="001819F5"/>
    <w:rsid w:val="00181A1E"/>
    <w:rsid w:val="00181F93"/>
    <w:rsid w:val="001827D2"/>
    <w:rsid w:val="00182A60"/>
    <w:rsid w:val="00182B1C"/>
    <w:rsid w:val="00182B8A"/>
    <w:rsid w:val="00182F09"/>
    <w:rsid w:val="00183025"/>
    <w:rsid w:val="00183079"/>
    <w:rsid w:val="001832A3"/>
    <w:rsid w:val="00183648"/>
    <w:rsid w:val="00183A3F"/>
    <w:rsid w:val="00183D34"/>
    <w:rsid w:val="00183E94"/>
    <w:rsid w:val="00183FD8"/>
    <w:rsid w:val="001845DB"/>
    <w:rsid w:val="001847C9"/>
    <w:rsid w:val="001848E9"/>
    <w:rsid w:val="0018527A"/>
    <w:rsid w:val="001858E8"/>
    <w:rsid w:val="00185B7B"/>
    <w:rsid w:val="00185D6B"/>
    <w:rsid w:val="00186309"/>
    <w:rsid w:val="00186365"/>
    <w:rsid w:val="0018637F"/>
    <w:rsid w:val="00186B70"/>
    <w:rsid w:val="001871D2"/>
    <w:rsid w:val="00187B5F"/>
    <w:rsid w:val="00190385"/>
    <w:rsid w:val="00190812"/>
    <w:rsid w:val="00190AB6"/>
    <w:rsid w:val="00190EC6"/>
    <w:rsid w:val="00190F62"/>
    <w:rsid w:val="00190F6A"/>
    <w:rsid w:val="00190F6D"/>
    <w:rsid w:val="0019166F"/>
    <w:rsid w:val="0019189F"/>
    <w:rsid w:val="00191BF6"/>
    <w:rsid w:val="00191E20"/>
    <w:rsid w:val="00191F87"/>
    <w:rsid w:val="00192106"/>
    <w:rsid w:val="001927C2"/>
    <w:rsid w:val="001929A6"/>
    <w:rsid w:val="001929CB"/>
    <w:rsid w:val="00193579"/>
    <w:rsid w:val="001936BB"/>
    <w:rsid w:val="0019392F"/>
    <w:rsid w:val="001939B5"/>
    <w:rsid w:val="00193BF6"/>
    <w:rsid w:val="00193E4D"/>
    <w:rsid w:val="00194172"/>
    <w:rsid w:val="00194323"/>
    <w:rsid w:val="00194648"/>
    <w:rsid w:val="001949E3"/>
    <w:rsid w:val="00195093"/>
    <w:rsid w:val="0019532A"/>
    <w:rsid w:val="00195578"/>
    <w:rsid w:val="00195C78"/>
    <w:rsid w:val="00195CC8"/>
    <w:rsid w:val="00195ED6"/>
    <w:rsid w:val="001962BD"/>
    <w:rsid w:val="00196324"/>
    <w:rsid w:val="001964DE"/>
    <w:rsid w:val="0019686E"/>
    <w:rsid w:val="00196A86"/>
    <w:rsid w:val="00196FF2"/>
    <w:rsid w:val="0019729D"/>
    <w:rsid w:val="00197808"/>
    <w:rsid w:val="00197C8E"/>
    <w:rsid w:val="001A0676"/>
    <w:rsid w:val="001A0C61"/>
    <w:rsid w:val="001A1166"/>
    <w:rsid w:val="001A251D"/>
    <w:rsid w:val="001A2D1F"/>
    <w:rsid w:val="001A2F19"/>
    <w:rsid w:val="001A3145"/>
    <w:rsid w:val="001A314B"/>
    <w:rsid w:val="001A35F7"/>
    <w:rsid w:val="001A375E"/>
    <w:rsid w:val="001A3920"/>
    <w:rsid w:val="001A392F"/>
    <w:rsid w:val="001A4021"/>
    <w:rsid w:val="001A4248"/>
    <w:rsid w:val="001A4B8B"/>
    <w:rsid w:val="001A4C0C"/>
    <w:rsid w:val="001A4C99"/>
    <w:rsid w:val="001A51E2"/>
    <w:rsid w:val="001A6196"/>
    <w:rsid w:val="001A6264"/>
    <w:rsid w:val="001A6364"/>
    <w:rsid w:val="001A6388"/>
    <w:rsid w:val="001A63C6"/>
    <w:rsid w:val="001A65AE"/>
    <w:rsid w:val="001A68EB"/>
    <w:rsid w:val="001A6919"/>
    <w:rsid w:val="001A6BC0"/>
    <w:rsid w:val="001A6EBF"/>
    <w:rsid w:val="001A7070"/>
    <w:rsid w:val="001A72B0"/>
    <w:rsid w:val="001A75E1"/>
    <w:rsid w:val="001A762E"/>
    <w:rsid w:val="001A77A4"/>
    <w:rsid w:val="001A78CB"/>
    <w:rsid w:val="001A7AAD"/>
    <w:rsid w:val="001B0307"/>
    <w:rsid w:val="001B0440"/>
    <w:rsid w:val="001B06A9"/>
    <w:rsid w:val="001B128A"/>
    <w:rsid w:val="001B1481"/>
    <w:rsid w:val="001B14D6"/>
    <w:rsid w:val="001B14DC"/>
    <w:rsid w:val="001B16AF"/>
    <w:rsid w:val="001B1752"/>
    <w:rsid w:val="001B1E0E"/>
    <w:rsid w:val="001B2272"/>
    <w:rsid w:val="001B2E26"/>
    <w:rsid w:val="001B30CA"/>
    <w:rsid w:val="001B345C"/>
    <w:rsid w:val="001B442B"/>
    <w:rsid w:val="001B45BC"/>
    <w:rsid w:val="001B4A5B"/>
    <w:rsid w:val="001B4D4C"/>
    <w:rsid w:val="001B4DE5"/>
    <w:rsid w:val="001B52D0"/>
    <w:rsid w:val="001B5645"/>
    <w:rsid w:val="001B5F37"/>
    <w:rsid w:val="001B5FAE"/>
    <w:rsid w:val="001B6631"/>
    <w:rsid w:val="001B6744"/>
    <w:rsid w:val="001B6ADA"/>
    <w:rsid w:val="001B6C82"/>
    <w:rsid w:val="001B6CC1"/>
    <w:rsid w:val="001B75E2"/>
    <w:rsid w:val="001B7700"/>
    <w:rsid w:val="001B7F4E"/>
    <w:rsid w:val="001C028C"/>
    <w:rsid w:val="001C02B8"/>
    <w:rsid w:val="001C0371"/>
    <w:rsid w:val="001C107C"/>
    <w:rsid w:val="001C1180"/>
    <w:rsid w:val="001C1240"/>
    <w:rsid w:val="001C1280"/>
    <w:rsid w:val="001C1344"/>
    <w:rsid w:val="001C177F"/>
    <w:rsid w:val="001C17BB"/>
    <w:rsid w:val="001C24C2"/>
    <w:rsid w:val="001C258F"/>
    <w:rsid w:val="001C264D"/>
    <w:rsid w:val="001C2CE0"/>
    <w:rsid w:val="001C30E0"/>
    <w:rsid w:val="001C3541"/>
    <w:rsid w:val="001C38F7"/>
    <w:rsid w:val="001C4937"/>
    <w:rsid w:val="001C4A44"/>
    <w:rsid w:val="001C4B5E"/>
    <w:rsid w:val="001C4C02"/>
    <w:rsid w:val="001C4FE3"/>
    <w:rsid w:val="001C5990"/>
    <w:rsid w:val="001C5A4E"/>
    <w:rsid w:val="001C5A75"/>
    <w:rsid w:val="001C5C69"/>
    <w:rsid w:val="001C6426"/>
    <w:rsid w:val="001C6EB3"/>
    <w:rsid w:val="001C6EC9"/>
    <w:rsid w:val="001C7189"/>
    <w:rsid w:val="001C7617"/>
    <w:rsid w:val="001C79CF"/>
    <w:rsid w:val="001C79FF"/>
    <w:rsid w:val="001C7B01"/>
    <w:rsid w:val="001C7CA2"/>
    <w:rsid w:val="001D006E"/>
    <w:rsid w:val="001D0192"/>
    <w:rsid w:val="001D06B0"/>
    <w:rsid w:val="001D09EE"/>
    <w:rsid w:val="001D0AEE"/>
    <w:rsid w:val="001D1082"/>
    <w:rsid w:val="001D1BB2"/>
    <w:rsid w:val="001D229E"/>
    <w:rsid w:val="001D23A5"/>
    <w:rsid w:val="001D3426"/>
    <w:rsid w:val="001D34F0"/>
    <w:rsid w:val="001D3658"/>
    <w:rsid w:val="001D389A"/>
    <w:rsid w:val="001D4249"/>
    <w:rsid w:val="001D463D"/>
    <w:rsid w:val="001D483A"/>
    <w:rsid w:val="001D5528"/>
    <w:rsid w:val="001D57F9"/>
    <w:rsid w:val="001D5B45"/>
    <w:rsid w:val="001D6917"/>
    <w:rsid w:val="001D69DA"/>
    <w:rsid w:val="001D6EDB"/>
    <w:rsid w:val="001D737F"/>
    <w:rsid w:val="001D750A"/>
    <w:rsid w:val="001D78A7"/>
    <w:rsid w:val="001E00C2"/>
    <w:rsid w:val="001E016A"/>
    <w:rsid w:val="001E021D"/>
    <w:rsid w:val="001E0AED"/>
    <w:rsid w:val="001E0C9F"/>
    <w:rsid w:val="001E0E73"/>
    <w:rsid w:val="001E14D9"/>
    <w:rsid w:val="001E1603"/>
    <w:rsid w:val="001E17BF"/>
    <w:rsid w:val="001E1818"/>
    <w:rsid w:val="001E18F0"/>
    <w:rsid w:val="001E19DA"/>
    <w:rsid w:val="001E1D94"/>
    <w:rsid w:val="001E1EF7"/>
    <w:rsid w:val="001E2063"/>
    <w:rsid w:val="001E21CA"/>
    <w:rsid w:val="001E2453"/>
    <w:rsid w:val="001E278B"/>
    <w:rsid w:val="001E2A2C"/>
    <w:rsid w:val="001E3190"/>
    <w:rsid w:val="001E3336"/>
    <w:rsid w:val="001E3490"/>
    <w:rsid w:val="001E352C"/>
    <w:rsid w:val="001E37DB"/>
    <w:rsid w:val="001E3F2B"/>
    <w:rsid w:val="001E3FF0"/>
    <w:rsid w:val="001E4DE4"/>
    <w:rsid w:val="001E4E5E"/>
    <w:rsid w:val="001E4F05"/>
    <w:rsid w:val="001E5216"/>
    <w:rsid w:val="001E5537"/>
    <w:rsid w:val="001E5706"/>
    <w:rsid w:val="001E570E"/>
    <w:rsid w:val="001E5740"/>
    <w:rsid w:val="001E59D2"/>
    <w:rsid w:val="001E5EBF"/>
    <w:rsid w:val="001E62B0"/>
    <w:rsid w:val="001E6CC6"/>
    <w:rsid w:val="001E6DF7"/>
    <w:rsid w:val="001E73A8"/>
    <w:rsid w:val="001E78F5"/>
    <w:rsid w:val="001E7C8A"/>
    <w:rsid w:val="001E7E37"/>
    <w:rsid w:val="001E7E44"/>
    <w:rsid w:val="001F00DB"/>
    <w:rsid w:val="001F0505"/>
    <w:rsid w:val="001F0575"/>
    <w:rsid w:val="001F05FF"/>
    <w:rsid w:val="001F12AE"/>
    <w:rsid w:val="001F135E"/>
    <w:rsid w:val="001F229A"/>
    <w:rsid w:val="001F2496"/>
    <w:rsid w:val="001F258B"/>
    <w:rsid w:val="001F2BF9"/>
    <w:rsid w:val="001F2F1E"/>
    <w:rsid w:val="001F31A2"/>
    <w:rsid w:val="001F31BB"/>
    <w:rsid w:val="001F34C4"/>
    <w:rsid w:val="001F35F0"/>
    <w:rsid w:val="001F3721"/>
    <w:rsid w:val="001F3D27"/>
    <w:rsid w:val="001F4122"/>
    <w:rsid w:val="001F4453"/>
    <w:rsid w:val="001F45EF"/>
    <w:rsid w:val="001F4E48"/>
    <w:rsid w:val="001F560A"/>
    <w:rsid w:val="001F5757"/>
    <w:rsid w:val="001F5AAB"/>
    <w:rsid w:val="001F6252"/>
    <w:rsid w:val="001F67C1"/>
    <w:rsid w:val="001F696C"/>
    <w:rsid w:val="001F716A"/>
    <w:rsid w:val="001F760B"/>
    <w:rsid w:val="001F79F4"/>
    <w:rsid w:val="001F7CA8"/>
    <w:rsid w:val="001F7DA4"/>
    <w:rsid w:val="002001A7"/>
    <w:rsid w:val="0020035A"/>
    <w:rsid w:val="002008B1"/>
    <w:rsid w:val="0020139A"/>
    <w:rsid w:val="00201E4D"/>
    <w:rsid w:val="002020D8"/>
    <w:rsid w:val="00203020"/>
    <w:rsid w:val="002030A9"/>
    <w:rsid w:val="00203ADB"/>
    <w:rsid w:val="00203E44"/>
    <w:rsid w:val="00203E46"/>
    <w:rsid w:val="0020412C"/>
    <w:rsid w:val="002043EE"/>
    <w:rsid w:val="00204519"/>
    <w:rsid w:val="0020464C"/>
    <w:rsid w:val="002046A2"/>
    <w:rsid w:val="00204C9B"/>
    <w:rsid w:val="00205157"/>
    <w:rsid w:val="002054A6"/>
    <w:rsid w:val="00205A46"/>
    <w:rsid w:val="00205A94"/>
    <w:rsid w:val="00205E82"/>
    <w:rsid w:val="00205F36"/>
    <w:rsid w:val="002069D5"/>
    <w:rsid w:val="00206B9D"/>
    <w:rsid w:val="00207026"/>
    <w:rsid w:val="0020704B"/>
    <w:rsid w:val="00207CB5"/>
    <w:rsid w:val="002101F8"/>
    <w:rsid w:val="00210483"/>
    <w:rsid w:val="00210ABD"/>
    <w:rsid w:val="00210D2C"/>
    <w:rsid w:val="00210EA2"/>
    <w:rsid w:val="00210EC4"/>
    <w:rsid w:val="002111BC"/>
    <w:rsid w:val="00211222"/>
    <w:rsid w:val="002113F7"/>
    <w:rsid w:val="002117DC"/>
    <w:rsid w:val="00211876"/>
    <w:rsid w:val="002118FF"/>
    <w:rsid w:val="0021211F"/>
    <w:rsid w:val="00212C1C"/>
    <w:rsid w:val="00212CB2"/>
    <w:rsid w:val="00212F70"/>
    <w:rsid w:val="00213205"/>
    <w:rsid w:val="0021328E"/>
    <w:rsid w:val="0021332D"/>
    <w:rsid w:val="00213640"/>
    <w:rsid w:val="002142CA"/>
    <w:rsid w:val="00214300"/>
    <w:rsid w:val="00214490"/>
    <w:rsid w:val="00214694"/>
    <w:rsid w:val="00214A2B"/>
    <w:rsid w:val="00214CD9"/>
    <w:rsid w:val="00215942"/>
    <w:rsid w:val="00215B5A"/>
    <w:rsid w:val="0021604B"/>
    <w:rsid w:val="00216632"/>
    <w:rsid w:val="00216A96"/>
    <w:rsid w:val="00216ADE"/>
    <w:rsid w:val="00216D3D"/>
    <w:rsid w:val="00217400"/>
    <w:rsid w:val="002177E7"/>
    <w:rsid w:val="00217C10"/>
    <w:rsid w:val="00217D68"/>
    <w:rsid w:val="0022028F"/>
    <w:rsid w:val="002204E5"/>
    <w:rsid w:val="0022067D"/>
    <w:rsid w:val="00220773"/>
    <w:rsid w:val="002208CE"/>
    <w:rsid w:val="002211C6"/>
    <w:rsid w:val="002212C5"/>
    <w:rsid w:val="0022141E"/>
    <w:rsid w:val="00221617"/>
    <w:rsid w:val="0022188D"/>
    <w:rsid w:val="00221E4F"/>
    <w:rsid w:val="00221F06"/>
    <w:rsid w:val="002228A3"/>
    <w:rsid w:val="00222F85"/>
    <w:rsid w:val="00222FA8"/>
    <w:rsid w:val="00223554"/>
    <w:rsid w:val="002236A5"/>
    <w:rsid w:val="00223EA5"/>
    <w:rsid w:val="00223F76"/>
    <w:rsid w:val="00224300"/>
    <w:rsid w:val="0022439E"/>
    <w:rsid w:val="0022477C"/>
    <w:rsid w:val="00224945"/>
    <w:rsid w:val="00224AAA"/>
    <w:rsid w:val="00224B5D"/>
    <w:rsid w:val="00225574"/>
    <w:rsid w:val="00225939"/>
    <w:rsid w:val="00225972"/>
    <w:rsid w:val="00225E32"/>
    <w:rsid w:val="00225EE9"/>
    <w:rsid w:val="002261B1"/>
    <w:rsid w:val="002274FC"/>
    <w:rsid w:val="002275DD"/>
    <w:rsid w:val="002276BB"/>
    <w:rsid w:val="00227A4C"/>
    <w:rsid w:val="00227E08"/>
    <w:rsid w:val="002300C1"/>
    <w:rsid w:val="0023012E"/>
    <w:rsid w:val="0023063F"/>
    <w:rsid w:val="002309D4"/>
    <w:rsid w:val="00230C30"/>
    <w:rsid w:val="00230D1F"/>
    <w:rsid w:val="0023134E"/>
    <w:rsid w:val="002316F0"/>
    <w:rsid w:val="00231C17"/>
    <w:rsid w:val="00231D60"/>
    <w:rsid w:val="00231E9A"/>
    <w:rsid w:val="00231EDE"/>
    <w:rsid w:val="00231FA1"/>
    <w:rsid w:val="00232207"/>
    <w:rsid w:val="0023278B"/>
    <w:rsid w:val="0023290F"/>
    <w:rsid w:val="002333A1"/>
    <w:rsid w:val="0023376B"/>
    <w:rsid w:val="00233C8E"/>
    <w:rsid w:val="00233EC9"/>
    <w:rsid w:val="0023412E"/>
    <w:rsid w:val="00234E39"/>
    <w:rsid w:val="00235F5B"/>
    <w:rsid w:val="00236039"/>
    <w:rsid w:val="002366E7"/>
    <w:rsid w:val="00236801"/>
    <w:rsid w:val="00236B4D"/>
    <w:rsid w:val="00236C3F"/>
    <w:rsid w:val="00236FFB"/>
    <w:rsid w:val="00237A06"/>
    <w:rsid w:val="00237F64"/>
    <w:rsid w:val="0024004A"/>
    <w:rsid w:val="002401FD"/>
    <w:rsid w:val="0024027F"/>
    <w:rsid w:val="00240B8E"/>
    <w:rsid w:val="00240BC8"/>
    <w:rsid w:val="00240CBD"/>
    <w:rsid w:val="00240D83"/>
    <w:rsid w:val="00241363"/>
    <w:rsid w:val="00241A17"/>
    <w:rsid w:val="00241CD3"/>
    <w:rsid w:val="00242014"/>
    <w:rsid w:val="002425A9"/>
    <w:rsid w:val="002426FD"/>
    <w:rsid w:val="0024270F"/>
    <w:rsid w:val="002428ED"/>
    <w:rsid w:val="00242AE3"/>
    <w:rsid w:val="00242EF4"/>
    <w:rsid w:val="00243169"/>
    <w:rsid w:val="00243306"/>
    <w:rsid w:val="002433AD"/>
    <w:rsid w:val="00243CE3"/>
    <w:rsid w:val="00243D21"/>
    <w:rsid w:val="00243EFC"/>
    <w:rsid w:val="0024466D"/>
    <w:rsid w:val="00244E6A"/>
    <w:rsid w:val="00244F59"/>
    <w:rsid w:val="00244FDC"/>
    <w:rsid w:val="00245079"/>
    <w:rsid w:val="00245224"/>
    <w:rsid w:val="0024613E"/>
    <w:rsid w:val="0024653E"/>
    <w:rsid w:val="0024697C"/>
    <w:rsid w:val="00246B87"/>
    <w:rsid w:val="00246C2D"/>
    <w:rsid w:val="00246D61"/>
    <w:rsid w:val="00246F80"/>
    <w:rsid w:val="00247665"/>
    <w:rsid w:val="002476D4"/>
    <w:rsid w:val="00247AF5"/>
    <w:rsid w:val="00250B85"/>
    <w:rsid w:val="00251249"/>
    <w:rsid w:val="00251801"/>
    <w:rsid w:val="00251830"/>
    <w:rsid w:val="00251A1D"/>
    <w:rsid w:val="0025277F"/>
    <w:rsid w:val="0025288F"/>
    <w:rsid w:val="00252B4F"/>
    <w:rsid w:val="002533A6"/>
    <w:rsid w:val="00253B9A"/>
    <w:rsid w:val="00253DF9"/>
    <w:rsid w:val="0025400A"/>
    <w:rsid w:val="002540B7"/>
    <w:rsid w:val="002540BB"/>
    <w:rsid w:val="00254230"/>
    <w:rsid w:val="00254521"/>
    <w:rsid w:val="00254ECC"/>
    <w:rsid w:val="0025504E"/>
    <w:rsid w:val="00255545"/>
    <w:rsid w:val="00255729"/>
    <w:rsid w:val="0025594A"/>
    <w:rsid w:val="002563B5"/>
    <w:rsid w:val="002565CA"/>
    <w:rsid w:val="0025667B"/>
    <w:rsid w:val="002566AF"/>
    <w:rsid w:val="00256B7A"/>
    <w:rsid w:val="00256BEB"/>
    <w:rsid w:val="00256E71"/>
    <w:rsid w:val="00256F89"/>
    <w:rsid w:val="002576A1"/>
    <w:rsid w:val="00257722"/>
    <w:rsid w:val="00257824"/>
    <w:rsid w:val="002579CE"/>
    <w:rsid w:val="00257CBD"/>
    <w:rsid w:val="00257F28"/>
    <w:rsid w:val="00260515"/>
    <w:rsid w:val="002605A0"/>
    <w:rsid w:val="0026074F"/>
    <w:rsid w:val="00260B40"/>
    <w:rsid w:val="00260FC4"/>
    <w:rsid w:val="002611BB"/>
    <w:rsid w:val="00261539"/>
    <w:rsid w:val="0026154A"/>
    <w:rsid w:val="002617D8"/>
    <w:rsid w:val="00261BF9"/>
    <w:rsid w:val="00261DAB"/>
    <w:rsid w:val="00261DCF"/>
    <w:rsid w:val="00261EC0"/>
    <w:rsid w:val="00261FAA"/>
    <w:rsid w:val="002626B9"/>
    <w:rsid w:val="002628EB"/>
    <w:rsid w:val="00262A02"/>
    <w:rsid w:val="00262A49"/>
    <w:rsid w:val="00262B86"/>
    <w:rsid w:val="00262D20"/>
    <w:rsid w:val="0026338A"/>
    <w:rsid w:val="00263DE4"/>
    <w:rsid w:val="0026425A"/>
    <w:rsid w:val="0026431C"/>
    <w:rsid w:val="00264977"/>
    <w:rsid w:val="00264C0A"/>
    <w:rsid w:val="00264F94"/>
    <w:rsid w:val="00265255"/>
    <w:rsid w:val="002652EF"/>
    <w:rsid w:val="00265930"/>
    <w:rsid w:val="00265B8C"/>
    <w:rsid w:val="00265C10"/>
    <w:rsid w:val="0026627A"/>
    <w:rsid w:val="00266562"/>
    <w:rsid w:val="00266754"/>
    <w:rsid w:val="00266A03"/>
    <w:rsid w:val="00266A48"/>
    <w:rsid w:val="00266AEE"/>
    <w:rsid w:val="00266CC9"/>
    <w:rsid w:val="002679FD"/>
    <w:rsid w:val="00267BB7"/>
    <w:rsid w:val="002700D6"/>
    <w:rsid w:val="002702EC"/>
    <w:rsid w:val="00270F29"/>
    <w:rsid w:val="0027108C"/>
    <w:rsid w:val="002712E0"/>
    <w:rsid w:val="002713C7"/>
    <w:rsid w:val="0027205E"/>
    <w:rsid w:val="002722B3"/>
    <w:rsid w:val="00272645"/>
    <w:rsid w:val="00272833"/>
    <w:rsid w:val="00272C22"/>
    <w:rsid w:val="0027349A"/>
    <w:rsid w:val="002734DB"/>
    <w:rsid w:val="0027350A"/>
    <w:rsid w:val="0027462A"/>
    <w:rsid w:val="00274651"/>
    <w:rsid w:val="00274948"/>
    <w:rsid w:val="00274A73"/>
    <w:rsid w:val="00274C9A"/>
    <w:rsid w:val="002756BC"/>
    <w:rsid w:val="002758B3"/>
    <w:rsid w:val="00275AFC"/>
    <w:rsid w:val="00275B97"/>
    <w:rsid w:val="00275C8D"/>
    <w:rsid w:val="00275FA2"/>
    <w:rsid w:val="00276008"/>
    <w:rsid w:val="002762E1"/>
    <w:rsid w:val="00276916"/>
    <w:rsid w:val="00276B39"/>
    <w:rsid w:val="00276B57"/>
    <w:rsid w:val="00277585"/>
    <w:rsid w:val="002775E3"/>
    <w:rsid w:val="00277C98"/>
    <w:rsid w:val="00280CF2"/>
    <w:rsid w:val="00280D51"/>
    <w:rsid w:val="00281073"/>
    <w:rsid w:val="002818F2"/>
    <w:rsid w:val="00281A6C"/>
    <w:rsid w:val="00281AED"/>
    <w:rsid w:val="00281C30"/>
    <w:rsid w:val="00281C58"/>
    <w:rsid w:val="00281C66"/>
    <w:rsid w:val="00281CAB"/>
    <w:rsid w:val="00281CE6"/>
    <w:rsid w:val="00281F43"/>
    <w:rsid w:val="00281F8B"/>
    <w:rsid w:val="00282066"/>
    <w:rsid w:val="002823E5"/>
    <w:rsid w:val="0028276A"/>
    <w:rsid w:val="00282A59"/>
    <w:rsid w:val="0028344A"/>
    <w:rsid w:val="002837AC"/>
    <w:rsid w:val="0028386F"/>
    <w:rsid w:val="002839D4"/>
    <w:rsid w:val="00283AF1"/>
    <w:rsid w:val="00283DAA"/>
    <w:rsid w:val="002844AB"/>
    <w:rsid w:val="00284AB3"/>
    <w:rsid w:val="00284B01"/>
    <w:rsid w:val="00284E9E"/>
    <w:rsid w:val="00284F23"/>
    <w:rsid w:val="002851BB"/>
    <w:rsid w:val="002856C0"/>
    <w:rsid w:val="00285908"/>
    <w:rsid w:val="00285B06"/>
    <w:rsid w:val="00286499"/>
    <w:rsid w:val="00286596"/>
    <w:rsid w:val="00286A06"/>
    <w:rsid w:val="00286C43"/>
    <w:rsid w:val="00286CBC"/>
    <w:rsid w:val="0028761D"/>
    <w:rsid w:val="00287D67"/>
    <w:rsid w:val="00287EE9"/>
    <w:rsid w:val="00290009"/>
    <w:rsid w:val="00290150"/>
    <w:rsid w:val="00290D12"/>
    <w:rsid w:val="00290FF5"/>
    <w:rsid w:val="002911F8"/>
    <w:rsid w:val="0029163C"/>
    <w:rsid w:val="00291ECD"/>
    <w:rsid w:val="0029218E"/>
    <w:rsid w:val="00292275"/>
    <w:rsid w:val="00292333"/>
    <w:rsid w:val="002923CB"/>
    <w:rsid w:val="00292569"/>
    <w:rsid w:val="00292CA9"/>
    <w:rsid w:val="0029346E"/>
    <w:rsid w:val="00293C5C"/>
    <w:rsid w:val="00293C5D"/>
    <w:rsid w:val="00294530"/>
    <w:rsid w:val="00294753"/>
    <w:rsid w:val="0029565D"/>
    <w:rsid w:val="00295690"/>
    <w:rsid w:val="00295850"/>
    <w:rsid w:val="00295997"/>
    <w:rsid w:val="00295ACC"/>
    <w:rsid w:val="00295BA1"/>
    <w:rsid w:val="00295E30"/>
    <w:rsid w:val="002960D6"/>
    <w:rsid w:val="00296367"/>
    <w:rsid w:val="002963F3"/>
    <w:rsid w:val="0029699F"/>
    <w:rsid w:val="00296A43"/>
    <w:rsid w:val="00296C2A"/>
    <w:rsid w:val="00296D02"/>
    <w:rsid w:val="00296F82"/>
    <w:rsid w:val="00297391"/>
    <w:rsid w:val="002A0064"/>
    <w:rsid w:val="002A0255"/>
    <w:rsid w:val="002A0D91"/>
    <w:rsid w:val="002A1643"/>
    <w:rsid w:val="002A1E0F"/>
    <w:rsid w:val="002A2502"/>
    <w:rsid w:val="002A2ABD"/>
    <w:rsid w:val="002A2AD9"/>
    <w:rsid w:val="002A2EBB"/>
    <w:rsid w:val="002A4139"/>
    <w:rsid w:val="002A44D1"/>
    <w:rsid w:val="002A4654"/>
    <w:rsid w:val="002A4723"/>
    <w:rsid w:val="002A48D7"/>
    <w:rsid w:val="002A4AC7"/>
    <w:rsid w:val="002A4AFC"/>
    <w:rsid w:val="002A4CE2"/>
    <w:rsid w:val="002A5016"/>
    <w:rsid w:val="002A524D"/>
    <w:rsid w:val="002A5678"/>
    <w:rsid w:val="002A56C6"/>
    <w:rsid w:val="002A5775"/>
    <w:rsid w:val="002A5803"/>
    <w:rsid w:val="002A58EE"/>
    <w:rsid w:val="002A5C53"/>
    <w:rsid w:val="002A5DEF"/>
    <w:rsid w:val="002A6388"/>
    <w:rsid w:val="002A64E8"/>
    <w:rsid w:val="002A703F"/>
    <w:rsid w:val="002A7398"/>
    <w:rsid w:val="002A775C"/>
    <w:rsid w:val="002A797C"/>
    <w:rsid w:val="002A7A7C"/>
    <w:rsid w:val="002A7BB2"/>
    <w:rsid w:val="002A7C8D"/>
    <w:rsid w:val="002A7D97"/>
    <w:rsid w:val="002B02CA"/>
    <w:rsid w:val="002B037E"/>
    <w:rsid w:val="002B06DC"/>
    <w:rsid w:val="002B08E6"/>
    <w:rsid w:val="002B09F8"/>
    <w:rsid w:val="002B10B8"/>
    <w:rsid w:val="002B10FC"/>
    <w:rsid w:val="002B14F0"/>
    <w:rsid w:val="002B175E"/>
    <w:rsid w:val="002B186F"/>
    <w:rsid w:val="002B1AA5"/>
    <w:rsid w:val="002B1DCA"/>
    <w:rsid w:val="002B24D0"/>
    <w:rsid w:val="002B2576"/>
    <w:rsid w:val="002B2981"/>
    <w:rsid w:val="002B2B4C"/>
    <w:rsid w:val="002B2C96"/>
    <w:rsid w:val="002B2D72"/>
    <w:rsid w:val="002B304E"/>
    <w:rsid w:val="002B34CE"/>
    <w:rsid w:val="002B4026"/>
    <w:rsid w:val="002B47E9"/>
    <w:rsid w:val="002B4C7D"/>
    <w:rsid w:val="002B4CAB"/>
    <w:rsid w:val="002B57CA"/>
    <w:rsid w:val="002B596E"/>
    <w:rsid w:val="002B5976"/>
    <w:rsid w:val="002B646B"/>
    <w:rsid w:val="002B65C1"/>
    <w:rsid w:val="002B6A42"/>
    <w:rsid w:val="002B6BF5"/>
    <w:rsid w:val="002B6CAF"/>
    <w:rsid w:val="002B7183"/>
    <w:rsid w:val="002B77B1"/>
    <w:rsid w:val="002B7A3A"/>
    <w:rsid w:val="002C00F9"/>
    <w:rsid w:val="002C0809"/>
    <w:rsid w:val="002C0F7C"/>
    <w:rsid w:val="002C169F"/>
    <w:rsid w:val="002C18A5"/>
    <w:rsid w:val="002C2491"/>
    <w:rsid w:val="002C2706"/>
    <w:rsid w:val="002C2A89"/>
    <w:rsid w:val="002C2B0A"/>
    <w:rsid w:val="002C2E02"/>
    <w:rsid w:val="002C3508"/>
    <w:rsid w:val="002C3F39"/>
    <w:rsid w:val="002C4085"/>
    <w:rsid w:val="002C42FA"/>
    <w:rsid w:val="002C441C"/>
    <w:rsid w:val="002C44A6"/>
    <w:rsid w:val="002C4701"/>
    <w:rsid w:val="002C4F42"/>
    <w:rsid w:val="002C4FA0"/>
    <w:rsid w:val="002C520D"/>
    <w:rsid w:val="002C599D"/>
    <w:rsid w:val="002C5CF5"/>
    <w:rsid w:val="002C6072"/>
    <w:rsid w:val="002C6AED"/>
    <w:rsid w:val="002C6BE3"/>
    <w:rsid w:val="002C6C60"/>
    <w:rsid w:val="002C7130"/>
    <w:rsid w:val="002C715C"/>
    <w:rsid w:val="002C73D2"/>
    <w:rsid w:val="002C772E"/>
    <w:rsid w:val="002C7C5F"/>
    <w:rsid w:val="002C7CCD"/>
    <w:rsid w:val="002C7E35"/>
    <w:rsid w:val="002C7EBD"/>
    <w:rsid w:val="002D1135"/>
    <w:rsid w:val="002D1B28"/>
    <w:rsid w:val="002D1B39"/>
    <w:rsid w:val="002D1BF5"/>
    <w:rsid w:val="002D1D4F"/>
    <w:rsid w:val="002D1FC7"/>
    <w:rsid w:val="002D1FCC"/>
    <w:rsid w:val="002D2203"/>
    <w:rsid w:val="002D2E79"/>
    <w:rsid w:val="002D3450"/>
    <w:rsid w:val="002D36B9"/>
    <w:rsid w:val="002D3737"/>
    <w:rsid w:val="002D38B9"/>
    <w:rsid w:val="002D3C2B"/>
    <w:rsid w:val="002D3CCE"/>
    <w:rsid w:val="002D3D36"/>
    <w:rsid w:val="002D3DBF"/>
    <w:rsid w:val="002D3F6E"/>
    <w:rsid w:val="002D4146"/>
    <w:rsid w:val="002D42B1"/>
    <w:rsid w:val="002D4622"/>
    <w:rsid w:val="002D4C24"/>
    <w:rsid w:val="002D51C0"/>
    <w:rsid w:val="002D5D27"/>
    <w:rsid w:val="002D5FA5"/>
    <w:rsid w:val="002D6239"/>
    <w:rsid w:val="002D6952"/>
    <w:rsid w:val="002D6B62"/>
    <w:rsid w:val="002D6BAF"/>
    <w:rsid w:val="002D72E5"/>
    <w:rsid w:val="002D7378"/>
    <w:rsid w:val="002D74A9"/>
    <w:rsid w:val="002D795B"/>
    <w:rsid w:val="002D7A06"/>
    <w:rsid w:val="002E05DB"/>
    <w:rsid w:val="002E0679"/>
    <w:rsid w:val="002E15C8"/>
    <w:rsid w:val="002E1B6C"/>
    <w:rsid w:val="002E1BA8"/>
    <w:rsid w:val="002E1F3F"/>
    <w:rsid w:val="002E2B36"/>
    <w:rsid w:val="002E2EE7"/>
    <w:rsid w:val="002E3CEA"/>
    <w:rsid w:val="002E3FAF"/>
    <w:rsid w:val="002E41C0"/>
    <w:rsid w:val="002E42D9"/>
    <w:rsid w:val="002E443C"/>
    <w:rsid w:val="002E44F8"/>
    <w:rsid w:val="002E46DB"/>
    <w:rsid w:val="002E4A81"/>
    <w:rsid w:val="002E4D9C"/>
    <w:rsid w:val="002E4DBC"/>
    <w:rsid w:val="002E5A4A"/>
    <w:rsid w:val="002E5E5F"/>
    <w:rsid w:val="002E66F4"/>
    <w:rsid w:val="002E6A35"/>
    <w:rsid w:val="002E6E1D"/>
    <w:rsid w:val="002E6ED0"/>
    <w:rsid w:val="002E6F27"/>
    <w:rsid w:val="002E6FFD"/>
    <w:rsid w:val="002E7BD4"/>
    <w:rsid w:val="002E7D3D"/>
    <w:rsid w:val="002F0043"/>
    <w:rsid w:val="002F130F"/>
    <w:rsid w:val="002F1323"/>
    <w:rsid w:val="002F13CC"/>
    <w:rsid w:val="002F1D49"/>
    <w:rsid w:val="002F1D63"/>
    <w:rsid w:val="002F25A2"/>
    <w:rsid w:val="002F2792"/>
    <w:rsid w:val="002F27AC"/>
    <w:rsid w:val="002F2AB5"/>
    <w:rsid w:val="002F2E9B"/>
    <w:rsid w:val="002F30DE"/>
    <w:rsid w:val="002F327B"/>
    <w:rsid w:val="002F36EF"/>
    <w:rsid w:val="002F3868"/>
    <w:rsid w:val="002F4008"/>
    <w:rsid w:val="002F402C"/>
    <w:rsid w:val="002F44AA"/>
    <w:rsid w:val="002F4521"/>
    <w:rsid w:val="002F478D"/>
    <w:rsid w:val="002F4800"/>
    <w:rsid w:val="002F48E0"/>
    <w:rsid w:val="002F4988"/>
    <w:rsid w:val="002F4B73"/>
    <w:rsid w:val="002F5038"/>
    <w:rsid w:val="002F503B"/>
    <w:rsid w:val="002F50C6"/>
    <w:rsid w:val="002F5162"/>
    <w:rsid w:val="002F5682"/>
    <w:rsid w:val="002F5BA4"/>
    <w:rsid w:val="002F61DD"/>
    <w:rsid w:val="002F63E3"/>
    <w:rsid w:val="002F6585"/>
    <w:rsid w:val="002F6EEB"/>
    <w:rsid w:val="002F72C2"/>
    <w:rsid w:val="002F74A3"/>
    <w:rsid w:val="002F75E7"/>
    <w:rsid w:val="002F763D"/>
    <w:rsid w:val="002F7650"/>
    <w:rsid w:val="002F76FA"/>
    <w:rsid w:val="002F78B1"/>
    <w:rsid w:val="002F7CB1"/>
    <w:rsid w:val="002F7CE4"/>
    <w:rsid w:val="002F7F65"/>
    <w:rsid w:val="00300AB1"/>
    <w:rsid w:val="00300AB9"/>
    <w:rsid w:val="00300DA4"/>
    <w:rsid w:val="00300E11"/>
    <w:rsid w:val="003013DF"/>
    <w:rsid w:val="003015DC"/>
    <w:rsid w:val="00301BE7"/>
    <w:rsid w:val="00301D4A"/>
    <w:rsid w:val="00302085"/>
    <w:rsid w:val="00302666"/>
    <w:rsid w:val="00302969"/>
    <w:rsid w:val="0030298C"/>
    <w:rsid w:val="003029A1"/>
    <w:rsid w:val="00302A0A"/>
    <w:rsid w:val="00302DC0"/>
    <w:rsid w:val="00303547"/>
    <w:rsid w:val="00303AEF"/>
    <w:rsid w:val="00303B29"/>
    <w:rsid w:val="00303BCF"/>
    <w:rsid w:val="00303D7B"/>
    <w:rsid w:val="003042E4"/>
    <w:rsid w:val="003043AA"/>
    <w:rsid w:val="003046C0"/>
    <w:rsid w:val="00304A1D"/>
    <w:rsid w:val="00304A20"/>
    <w:rsid w:val="00304D0A"/>
    <w:rsid w:val="00305714"/>
    <w:rsid w:val="00305D98"/>
    <w:rsid w:val="00305EDF"/>
    <w:rsid w:val="00305FB8"/>
    <w:rsid w:val="00305FFD"/>
    <w:rsid w:val="003060BD"/>
    <w:rsid w:val="00306393"/>
    <w:rsid w:val="00306454"/>
    <w:rsid w:val="003064E0"/>
    <w:rsid w:val="00306BBE"/>
    <w:rsid w:val="00307156"/>
    <w:rsid w:val="0030736A"/>
    <w:rsid w:val="003073A4"/>
    <w:rsid w:val="003073CE"/>
    <w:rsid w:val="00307612"/>
    <w:rsid w:val="00307835"/>
    <w:rsid w:val="003079D4"/>
    <w:rsid w:val="00307BF3"/>
    <w:rsid w:val="00307D28"/>
    <w:rsid w:val="00307D70"/>
    <w:rsid w:val="00307DF4"/>
    <w:rsid w:val="003101B6"/>
    <w:rsid w:val="0031060E"/>
    <w:rsid w:val="003106A3"/>
    <w:rsid w:val="0031084D"/>
    <w:rsid w:val="0031089A"/>
    <w:rsid w:val="003109A9"/>
    <w:rsid w:val="003109E6"/>
    <w:rsid w:val="00310E14"/>
    <w:rsid w:val="0031127C"/>
    <w:rsid w:val="00311592"/>
    <w:rsid w:val="00311660"/>
    <w:rsid w:val="003116AF"/>
    <w:rsid w:val="00311B2C"/>
    <w:rsid w:val="00312240"/>
    <w:rsid w:val="00312734"/>
    <w:rsid w:val="00312A0D"/>
    <w:rsid w:val="00312D31"/>
    <w:rsid w:val="00312F30"/>
    <w:rsid w:val="00313187"/>
    <w:rsid w:val="0031396E"/>
    <w:rsid w:val="00314050"/>
    <w:rsid w:val="003144E5"/>
    <w:rsid w:val="00314550"/>
    <w:rsid w:val="00314A11"/>
    <w:rsid w:val="00314B61"/>
    <w:rsid w:val="00314C68"/>
    <w:rsid w:val="00314EDA"/>
    <w:rsid w:val="00315079"/>
    <w:rsid w:val="0031541E"/>
    <w:rsid w:val="003159AA"/>
    <w:rsid w:val="00315BB8"/>
    <w:rsid w:val="00315C3F"/>
    <w:rsid w:val="00315E5F"/>
    <w:rsid w:val="00316B33"/>
    <w:rsid w:val="0031733C"/>
    <w:rsid w:val="003176B9"/>
    <w:rsid w:val="0031787A"/>
    <w:rsid w:val="00317D36"/>
    <w:rsid w:val="0032009C"/>
    <w:rsid w:val="00320A6B"/>
    <w:rsid w:val="00321710"/>
    <w:rsid w:val="00321752"/>
    <w:rsid w:val="0032185A"/>
    <w:rsid w:val="00321AA1"/>
    <w:rsid w:val="00321DB0"/>
    <w:rsid w:val="00322209"/>
    <w:rsid w:val="003223EB"/>
    <w:rsid w:val="00322909"/>
    <w:rsid w:val="00322A8C"/>
    <w:rsid w:val="00323AEB"/>
    <w:rsid w:val="00323DE9"/>
    <w:rsid w:val="00323F07"/>
    <w:rsid w:val="00323FEF"/>
    <w:rsid w:val="003241D7"/>
    <w:rsid w:val="0032445C"/>
    <w:rsid w:val="00324ADD"/>
    <w:rsid w:val="00325464"/>
    <w:rsid w:val="00325B3D"/>
    <w:rsid w:val="00325E29"/>
    <w:rsid w:val="003276B2"/>
    <w:rsid w:val="00327A88"/>
    <w:rsid w:val="00327B9B"/>
    <w:rsid w:val="0033013A"/>
    <w:rsid w:val="00330458"/>
    <w:rsid w:val="0033089D"/>
    <w:rsid w:val="00330DCC"/>
    <w:rsid w:val="00330F28"/>
    <w:rsid w:val="003318E6"/>
    <w:rsid w:val="00331B4F"/>
    <w:rsid w:val="00331E97"/>
    <w:rsid w:val="003324B2"/>
    <w:rsid w:val="00332C58"/>
    <w:rsid w:val="003331D6"/>
    <w:rsid w:val="0033337F"/>
    <w:rsid w:val="003333FF"/>
    <w:rsid w:val="0033344B"/>
    <w:rsid w:val="0033363A"/>
    <w:rsid w:val="003338ED"/>
    <w:rsid w:val="00333B42"/>
    <w:rsid w:val="00333DA6"/>
    <w:rsid w:val="003343F3"/>
    <w:rsid w:val="0033490D"/>
    <w:rsid w:val="00334BDA"/>
    <w:rsid w:val="00334C26"/>
    <w:rsid w:val="00334C39"/>
    <w:rsid w:val="00335980"/>
    <w:rsid w:val="00335A20"/>
    <w:rsid w:val="00336545"/>
    <w:rsid w:val="0033654A"/>
    <w:rsid w:val="00336F9E"/>
    <w:rsid w:val="003374A6"/>
    <w:rsid w:val="0034022B"/>
    <w:rsid w:val="0034041A"/>
    <w:rsid w:val="00340B96"/>
    <w:rsid w:val="00340CA4"/>
    <w:rsid w:val="00341074"/>
    <w:rsid w:val="003410BB"/>
    <w:rsid w:val="00341380"/>
    <w:rsid w:val="00341DD1"/>
    <w:rsid w:val="00341DE0"/>
    <w:rsid w:val="003426C0"/>
    <w:rsid w:val="003430EB"/>
    <w:rsid w:val="00343572"/>
    <w:rsid w:val="0034369E"/>
    <w:rsid w:val="00344073"/>
    <w:rsid w:val="003443DE"/>
    <w:rsid w:val="00344686"/>
    <w:rsid w:val="003446EE"/>
    <w:rsid w:val="0034544A"/>
    <w:rsid w:val="00345BB9"/>
    <w:rsid w:val="00345D4E"/>
    <w:rsid w:val="00345ECE"/>
    <w:rsid w:val="00345F3D"/>
    <w:rsid w:val="003460E4"/>
    <w:rsid w:val="003460F9"/>
    <w:rsid w:val="003461A5"/>
    <w:rsid w:val="00346345"/>
    <w:rsid w:val="003463D2"/>
    <w:rsid w:val="0034665E"/>
    <w:rsid w:val="00346AA5"/>
    <w:rsid w:val="00346C78"/>
    <w:rsid w:val="00347463"/>
    <w:rsid w:val="0034753B"/>
    <w:rsid w:val="0034783B"/>
    <w:rsid w:val="00347AA7"/>
    <w:rsid w:val="0035099E"/>
    <w:rsid w:val="0035196F"/>
    <w:rsid w:val="0035202D"/>
    <w:rsid w:val="00352DC0"/>
    <w:rsid w:val="00353038"/>
    <w:rsid w:val="003535B7"/>
    <w:rsid w:val="00354618"/>
    <w:rsid w:val="00354A31"/>
    <w:rsid w:val="00354BCD"/>
    <w:rsid w:val="00354D9F"/>
    <w:rsid w:val="00354F2A"/>
    <w:rsid w:val="0035526D"/>
    <w:rsid w:val="00355646"/>
    <w:rsid w:val="00355E15"/>
    <w:rsid w:val="003561E5"/>
    <w:rsid w:val="0035623D"/>
    <w:rsid w:val="003562FC"/>
    <w:rsid w:val="0035636D"/>
    <w:rsid w:val="00356524"/>
    <w:rsid w:val="003568BE"/>
    <w:rsid w:val="00356B92"/>
    <w:rsid w:val="00356C7C"/>
    <w:rsid w:val="00356EEF"/>
    <w:rsid w:val="0035710C"/>
    <w:rsid w:val="0035715D"/>
    <w:rsid w:val="0035758D"/>
    <w:rsid w:val="003578D3"/>
    <w:rsid w:val="00357D0F"/>
    <w:rsid w:val="003604A5"/>
    <w:rsid w:val="003605B2"/>
    <w:rsid w:val="003607AE"/>
    <w:rsid w:val="003608B9"/>
    <w:rsid w:val="00360F9F"/>
    <w:rsid w:val="003612D3"/>
    <w:rsid w:val="0036138E"/>
    <w:rsid w:val="003615A4"/>
    <w:rsid w:val="003616AB"/>
    <w:rsid w:val="00361C46"/>
    <w:rsid w:val="00361DFE"/>
    <w:rsid w:val="003629FF"/>
    <w:rsid w:val="00363103"/>
    <w:rsid w:val="0036347F"/>
    <w:rsid w:val="00363540"/>
    <w:rsid w:val="0036354D"/>
    <w:rsid w:val="003646A9"/>
    <w:rsid w:val="00364F98"/>
    <w:rsid w:val="00365745"/>
    <w:rsid w:val="0036580C"/>
    <w:rsid w:val="0036588D"/>
    <w:rsid w:val="003668AA"/>
    <w:rsid w:val="003668E4"/>
    <w:rsid w:val="0036705E"/>
    <w:rsid w:val="0036743C"/>
    <w:rsid w:val="00367643"/>
    <w:rsid w:val="003677A5"/>
    <w:rsid w:val="00367F47"/>
    <w:rsid w:val="0037028A"/>
    <w:rsid w:val="00370BEB"/>
    <w:rsid w:val="00371C2A"/>
    <w:rsid w:val="00371C7E"/>
    <w:rsid w:val="00371D67"/>
    <w:rsid w:val="00371DBB"/>
    <w:rsid w:val="0037265F"/>
    <w:rsid w:val="0037311E"/>
    <w:rsid w:val="00373674"/>
    <w:rsid w:val="003737DF"/>
    <w:rsid w:val="00373967"/>
    <w:rsid w:val="003749A1"/>
    <w:rsid w:val="00374A25"/>
    <w:rsid w:val="00374A56"/>
    <w:rsid w:val="00374B4D"/>
    <w:rsid w:val="00375472"/>
    <w:rsid w:val="00375E31"/>
    <w:rsid w:val="00375F51"/>
    <w:rsid w:val="003766D4"/>
    <w:rsid w:val="0037732C"/>
    <w:rsid w:val="00377393"/>
    <w:rsid w:val="003775D2"/>
    <w:rsid w:val="0037760C"/>
    <w:rsid w:val="00377641"/>
    <w:rsid w:val="00377A5A"/>
    <w:rsid w:val="00377C8D"/>
    <w:rsid w:val="00377EF8"/>
    <w:rsid w:val="00377F3B"/>
    <w:rsid w:val="003804EB"/>
    <w:rsid w:val="003805DF"/>
    <w:rsid w:val="0038090B"/>
    <w:rsid w:val="00380D50"/>
    <w:rsid w:val="00380EE3"/>
    <w:rsid w:val="00381112"/>
    <w:rsid w:val="00381275"/>
    <w:rsid w:val="003812B5"/>
    <w:rsid w:val="003814EB"/>
    <w:rsid w:val="00381A78"/>
    <w:rsid w:val="00381A8B"/>
    <w:rsid w:val="00382677"/>
    <w:rsid w:val="00383323"/>
    <w:rsid w:val="00384092"/>
    <w:rsid w:val="0038472C"/>
    <w:rsid w:val="00384820"/>
    <w:rsid w:val="00384E78"/>
    <w:rsid w:val="00385760"/>
    <w:rsid w:val="00385968"/>
    <w:rsid w:val="00385AC2"/>
    <w:rsid w:val="00385C43"/>
    <w:rsid w:val="00385C96"/>
    <w:rsid w:val="0038606F"/>
    <w:rsid w:val="00386857"/>
    <w:rsid w:val="00386C1A"/>
    <w:rsid w:val="003872CD"/>
    <w:rsid w:val="0038769C"/>
    <w:rsid w:val="003877B1"/>
    <w:rsid w:val="00390091"/>
    <w:rsid w:val="00390561"/>
    <w:rsid w:val="003905CF"/>
    <w:rsid w:val="00390C86"/>
    <w:rsid w:val="0039175A"/>
    <w:rsid w:val="00391EBF"/>
    <w:rsid w:val="003922D6"/>
    <w:rsid w:val="00392A54"/>
    <w:rsid w:val="00393558"/>
    <w:rsid w:val="00394941"/>
    <w:rsid w:val="0039497D"/>
    <w:rsid w:val="00395946"/>
    <w:rsid w:val="003965FD"/>
    <w:rsid w:val="00396945"/>
    <w:rsid w:val="00396A5C"/>
    <w:rsid w:val="00396F95"/>
    <w:rsid w:val="00397121"/>
    <w:rsid w:val="00397B2F"/>
    <w:rsid w:val="00397E0C"/>
    <w:rsid w:val="003A0A31"/>
    <w:rsid w:val="003A0D06"/>
    <w:rsid w:val="003A16EB"/>
    <w:rsid w:val="003A1FED"/>
    <w:rsid w:val="003A2178"/>
    <w:rsid w:val="003A21C1"/>
    <w:rsid w:val="003A246E"/>
    <w:rsid w:val="003A2785"/>
    <w:rsid w:val="003A2A45"/>
    <w:rsid w:val="003A2A87"/>
    <w:rsid w:val="003A2F0B"/>
    <w:rsid w:val="003A2F63"/>
    <w:rsid w:val="003A312C"/>
    <w:rsid w:val="003A3616"/>
    <w:rsid w:val="003A483F"/>
    <w:rsid w:val="003A4A3D"/>
    <w:rsid w:val="003A4EE7"/>
    <w:rsid w:val="003A4FB6"/>
    <w:rsid w:val="003A5518"/>
    <w:rsid w:val="003A5C58"/>
    <w:rsid w:val="003A6200"/>
    <w:rsid w:val="003A697B"/>
    <w:rsid w:val="003A6A42"/>
    <w:rsid w:val="003A6B47"/>
    <w:rsid w:val="003A6DA0"/>
    <w:rsid w:val="003A798C"/>
    <w:rsid w:val="003A7D83"/>
    <w:rsid w:val="003A7F0C"/>
    <w:rsid w:val="003B10DD"/>
    <w:rsid w:val="003B1B5F"/>
    <w:rsid w:val="003B1C14"/>
    <w:rsid w:val="003B1ED9"/>
    <w:rsid w:val="003B2131"/>
    <w:rsid w:val="003B2625"/>
    <w:rsid w:val="003B294D"/>
    <w:rsid w:val="003B3219"/>
    <w:rsid w:val="003B35BE"/>
    <w:rsid w:val="003B3982"/>
    <w:rsid w:val="003B3E40"/>
    <w:rsid w:val="003B44CD"/>
    <w:rsid w:val="003B455B"/>
    <w:rsid w:val="003B4864"/>
    <w:rsid w:val="003B4BCB"/>
    <w:rsid w:val="003B4D6A"/>
    <w:rsid w:val="003B52C0"/>
    <w:rsid w:val="003B5DD3"/>
    <w:rsid w:val="003B611E"/>
    <w:rsid w:val="003B6331"/>
    <w:rsid w:val="003B638E"/>
    <w:rsid w:val="003B6727"/>
    <w:rsid w:val="003B6840"/>
    <w:rsid w:val="003B6AFB"/>
    <w:rsid w:val="003B7135"/>
    <w:rsid w:val="003B731A"/>
    <w:rsid w:val="003B75CD"/>
    <w:rsid w:val="003B75E3"/>
    <w:rsid w:val="003B779B"/>
    <w:rsid w:val="003B77E8"/>
    <w:rsid w:val="003B79C1"/>
    <w:rsid w:val="003B7EB6"/>
    <w:rsid w:val="003B7FBE"/>
    <w:rsid w:val="003B7FC8"/>
    <w:rsid w:val="003C0991"/>
    <w:rsid w:val="003C11A2"/>
    <w:rsid w:val="003C177A"/>
    <w:rsid w:val="003C18E8"/>
    <w:rsid w:val="003C1DCA"/>
    <w:rsid w:val="003C1EEA"/>
    <w:rsid w:val="003C2147"/>
    <w:rsid w:val="003C2272"/>
    <w:rsid w:val="003C24C1"/>
    <w:rsid w:val="003C2503"/>
    <w:rsid w:val="003C25B4"/>
    <w:rsid w:val="003C2C4E"/>
    <w:rsid w:val="003C2CD7"/>
    <w:rsid w:val="003C2D16"/>
    <w:rsid w:val="003C2FBC"/>
    <w:rsid w:val="003C306C"/>
    <w:rsid w:val="003C3953"/>
    <w:rsid w:val="003C45D2"/>
    <w:rsid w:val="003C4D20"/>
    <w:rsid w:val="003C566E"/>
    <w:rsid w:val="003C58D2"/>
    <w:rsid w:val="003C5E79"/>
    <w:rsid w:val="003C6269"/>
    <w:rsid w:val="003C6294"/>
    <w:rsid w:val="003C63A8"/>
    <w:rsid w:val="003C6505"/>
    <w:rsid w:val="003C68C9"/>
    <w:rsid w:val="003C6B8E"/>
    <w:rsid w:val="003C7105"/>
    <w:rsid w:val="003C7678"/>
    <w:rsid w:val="003C781F"/>
    <w:rsid w:val="003C7975"/>
    <w:rsid w:val="003C7A88"/>
    <w:rsid w:val="003C7BFF"/>
    <w:rsid w:val="003D002A"/>
    <w:rsid w:val="003D00B2"/>
    <w:rsid w:val="003D00C2"/>
    <w:rsid w:val="003D09B5"/>
    <w:rsid w:val="003D0AE7"/>
    <w:rsid w:val="003D106F"/>
    <w:rsid w:val="003D173B"/>
    <w:rsid w:val="003D17B8"/>
    <w:rsid w:val="003D1DBC"/>
    <w:rsid w:val="003D1E5D"/>
    <w:rsid w:val="003D1EB3"/>
    <w:rsid w:val="003D2397"/>
    <w:rsid w:val="003D259C"/>
    <w:rsid w:val="003D269B"/>
    <w:rsid w:val="003D283E"/>
    <w:rsid w:val="003D28BE"/>
    <w:rsid w:val="003D2A7A"/>
    <w:rsid w:val="003D2A9E"/>
    <w:rsid w:val="003D31C0"/>
    <w:rsid w:val="003D4046"/>
    <w:rsid w:val="003D4113"/>
    <w:rsid w:val="003D41B2"/>
    <w:rsid w:val="003D469F"/>
    <w:rsid w:val="003D4758"/>
    <w:rsid w:val="003D4BF2"/>
    <w:rsid w:val="003D4C7B"/>
    <w:rsid w:val="003D503E"/>
    <w:rsid w:val="003D53AE"/>
    <w:rsid w:val="003D5BE3"/>
    <w:rsid w:val="003D5C27"/>
    <w:rsid w:val="003D5D7E"/>
    <w:rsid w:val="003D60D4"/>
    <w:rsid w:val="003D696D"/>
    <w:rsid w:val="003D6980"/>
    <w:rsid w:val="003D6DF4"/>
    <w:rsid w:val="003D6E28"/>
    <w:rsid w:val="003D704A"/>
    <w:rsid w:val="003D706B"/>
    <w:rsid w:val="003D711B"/>
    <w:rsid w:val="003D7724"/>
    <w:rsid w:val="003D7DF2"/>
    <w:rsid w:val="003E033B"/>
    <w:rsid w:val="003E0799"/>
    <w:rsid w:val="003E0EC2"/>
    <w:rsid w:val="003E1061"/>
    <w:rsid w:val="003E11D3"/>
    <w:rsid w:val="003E16F6"/>
    <w:rsid w:val="003E170D"/>
    <w:rsid w:val="003E1783"/>
    <w:rsid w:val="003E2B6C"/>
    <w:rsid w:val="003E2D60"/>
    <w:rsid w:val="003E2DD1"/>
    <w:rsid w:val="003E3346"/>
    <w:rsid w:val="003E34BA"/>
    <w:rsid w:val="003E3C50"/>
    <w:rsid w:val="003E3E54"/>
    <w:rsid w:val="003E4991"/>
    <w:rsid w:val="003E5705"/>
    <w:rsid w:val="003E598C"/>
    <w:rsid w:val="003E6080"/>
    <w:rsid w:val="003E63F3"/>
    <w:rsid w:val="003E647E"/>
    <w:rsid w:val="003E7632"/>
    <w:rsid w:val="003E76DB"/>
    <w:rsid w:val="003E797D"/>
    <w:rsid w:val="003E7A07"/>
    <w:rsid w:val="003E7DC3"/>
    <w:rsid w:val="003F00A6"/>
    <w:rsid w:val="003F00DD"/>
    <w:rsid w:val="003F01F3"/>
    <w:rsid w:val="003F02A9"/>
    <w:rsid w:val="003F048F"/>
    <w:rsid w:val="003F0753"/>
    <w:rsid w:val="003F0914"/>
    <w:rsid w:val="003F0956"/>
    <w:rsid w:val="003F0C53"/>
    <w:rsid w:val="003F0E7C"/>
    <w:rsid w:val="003F1198"/>
    <w:rsid w:val="003F1803"/>
    <w:rsid w:val="003F1CB1"/>
    <w:rsid w:val="003F1E25"/>
    <w:rsid w:val="003F1EFE"/>
    <w:rsid w:val="003F1F99"/>
    <w:rsid w:val="003F2045"/>
    <w:rsid w:val="003F225A"/>
    <w:rsid w:val="003F23C7"/>
    <w:rsid w:val="003F2463"/>
    <w:rsid w:val="003F256A"/>
    <w:rsid w:val="003F274A"/>
    <w:rsid w:val="003F3096"/>
    <w:rsid w:val="003F31FD"/>
    <w:rsid w:val="003F386F"/>
    <w:rsid w:val="003F3B4E"/>
    <w:rsid w:val="003F462C"/>
    <w:rsid w:val="003F4B2E"/>
    <w:rsid w:val="003F4FC7"/>
    <w:rsid w:val="003F511E"/>
    <w:rsid w:val="003F520C"/>
    <w:rsid w:val="003F5347"/>
    <w:rsid w:val="003F59D2"/>
    <w:rsid w:val="003F5AAB"/>
    <w:rsid w:val="003F5BB5"/>
    <w:rsid w:val="003F68C4"/>
    <w:rsid w:val="003F6BA9"/>
    <w:rsid w:val="003F6C38"/>
    <w:rsid w:val="003F6C60"/>
    <w:rsid w:val="003F757D"/>
    <w:rsid w:val="003F75C8"/>
    <w:rsid w:val="003F78A0"/>
    <w:rsid w:val="003F7A93"/>
    <w:rsid w:val="003F7CFC"/>
    <w:rsid w:val="003F7F65"/>
    <w:rsid w:val="004000F1"/>
    <w:rsid w:val="00400188"/>
    <w:rsid w:val="00400823"/>
    <w:rsid w:val="00400B69"/>
    <w:rsid w:val="004011D6"/>
    <w:rsid w:val="00401350"/>
    <w:rsid w:val="00401E88"/>
    <w:rsid w:val="00401EC9"/>
    <w:rsid w:val="00402748"/>
    <w:rsid w:val="0040300A"/>
    <w:rsid w:val="004031C8"/>
    <w:rsid w:val="0040389C"/>
    <w:rsid w:val="004038E0"/>
    <w:rsid w:val="00404423"/>
    <w:rsid w:val="00404545"/>
    <w:rsid w:val="00404E3A"/>
    <w:rsid w:val="00404E73"/>
    <w:rsid w:val="0040532B"/>
    <w:rsid w:val="0040562F"/>
    <w:rsid w:val="004056E1"/>
    <w:rsid w:val="00405B2D"/>
    <w:rsid w:val="00405B5F"/>
    <w:rsid w:val="00405EC8"/>
    <w:rsid w:val="00406224"/>
    <w:rsid w:val="004071DF"/>
    <w:rsid w:val="00407442"/>
    <w:rsid w:val="0040746C"/>
    <w:rsid w:val="0040798B"/>
    <w:rsid w:val="0041005A"/>
    <w:rsid w:val="0041038E"/>
    <w:rsid w:val="00410D05"/>
    <w:rsid w:val="00410FF6"/>
    <w:rsid w:val="00412206"/>
    <w:rsid w:val="00412AD3"/>
    <w:rsid w:val="00414558"/>
    <w:rsid w:val="00414963"/>
    <w:rsid w:val="004149DA"/>
    <w:rsid w:val="00414A09"/>
    <w:rsid w:val="00415118"/>
    <w:rsid w:val="0041582C"/>
    <w:rsid w:val="004159F4"/>
    <w:rsid w:val="00415FF9"/>
    <w:rsid w:val="00416114"/>
    <w:rsid w:val="004165E2"/>
    <w:rsid w:val="00416963"/>
    <w:rsid w:val="00416A9D"/>
    <w:rsid w:val="0041769A"/>
    <w:rsid w:val="004177A5"/>
    <w:rsid w:val="0041782B"/>
    <w:rsid w:val="00417CC4"/>
    <w:rsid w:val="0042018B"/>
    <w:rsid w:val="00420245"/>
    <w:rsid w:val="00420280"/>
    <w:rsid w:val="00420C32"/>
    <w:rsid w:val="00420E41"/>
    <w:rsid w:val="00421071"/>
    <w:rsid w:val="00421825"/>
    <w:rsid w:val="00421A58"/>
    <w:rsid w:val="004224A0"/>
    <w:rsid w:val="00422CF9"/>
    <w:rsid w:val="0042319A"/>
    <w:rsid w:val="00423365"/>
    <w:rsid w:val="00423A2D"/>
    <w:rsid w:val="0042403B"/>
    <w:rsid w:val="004243A5"/>
    <w:rsid w:val="00424BCC"/>
    <w:rsid w:val="00424E51"/>
    <w:rsid w:val="00424FE1"/>
    <w:rsid w:val="00425283"/>
    <w:rsid w:val="00425721"/>
    <w:rsid w:val="00426016"/>
    <w:rsid w:val="00426215"/>
    <w:rsid w:val="00426446"/>
    <w:rsid w:val="00426773"/>
    <w:rsid w:val="00426BF5"/>
    <w:rsid w:val="00426C62"/>
    <w:rsid w:val="00427247"/>
    <w:rsid w:val="0042739E"/>
    <w:rsid w:val="00427659"/>
    <w:rsid w:val="004279F6"/>
    <w:rsid w:val="004305E1"/>
    <w:rsid w:val="0043076A"/>
    <w:rsid w:val="00430B12"/>
    <w:rsid w:val="0043118D"/>
    <w:rsid w:val="00431353"/>
    <w:rsid w:val="00432053"/>
    <w:rsid w:val="0043265B"/>
    <w:rsid w:val="00432F10"/>
    <w:rsid w:val="0043301A"/>
    <w:rsid w:val="004331F5"/>
    <w:rsid w:val="00433507"/>
    <w:rsid w:val="004339DA"/>
    <w:rsid w:val="004345B8"/>
    <w:rsid w:val="00434980"/>
    <w:rsid w:val="00434B32"/>
    <w:rsid w:val="00434F28"/>
    <w:rsid w:val="004350B6"/>
    <w:rsid w:val="00435160"/>
    <w:rsid w:val="0043517C"/>
    <w:rsid w:val="0043587A"/>
    <w:rsid w:val="00435BEE"/>
    <w:rsid w:val="00435DA1"/>
    <w:rsid w:val="00435EF2"/>
    <w:rsid w:val="00435F8B"/>
    <w:rsid w:val="004361F1"/>
    <w:rsid w:val="00436268"/>
    <w:rsid w:val="0043675C"/>
    <w:rsid w:val="0043743F"/>
    <w:rsid w:val="0043777A"/>
    <w:rsid w:val="00437C90"/>
    <w:rsid w:val="00440673"/>
    <w:rsid w:val="00440767"/>
    <w:rsid w:val="004407EF"/>
    <w:rsid w:val="00440BCA"/>
    <w:rsid w:val="00440E79"/>
    <w:rsid w:val="004415A7"/>
    <w:rsid w:val="00441776"/>
    <w:rsid w:val="004419BA"/>
    <w:rsid w:val="00441B23"/>
    <w:rsid w:val="00441C0B"/>
    <w:rsid w:val="00441EEF"/>
    <w:rsid w:val="00441FD4"/>
    <w:rsid w:val="00442006"/>
    <w:rsid w:val="00442332"/>
    <w:rsid w:val="004423CC"/>
    <w:rsid w:val="00442793"/>
    <w:rsid w:val="00442930"/>
    <w:rsid w:val="00442A94"/>
    <w:rsid w:val="00442BDF"/>
    <w:rsid w:val="00442E9C"/>
    <w:rsid w:val="00443233"/>
    <w:rsid w:val="004432D3"/>
    <w:rsid w:val="004433AC"/>
    <w:rsid w:val="00443577"/>
    <w:rsid w:val="004438A8"/>
    <w:rsid w:val="004438DF"/>
    <w:rsid w:val="00443912"/>
    <w:rsid w:val="00444261"/>
    <w:rsid w:val="00444937"/>
    <w:rsid w:val="00444A24"/>
    <w:rsid w:val="00444D6B"/>
    <w:rsid w:val="004452F8"/>
    <w:rsid w:val="00445996"/>
    <w:rsid w:val="004459FE"/>
    <w:rsid w:val="004465CA"/>
    <w:rsid w:val="004468E2"/>
    <w:rsid w:val="0044694A"/>
    <w:rsid w:val="00446F71"/>
    <w:rsid w:val="0044738D"/>
    <w:rsid w:val="0044769D"/>
    <w:rsid w:val="00447C8A"/>
    <w:rsid w:val="00447D0B"/>
    <w:rsid w:val="00447F41"/>
    <w:rsid w:val="00451827"/>
    <w:rsid w:val="0045182A"/>
    <w:rsid w:val="00452408"/>
    <w:rsid w:val="004525CF"/>
    <w:rsid w:val="0045280D"/>
    <w:rsid w:val="00452972"/>
    <w:rsid w:val="00452A9E"/>
    <w:rsid w:val="00452AC7"/>
    <w:rsid w:val="00452E52"/>
    <w:rsid w:val="00452EAD"/>
    <w:rsid w:val="004533D2"/>
    <w:rsid w:val="0045347A"/>
    <w:rsid w:val="004536E7"/>
    <w:rsid w:val="00453A56"/>
    <w:rsid w:val="00453DF0"/>
    <w:rsid w:val="004541B5"/>
    <w:rsid w:val="004546BD"/>
    <w:rsid w:val="00454EA7"/>
    <w:rsid w:val="00455075"/>
    <w:rsid w:val="004551AE"/>
    <w:rsid w:val="004552D4"/>
    <w:rsid w:val="00455557"/>
    <w:rsid w:val="00455E74"/>
    <w:rsid w:val="004565EC"/>
    <w:rsid w:val="004566A0"/>
    <w:rsid w:val="00456736"/>
    <w:rsid w:val="00456E22"/>
    <w:rsid w:val="004578C3"/>
    <w:rsid w:val="00457B86"/>
    <w:rsid w:val="00457EF3"/>
    <w:rsid w:val="004607C8"/>
    <w:rsid w:val="0046093F"/>
    <w:rsid w:val="00460DCF"/>
    <w:rsid w:val="00461046"/>
    <w:rsid w:val="004612F4"/>
    <w:rsid w:val="00461312"/>
    <w:rsid w:val="00461328"/>
    <w:rsid w:val="00461FC5"/>
    <w:rsid w:val="00462228"/>
    <w:rsid w:val="00462326"/>
    <w:rsid w:val="00462602"/>
    <w:rsid w:val="00462635"/>
    <w:rsid w:val="00462C46"/>
    <w:rsid w:val="00462D8D"/>
    <w:rsid w:val="004633C1"/>
    <w:rsid w:val="00463A59"/>
    <w:rsid w:val="004643AC"/>
    <w:rsid w:val="00464417"/>
    <w:rsid w:val="0046478E"/>
    <w:rsid w:val="00464F47"/>
    <w:rsid w:val="0046571D"/>
    <w:rsid w:val="00465B74"/>
    <w:rsid w:val="00465BD4"/>
    <w:rsid w:val="00466292"/>
    <w:rsid w:val="00466764"/>
    <w:rsid w:val="00466A2B"/>
    <w:rsid w:val="00466B83"/>
    <w:rsid w:val="00467093"/>
    <w:rsid w:val="0046742B"/>
    <w:rsid w:val="00467C80"/>
    <w:rsid w:val="0047004B"/>
    <w:rsid w:val="00470AD7"/>
    <w:rsid w:val="00471038"/>
    <w:rsid w:val="004711FA"/>
    <w:rsid w:val="004712BA"/>
    <w:rsid w:val="0047148B"/>
    <w:rsid w:val="00471520"/>
    <w:rsid w:val="004720A1"/>
    <w:rsid w:val="004720B2"/>
    <w:rsid w:val="00472529"/>
    <w:rsid w:val="00472814"/>
    <w:rsid w:val="004728AA"/>
    <w:rsid w:val="004728C7"/>
    <w:rsid w:val="00472E1B"/>
    <w:rsid w:val="00472FFC"/>
    <w:rsid w:val="004730B2"/>
    <w:rsid w:val="004731BB"/>
    <w:rsid w:val="00473627"/>
    <w:rsid w:val="00473ACC"/>
    <w:rsid w:val="0047413F"/>
    <w:rsid w:val="0047452C"/>
    <w:rsid w:val="00474862"/>
    <w:rsid w:val="00474B20"/>
    <w:rsid w:val="00474CFC"/>
    <w:rsid w:val="00475C6B"/>
    <w:rsid w:val="0047636B"/>
    <w:rsid w:val="004765B4"/>
    <w:rsid w:val="004767A5"/>
    <w:rsid w:val="00476823"/>
    <w:rsid w:val="00476BBC"/>
    <w:rsid w:val="00477192"/>
    <w:rsid w:val="004774C6"/>
    <w:rsid w:val="004779A2"/>
    <w:rsid w:val="00477A86"/>
    <w:rsid w:val="00477D90"/>
    <w:rsid w:val="00480119"/>
    <w:rsid w:val="00480152"/>
    <w:rsid w:val="004810AA"/>
    <w:rsid w:val="0048141D"/>
    <w:rsid w:val="0048152E"/>
    <w:rsid w:val="00481E84"/>
    <w:rsid w:val="00481FC8"/>
    <w:rsid w:val="00482310"/>
    <w:rsid w:val="00482843"/>
    <w:rsid w:val="00482B86"/>
    <w:rsid w:val="0048317D"/>
    <w:rsid w:val="00483726"/>
    <w:rsid w:val="00483C90"/>
    <w:rsid w:val="0048425C"/>
    <w:rsid w:val="00484B8E"/>
    <w:rsid w:val="00484BAE"/>
    <w:rsid w:val="00484DEF"/>
    <w:rsid w:val="0048541E"/>
    <w:rsid w:val="00485624"/>
    <w:rsid w:val="00485703"/>
    <w:rsid w:val="00485849"/>
    <w:rsid w:val="004862E0"/>
    <w:rsid w:val="004863D0"/>
    <w:rsid w:val="00486BDB"/>
    <w:rsid w:val="0048785F"/>
    <w:rsid w:val="00487EFC"/>
    <w:rsid w:val="004902BF"/>
    <w:rsid w:val="00490517"/>
    <w:rsid w:val="00490B68"/>
    <w:rsid w:val="00490F6D"/>
    <w:rsid w:val="00491090"/>
    <w:rsid w:val="0049135F"/>
    <w:rsid w:val="004914B1"/>
    <w:rsid w:val="00491870"/>
    <w:rsid w:val="00491A19"/>
    <w:rsid w:val="00491D87"/>
    <w:rsid w:val="00491DDA"/>
    <w:rsid w:val="00491DE3"/>
    <w:rsid w:val="0049271D"/>
    <w:rsid w:val="00492B6E"/>
    <w:rsid w:val="00492CA4"/>
    <w:rsid w:val="00492DD8"/>
    <w:rsid w:val="00493654"/>
    <w:rsid w:val="004936A7"/>
    <w:rsid w:val="004936C2"/>
    <w:rsid w:val="0049383B"/>
    <w:rsid w:val="00493CD1"/>
    <w:rsid w:val="004940E2"/>
    <w:rsid w:val="00494230"/>
    <w:rsid w:val="004944AC"/>
    <w:rsid w:val="004944BD"/>
    <w:rsid w:val="004946F4"/>
    <w:rsid w:val="00494D8A"/>
    <w:rsid w:val="00494DDD"/>
    <w:rsid w:val="00494E5F"/>
    <w:rsid w:val="004958ED"/>
    <w:rsid w:val="00495914"/>
    <w:rsid w:val="004964EB"/>
    <w:rsid w:val="004976EF"/>
    <w:rsid w:val="00497817"/>
    <w:rsid w:val="004978BA"/>
    <w:rsid w:val="004979C4"/>
    <w:rsid w:val="00497BAD"/>
    <w:rsid w:val="00497F0F"/>
    <w:rsid w:val="004A0038"/>
    <w:rsid w:val="004A0380"/>
    <w:rsid w:val="004A043F"/>
    <w:rsid w:val="004A0DAB"/>
    <w:rsid w:val="004A16E8"/>
    <w:rsid w:val="004A1C5B"/>
    <w:rsid w:val="004A1F2A"/>
    <w:rsid w:val="004A2132"/>
    <w:rsid w:val="004A229A"/>
    <w:rsid w:val="004A23B5"/>
    <w:rsid w:val="004A240F"/>
    <w:rsid w:val="004A25E3"/>
    <w:rsid w:val="004A2C2B"/>
    <w:rsid w:val="004A2FE5"/>
    <w:rsid w:val="004A306E"/>
    <w:rsid w:val="004A30EB"/>
    <w:rsid w:val="004A3496"/>
    <w:rsid w:val="004A357A"/>
    <w:rsid w:val="004A3768"/>
    <w:rsid w:val="004A3A24"/>
    <w:rsid w:val="004A3CA5"/>
    <w:rsid w:val="004A3CC0"/>
    <w:rsid w:val="004A449F"/>
    <w:rsid w:val="004A46C5"/>
    <w:rsid w:val="004A4723"/>
    <w:rsid w:val="004A4A21"/>
    <w:rsid w:val="004A4DC7"/>
    <w:rsid w:val="004A4E48"/>
    <w:rsid w:val="004A4EB5"/>
    <w:rsid w:val="004A52E7"/>
    <w:rsid w:val="004A55A3"/>
    <w:rsid w:val="004A57F0"/>
    <w:rsid w:val="004A58EB"/>
    <w:rsid w:val="004A5D9D"/>
    <w:rsid w:val="004A6296"/>
    <w:rsid w:val="004A679A"/>
    <w:rsid w:val="004A6927"/>
    <w:rsid w:val="004A69A9"/>
    <w:rsid w:val="004A7757"/>
    <w:rsid w:val="004A79BF"/>
    <w:rsid w:val="004A7CD9"/>
    <w:rsid w:val="004A7F0C"/>
    <w:rsid w:val="004B0607"/>
    <w:rsid w:val="004B1292"/>
    <w:rsid w:val="004B13D7"/>
    <w:rsid w:val="004B16AF"/>
    <w:rsid w:val="004B16C6"/>
    <w:rsid w:val="004B20DB"/>
    <w:rsid w:val="004B2129"/>
    <w:rsid w:val="004B2693"/>
    <w:rsid w:val="004B2946"/>
    <w:rsid w:val="004B2BED"/>
    <w:rsid w:val="004B2C4A"/>
    <w:rsid w:val="004B2DE7"/>
    <w:rsid w:val="004B3137"/>
    <w:rsid w:val="004B3553"/>
    <w:rsid w:val="004B35BA"/>
    <w:rsid w:val="004B372E"/>
    <w:rsid w:val="004B3D09"/>
    <w:rsid w:val="004B4468"/>
    <w:rsid w:val="004B496F"/>
    <w:rsid w:val="004B50AE"/>
    <w:rsid w:val="004B51EF"/>
    <w:rsid w:val="004B5233"/>
    <w:rsid w:val="004B5813"/>
    <w:rsid w:val="004B5C9C"/>
    <w:rsid w:val="004B68B1"/>
    <w:rsid w:val="004B6AFF"/>
    <w:rsid w:val="004B6F1D"/>
    <w:rsid w:val="004B7642"/>
    <w:rsid w:val="004C051B"/>
    <w:rsid w:val="004C069B"/>
    <w:rsid w:val="004C18CA"/>
    <w:rsid w:val="004C1B38"/>
    <w:rsid w:val="004C1FFF"/>
    <w:rsid w:val="004C216D"/>
    <w:rsid w:val="004C2720"/>
    <w:rsid w:val="004C3306"/>
    <w:rsid w:val="004C38C8"/>
    <w:rsid w:val="004C4669"/>
    <w:rsid w:val="004C4725"/>
    <w:rsid w:val="004C49C8"/>
    <w:rsid w:val="004C578E"/>
    <w:rsid w:val="004C5867"/>
    <w:rsid w:val="004C5BC7"/>
    <w:rsid w:val="004C5D4F"/>
    <w:rsid w:val="004C633A"/>
    <w:rsid w:val="004C6628"/>
    <w:rsid w:val="004C67E5"/>
    <w:rsid w:val="004C6B90"/>
    <w:rsid w:val="004C6EDF"/>
    <w:rsid w:val="004C6F17"/>
    <w:rsid w:val="004C7520"/>
    <w:rsid w:val="004C77B1"/>
    <w:rsid w:val="004C78D8"/>
    <w:rsid w:val="004C7B90"/>
    <w:rsid w:val="004C7FB5"/>
    <w:rsid w:val="004D027B"/>
    <w:rsid w:val="004D0A98"/>
    <w:rsid w:val="004D0BD8"/>
    <w:rsid w:val="004D1077"/>
    <w:rsid w:val="004D145F"/>
    <w:rsid w:val="004D1560"/>
    <w:rsid w:val="004D1AD4"/>
    <w:rsid w:val="004D1C2B"/>
    <w:rsid w:val="004D24C1"/>
    <w:rsid w:val="004D2843"/>
    <w:rsid w:val="004D2DE7"/>
    <w:rsid w:val="004D35FF"/>
    <w:rsid w:val="004D38FB"/>
    <w:rsid w:val="004D3AB0"/>
    <w:rsid w:val="004D41D2"/>
    <w:rsid w:val="004D4A03"/>
    <w:rsid w:val="004D4ADD"/>
    <w:rsid w:val="004D4D03"/>
    <w:rsid w:val="004D5086"/>
    <w:rsid w:val="004D528F"/>
    <w:rsid w:val="004D5536"/>
    <w:rsid w:val="004D58B1"/>
    <w:rsid w:val="004D58E9"/>
    <w:rsid w:val="004D5A05"/>
    <w:rsid w:val="004D60B5"/>
    <w:rsid w:val="004D638C"/>
    <w:rsid w:val="004D644C"/>
    <w:rsid w:val="004D6E8C"/>
    <w:rsid w:val="004D736F"/>
    <w:rsid w:val="004D73BC"/>
    <w:rsid w:val="004E0A14"/>
    <w:rsid w:val="004E0E2A"/>
    <w:rsid w:val="004E1359"/>
    <w:rsid w:val="004E1385"/>
    <w:rsid w:val="004E1E85"/>
    <w:rsid w:val="004E1FE1"/>
    <w:rsid w:val="004E230E"/>
    <w:rsid w:val="004E2496"/>
    <w:rsid w:val="004E24E5"/>
    <w:rsid w:val="004E24F1"/>
    <w:rsid w:val="004E268D"/>
    <w:rsid w:val="004E2F18"/>
    <w:rsid w:val="004E3020"/>
    <w:rsid w:val="004E341F"/>
    <w:rsid w:val="004E34C3"/>
    <w:rsid w:val="004E36B4"/>
    <w:rsid w:val="004E3A0D"/>
    <w:rsid w:val="004E3B92"/>
    <w:rsid w:val="004E3C34"/>
    <w:rsid w:val="004E3C62"/>
    <w:rsid w:val="004E4148"/>
    <w:rsid w:val="004E45DB"/>
    <w:rsid w:val="004E4988"/>
    <w:rsid w:val="004E4DEA"/>
    <w:rsid w:val="004E5136"/>
    <w:rsid w:val="004E527A"/>
    <w:rsid w:val="004E572E"/>
    <w:rsid w:val="004E577E"/>
    <w:rsid w:val="004E5CA8"/>
    <w:rsid w:val="004E5F15"/>
    <w:rsid w:val="004E6003"/>
    <w:rsid w:val="004E62C0"/>
    <w:rsid w:val="004E6521"/>
    <w:rsid w:val="004E654F"/>
    <w:rsid w:val="004E6FD5"/>
    <w:rsid w:val="004E72C7"/>
    <w:rsid w:val="004E746A"/>
    <w:rsid w:val="004E7B5F"/>
    <w:rsid w:val="004F05F2"/>
    <w:rsid w:val="004F08B9"/>
    <w:rsid w:val="004F10E5"/>
    <w:rsid w:val="004F120A"/>
    <w:rsid w:val="004F1239"/>
    <w:rsid w:val="004F193D"/>
    <w:rsid w:val="004F1C73"/>
    <w:rsid w:val="004F1F63"/>
    <w:rsid w:val="004F22D8"/>
    <w:rsid w:val="004F2E84"/>
    <w:rsid w:val="004F2F42"/>
    <w:rsid w:val="004F3220"/>
    <w:rsid w:val="004F356B"/>
    <w:rsid w:val="004F382C"/>
    <w:rsid w:val="004F38B1"/>
    <w:rsid w:val="004F3994"/>
    <w:rsid w:val="004F3B3B"/>
    <w:rsid w:val="004F3F9D"/>
    <w:rsid w:val="004F4000"/>
    <w:rsid w:val="004F463D"/>
    <w:rsid w:val="004F4E41"/>
    <w:rsid w:val="004F4F75"/>
    <w:rsid w:val="004F50BC"/>
    <w:rsid w:val="004F5138"/>
    <w:rsid w:val="004F51D5"/>
    <w:rsid w:val="004F55C8"/>
    <w:rsid w:val="004F568E"/>
    <w:rsid w:val="004F57EC"/>
    <w:rsid w:val="004F5963"/>
    <w:rsid w:val="004F598B"/>
    <w:rsid w:val="004F5A37"/>
    <w:rsid w:val="004F5E93"/>
    <w:rsid w:val="004F64D2"/>
    <w:rsid w:val="004F67F3"/>
    <w:rsid w:val="004F6D04"/>
    <w:rsid w:val="004F6F0A"/>
    <w:rsid w:val="004F6FBB"/>
    <w:rsid w:val="004F7704"/>
    <w:rsid w:val="004F7821"/>
    <w:rsid w:val="004F7E26"/>
    <w:rsid w:val="004F7E4B"/>
    <w:rsid w:val="005002B5"/>
    <w:rsid w:val="005007A8"/>
    <w:rsid w:val="00500A8E"/>
    <w:rsid w:val="005010A6"/>
    <w:rsid w:val="00501125"/>
    <w:rsid w:val="00501209"/>
    <w:rsid w:val="00501B00"/>
    <w:rsid w:val="00502094"/>
    <w:rsid w:val="0050297F"/>
    <w:rsid w:val="00502F43"/>
    <w:rsid w:val="0050322E"/>
    <w:rsid w:val="00503330"/>
    <w:rsid w:val="005039C3"/>
    <w:rsid w:val="00503ACD"/>
    <w:rsid w:val="00503AF5"/>
    <w:rsid w:val="00503B28"/>
    <w:rsid w:val="00503B97"/>
    <w:rsid w:val="00503EB1"/>
    <w:rsid w:val="00503F26"/>
    <w:rsid w:val="00503F50"/>
    <w:rsid w:val="005040A4"/>
    <w:rsid w:val="0050413F"/>
    <w:rsid w:val="00504797"/>
    <w:rsid w:val="005050DD"/>
    <w:rsid w:val="005055F0"/>
    <w:rsid w:val="005064A9"/>
    <w:rsid w:val="00506891"/>
    <w:rsid w:val="00506D95"/>
    <w:rsid w:val="005073D6"/>
    <w:rsid w:val="00507CFC"/>
    <w:rsid w:val="00507E9F"/>
    <w:rsid w:val="005101C5"/>
    <w:rsid w:val="00510D3A"/>
    <w:rsid w:val="00510DDE"/>
    <w:rsid w:val="00510E6A"/>
    <w:rsid w:val="00510F97"/>
    <w:rsid w:val="00511292"/>
    <w:rsid w:val="0051129B"/>
    <w:rsid w:val="00511715"/>
    <w:rsid w:val="0051251B"/>
    <w:rsid w:val="005125D7"/>
    <w:rsid w:val="005126C8"/>
    <w:rsid w:val="00512DB7"/>
    <w:rsid w:val="00513453"/>
    <w:rsid w:val="00513528"/>
    <w:rsid w:val="00513829"/>
    <w:rsid w:val="00513E56"/>
    <w:rsid w:val="00513E59"/>
    <w:rsid w:val="00514083"/>
    <w:rsid w:val="005140D5"/>
    <w:rsid w:val="00514133"/>
    <w:rsid w:val="005141BB"/>
    <w:rsid w:val="005147B0"/>
    <w:rsid w:val="0051490A"/>
    <w:rsid w:val="0051540D"/>
    <w:rsid w:val="00515574"/>
    <w:rsid w:val="0051568C"/>
    <w:rsid w:val="00515AAF"/>
    <w:rsid w:val="00515B52"/>
    <w:rsid w:val="00515D51"/>
    <w:rsid w:val="00515D55"/>
    <w:rsid w:val="00515EC1"/>
    <w:rsid w:val="005168E4"/>
    <w:rsid w:val="00516C5A"/>
    <w:rsid w:val="00516CD3"/>
    <w:rsid w:val="00516CDF"/>
    <w:rsid w:val="00516E7B"/>
    <w:rsid w:val="00516E99"/>
    <w:rsid w:val="00516F68"/>
    <w:rsid w:val="005172A5"/>
    <w:rsid w:val="0051736E"/>
    <w:rsid w:val="005178D7"/>
    <w:rsid w:val="00517ACC"/>
    <w:rsid w:val="00517E6E"/>
    <w:rsid w:val="005200BC"/>
    <w:rsid w:val="005200DF"/>
    <w:rsid w:val="005212F3"/>
    <w:rsid w:val="0052182D"/>
    <w:rsid w:val="00521A91"/>
    <w:rsid w:val="0052308A"/>
    <w:rsid w:val="00524191"/>
    <w:rsid w:val="005241B4"/>
    <w:rsid w:val="005244D5"/>
    <w:rsid w:val="005245A9"/>
    <w:rsid w:val="00524961"/>
    <w:rsid w:val="0052497F"/>
    <w:rsid w:val="00524DBC"/>
    <w:rsid w:val="00524E5C"/>
    <w:rsid w:val="00524ECC"/>
    <w:rsid w:val="00525074"/>
    <w:rsid w:val="0052595B"/>
    <w:rsid w:val="00525B5D"/>
    <w:rsid w:val="00525B5E"/>
    <w:rsid w:val="00526173"/>
    <w:rsid w:val="00526243"/>
    <w:rsid w:val="005263E9"/>
    <w:rsid w:val="005269A5"/>
    <w:rsid w:val="00526B7B"/>
    <w:rsid w:val="0052709F"/>
    <w:rsid w:val="0052737E"/>
    <w:rsid w:val="00527417"/>
    <w:rsid w:val="00527B5B"/>
    <w:rsid w:val="00527F09"/>
    <w:rsid w:val="0053015B"/>
    <w:rsid w:val="005306EE"/>
    <w:rsid w:val="00530BF5"/>
    <w:rsid w:val="00530E84"/>
    <w:rsid w:val="005310DE"/>
    <w:rsid w:val="00531114"/>
    <w:rsid w:val="00531948"/>
    <w:rsid w:val="00531A8B"/>
    <w:rsid w:val="00531BB9"/>
    <w:rsid w:val="00532368"/>
    <w:rsid w:val="005323FB"/>
    <w:rsid w:val="0053268D"/>
    <w:rsid w:val="00532C76"/>
    <w:rsid w:val="00532EFE"/>
    <w:rsid w:val="0053332C"/>
    <w:rsid w:val="00533658"/>
    <w:rsid w:val="00533E7E"/>
    <w:rsid w:val="00534502"/>
    <w:rsid w:val="00534687"/>
    <w:rsid w:val="00534EEE"/>
    <w:rsid w:val="00535286"/>
    <w:rsid w:val="005353EA"/>
    <w:rsid w:val="00535801"/>
    <w:rsid w:val="005359C5"/>
    <w:rsid w:val="00535BBC"/>
    <w:rsid w:val="0053617F"/>
    <w:rsid w:val="0053672B"/>
    <w:rsid w:val="00536B87"/>
    <w:rsid w:val="00537073"/>
    <w:rsid w:val="005370D8"/>
    <w:rsid w:val="0053792A"/>
    <w:rsid w:val="00537A30"/>
    <w:rsid w:val="0054019F"/>
    <w:rsid w:val="005401D6"/>
    <w:rsid w:val="00540373"/>
    <w:rsid w:val="00540568"/>
    <w:rsid w:val="005405EA"/>
    <w:rsid w:val="00540795"/>
    <w:rsid w:val="0054098B"/>
    <w:rsid w:val="00540A33"/>
    <w:rsid w:val="00540E61"/>
    <w:rsid w:val="00540F5F"/>
    <w:rsid w:val="00541364"/>
    <w:rsid w:val="0054166F"/>
    <w:rsid w:val="005417EF"/>
    <w:rsid w:val="00541896"/>
    <w:rsid w:val="00541B0E"/>
    <w:rsid w:val="00541CDE"/>
    <w:rsid w:val="0054216C"/>
    <w:rsid w:val="0054220F"/>
    <w:rsid w:val="0054225F"/>
    <w:rsid w:val="005425D9"/>
    <w:rsid w:val="00542733"/>
    <w:rsid w:val="005429B8"/>
    <w:rsid w:val="00542E99"/>
    <w:rsid w:val="00543A25"/>
    <w:rsid w:val="00543D10"/>
    <w:rsid w:val="00544046"/>
    <w:rsid w:val="00544173"/>
    <w:rsid w:val="00544364"/>
    <w:rsid w:val="005445D3"/>
    <w:rsid w:val="00544C71"/>
    <w:rsid w:val="00544CC9"/>
    <w:rsid w:val="00544EF7"/>
    <w:rsid w:val="00545149"/>
    <w:rsid w:val="0054525E"/>
    <w:rsid w:val="00545B59"/>
    <w:rsid w:val="00545B5A"/>
    <w:rsid w:val="00545E47"/>
    <w:rsid w:val="005460F2"/>
    <w:rsid w:val="00546313"/>
    <w:rsid w:val="00547166"/>
    <w:rsid w:val="00547399"/>
    <w:rsid w:val="00547A54"/>
    <w:rsid w:val="00550A78"/>
    <w:rsid w:val="00550E49"/>
    <w:rsid w:val="005515F9"/>
    <w:rsid w:val="005518E8"/>
    <w:rsid w:val="00551ADE"/>
    <w:rsid w:val="00551C9A"/>
    <w:rsid w:val="00551DF2"/>
    <w:rsid w:val="00552834"/>
    <w:rsid w:val="00552E5E"/>
    <w:rsid w:val="00553302"/>
    <w:rsid w:val="00553B85"/>
    <w:rsid w:val="00553BA4"/>
    <w:rsid w:val="00553D2B"/>
    <w:rsid w:val="00553E70"/>
    <w:rsid w:val="0055415E"/>
    <w:rsid w:val="00554581"/>
    <w:rsid w:val="005546C5"/>
    <w:rsid w:val="005546FE"/>
    <w:rsid w:val="00554914"/>
    <w:rsid w:val="00554D48"/>
    <w:rsid w:val="00554D95"/>
    <w:rsid w:val="00554E9A"/>
    <w:rsid w:val="0055550D"/>
    <w:rsid w:val="00555992"/>
    <w:rsid w:val="00555F32"/>
    <w:rsid w:val="00556136"/>
    <w:rsid w:val="00556559"/>
    <w:rsid w:val="00556608"/>
    <w:rsid w:val="00556611"/>
    <w:rsid w:val="00556D1A"/>
    <w:rsid w:val="00556D47"/>
    <w:rsid w:val="00556FD2"/>
    <w:rsid w:val="00557301"/>
    <w:rsid w:val="0055773A"/>
    <w:rsid w:val="00560622"/>
    <w:rsid w:val="00560875"/>
    <w:rsid w:val="00560924"/>
    <w:rsid w:val="00560F2F"/>
    <w:rsid w:val="00561116"/>
    <w:rsid w:val="0056173F"/>
    <w:rsid w:val="00561BBA"/>
    <w:rsid w:val="00561D25"/>
    <w:rsid w:val="00561E76"/>
    <w:rsid w:val="00561E7F"/>
    <w:rsid w:val="00562586"/>
    <w:rsid w:val="00562A55"/>
    <w:rsid w:val="00562CE7"/>
    <w:rsid w:val="00563076"/>
    <w:rsid w:val="005631E2"/>
    <w:rsid w:val="00563592"/>
    <w:rsid w:val="005635EA"/>
    <w:rsid w:val="0056382E"/>
    <w:rsid w:val="005639CA"/>
    <w:rsid w:val="00563C0F"/>
    <w:rsid w:val="00563C9E"/>
    <w:rsid w:val="00563CA5"/>
    <w:rsid w:val="005642D5"/>
    <w:rsid w:val="00564455"/>
    <w:rsid w:val="0056458C"/>
    <w:rsid w:val="0056479D"/>
    <w:rsid w:val="00564A89"/>
    <w:rsid w:val="00564AC0"/>
    <w:rsid w:val="00564B3E"/>
    <w:rsid w:val="00564C91"/>
    <w:rsid w:val="00565349"/>
    <w:rsid w:val="005654EA"/>
    <w:rsid w:val="0056575A"/>
    <w:rsid w:val="00565BEE"/>
    <w:rsid w:val="00565EB7"/>
    <w:rsid w:val="00566120"/>
    <w:rsid w:val="005668B4"/>
    <w:rsid w:val="005669A9"/>
    <w:rsid w:val="00566A7E"/>
    <w:rsid w:val="00566B45"/>
    <w:rsid w:val="00567381"/>
    <w:rsid w:val="00567497"/>
    <w:rsid w:val="005674D8"/>
    <w:rsid w:val="005675FC"/>
    <w:rsid w:val="005678FB"/>
    <w:rsid w:val="00567B06"/>
    <w:rsid w:val="00567CAF"/>
    <w:rsid w:val="00567F5B"/>
    <w:rsid w:val="00567FC5"/>
    <w:rsid w:val="00570379"/>
    <w:rsid w:val="005706DA"/>
    <w:rsid w:val="00570CF8"/>
    <w:rsid w:val="00570DAD"/>
    <w:rsid w:val="00571020"/>
    <w:rsid w:val="00571A35"/>
    <w:rsid w:val="00571A7E"/>
    <w:rsid w:val="00571AFD"/>
    <w:rsid w:val="005723F7"/>
    <w:rsid w:val="00572521"/>
    <w:rsid w:val="00572A57"/>
    <w:rsid w:val="005731D8"/>
    <w:rsid w:val="00573365"/>
    <w:rsid w:val="00573445"/>
    <w:rsid w:val="005736CD"/>
    <w:rsid w:val="0057388B"/>
    <w:rsid w:val="005738DC"/>
    <w:rsid w:val="00573A02"/>
    <w:rsid w:val="00574493"/>
    <w:rsid w:val="00574A8F"/>
    <w:rsid w:val="00574FF4"/>
    <w:rsid w:val="005753C2"/>
    <w:rsid w:val="005758B6"/>
    <w:rsid w:val="005758FB"/>
    <w:rsid w:val="00575995"/>
    <w:rsid w:val="00575DA0"/>
    <w:rsid w:val="00575EEB"/>
    <w:rsid w:val="00576479"/>
    <w:rsid w:val="0057671F"/>
    <w:rsid w:val="0057699A"/>
    <w:rsid w:val="00576B37"/>
    <w:rsid w:val="00576C7F"/>
    <w:rsid w:val="00577199"/>
    <w:rsid w:val="005773FC"/>
    <w:rsid w:val="005776DD"/>
    <w:rsid w:val="00577BBD"/>
    <w:rsid w:val="00580A1B"/>
    <w:rsid w:val="00580D86"/>
    <w:rsid w:val="0058171C"/>
    <w:rsid w:val="00581B50"/>
    <w:rsid w:val="00581B7D"/>
    <w:rsid w:val="00581F62"/>
    <w:rsid w:val="00581F9A"/>
    <w:rsid w:val="00582A80"/>
    <w:rsid w:val="005830C9"/>
    <w:rsid w:val="005834F7"/>
    <w:rsid w:val="00583789"/>
    <w:rsid w:val="0058385A"/>
    <w:rsid w:val="00583BC6"/>
    <w:rsid w:val="00583FB4"/>
    <w:rsid w:val="0058408E"/>
    <w:rsid w:val="0058473E"/>
    <w:rsid w:val="00584ADC"/>
    <w:rsid w:val="00584F3E"/>
    <w:rsid w:val="00585384"/>
    <w:rsid w:val="00585B72"/>
    <w:rsid w:val="00585CA2"/>
    <w:rsid w:val="00585E06"/>
    <w:rsid w:val="00585F8C"/>
    <w:rsid w:val="00585FEC"/>
    <w:rsid w:val="005860D9"/>
    <w:rsid w:val="005869F1"/>
    <w:rsid w:val="00586C7B"/>
    <w:rsid w:val="00586CFD"/>
    <w:rsid w:val="00586FF5"/>
    <w:rsid w:val="00587572"/>
    <w:rsid w:val="0058761D"/>
    <w:rsid w:val="00587763"/>
    <w:rsid w:val="00587CF1"/>
    <w:rsid w:val="00590364"/>
    <w:rsid w:val="005905B3"/>
    <w:rsid w:val="00590683"/>
    <w:rsid w:val="00590958"/>
    <w:rsid w:val="00590A84"/>
    <w:rsid w:val="00591C58"/>
    <w:rsid w:val="00591F4A"/>
    <w:rsid w:val="00591FE7"/>
    <w:rsid w:val="00592044"/>
    <w:rsid w:val="005921B1"/>
    <w:rsid w:val="005930A2"/>
    <w:rsid w:val="0059320C"/>
    <w:rsid w:val="005934A6"/>
    <w:rsid w:val="00593969"/>
    <w:rsid w:val="00593A2F"/>
    <w:rsid w:val="00593BB0"/>
    <w:rsid w:val="00593F31"/>
    <w:rsid w:val="00594347"/>
    <w:rsid w:val="005944DC"/>
    <w:rsid w:val="005948C0"/>
    <w:rsid w:val="0059554D"/>
    <w:rsid w:val="00595A72"/>
    <w:rsid w:val="00595B7A"/>
    <w:rsid w:val="00595D2E"/>
    <w:rsid w:val="00595D32"/>
    <w:rsid w:val="0059617B"/>
    <w:rsid w:val="00596205"/>
    <w:rsid w:val="00596421"/>
    <w:rsid w:val="0059681D"/>
    <w:rsid w:val="0059701D"/>
    <w:rsid w:val="005971CE"/>
    <w:rsid w:val="005975EE"/>
    <w:rsid w:val="00597607"/>
    <w:rsid w:val="005A054A"/>
    <w:rsid w:val="005A0ACA"/>
    <w:rsid w:val="005A0EC6"/>
    <w:rsid w:val="005A1181"/>
    <w:rsid w:val="005A11EB"/>
    <w:rsid w:val="005A1880"/>
    <w:rsid w:val="005A18DD"/>
    <w:rsid w:val="005A190C"/>
    <w:rsid w:val="005A1997"/>
    <w:rsid w:val="005A1BED"/>
    <w:rsid w:val="005A1D5E"/>
    <w:rsid w:val="005A2269"/>
    <w:rsid w:val="005A26C7"/>
    <w:rsid w:val="005A2A93"/>
    <w:rsid w:val="005A2F21"/>
    <w:rsid w:val="005A2F2F"/>
    <w:rsid w:val="005A2FEF"/>
    <w:rsid w:val="005A3030"/>
    <w:rsid w:val="005A369A"/>
    <w:rsid w:val="005A379C"/>
    <w:rsid w:val="005A400D"/>
    <w:rsid w:val="005A40CE"/>
    <w:rsid w:val="005A43D0"/>
    <w:rsid w:val="005A48C3"/>
    <w:rsid w:val="005A4AB6"/>
    <w:rsid w:val="005A4F87"/>
    <w:rsid w:val="005A52E3"/>
    <w:rsid w:val="005A549D"/>
    <w:rsid w:val="005A59A6"/>
    <w:rsid w:val="005A5A5E"/>
    <w:rsid w:val="005A5B18"/>
    <w:rsid w:val="005A6102"/>
    <w:rsid w:val="005A6633"/>
    <w:rsid w:val="005A6AAE"/>
    <w:rsid w:val="005A7444"/>
    <w:rsid w:val="005A76EB"/>
    <w:rsid w:val="005A772E"/>
    <w:rsid w:val="005A7E72"/>
    <w:rsid w:val="005B066F"/>
    <w:rsid w:val="005B0677"/>
    <w:rsid w:val="005B1402"/>
    <w:rsid w:val="005B1B5D"/>
    <w:rsid w:val="005B1BF4"/>
    <w:rsid w:val="005B1FAA"/>
    <w:rsid w:val="005B20E9"/>
    <w:rsid w:val="005B29A0"/>
    <w:rsid w:val="005B2B8F"/>
    <w:rsid w:val="005B3097"/>
    <w:rsid w:val="005B31E4"/>
    <w:rsid w:val="005B32AE"/>
    <w:rsid w:val="005B354B"/>
    <w:rsid w:val="005B3746"/>
    <w:rsid w:val="005B3A68"/>
    <w:rsid w:val="005B3BED"/>
    <w:rsid w:val="005B3F98"/>
    <w:rsid w:val="005B4376"/>
    <w:rsid w:val="005B4C54"/>
    <w:rsid w:val="005B501D"/>
    <w:rsid w:val="005B5489"/>
    <w:rsid w:val="005B575F"/>
    <w:rsid w:val="005B5A12"/>
    <w:rsid w:val="005B6308"/>
    <w:rsid w:val="005B69D0"/>
    <w:rsid w:val="005B703C"/>
    <w:rsid w:val="005B70C8"/>
    <w:rsid w:val="005B7397"/>
    <w:rsid w:val="005B7832"/>
    <w:rsid w:val="005B78B0"/>
    <w:rsid w:val="005B7D36"/>
    <w:rsid w:val="005B7DAA"/>
    <w:rsid w:val="005B7E84"/>
    <w:rsid w:val="005C015F"/>
    <w:rsid w:val="005C0320"/>
    <w:rsid w:val="005C09C0"/>
    <w:rsid w:val="005C0B49"/>
    <w:rsid w:val="005C0F2F"/>
    <w:rsid w:val="005C115E"/>
    <w:rsid w:val="005C13E3"/>
    <w:rsid w:val="005C13FA"/>
    <w:rsid w:val="005C1A7D"/>
    <w:rsid w:val="005C20B9"/>
    <w:rsid w:val="005C2653"/>
    <w:rsid w:val="005C2703"/>
    <w:rsid w:val="005C2879"/>
    <w:rsid w:val="005C28D9"/>
    <w:rsid w:val="005C328E"/>
    <w:rsid w:val="005C32A7"/>
    <w:rsid w:val="005C3D53"/>
    <w:rsid w:val="005C40D7"/>
    <w:rsid w:val="005C47A8"/>
    <w:rsid w:val="005C4C77"/>
    <w:rsid w:val="005C5F01"/>
    <w:rsid w:val="005C63EF"/>
    <w:rsid w:val="005C6532"/>
    <w:rsid w:val="005C6728"/>
    <w:rsid w:val="005C677F"/>
    <w:rsid w:val="005C67D3"/>
    <w:rsid w:val="005C69D7"/>
    <w:rsid w:val="005C6A3B"/>
    <w:rsid w:val="005C6ACA"/>
    <w:rsid w:val="005C6B26"/>
    <w:rsid w:val="005C6B39"/>
    <w:rsid w:val="005C6C1E"/>
    <w:rsid w:val="005C7018"/>
    <w:rsid w:val="005C70CE"/>
    <w:rsid w:val="005C7172"/>
    <w:rsid w:val="005C71A8"/>
    <w:rsid w:val="005C7F36"/>
    <w:rsid w:val="005D01BD"/>
    <w:rsid w:val="005D0260"/>
    <w:rsid w:val="005D08CB"/>
    <w:rsid w:val="005D1014"/>
    <w:rsid w:val="005D1B4B"/>
    <w:rsid w:val="005D22B1"/>
    <w:rsid w:val="005D24A2"/>
    <w:rsid w:val="005D27ED"/>
    <w:rsid w:val="005D2B8A"/>
    <w:rsid w:val="005D2DC7"/>
    <w:rsid w:val="005D3B15"/>
    <w:rsid w:val="005D3D65"/>
    <w:rsid w:val="005D4039"/>
    <w:rsid w:val="005D41BE"/>
    <w:rsid w:val="005D4552"/>
    <w:rsid w:val="005D45BF"/>
    <w:rsid w:val="005D45C4"/>
    <w:rsid w:val="005D54DE"/>
    <w:rsid w:val="005D58F8"/>
    <w:rsid w:val="005D5CFC"/>
    <w:rsid w:val="005D6AC5"/>
    <w:rsid w:val="005D749E"/>
    <w:rsid w:val="005D7747"/>
    <w:rsid w:val="005D7AC7"/>
    <w:rsid w:val="005E10ED"/>
    <w:rsid w:val="005E10FF"/>
    <w:rsid w:val="005E12E6"/>
    <w:rsid w:val="005E138D"/>
    <w:rsid w:val="005E22D5"/>
    <w:rsid w:val="005E237C"/>
    <w:rsid w:val="005E24E0"/>
    <w:rsid w:val="005E2A72"/>
    <w:rsid w:val="005E2A9A"/>
    <w:rsid w:val="005E2BCD"/>
    <w:rsid w:val="005E2DBE"/>
    <w:rsid w:val="005E324E"/>
    <w:rsid w:val="005E37E2"/>
    <w:rsid w:val="005E3A1E"/>
    <w:rsid w:val="005E3A55"/>
    <w:rsid w:val="005E3F5C"/>
    <w:rsid w:val="005E4264"/>
    <w:rsid w:val="005E4798"/>
    <w:rsid w:val="005E47A6"/>
    <w:rsid w:val="005E4C3D"/>
    <w:rsid w:val="005E4F1A"/>
    <w:rsid w:val="005E5049"/>
    <w:rsid w:val="005E5068"/>
    <w:rsid w:val="005E5189"/>
    <w:rsid w:val="005E54CF"/>
    <w:rsid w:val="005E5532"/>
    <w:rsid w:val="005E5974"/>
    <w:rsid w:val="005E5BB3"/>
    <w:rsid w:val="005E6492"/>
    <w:rsid w:val="005E65E6"/>
    <w:rsid w:val="005E66AD"/>
    <w:rsid w:val="005E6A3A"/>
    <w:rsid w:val="005E6AE2"/>
    <w:rsid w:val="005E6ECD"/>
    <w:rsid w:val="005E6F94"/>
    <w:rsid w:val="005E7A5E"/>
    <w:rsid w:val="005E7DD9"/>
    <w:rsid w:val="005E7DF1"/>
    <w:rsid w:val="005E7F1C"/>
    <w:rsid w:val="005F050C"/>
    <w:rsid w:val="005F0677"/>
    <w:rsid w:val="005F06E8"/>
    <w:rsid w:val="005F07CD"/>
    <w:rsid w:val="005F083E"/>
    <w:rsid w:val="005F0997"/>
    <w:rsid w:val="005F0AF3"/>
    <w:rsid w:val="005F0E53"/>
    <w:rsid w:val="005F1100"/>
    <w:rsid w:val="005F14F2"/>
    <w:rsid w:val="005F15BF"/>
    <w:rsid w:val="005F178D"/>
    <w:rsid w:val="005F17EF"/>
    <w:rsid w:val="005F1B3C"/>
    <w:rsid w:val="005F1DC5"/>
    <w:rsid w:val="005F2011"/>
    <w:rsid w:val="005F222B"/>
    <w:rsid w:val="005F23EF"/>
    <w:rsid w:val="005F26C2"/>
    <w:rsid w:val="005F2914"/>
    <w:rsid w:val="005F2B37"/>
    <w:rsid w:val="005F38CC"/>
    <w:rsid w:val="005F4B5C"/>
    <w:rsid w:val="005F4DED"/>
    <w:rsid w:val="005F4E58"/>
    <w:rsid w:val="005F4F15"/>
    <w:rsid w:val="005F51F8"/>
    <w:rsid w:val="005F54DC"/>
    <w:rsid w:val="005F58E0"/>
    <w:rsid w:val="005F603A"/>
    <w:rsid w:val="005F6058"/>
    <w:rsid w:val="005F66CC"/>
    <w:rsid w:val="005F679A"/>
    <w:rsid w:val="005F67B4"/>
    <w:rsid w:val="005F6AE5"/>
    <w:rsid w:val="005F6BD6"/>
    <w:rsid w:val="005F6C90"/>
    <w:rsid w:val="005F6D0B"/>
    <w:rsid w:val="005F6D91"/>
    <w:rsid w:val="005F6EBE"/>
    <w:rsid w:val="005F700A"/>
    <w:rsid w:val="005F74F9"/>
    <w:rsid w:val="005F7949"/>
    <w:rsid w:val="005F7A18"/>
    <w:rsid w:val="005F7A30"/>
    <w:rsid w:val="00600245"/>
    <w:rsid w:val="006002CB"/>
    <w:rsid w:val="006003F1"/>
    <w:rsid w:val="00600B5E"/>
    <w:rsid w:val="00601249"/>
    <w:rsid w:val="00601679"/>
    <w:rsid w:val="0060225B"/>
    <w:rsid w:val="00602379"/>
    <w:rsid w:val="0060263E"/>
    <w:rsid w:val="00602730"/>
    <w:rsid w:val="00602F5B"/>
    <w:rsid w:val="006037EC"/>
    <w:rsid w:val="00603A5E"/>
    <w:rsid w:val="00604269"/>
    <w:rsid w:val="00604A3C"/>
    <w:rsid w:val="00604B74"/>
    <w:rsid w:val="0060524A"/>
    <w:rsid w:val="00605395"/>
    <w:rsid w:val="00605A28"/>
    <w:rsid w:val="00605AA2"/>
    <w:rsid w:val="0060614B"/>
    <w:rsid w:val="00606378"/>
    <w:rsid w:val="006065FA"/>
    <w:rsid w:val="00606609"/>
    <w:rsid w:val="006067EF"/>
    <w:rsid w:val="00606865"/>
    <w:rsid w:val="00606B4D"/>
    <w:rsid w:val="00607036"/>
    <w:rsid w:val="0060793A"/>
    <w:rsid w:val="006079E5"/>
    <w:rsid w:val="00607AC9"/>
    <w:rsid w:val="00607C14"/>
    <w:rsid w:val="00607D39"/>
    <w:rsid w:val="00610033"/>
    <w:rsid w:val="00610403"/>
    <w:rsid w:val="00610C6A"/>
    <w:rsid w:val="006112E3"/>
    <w:rsid w:val="00611408"/>
    <w:rsid w:val="0061192D"/>
    <w:rsid w:val="00611FA6"/>
    <w:rsid w:val="00612407"/>
    <w:rsid w:val="0061271B"/>
    <w:rsid w:val="00613225"/>
    <w:rsid w:val="00613A1B"/>
    <w:rsid w:val="00613C0D"/>
    <w:rsid w:val="00613E0D"/>
    <w:rsid w:val="00614268"/>
    <w:rsid w:val="006142A9"/>
    <w:rsid w:val="00614F62"/>
    <w:rsid w:val="00615452"/>
    <w:rsid w:val="0061565E"/>
    <w:rsid w:val="00615B24"/>
    <w:rsid w:val="00615F19"/>
    <w:rsid w:val="00616052"/>
    <w:rsid w:val="006160EA"/>
    <w:rsid w:val="00616338"/>
    <w:rsid w:val="0061651B"/>
    <w:rsid w:val="00616811"/>
    <w:rsid w:val="00616888"/>
    <w:rsid w:val="00616A52"/>
    <w:rsid w:val="00616D22"/>
    <w:rsid w:val="0061747E"/>
    <w:rsid w:val="0061753E"/>
    <w:rsid w:val="006176DA"/>
    <w:rsid w:val="00617BB7"/>
    <w:rsid w:val="00617DA6"/>
    <w:rsid w:val="00617F6E"/>
    <w:rsid w:val="0062001B"/>
    <w:rsid w:val="0062051C"/>
    <w:rsid w:val="0062085F"/>
    <w:rsid w:val="00620C37"/>
    <w:rsid w:val="00620C84"/>
    <w:rsid w:val="00620CA4"/>
    <w:rsid w:val="00620CF8"/>
    <w:rsid w:val="00620D4C"/>
    <w:rsid w:val="0062144D"/>
    <w:rsid w:val="00621471"/>
    <w:rsid w:val="00621A5F"/>
    <w:rsid w:val="0062232A"/>
    <w:rsid w:val="00622556"/>
    <w:rsid w:val="00622557"/>
    <w:rsid w:val="00622A48"/>
    <w:rsid w:val="00622E46"/>
    <w:rsid w:val="00623109"/>
    <w:rsid w:val="0062361A"/>
    <w:rsid w:val="006236DD"/>
    <w:rsid w:val="0062382A"/>
    <w:rsid w:val="00623C05"/>
    <w:rsid w:val="00623CB3"/>
    <w:rsid w:val="00623D5C"/>
    <w:rsid w:val="00624353"/>
    <w:rsid w:val="0062437B"/>
    <w:rsid w:val="0062442A"/>
    <w:rsid w:val="0062456D"/>
    <w:rsid w:val="0062462D"/>
    <w:rsid w:val="0062499C"/>
    <w:rsid w:val="006249D7"/>
    <w:rsid w:val="00624E90"/>
    <w:rsid w:val="00625062"/>
    <w:rsid w:val="00625252"/>
    <w:rsid w:val="0062532A"/>
    <w:rsid w:val="006259A9"/>
    <w:rsid w:val="00625CD8"/>
    <w:rsid w:val="006260DD"/>
    <w:rsid w:val="00626406"/>
    <w:rsid w:val="0062657A"/>
    <w:rsid w:val="006265CD"/>
    <w:rsid w:val="0062669F"/>
    <w:rsid w:val="00626D12"/>
    <w:rsid w:val="00626EED"/>
    <w:rsid w:val="00627405"/>
    <w:rsid w:val="00630275"/>
    <w:rsid w:val="006306CE"/>
    <w:rsid w:val="00630796"/>
    <w:rsid w:val="006308EE"/>
    <w:rsid w:val="00630BA2"/>
    <w:rsid w:val="00631692"/>
    <w:rsid w:val="00631705"/>
    <w:rsid w:val="00631E5F"/>
    <w:rsid w:val="00632436"/>
    <w:rsid w:val="00632941"/>
    <w:rsid w:val="00632B1F"/>
    <w:rsid w:val="0063348B"/>
    <w:rsid w:val="00633494"/>
    <w:rsid w:val="0063392C"/>
    <w:rsid w:val="006345CD"/>
    <w:rsid w:val="00634F1B"/>
    <w:rsid w:val="0063523D"/>
    <w:rsid w:val="00635484"/>
    <w:rsid w:val="00635542"/>
    <w:rsid w:val="00636274"/>
    <w:rsid w:val="00636603"/>
    <w:rsid w:val="006369C3"/>
    <w:rsid w:val="00636FC5"/>
    <w:rsid w:val="00637527"/>
    <w:rsid w:val="0063767D"/>
    <w:rsid w:val="006379D9"/>
    <w:rsid w:val="00637A61"/>
    <w:rsid w:val="00637ABF"/>
    <w:rsid w:val="00637BCA"/>
    <w:rsid w:val="00640409"/>
    <w:rsid w:val="00640439"/>
    <w:rsid w:val="006405FE"/>
    <w:rsid w:val="00640EBC"/>
    <w:rsid w:val="00640F6E"/>
    <w:rsid w:val="006413D2"/>
    <w:rsid w:val="006414BF"/>
    <w:rsid w:val="006416E6"/>
    <w:rsid w:val="006417F6"/>
    <w:rsid w:val="00642156"/>
    <w:rsid w:val="0064227F"/>
    <w:rsid w:val="00642C15"/>
    <w:rsid w:val="0064306B"/>
    <w:rsid w:val="0064307C"/>
    <w:rsid w:val="006432BF"/>
    <w:rsid w:val="00643489"/>
    <w:rsid w:val="006437E0"/>
    <w:rsid w:val="006439EF"/>
    <w:rsid w:val="00643AAB"/>
    <w:rsid w:val="00643B23"/>
    <w:rsid w:val="00643B9D"/>
    <w:rsid w:val="00643C31"/>
    <w:rsid w:val="00643F89"/>
    <w:rsid w:val="006440F8"/>
    <w:rsid w:val="006447F5"/>
    <w:rsid w:val="0064483E"/>
    <w:rsid w:val="00644873"/>
    <w:rsid w:val="00644936"/>
    <w:rsid w:val="006453DC"/>
    <w:rsid w:val="00645BAE"/>
    <w:rsid w:val="00645C6C"/>
    <w:rsid w:val="00645D20"/>
    <w:rsid w:val="0064656D"/>
    <w:rsid w:val="0064678C"/>
    <w:rsid w:val="00646BFA"/>
    <w:rsid w:val="00646D9B"/>
    <w:rsid w:val="00647381"/>
    <w:rsid w:val="0064749A"/>
    <w:rsid w:val="006474D7"/>
    <w:rsid w:val="00647840"/>
    <w:rsid w:val="00647DB1"/>
    <w:rsid w:val="00647E43"/>
    <w:rsid w:val="00650054"/>
    <w:rsid w:val="0065087A"/>
    <w:rsid w:val="00650A5B"/>
    <w:rsid w:val="00650B3C"/>
    <w:rsid w:val="00650D14"/>
    <w:rsid w:val="006511AF"/>
    <w:rsid w:val="00651519"/>
    <w:rsid w:val="006516A6"/>
    <w:rsid w:val="00651A88"/>
    <w:rsid w:val="00651EF7"/>
    <w:rsid w:val="006525B4"/>
    <w:rsid w:val="0065278F"/>
    <w:rsid w:val="00652D47"/>
    <w:rsid w:val="0065340F"/>
    <w:rsid w:val="006535FE"/>
    <w:rsid w:val="006539EF"/>
    <w:rsid w:val="00653EB1"/>
    <w:rsid w:val="0065411D"/>
    <w:rsid w:val="006542ED"/>
    <w:rsid w:val="00654339"/>
    <w:rsid w:val="006549EE"/>
    <w:rsid w:val="00654B2D"/>
    <w:rsid w:val="00654D62"/>
    <w:rsid w:val="00655053"/>
    <w:rsid w:val="006554CE"/>
    <w:rsid w:val="0065563B"/>
    <w:rsid w:val="0065592F"/>
    <w:rsid w:val="00655D2E"/>
    <w:rsid w:val="00656E2A"/>
    <w:rsid w:val="006570D5"/>
    <w:rsid w:val="00660175"/>
    <w:rsid w:val="0066019F"/>
    <w:rsid w:val="006606B9"/>
    <w:rsid w:val="006610A7"/>
    <w:rsid w:val="0066123C"/>
    <w:rsid w:val="006617E4"/>
    <w:rsid w:val="00661B8A"/>
    <w:rsid w:val="00661D63"/>
    <w:rsid w:val="006623AE"/>
    <w:rsid w:val="00662427"/>
    <w:rsid w:val="0066265F"/>
    <w:rsid w:val="006627E4"/>
    <w:rsid w:val="00662DFD"/>
    <w:rsid w:val="00662E35"/>
    <w:rsid w:val="006630D7"/>
    <w:rsid w:val="006634CD"/>
    <w:rsid w:val="0066391F"/>
    <w:rsid w:val="00663EE3"/>
    <w:rsid w:val="00664EFD"/>
    <w:rsid w:val="00665253"/>
    <w:rsid w:val="006652E0"/>
    <w:rsid w:val="006656A3"/>
    <w:rsid w:val="00665FD4"/>
    <w:rsid w:val="00666888"/>
    <w:rsid w:val="00666B97"/>
    <w:rsid w:val="00666DFC"/>
    <w:rsid w:val="00666F6F"/>
    <w:rsid w:val="00666FD5"/>
    <w:rsid w:val="00667195"/>
    <w:rsid w:val="0066732E"/>
    <w:rsid w:val="00667502"/>
    <w:rsid w:val="006679AF"/>
    <w:rsid w:val="006700A6"/>
    <w:rsid w:val="00670334"/>
    <w:rsid w:val="0067106A"/>
    <w:rsid w:val="0067119A"/>
    <w:rsid w:val="006718A7"/>
    <w:rsid w:val="00671928"/>
    <w:rsid w:val="00671996"/>
    <w:rsid w:val="00671EE3"/>
    <w:rsid w:val="0067220D"/>
    <w:rsid w:val="0067255C"/>
    <w:rsid w:val="00672567"/>
    <w:rsid w:val="0067267B"/>
    <w:rsid w:val="006726D8"/>
    <w:rsid w:val="00672731"/>
    <w:rsid w:val="006728E9"/>
    <w:rsid w:val="00672CCF"/>
    <w:rsid w:val="0067308C"/>
    <w:rsid w:val="00673295"/>
    <w:rsid w:val="0067335A"/>
    <w:rsid w:val="006736B1"/>
    <w:rsid w:val="00673740"/>
    <w:rsid w:val="00673C94"/>
    <w:rsid w:val="00673D7C"/>
    <w:rsid w:val="0067438D"/>
    <w:rsid w:val="00674C84"/>
    <w:rsid w:val="006752DD"/>
    <w:rsid w:val="00675584"/>
    <w:rsid w:val="0067565D"/>
    <w:rsid w:val="0067576C"/>
    <w:rsid w:val="00676424"/>
    <w:rsid w:val="00676558"/>
    <w:rsid w:val="00677057"/>
    <w:rsid w:val="00677701"/>
    <w:rsid w:val="00677BF8"/>
    <w:rsid w:val="00677F2A"/>
    <w:rsid w:val="00680201"/>
    <w:rsid w:val="006802C9"/>
    <w:rsid w:val="00680B42"/>
    <w:rsid w:val="00680D95"/>
    <w:rsid w:val="00680DA2"/>
    <w:rsid w:val="00680FE1"/>
    <w:rsid w:val="00681200"/>
    <w:rsid w:val="00681344"/>
    <w:rsid w:val="006814EE"/>
    <w:rsid w:val="006818C9"/>
    <w:rsid w:val="006818F9"/>
    <w:rsid w:val="00681D3B"/>
    <w:rsid w:val="006820CE"/>
    <w:rsid w:val="00682338"/>
    <w:rsid w:val="006823B8"/>
    <w:rsid w:val="0068283D"/>
    <w:rsid w:val="0068324E"/>
    <w:rsid w:val="006834D4"/>
    <w:rsid w:val="006835B8"/>
    <w:rsid w:val="0068375A"/>
    <w:rsid w:val="00683A5E"/>
    <w:rsid w:val="0068403B"/>
    <w:rsid w:val="00684551"/>
    <w:rsid w:val="006847C8"/>
    <w:rsid w:val="00684D6A"/>
    <w:rsid w:val="00684EDD"/>
    <w:rsid w:val="00684F3E"/>
    <w:rsid w:val="006853D1"/>
    <w:rsid w:val="00685855"/>
    <w:rsid w:val="00685895"/>
    <w:rsid w:val="0068594D"/>
    <w:rsid w:val="00685BD2"/>
    <w:rsid w:val="0068647E"/>
    <w:rsid w:val="0068701E"/>
    <w:rsid w:val="006870CA"/>
    <w:rsid w:val="00687CE6"/>
    <w:rsid w:val="00690A7F"/>
    <w:rsid w:val="00690E23"/>
    <w:rsid w:val="00690F10"/>
    <w:rsid w:val="00690FF2"/>
    <w:rsid w:val="0069101F"/>
    <w:rsid w:val="00691165"/>
    <w:rsid w:val="00691660"/>
    <w:rsid w:val="00691FB4"/>
    <w:rsid w:val="0069228C"/>
    <w:rsid w:val="00692567"/>
    <w:rsid w:val="0069277B"/>
    <w:rsid w:val="00692F59"/>
    <w:rsid w:val="00693125"/>
    <w:rsid w:val="00693255"/>
    <w:rsid w:val="006935DE"/>
    <w:rsid w:val="00693639"/>
    <w:rsid w:val="00693AE4"/>
    <w:rsid w:val="0069434A"/>
    <w:rsid w:val="00694477"/>
    <w:rsid w:val="0069450D"/>
    <w:rsid w:val="00694569"/>
    <w:rsid w:val="006947BB"/>
    <w:rsid w:val="00694BDE"/>
    <w:rsid w:val="00694F98"/>
    <w:rsid w:val="00695B26"/>
    <w:rsid w:val="00695B5C"/>
    <w:rsid w:val="00695F33"/>
    <w:rsid w:val="00696528"/>
    <w:rsid w:val="0069658B"/>
    <w:rsid w:val="00696868"/>
    <w:rsid w:val="00696AF6"/>
    <w:rsid w:val="00696DDC"/>
    <w:rsid w:val="00697342"/>
    <w:rsid w:val="006973B3"/>
    <w:rsid w:val="0069768A"/>
    <w:rsid w:val="006977C7"/>
    <w:rsid w:val="006A0485"/>
    <w:rsid w:val="006A08DF"/>
    <w:rsid w:val="006A0F84"/>
    <w:rsid w:val="006A157A"/>
    <w:rsid w:val="006A1D4C"/>
    <w:rsid w:val="006A1D5C"/>
    <w:rsid w:val="006A2046"/>
    <w:rsid w:val="006A2047"/>
    <w:rsid w:val="006A2057"/>
    <w:rsid w:val="006A2141"/>
    <w:rsid w:val="006A2285"/>
    <w:rsid w:val="006A2294"/>
    <w:rsid w:val="006A2331"/>
    <w:rsid w:val="006A2BD3"/>
    <w:rsid w:val="006A2E17"/>
    <w:rsid w:val="006A3D0D"/>
    <w:rsid w:val="006A3FC6"/>
    <w:rsid w:val="006A434B"/>
    <w:rsid w:val="006A4A82"/>
    <w:rsid w:val="006A4F64"/>
    <w:rsid w:val="006A4F99"/>
    <w:rsid w:val="006A5CBE"/>
    <w:rsid w:val="006A5D22"/>
    <w:rsid w:val="006A6819"/>
    <w:rsid w:val="006A6A47"/>
    <w:rsid w:val="006A700C"/>
    <w:rsid w:val="006A709C"/>
    <w:rsid w:val="006A7111"/>
    <w:rsid w:val="006A71A5"/>
    <w:rsid w:val="006A72D1"/>
    <w:rsid w:val="006B025F"/>
    <w:rsid w:val="006B0BB7"/>
    <w:rsid w:val="006B0C4D"/>
    <w:rsid w:val="006B168E"/>
    <w:rsid w:val="006B1E2B"/>
    <w:rsid w:val="006B2127"/>
    <w:rsid w:val="006B2196"/>
    <w:rsid w:val="006B270E"/>
    <w:rsid w:val="006B2A74"/>
    <w:rsid w:val="006B2F7D"/>
    <w:rsid w:val="006B301E"/>
    <w:rsid w:val="006B31DE"/>
    <w:rsid w:val="006B3291"/>
    <w:rsid w:val="006B3BBD"/>
    <w:rsid w:val="006B3E50"/>
    <w:rsid w:val="006B3E7E"/>
    <w:rsid w:val="006B44D7"/>
    <w:rsid w:val="006B4C17"/>
    <w:rsid w:val="006B4CB7"/>
    <w:rsid w:val="006B4E8D"/>
    <w:rsid w:val="006B51F4"/>
    <w:rsid w:val="006B538D"/>
    <w:rsid w:val="006B54DC"/>
    <w:rsid w:val="006B5D86"/>
    <w:rsid w:val="006B6CF2"/>
    <w:rsid w:val="006B71F1"/>
    <w:rsid w:val="006B72D8"/>
    <w:rsid w:val="006B750C"/>
    <w:rsid w:val="006C0579"/>
    <w:rsid w:val="006C0C6F"/>
    <w:rsid w:val="006C0D6D"/>
    <w:rsid w:val="006C1073"/>
    <w:rsid w:val="006C116A"/>
    <w:rsid w:val="006C11E1"/>
    <w:rsid w:val="006C131E"/>
    <w:rsid w:val="006C1683"/>
    <w:rsid w:val="006C18DE"/>
    <w:rsid w:val="006C195D"/>
    <w:rsid w:val="006C1A49"/>
    <w:rsid w:val="006C1BD4"/>
    <w:rsid w:val="006C1F72"/>
    <w:rsid w:val="006C2570"/>
    <w:rsid w:val="006C2758"/>
    <w:rsid w:val="006C2BCE"/>
    <w:rsid w:val="006C2FB0"/>
    <w:rsid w:val="006C31B5"/>
    <w:rsid w:val="006C34F7"/>
    <w:rsid w:val="006C3698"/>
    <w:rsid w:val="006C3859"/>
    <w:rsid w:val="006C3BCE"/>
    <w:rsid w:val="006C3EBC"/>
    <w:rsid w:val="006C4B50"/>
    <w:rsid w:val="006C4B59"/>
    <w:rsid w:val="006C4CF0"/>
    <w:rsid w:val="006C4F05"/>
    <w:rsid w:val="006C57C1"/>
    <w:rsid w:val="006C582F"/>
    <w:rsid w:val="006C5830"/>
    <w:rsid w:val="006C5FA7"/>
    <w:rsid w:val="006C6210"/>
    <w:rsid w:val="006C6301"/>
    <w:rsid w:val="006C6826"/>
    <w:rsid w:val="006C6A25"/>
    <w:rsid w:val="006C7163"/>
    <w:rsid w:val="006C7277"/>
    <w:rsid w:val="006C7BB8"/>
    <w:rsid w:val="006C7C7E"/>
    <w:rsid w:val="006D0B6C"/>
    <w:rsid w:val="006D0DE5"/>
    <w:rsid w:val="006D184F"/>
    <w:rsid w:val="006D1AD0"/>
    <w:rsid w:val="006D1B0E"/>
    <w:rsid w:val="006D2383"/>
    <w:rsid w:val="006D26FA"/>
    <w:rsid w:val="006D29EC"/>
    <w:rsid w:val="006D2AB0"/>
    <w:rsid w:val="006D2EE7"/>
    <w:rsid w:val="006D31DB"/>
    <w:rsid w:val="006D3222"/>
    <w:rsid w:val="006D376E"/>
    <w:rsid w:val="006D3B49"/>
    <w:rsid w:val="006D4DDB"/>
    <w:rsid w:val="006D5205"/>
    <w:rsid w:val="006D532A"/>
    <w:rsid w:val="006D5484"/>
    <w:rsid w:val="006D5730"/>
    <w:rsid w:val="006D5A32"/>
    <w:rsid w:val="006D6556"/>
    <w:rsid w:val="006D706D"/>
    <w:rsid w:val="006D7087"/>
    <w:rsid w:val="006D7253"/>
    <w:rsid w:val="006D72EC"/>
    <w:rsid w:val="006D73B1"/>
    <w:rsid w:val="006D7858"/>
    <w:rsid w:val="006D7CD3"/>
    <w:rsid w:val="006D7E2F"/>
    <w:rsid w:val="006E0220"/>
    <w:rsid w:val="006E0723"/>
    <w:rsid w:val="006E24DA"/>
    <w:rsid w:val="006E2B8B"/>
    <w:rsid w:val="006E2E75"/>
    <w:rsid w:val="006E3AB3"/>
    <w:rsid w:val="006E3FC6"/>
    <w:rsid w:val="006E44E9"/>
    <w:rsid w:val="006E4A42"/>
    <w:rsid w:val="006E54A4"/>
    <w:rsid w:val="006E56A8"/>
    <w:rsid w:val="006E576B"/>
    <w:rsid w:val="006E5B91"/>
    <w:rsid w:val="006E5DC4"/>
    <w:rsid w:val="006E5E16"/>
    <w:rsid w:val="006E5FAE"/>
    <w:rsid w:val="006E6417"/>
    <w:rsid w:val="006E68CD"/>
    <w:rsid w:val="006E75AA"/>
    <w:rsid w:val="006E77CB"/>
    <w:rsid w:val="006E79E1"/>
    <w:rsid w:val="006E7F2D"/>
    <w:rsid w:val="006F01DE"/>
    <w:rsid w:val="006F0451"/>
    <w:rsid w:val="006F054F"/>
    <w:rsid w:val="006F06E1"/>
    <w:rsid w:val="006F1521"/>
    <w:rsid w:val="006F1AEC"/>
    <w:rsid w:val="006F1C3E"/>
    <w:rsid w:val="006F2108"/>
    <w:rsid w:val="006F2248"/>
    <w:rsid w:val="006F22F7"/>
    <w:rsid w:val="006F2309"/>
    <w:rsid w:val="006F24FC"/>
    <w:rsid w:val="006F2566"/>
    <w:rsid w:val="006F2928"/>
    <w:rsid w:val="006F2A2B"/>
    <w:rsid w:val="006F2C42"/>
    <w:rsid w:val="006F2D1A"/>
    <w:rsid w:val="006F2EE1"/>
    <w:rsid w:val="006F3A04"/>
    <w:rsid w:val="006F47A1"/>
    <w:rsid w:val="006F5B4C"/>
    <w:rsid w:val="006F5DEC"/>
    <w:rsid w:val="006F6052"/>
    <w:rsid w:val="006F7539"/>
    <w:rsid w:val="006F7680"/>
    <w:rsid w:val="006F77B7"/>
    <w:rsid w:val="006F77C8"/>
    <w:rsid w:val="006F7992"/>
    <w:rsid w:val="006F7A21"/>
    <w:rsid w:val="006F7EB1"/>
    <w:rsid w:val="0070001C"/>
    <w:rsid w:val="007005CA"/>
    <w:rsid w:val="00700619"/>
    <w:rsid w:val="007006B0"/>
    <w:rsid w:val="00700814"/>
    <w:rsid w:val="0070092D"/>
    <w:rsid w:val="00701CCB"/>
    <w:rsid w:val="00701EDE"/>
    <w:rsid w:val="00701FC4"/>
    <w:rsid w:val="00702627"/>
    <w:rsid w:val="0070272A"/>
    <w:rsid w:val="0070274B"/>
    <w:rsid w:val="00702D43"/>
    <w:rsid w:val="00702E06"/>
    <w:rsid w:val="00703169"/>
    <w:rsid w:val="00703337"/>
    <w:rsid w:val="007034D7"/>
    <w:rsid w:val="00703801"/>
    <w:rsid w:val="00703FCC"/>
    <w:rsid w:val="00704055"/>
    <w:rsid w:val="00704F14"/>
    <w:rsid w:val="007058B5"/>
    <w:rsid w:val="00706133"/>
    <w:rsid w:val="00706281"/>
    <w:rsid w:val="00706CA0"/>
    <w:rsid w:val="00706F3E"/>
    <w:rsid w:val="007076B3"/>
    <w:rsid w:val="00707926"/>
    <w:rsid w:val="00707BA2"/>
    <w:rsid w:val="00710249"/>
    <w:rsid w:val="007102B7"/>
    <w:rsid w:val="007108F3"/>
    <w:rsid w:val="00710A38"/>
    <w:rsid w:val="00710D77"/>
    <w:rsid w:val="00710DFA"/>
    <w:rsid w:val="00711A60"/>
    <w:rsid w:val="00712063"/>
    <w:rsid w:val="00712205"/>
    <w:rsid w:val="00712B19"/>
    <w:rsid w:val="00712D68"/>
    <w:rsid w:val="00713086"/>
    <w:rsid w:val="0071324F"/>
    <w:rsid w:val="00713717"/>
    <w:rsid w:val="00713F47"/>
    <w:rsid w:val="00714209"/>
    <w:rsid w:val="007142F2"/>
    <w:rsid w:val="0071451C"/>
    <w:rsid w:val="007148C9"/>
    <w:rsid w:val="007149D4"/>
    <w:rsid w:val="00714FEC"/>
    <w:rsid w:val="0071538E"/>
    <w:rsid w:val="00715757"/>
    <w:rsid w:val="00715E70"/>
    <w:rsid w:val="00716066"/>
    <w:rsid w:val="007166E5"/>
    <w:rsid w:val="00716A48"/>
    <w:rsid w:val="00716AA6"/>
    <w:rsid w:val="007173C6"/>
    <w:rsid w:val="00717CB5"/>
    <w:rsid w:val="007207C7"/>
    <w:rsid w:val="007207F4"/>
    <w:rsid w:val="007209D1"/>
    <w:rsid w:val="00720C92"/>
    <w:rsid w:val="00720FFC"/>
    <w:rsid w:val="00721264"/>
    <w:rsid w:val="007219B3"/>
    <w:rsid w:val="00721A5C"/>
    <w:rsid w:val="00721D13"/>
    <w:rsid w:val="00721EF7"/>
    <w:rsid w:val="00721FEB"/>
    <w:rsid w:val="007222F4"/>
    <w:rsid w:val="007227F1"/>
    <w:rsid w:val="00722CA6"/>
    <w:rsid w:val="00722FE1"/>
    <w:rsid w:val="00723109"/>
    <w:rsid w:val="0072327C"/>
    <w:rsid w:val="00723375"/>
    <w:rsid w:val="007239FA"/>
    <w:rsid w:val="00723C76"/>
    <w:rsid w:val="0072414C"/>
    <w:rsid w:val="00724584"/>
    <w:rsid w:val="00724D37"/>
    <w:rsid w:val="0072500E"/>
    <w:rsid w:val="0072567C"/>
    <w:rsid w:val="007256B9"/>
    <w:rsid w:val="007256D1"/>
    <w:rsid w:val="0072599B"/>
    <w:rsid w:val="00725D5C"/>
    <w:rsid w:val="007263D2"/>
    <w:rsid w:val="00726689"/>
    <w:rsid w:val="00726C4B"/>
    <w:rsid w:val="0072743D"/>
    <w:rsid w:val="00727AD1"/>
    <w:rsid w:val="00727B7A"/>
    <w:rsid w:val="00727DF6"/>
    <w:rsid w:val="00730067"/>
    <w:rsid w:val="0073028A"/>
    <w:rsid w:val="007307A4"/>
    <w:rsid w:val="00730AB3"/>
    <w:rsid w:val="00730FB4"/>
    <w:rsid w:val="0073109D"/>
    <w:rsid w:val="007310CF"/>
    <w:rsid w:val="0073118A"/>
    <w:rsid w:val="00731833"/>
    <w:rsid w:val="00732191"/>
    <w:rsid w:val="0073223E"/>
    <w:rsid w:val="00732275"/>
    <w:rsid w:val="007323E9"/>
    <w:rsid w:val="00732432"/>
    <w:rsid w:val="00732679"/>
    <w:rsid w:val="00732886"/>
    <w:rsid w:val="0073314D"/>
    <w:rsid w:val="007331CB"/>
    <w:rsid w:val="007332B3"/>
    <w:rsid w:val="00733578"/>
    <w:rsid w:val="007340E3"/>
    <w:rsid w:val="00734159"/>
    <w:rsid w:val="007341AD"/>
    <w:rsid w:val="0073445D"/>
    <w:rsid w:val="00734601"/>
    <w:rsid w:val="00734D78"/>
    <w:rsid w:val="007356A7"/>
    <w:rsid w:val="007358A4"/>
    <w:rsid w:val="00735A57"/>
    <w:rsid w:val="007368E3"/>
    <w:rsid w:val="00736A3B"/>
    <w:rsid w:val="00736F0A"/>
    <w:rsid w:val="007371ED"/>
    <w:rsid w:val="007372CF"/>
    <w:rsid w:val="0073788F"/>
    <w:rsid w:val="007378C8"/>
    <w:rsid w:val="00737F2E"/>
    <w:rsid w:val="00740659"/>
    <w:rsid w:val="00740678"/>
    <w:rsid w:val="007418C6"/>
    <w:rsid w:val="00741B84"/>
    <w:rsid w:val="00741CC9"/>
    <w:rsid w:val="00741DEF"/>
    <w:rsid w:val="00742013"/>
    <w:rsid w:val="007420D0"/>
    <w:rsid w:val="007421C2"/>
    <w:rsid w:val="00742674"/>
    <w:rsid w:val="007427D9"/>
    <w:rsid w:val="00742C67"/>
    <w:rsid w:val="00743285"/>
    <w:rsid w:val="00743939"/>
    <w:rsid w:val="00743995"/>
    <w:rsid w:val="007440B2"/>
    <w:rsid w:val="0074467A"/>
    <w:rsid w:val="00744E85"/>
    <w:rsid w:val="0074512D"/>
    <w:rsid w:val="007458AD"/>
    <w:rsid w:val="00745C17"/>
    <w:rsid w:val="00745E1A"/>
    <w:rsid w:val="0074605C"/>
    <w:rsid w:val="007471EB"/>
    <w:rsid w:val="007474E4"/>
    <w:rsid w:val="0074760E"/>
    <w:rsid w:val="00747813"/>
    <w:rsid w:val="007478C4"/>
    <w:rsid w:val="00747A08"/>
    <w:rsid w:val="00747C39"/>
    <w:rsid w:val="00747C9C"/>
    <w:rsid w:val="00747E26"/>
    <w:rsid w:val="0075000A"/>
    <w:rsid w:val="007501AD"/>
    <w:rsid w:val="0075026A"/>
    <w:rsid w:val="0075039A"/>
    <w:rsid w:val="007507F7"/>
    <w:rsid w:val="0075089F"/>
    <w:rsid w:val="00750C1E"/>
    <w:rsid w:val="00750FD5"/>
    <w:rsid w:val="00751131"/>
    <w:rsid w:val="00751376"/>
    <w:rsid w:val="0075140E"/>
    <w:rsid w:val="0075147F"/>
    <w:rsid w:val="007518DE"/>
    <w:rsid w:val="00751C4B"/>
    <w:rsid w:val="00751C70"/>
    <w:rsid w:val="00752010"/>
    <w:rsid w:val="007520D2"/>
    <w:rsid w:val="007520FC"/>
    <w:rsid w:val="00752624"/>
    <w:rsid w:val="00752A40"/>
    <w:rsid w:val="00752D92"/>
    <w:rsid w:val="007530FF"/>
    <w:rsid w:val="0075314D"/>
    <w:rsid w:val="00753BE7"/>
    <w:rsid w:val="007542ED"/>
    <w:rsid w:val="00754358"/>
    <w:rsid w:val="0075477F"/>
    <w:rsid w:val="0075498B"/>
    <w:rsid w:val="00754C3C"/>
    <w:rsid w:val="00754C40"/>
    <w:rsid w:val="00754E51"/>
    <w:rsid w:val="00755C3A"/>
    <w:rsid w:val="00756A54"/>
    <w:rsid w:val="00756CB0"/>
    <w:rsid w:val="00756E7B"/>
    <w:rsid w:val="00757C81"/>
    <w:rsid w:val="00757E3B"/>
    <w:rsid w:val="00760614"/>
    <w:rsid w:val="00761706"/>
    <w:rsid w:val="0076171C"/>
    <w:rsid w:val="007618D0"/>
    <w:rsid w:val="00761B7C"/>
    <w:rsid w:val="00761E49"/>
    <w:rsid w:val="00761FDA"/>
    <w:rsid w:val="007621FE"/>
    <w:rsid w:val="0076226C"/>
    <w:rsid w:val="007622C6"/>
    <w:rsid w:val="007624A2"/>
    <w:rsid w:val="00762656"/>
    <w:rsid w:val="00762B3A"/>
    <w:rsid w:val="00762CA1"/>
    <w:rsid w:val="0076328F"/>
    <w:rsid w:val="00763C20"/>
    <w:rsid w:val="0076455C"/>
    <w:rsid w:val="00764B79"/>
    <w:rsid w:val="00765089"/>
    <w:rsid w:val="00765352"/>
    <w:rsid w:val="00765EEA"/>
    <w:rsid w:val="00766020"/>
    <w:rsid w:val="00766482"/>
    <w:rsid w:val="00766744"/>
    <w:rsid w:val="00766B80"/>
    <w:rsid w:val="00766E65"/>
    <w:rsid w:val="00767062"/>
    <w:rsid w:val="007674C5"/>
    <w:rsid w:val="00770248"/>
    <w:rsid w:val="00770C19"/>
    <w:rsid w:val="00770DF1"/>
    <w:rsid w:val="007713D5"/>
    <w:rsid w:val="00771513"/>
    <w:rsid w:val="00771AB1"/>
    <w:rsid w:val="00771C83"/>
    <w:rsid w:val="00771E25"/>
    <w:rsid w:val="0077213A"/>
    <w:rsid w:val="0077256A"/>
    <w:rsid w:val="00772915"/>
    <w:rsid w:val="007729CF"/>
    <w:rsid w:val="00772C4C"/>
    <w:rsid w:val="007731C4"/>
    <w:rsid w:val="0077343D"/>
    <w:rsid w:val="00773A52"/>
    <w:rsid w:val="00773B1C"/>
    <w:rsid w:val="00773BD9"/>
    <w:rsid w:val="00773BFD"/>
    <w:rsid w:val="007742DA"/>
    <w:rsid w:val="00774657"/>
    <w:rsid w:val="00774C2D"/>
    <w:rsid w:val="00774DCE"/>
    <w:rsid w:val="00774E22"/>
    <w:rsid w:val="007759B8"/>
    <w:rsid w:val="0077628B"/>
    <w:rsid w:val="007764A9"/>
    <w:rsid w:val="00777169"/>
    <w:rsid w:val="007774D5"/>
    <w:rsid w:val="00777730"/>
    <w:rsid w:val="007777A3"/>
    <w:rsid w:val="007777FE"/>
    <w:rsid w:val="00777832"/>
    <w:rsid w:val="00777D20"/>
    <w:rsid w:val="0078046D"/>
    <w:rsid w:val="00780AAC"/>
    <w:rsid w:val="00780DC0"/>
    <w:rsid w:val="00781073"/>
    <w:rsid w:val="00781395"/>
    <w:rsid w:val="00781426"/>
    <w:rsid w:val="00781594"/>
    <w:rsid w:val="007816C5"/>
    <w:rsid w:val="007816E9"/>
    <w:rsid w:val="00781C17"/>
    <w:rsid w:val="00781C92"/>
    <w:rsid w:val="00781F27"/>
    <w:rsid w:val="007820B4"/>
    <w:rsid w:val="0078266F"/>
    <w:rsid w:val="007828DE"/>
    <w:rsid w:val="00782E77"/>
    <w:rsid w:val="007831A5"/>
    <w:rsid w:val="0078330A"/>
    <w:rsid w:val="0078378D"/>
    <w:rsid w:val="00783922"/>
    <w:rsid w:val="00784848"/>
    <w:rsid w:val="00784B56"/>
    <w:rsid w:val="00785D1C"/>
    <w:rsid w:val="00785F31"/>
    <w:rsid w:val="007868E9"/>
    <w:rsid w:val="00786F67"/>
    <w:rsid w:val="00786FC0"/>
    <w:rsid w:val="00787B73"/>
    <w:rsid w:val="00787B97"/>
    <w:rsid w:val="00790430"/>
    <w:rsid w:val="00790990"/>
    <w:rsid w:val="00790B1B"/>
    <w:rsid w:val="00790C4B"/>
    <w:rsid w:val="007913E7"/>
    <w:rsid w:val="00791A10"/>
    <w:rsid w:val="00791D99"/>
    <w:rsid w:val="00792542"/>
    <w:rsid w:val="00792707"/>
    <w:rsid w:val="00792757"/>
    <w:rsid w:val="0079275D"/>
    <w:rsid w:val="00792F20"/>
    <w:rsid w:val="007934AA"/>
    <w:rsid w:val="00793923"/>
    <w:rsid w:val="00793A91"/>
    <w:rsid w:val="00793C30"/>
    <w:rsid w:val="00794296"/>
    <w:rsid w:val="007942AA"/>
    <w:rsid w:val="0079431F"/>
    <w:rsid w:val="00794A64"/>
    <w:rsid w:val="00794FC9"/>
    <w:rsid w:val="00795420"/>
    <w:rsid w:val="00795624"/>
    <w:rsid w:val="007962B8"/>
    <w:rsid w:val="007967EB"/>
    <w:rsid w:val="00796DA4"/>
    <w:rsid w:val="007972EF"/>
    <w:rsid w:val="007973AA"/>
    <w:rsid w:val="007A0064"/>
    <w:rsid w:val="007A0585"/>
    <w:rsid w:val="007A0BED"/>
    <w:rsid w:val="007A0EA3"/>
    <w:rsid w:val="007A102B"/>
    <w:rsid w:val="007A1062"/>
    <w:rsid w:val="007A1063"/>
    <w:rsid w:val="007A10E2"/>
    <w:rsid w:val="007A1999"/>
    <w:rsid w:val="007A1BD6"/>
    <w:rsid w:val="007A24B1"/>
    <w:rsid w:val="007A24FB"/>
    <w:rsid w:val="007A25B2"/>
    <w:rsid w:val="007A2C38"/>
    <w:rsid w:val="007A2CCE"/>
    <w:rsid w:val="007A2F10"/>
    <w:rsid w:val="007A35BE"/>
    <w:rsid w:val="007A3D56"/>
    <w:rsid w:val="007A4158"/>
    <w:rsid w:val="007A482D"/>
    <w:rsid w:val="007A4DF7"/>
    <w:rsid w:val="007A518A"/>
    <w:rsid w:val="007A586F"/>
    <w:rsid w:val="007A5AD7"/>
    <w:rsid w:val="007A5CD9"/>
    <w:rsid w:val="007A5D78"/>
    <w:rsid w:val="007A5DF5"/>
    <w:rsid w:val="007A616D"/>
    <w:rsid w:val="007A65DB"/>
    <w:rsid w:val="007A6673"/>
    <w:rsid w:val="007A67DD"/>
    <w:rsid w:val="007A6D6F"/>
    <w:rsid w:val="007A6DAE"/>
    <w:rsid w:val="007A701E"/>
    <w:rsid w:val="007A71AB"/>
    <w:rsid w:val="007A75DA"/>
    <w:rsid w:val="007A79CF"/>
    <w:rsid w:val="007A7E71"/>
    <w:rsid w:val="007A7E9D"/>
    <w:rsid w:val="007B08B4"/>
    <w:rsid w:val="007B08C9"/>
    <w:rsid w:val="007B0D20"/>
    <w:rsid w:val="007B0E89"/>
    <w:rsid w:val="007B0FCA"/>
    <w:rsid w:val="007B1225"/>
    <w:rsid w:val="007B19E0"/>
    <w:rsid w:val="007B1B79"/>
    <w:rsid w:val="007B21DA"/>
    <w:rsid w:val="007B22A0"/>
    <w:rsid w:val="007B2450"/>
    <w:rsid w:val="007B27C1"/>
    <w:rsid w:val="007B2999"/>
    <w:rsid w:val="007B2F39"/>
    <w:rsid w:val="007B388D"/>
    <w:rsid w:val="007B44E8"/>
    <w:rsid w:val="007B4636"/>
    <w:rsid w:val="007B47EC"/>
    <w:rsid w:val="007B4939"/>
    <w:rsid w:val="007B49D9"/>
    <w:rsid w:val="007B4CB7"/>
    <w:rsid w:val="007B4F49"/>
    <w:rsid w:val="007B506A"/>
    <w:rsid w:val="007B584A"/>
    <w:rsid w:val="007B58D8"/>
    <w:rsid w:val="007B5EB5"/>
    <w:rsid w:val="007B5F12"/>
    <w:rsid w:val="007B68A8"/>
    <w:rsid w:val="007B69D0"/>
    <w:rsid w:val="007B6D9B"/>
    <w:rsid w:val="007B6DC3"/>
    <w:rsid w:val="007B6F0F"/>
    <w:rsid w:val="007B716A"/>
    <w:rsid w:val="007B730A"/>
    <w:rsid w:val="007B7522"/>
    <w:rsid w:val="007B77C4"/>
    <w:rsid w:val="007B794E"/>
    <w:rsid w:val="007B7D81"/>
    <w:rsid w:val="007B7DC1"/>
    <w:rsid w:val="007C0685"/>
    <w:rsid w:val="007C0A4B"/>
    <w:rsid w:val="007C0BC0"/>
    <w:rsid w:val="007C0BC5"/>
    <w:rsid w:val="007C0DC6"/>
    <w:rsid w:val="007C100D"/>
    <w:rsid w:val="007C14BA"/>
    <w:rsid w:val="007C1946"/>
    <w:rsid w:val="007C1998"/>
    <w:rsid w:val="007C1BB2"/>
    <w:rsid w:val="007C1BD2"/>
    <w:rsid w:val="007C2533"/>
    <w:rsid w:val="007C2659"/>
    <w:rsid w:val="007C2A3A"/>
    <w:rsid w:val="007C2A67"/>
    <w:rsid w:val="007C2C30"/>
    <w:rsid w:val="007C3004"/>
    <w:rsid w:val="007C3316"/>
    <w:rsid w:val="007C36F0"/>
    <w:rsid w:val="007C399D"/>
    <w:rsid w:val="007C43F2"/>
    <w:rsid w:val="007C45E1"/>
    <w:rsid w:val="007C4ECB"/>
    <w:rsid w:val="007C5201"/>
    <w:rsid w:val="007C532B"/>
    <w:rsid w:val="007C54F4"/>
    <w:rsid w:val="007C59DC"/>
    <w:rsid w:val="007C5AE6"/>
    <w:rsid w:val="007C62A1"/>
    <w:rsid w:val="007C65E4"/>
    <w:rsid w:val="007C689D"/>
    <w:rsid w:val="007C69B6"/>
    <w:rsid w:val="007C6A13"/>
    <w:rsid w:val="007C6BBC"/>
    <w:rsid w:val="007C6D19"/>
    <w:rsid w:val="007C6DC5"/>
    <w:rsid w:val="007C7156"/>
    <w:rsid w:val="007C716B"/>
    <w:rsid w:val="007C7279"/>
    <w:rsid w:val="007C7583"/>
    <w:rsid w:val="007D0633"/>
    <w:rsid w:val="007D0985"/>
    <w:rsid w:val="007D0A5D"/>
    <w:rsid w:val="007D10B8"/>
    <w:rsid w:val="007D113A"/>
    <w:rsid w:val="007D1151"/>
    <w:rsid w:val="007D14B0"/>
    <w:rsid w:val="007D1607"/>
    <w:rsid w:val="007D194B"/>
    <w:rsid w:val="007D1A00"/>
    <w:rsid w:val="007D208F"/>
    <w:rsid w:val="007D26EA"/>
    <w:rsid w:val="007D272F"/>
    <w:rsid w:val="007D2FD7"/>
    <w:rsid w:val="007D303C"/>
    <w:rsid w:val="007D35FB"/>
    <w:rsid w:val="007D37C4"/>
    <w:rsid w:val="007D38F5"/>
    <w:rsid w:val="007D3C14"/>
    <w:rsid w:val="007D3E0D"/>
    <w:rsid w:val="007D47D3"/>
    <w:rsid w:val="007D4A21"/>
    <w:rsid w:val="007D4CD3"/>
    <w:rsid w:val="007D4E58"/>
    <w:rsid w:val="007D4F70"/>
    <w:rsid w:val="007D5770"/>
    <w:rsid w:val="007D59F3"/>
    <w:rsid w:val="007D5C04"/>
    <w:rsid w:val="007D621E"/>
    <w:rsid w:val="007D6ABE"/>
    <w:rsid w:val="007D6B47"/>
    <w:rsid w:val="007D6C3D"/>
    <w:rsid w:val="007D6E1B"/>
    <w:rsid w:val="007D72F0"/>
    <w:rsid w:val="007D731A"/>
    <w:rsid w:val="007D7F5B"/>
    <w:rsid w:val="007E04CD"/>
    <w:rsid w:val="007E0D83"/>
    <w:rsid w:val="007E1A7F"/>
    <w:rsid w:val="007E2E52"/>
    <w:rsid w:val="007E2F28"/>
    <w:rsid w:val="007E3037"/>
    <w:rsid w:val="007E30AB"/>
    <w:rsid w:val="007E3449"/>
    <w:rsid w:val="007E39C7"/>
    <w:rsid w:val="007E4987"/>
    <w:rsid w:val="007E4E79"/>
    <w:rsid w:val="007E4F6E"/>
    <w:rsid w:val="007E5557"/>
    <w:rsid w:val="007E5C83"/>
    <w:rsid w:val="007E5EC2"/>
    <w:rsid w:val="007E5F9A"/>
    <w:rsid w:val="007E6620"/>
    <w:rsid w:val="007E684E"/>
    <w:rsid w:val="007E6A10"/>
    <w:rsid w:val="007E719C"/>
    <w:rsid w:val="007E769A"/>
    <w:rsid w:val="007E78EB"/>
    <w:rsid w:val="007E7D7A"/>
    <w:rsid w:val="007E7D84"/>
    <w:rsid w:val="007F0415"/>
    <w:rsid w:val="007F0562"/>
    <w:rsid w:val="007F058F"/>
    <w:rsid w:val="007F0C9E"/>
    <w:rsid w:val="007F0CA1"/>
    <w:rsid w:val="007F19A0"/>
    <w:rsid w:val="007F1CA6"/>
    <w:rsid w:val="007F251F"/>
    <w:rsid w:val="007F261A"/>
    <w:rsid w:val="007F27B4"/>
    <w:rsid w:val="007F28E9"/>
    <w:rsid w:val="007F2AE5"/>
    <w:rsid w:val="007F2CDD"/>
    <w:rsid w:val="007F3130"/>
    <w:rsid w:val="007F34FD"/>
    <w:rsid w:val="007F3538"/>
    <w:rsid w:val="007F399D"/>
    <w:rsid w:val="007F3BFE"/>
    <w:rsid w:val="007F40EE"/>
    <w:rsid w:val="007F4337"/>
    <w:rsid w:val="007F4741"/>
    <w:rsid w:val="007F4CD9"/>
    <w:rsid w:val="007F5045"/>
    <w:rsid w:val="007F5D81"/>
    <w:rsid w:val="007F60FF"/>
    <w:rsid w:val="007F6250"/>
    <w:rsid w:val="007F6280"/>
    <w:rsid w:val="007F6386"/>
    <w:rsid w:val="007F6430"/>
    <w:rsid w:val="007F7335"/>
    <w:rsid w:val="007F7618"/>
    <w:rsid w:val="007F769B"/>
    <w:rsid w:val="007F7767"/>
    <w:rsid w:val="007F78D2"/>
    <w:rsid w:val="007F7B53"/>
    <w:rsid w:val="00800552"/>
    <w:rsid w:val="008006AA"/>
    <w:rsid w:val="00800DB7"/>
    <w:rsid w:val="00800EDD"/>
    <w:rsid w:val="0080159C"/>
    <w:rsid w:val="008017D4"/>
    <w:rsid w:val="00801B56"/>
    <w:rsid w:val="00801BB5"/>
    <w:rsid w:val="00801E9E"/>
    <w:rsid w:val="00802196"/>
    <w:rsid w:val="00802784"/>
    <w:rsid w:val="008027E8"/>
    <w:rsid w:val="008035C6"/>
    <w:rsid w:val="008037ED"/>
    <w:rsid w:val="00803DE7"/>
    <w:rsid w:val="00803FBC"/>
    <w:rsid w:val="00804672"/>
    <w:rsid w:val="00804C02"/>
    <w:rsid w:val="008051FA"/>
    <w:rsid w:val="008055D1"/>
    <w:rsid w:val="00805DA2"/>
    <w:rsid w:val="008067A6"/>
    <w:rsid w:val="0080686E"/>
    <w:rsid w:val="008072F5"/>
    <w:rsid w:val="0080735E"/>
    <w:rsid w:val="00807844"/>
    <w:rsid w:val="00807E2E"/>
    <w:rsid w:val="0081028F"/>
    <w:rsid w:val="008102D8"/>
    <w:rsid w:val="0081051B"/>
    <w:rsid w:val="00810549"/>
    <w:rsid w:val="008106B9"/>
    <w:rsid w:val="00810A90"/>
    <w:rsid w:val="00811549"/>
    <w:rsid w:val="00811979"/>
    <w:rsid w:val="00811A09"/>
    <w:rsid w:val="00811AFC"/>
    <w:rsid w:val="00811D72"/>
    <w:rsid w:val="00812111"/>
    <w:rsid w:val="00812312"/>
    <w:rsid w:val="00812C13"/>
    <w:rsid w:val="00812D97"/>
    <w:rsid w:val="0081316A"/>
    <w:rsid w:val="008136E5"/>
    <w:rsid w:val="0081392B"/>
    <w:rsid w:val="00813A71"/>
    <w:rsid w:val="00813BA9"/>
    <w:rsid w:val="00813DF2"/>
    <w:rsid w:val="00813FE6"/>
    <w:rsid w:val="008141C3"/>
    <w:rsid w:val="00814340"/>
    <w:rsid w:val="00814827"/>
    <w:rsid w:val="00814A78"/>
    <w:rsid w:val="00814E05"/>
    <w:rsid w:val="00815360"/>
    <w:rsid w:val="00815766"/>
    <w:rsid w:val="00815B6D"/>
    <w:rsid w:val="00815EE3"/>
    <w:rsid w:val="00816245"/>
    <w:rsid w:val="00816479"/>
    <w:rsid w:val="0081693F"/>
    <w:rsid w:val="00816D82"/>
    <w:rsid w:val="0081717C"/>
    <w:rsid w:val="0081723C"/>
    <w:rsid w:val="00817981"/>
    <w:rsid w:val="0082056F"/>
    <w:rsid w:val="008208F0"/>
    <w:rsid w:val="008218B8"/>
    <w:rsid w:val="008218E3"/>
    <w:rsid w:val="008221B1"/>
    <w:rsid w:val="008221FF"/>
    <w:rsid w:val="0082246E"/>
    <w:rsid w:val="0082247A"/>
    <w:rsid w:val="008226CC"/>
    <w:rsid w:val="00822CA6"/>
    <w:rsid w:val="00822E2A"/>
    <w:rsid w:val="0082305F"/>
    <w:rsid w:val="00823299"/>
    <w:rsid w:val="00823A84"/>
    <w:rsid w:val="00823B04"/>
    <w:rsid w:val="00823B91"/>
    <w:rsid w:val="00823C4F"/>
    <w:rsid w:val="00823FF9"/>
    <w:rsid w:val="00824169"/>
    <w:rsid w:val="0082433C"/>
    <w:rsid w:val="00825099"/>
    <w:rsid w:val="00825163"/>
    <w:rsid w:val="00825770"/>
    <w:rsid w:val="00825803"/>
    <w:rsid w:val="00825DD8"/>
    <w:rsid w:val="0082660E"/>
    <w:rsid w:val="00826873"/>
    <w:rsid w:val="00826F4E"/>
    <w:rsid w:val="00827569"/>
    <w:rsid w:val="008279D7"/>
    <w:rsid w:val="00827ACB"/>
    <w:rsid w:val="00827B9A"/>
    <w:rsid w:val="00827D48"/>
    <w:rsid w:val="00827ED2"/>
    <w:rsid w:val="0083050D"/>
    <w:rsid w:val="008309EF"/>
    <w:rsid w:val="00830A79"/>
    <w:rsid w:val="00830F36"/>
    <w:rsid w:val="008311CE"/>
    <w:rsid w:val="00831670"/>
    <w:rsid w:val="00831879"/>
    <w:rsid w:val="00832762"/>
    <w:rsid w:val="00832A3D"/>
    <w:rsid w:val="00832D01"/>
    <w:rsid w:val="00833070"/>
    <w:rsid w:val="008333C6"/>
    <w:rsid w:val="008339FB"/>
    <w:rsid w:val="00834638"/>
    <w:rsid w:val="0083471B"/>
    <w:rsid w:val="00834F96"/>
    <w:rsid w:val="00835107"/>
    <w:rsid w:val="0083541F"/>
    <w:rsid w:val="00835FDE"/>
    <w:rsid w:val="0083645D"/>
    <w:rsid w:val="00836695"/>
    <w:rsid w:val="00836797"/>
    <w:rsid w:val="00836BE1"/>
    <w:rsid w:val="00836D5E"/>
    <w:rsid w:val="00836E0C"/>
    <w:rsid w:val="008375D8"/>
    <w:rsid w:val="00837CAD"/>
    <w:rsid w:val="00840A29"/>
    <w:rsid w:val="008414CB"/>
    <w:rsid w:val="0084152A"/>
    <w:rsid w:val="008416C3"/>
    <w:rsid w:val="008420D8"/>
    <w:rsid w:val="00842471"/>
    <w:rsid w:val="0084265B"/>
    <w:rsid w:val="00842970"/>
    <w:rsid w:val="00842E59"/>
    <w:rsid w:val="00843128"/>
    <w:rsid w:val="008431DF"/>
    <w:rsid w:val="00843495"/>
    <w:rsid w:val="0084392C"/>
    <w:rsid w:val="00843942"/>
    <w:rsid w:val="00843A89"/>
    <w:rsid w:val="00843B94"/>
    <w:rsid w:val="00843FCC"/>
    <w:rsid w:val="008440B4"/>
    <w:rsid w:val="00844AE8"/>
    <w:rsid w:val="00845173"/>
    <w:rsid w:val="00845298"/>
    <w:rsid w:val="008453DA"/>
    <w:rsid w:val="00845722"/>
    <w:rsid w:val="00845C0A"/>
    <w:rsid w:val="00845C39"/>
    <w:rsid w:val="00845E9B"/>
    <w:rsid w:val="00845EE8"/>
    <w:rsid w:val="00845F5A"/>
    <w:rsid w:val="008465D5"/>
    <w:rsid w:val="00846B8D"/>
    <w:rsid w:val="00846C2C"/>
    <w:rsid w:val="00846F49"/>
    <w:rsid w:val="00846F93"/>
    <w:rsid w:val="008471ED"/>
    <w:rsid w:val="008472C8"/>
    <w:rsid w:val="00847368"/>
    <w:rsid w:val="00847472"/>
    <w:rsid w:val="00847832"/>
    <w:rsid w:val="00847A10"/>
    <w:rsid w:val="00847A8F"/>
    <w:rsid w:val="00847FCA"/>
    <w:rsid w:val="00850296"/>
    <w:rsid w:val="008504EB"/>
    <w:rsid w:val="0085064D"/>
    <w:rsid w:val="00850E0E"/>
    <w:rsid w:val="00851089"/>
    <w:rsid w:val="008517AE"/>
    <w:rsid w:val="00851A25"/>
    <w:rsid w:val="00851CB3"/>
    <w:rsid w:val="0085211C"/>
    <w:rsid w:val="0085219D"/>
    <w:rsid w:val="00852239"/>
    <w:rsid w:val="00852455"/>
    <w:rsid w:val="008529D3"/>
    <w:rsid w:val="00853683"/>
    <w:rsid w:val="008537C5"/>
    <w:rsid w:val="0085398C"/>
    <w:rsid w:val="00853A1E"/>
    <w:rsid w:val="00854325"/>
    <w:rsid w:val="0085466E"/>
    <w:rsid w:val="008546F7"/>
    <w:rsid w:val="00854956"/>
    <w:rsid w:val="00854ACB"/>
    <w:rsid w:val="00854BB8"/>
    <w:rsid w:val="0085569A"/>
    <w:rsid w:val="008559A6"/>
    <w:rsid w:val="00855D12"/>
    <w:rsid w:val="00856298"/>
    <w:rsid w:val="008565CC"/>
    <w:rsid w:val="008566DD"/>
    <w:rsid w:val="00856E37"/>
    <w:rsid w:val="00856E92"/>
    <w:rsid w:val="00856FA7"/>
    <w:rsid w:val="008579F5"/>
    <w:rsid w:val="00860040"/>
    <w:rsid w:val="008604D7"/>
    <w:rsid w:val="008605E4"/>
    <w:rsid w:val="0086067E"/>
    <w:rsid w:val="00860791"/>
    <w:rsid w:val="008607C3"/>
    <w:rsid w:val="00860857"/>
    <w:rsid w:val="00860F8F"/>
    <w:rsid w:val="008613DD"/>
    <w:rsid w:val="0086194B"/>
    <w:rsid w:val="0086206F"/>
    <w:rsid w:val="008622A0"/>
    <w:rsid w:val="0086295C"/>
    <w:rsid w:val="00862B50"/>
    <w:rsid w:val="00862D4A"/>
    <w:rsid w:val="00862DC6"/>
    <w:rsid w:val="008630EF"/>
    <w:rsid w:val="00863795"/>
    <w:rsid w:val="00863A8F"/>
    <w:rsid w:val="00863B38"/>
    <w:rsid w:val="00863B51"/>
    <w:rsid w:val="00863E91"/>
    <w:rsid w:val="00863F4D"/>
    <w:rsid w:val="00864624"/>
    <w:rsid w:val="00864838"/>
    <w:rsid w:val="00864893"/>
    <w:rsid w:val="00864ACF"/>
    <w:rsid w:val="00865489"/>
    <w:rsid w:val="00865828"/>
    <w:rsid w:val="00865A34"/>
    <w:rsid w:val="00865D4C"/>
    <w:rsid w:val="008663DD"/>
    <w:rsid w:val="008664D5"/>
    <w:rsid w:val="00866BAB"/>
    <w:rsid w:val="00867151"/>
    <w:rsid w:val="008671E1"/>
    <w:rsid w:val="00867991"/>
    <w:rsid w:val="00867B12"/>
    <w:rsid w:val="00867B20"/>
    <w:rsid w:val="00867B82"/>
    <w:rsid w:val="0087032F"/>
    <w:rsid w:val="008705E7"/>
    <w:rsid w:val="008705F2"/>
    <w:rsid w:val="00870C9F"/>
    <w:rsid w:val="008714AD"/>
    <w:rsid w:val="00871C44"/>
    <w:rsid w:val="00871C63"/>
    <w:rsid w:val="008720C5"/>
    <w:rsid w:val="0087236E"/>
    <w:rsid w:val="008724DE"/>
    <w:rsid w:val="00872665"/>
    <w:rsid w:val="008726CA"/>
    <w:rsid w:val="00872A68"/>
    <w:rsid w:val="00872AF9"/>
    <w:rsid w:val="00872F55"/>
    <w:rsid w:val="00872F85"/>
    <w:rsid w:val="00873166"/>
    <w:rsid w:val="00873167"/>
    <w:rsid w:val="0087324D"/>
    <w:rsid w:val="00873B27"/>
    <w:rsid w:val="00873F39"/>
    <w:rsid w:val="00873F67"/>
    <w:rsid w:val="00874BB7"/>
    <w:rsid w:val="00874C47"/>
    <w:rsid w:val="00874DEE"/>
    <w:rsid w:val="00875499"/>
    <w:rsid w:val="008754FD"/>
    <w:rsid w:val="00875521"/>
    <w:rsid w:val="008759CF"/>
    <w:rsid w:val="008759E3"/>
    <w:rsid w:val="00875A6F"/>
    <w:rsid w:val="0087647B"/>
    <w:rsid w:val="00876798"/>
    <w:rsid w:val="00876AAD"/>
    <w:rsid w:val="00876AEC"/>
    <w:rsid w:val="00876AF5"/>
    <w:rsid w:val="008771B5"/>
    <w:rsid w:val="00877430"/>
    <w:rsid w:val="00877478"/>
    <w:rsid w:val="008774C1"/>
    <w:rsid w:val="00877572"/>
    <w:rsid w:val="0087768F"/>
    <w:rsid w:val="00877798"/>
    <w:rsid w:val="00877935"/>
    <w:rsid w:val="008779E6"/>
    <w:rsid w:val="008804D3"/>
    <w:rsid w:val="008810C6"/>
    <w:rsid w:val="008812CF"/>
    <w:rsid w:val="00881421"/>
    <w:rsid w:val="008815F0"/>
    <w:rsid w:val="00881FE4"/>
    <w:rsid w:val="008827EB"/>
    <w:rsid w:val="008832AC"/>
    <w:rsid w:val="008836C3"/>
    <w:rsid w:val="00883804"/>
    <w:rsid w:val="00883D54"/>
    <w:rsid w:val="00883D97"/>
    <w:rsid w:val="008840F8"/>
    <w:rsid w:val="00884219"/>
    <w:rsid w:val="00884730"/>
    <w:rsid w:val="008849E6"/>
    <w:rsid w:val="00884C61"/>
    <w:rsid w:val="00884FAB"/>
    <w:rsid w:val="00885337"/>
    <w:rsid w:val="008853A7"/>
    <w:rsid w:val="00885B51"/>
    <w:rsid w:val="0088609B"/>
    <w:rsid w:val="0088697C"/>
    <w:rsid w:val="00886ECE"/>
    <w:rsid w:val="00886F09"/>
    <w:rsid w:val="00887D7F"/>
    <w:rsid w:val="00887D94"/>
    <w:rsid w:val="008900A3"/>
    <w:rsid w:val="00890405"/>
    <w:rsid w:val="00890E30"/>
    <w:rsid w:val="00890E58"/>
    <w:rsid w:val="008913B0"/>
    <w:rsid w:val="008913DE"/>
    <w:rsid w:val="00891482"/>
    <w:rsid w:val="008915F2"/>
    <w:rsid w:val="008919C8"/>
    <w:rsid w:val="00891C55"/>
    <w:rsid w:val="00891E32"/>
    <w:rsid w:val="00891F80"/>
    <w:rsid w:val="0089218B"/>
    <w:rsid w:val="00892514"/>
    <w:rsid w:val="008925A5"/>
    <w:rsid w:val="00892963"/>
    <w:rsid w:val="0089334D"/>
    <w:rsid w:val="00893474"/>
    <w:rsid w:val="0089397F"/>
    <w:rsid w:val="00894134"/>
    <w:rsid w:val="00894809"/>
    <w:rsid w:val="008952C3"/>
    <w:rsid w:val="00895699"/>
    <w:rsid w:val="008956F5"/>
    <w:rsid w:val="00895841"/>
    <w:rsid w:val="008959FD"/>
    <w:rsid w:val="00895B1C"/>
    <w:rsid w:val="00895E21"/>
    <w:rsid w:val="00895F9C"/>
    <w:rsid w:val="008965BD"/>
    <w:rsid w:val="00896672"/>
    <w:rsid w:val="00896842"/>
    <w:rsid w:val="00896A98"/>
    <w:rsid w:val="00896AF3"/>
    <w:rsid w:val="0089707E"/>
    <w:rsid w:val="00897276"/>
    <w:rsid w:val="00897EF6"/>
    <w:rsid w:val="00897FE1"/>
    <w:rsid w:val="008A02C5"/>
    <w:rsid w:val="008A079A"/>
    <w:rsid w:val="008A0828"/>
    <w:rsid w:val="008A0908"/>
    <w:rsid w:val="008A16B8"/>
    <w:rsid w:val="008A170E"/>
    <w:rsid w:val="008A1756"/>
    <w:rsid w:val="008A1A43"/>
    <w:rsid w:val="008A200C"/>
    <w:rsid w:val="008A2586"/>
    <w:rsid w:val="008A2863"/>
    <w:rsid w:val="008A2B4D"/>
    <w:rsid w:val="008A39CE"/>
    <w:rsid w:val="008A3E41"/>
    <w:rsid w:val="008A3EA3"/>
    <w:rsid w:val="008A3FF5"/>
    <w:rsid w:val="008A3FF6"/>
    <w:rsid w:val="008A4093"/>
    <w:rsid w:val="008A4599"/>
    <w:rsid w:val="008A48DE"/>
    <w:rsid w:val="008A4AB9"/>
    <w:rsid w:val="008A4BAA"/>
    <w:rsid w:val="008A53E0"/>
    <w:rsid w:val="008A617D"/>
    <w:rsid w:val="008A61A6"/>
    <w:rsid w:val="008A6381"/>
    <w:rsid w:val="008A64D6"/>
    <w:rsid w:val="008A718F"/>
    <w:rsid w:val="008A781A"/>
    <w:rsid w:val="008A7983"/>
    <w:rsid w:val="008A7DFD"/>
    <w:rsid w:val="008B02C1"/>
    <w:rsid w:val="008B0E72"/>
    <w:rsid w:val="008B12D5"/>
    <w:rsid w:val="008B130C"/>
    <w:rsid w:val="008B13E6"/>
    <w:rsid w:val="008B1966"/>
    <w:rsid w:val="008B1EBD"/>
    <w:rsid w:val="008B241A"/>
    <w:rsid w:val="008B2627"/>
    <w:rsid w:val="008B2D8D"/>
    <w:rsid w:val="008B35F0"/>
    <w:rsid w:val="008B365C"/>
    <w:rsid w:val="008B3A61"/>
    <w:rsid w:val="008B3D6E"/>
    <w:rsid w:val="008B443F"/>
    <w:rsid w:val="008B466F"/>
    <w:rsid w:val="008B4F84"/>
    <w:rsid w:val="008B54AA"/>
    <w:rsid w:val="008B5C3B"/>
    <w:rsid w:val="008B5D22"/>
    <w:rsid w:val="008B5F3B"/>
    <w:rsid w:val="008B60B6"/>
    <w:rsid w:val="008B6E88"/>
    <w:rsid w:val="008B6FE9"/>
    <w:rsid w:val="008B70F1"/>
    <w:rsid w:val="008B7231"/>
    <w:rsid w:val="008B72DD"/>
    <w:rsid w:val="008B78BD"/>
    <w:rsid w:val="008B7C09"/>
    <w:rsid w:val="008C03A2"/>
    <w:rsid w:val="008C0417"/>
    <w:rsid w:val="008C07CB"/>
    <w:rsid w:val="008C087B"/>
    <w:rsid w:val="008C0EEB"/>
    <w:rsid w:val="008C1CC1"/>
    <w:rsid w:val="008C1EF2"/>
    <w:rsid w:val="008C2505"/>
    <w:rsid w:val="008C27ED"/>
    <w:rsid w:val="008C28F7"/>
    <w:rsid w:val="008C2C63"/>
    <w:rsid w:val="008C30C0"/>
    <w:rsid w:val="008C3293"/>
    <w:rsid w:val="008C3337"/>
    <w:rsid w:val="008C3690"/>
    <w:rsid w:val="008C37F0"/>
    <w:rsid w:val="008C3A99"/>
    <w:rsid w:val="008C4048"/>
    <w:rsid w:val="008C4172"/>
    <w:rsid w:val="008C4552"/>
    <w:rsid w:val="008C4834"/>
    <w:rsid w:val="008C48C8"/>
    <w:rsid w:val="008C4AE5"/>
    <w:rsid w:val="008C4CB0"/>
    <w:rsid w:val="008C4FC8"/>
    <w:rsid w:val="008C57DB"/>
    <w:rsid w:val="008C5902"/>
    <w:rsid w:val="008C5951"/>
    <w:rsid w:val="008C5AA0"/>
    <w:rsid w:val="008C6165"/>
    <w:rsid w:val="008C638C"/>
    <w:rsid w:val="008C6A2B"/>
    <w:rsid w:val="008C6AA9"/>
    <w:rsid w:val="008C6B4A"/>
    <w:rsid w:val="008C74BA"/>
    <w:rsid w:val="008C7604"/>
    <w:rsid w:val="008C7A7F"/>
    <w:rsid w:val="008C7D08"/>
    <w:rsid w:val="008C7E0A"/>
    <w:rsid w:val="008C7F9D"/>
    <w:rsid w:val="008D02AD"/>
    <w:rsid w:val="008D0AAA"/>
    <w:rsid w:val="008D0CBD"/>
    <w:rsid w:val="008D0E04"/>
    <w:rsid w:val="008D0E37"/>
    <w:rsid w:val="008D121F"/>
    <w:rsid w:val="008D1685"/>
    <w:rsid w:val="008D1FAE"/>
    <w:rsid w:val="008D2906"/>
    <w:rsid w:val="008D2914"/>
    <w:rsid w:val="008D2964"/>
    <w:rsid w:val="008D3BE0"/>
    <w:rsid w:val="008D3C93"/>
    <w:rsid w:val="008D3D31"/>
    <w:rsid w:val="008D4561"/>
    <w:rsid w:val="008D4782"/>
    <w:rsid w:val="008D49B8"/>
    <w:rsid w:val="008D4DE3"/>
    <w:rsid w:val="008D4E07"/>
    <w:rsid w:val="008D5AD7"/>
    <w:rsid w:val="008D5DF0"/>
    <w:rsid w:val="008D6284"/>
    <w:rsid w:val="008D6379"/>
    <w:rsid w:val="008D638A"/>
    <w:rsid w:val="008D6716"/>
    <w:rsid w:val="008E000B"/>
    <w:rsid w:val="008E06DB"/>
    <w:rsid w:val="008E072B"/>
    <w:rsid w:val="008E0763"/>
    <w:rsid w:val="008E095F"/>
    <w:rsid w:val="008E0B2E"/>
    <w:rsid w:val="008E111F"/>
    <w:rsid w:val="008E1AE3"/>
    <w:rsid w:val="008E238F"/>
    <w:rsid w:val="008E27CE"/>
    <w:rsid w:val="008E2D47"/>
    <w:rsid w:val="008E2D8B"/>
    <w:rsid w:val="008E342E"/>
    <w:rsid w:val="008E38D8"/>
    <w:rsid w:val="008E4737"/>
    <w:rsid w:val="008E4989"/>
    <w:rsid w:val="008E4F82"/>
    <w:rsid w:val="008E5198"/>
    <w:rsid w:val="008E5950"/>
    <w:rsid w:val="008E6026"/>
    <w:rsid w:val="008E631A"/>
    <w:rsid w:val="008E6515"/>
    <w:rsid w:val="008E6598"/>
    <w:rsid w:val="008E6845"/>
    <w:rsid w:val="008E6A58"/>
    <w:rsid w:val="008E7617"/>
    <w:rsid w:val="008E763D"/>
    <w:rsid w:val="008E7EBC"/>
    <w:rsid w:val="008F01CF"/>
    <w:rsid w:val="008F038A"/>
    <w:rsid w:val="008F109F"/>
    <w:rsid w:val="008F132E"/>
    <w:rsid w:val="008F15A9"/>
    <w:rsid w:val="008F15FB"/>
    <w:rsid w:val="008F19A4"/>
    <w:rsid w:val="008F1CE8"/>
    <w:rsid w:val="008F1F99"/>
    <w:rsid w:val="008F20AA"/>
    <w:rsid w:val="008F2CCB"/>
    <w:rsid w:val="008F2FE5"/>
    <w:rsid w:val="008F3109"/>
    <w:rsid w:val="008F33DA"/>
    <w:rsid w:val="008F362D"/>
    <w:rsid w:val="008F3B08"/>
    <w:rsid w:val="008F3C7C"/>
    <w:rsid w:val="008F3CDC"/>
    <w:rsid w:val="008F3E22"/>
    <w:rsid w:val="008F3E69"/>
    <w:rsid w:val="008F3FE6"/>
    <w:rsid w:val="008F4348"/>
    <w:rsid w:val="008F4512"/>
    <w:rsid w:val="008F45F3"/>
    <w:rsid w:val="008F4611"/>
    <w:rsid w:val="008F4F51"/>
    <w:rsid w:val="008F5358"/>
    <w:rsid w:val="008F5405"/>
    <w:rsid w:val="008F55FF"/>
    <w:rsid w:val="008F584D"/>
    <w:rsid w:val="008F6090"/>
    <w:rsid w:val="008F6102"/>
    <w:rsid w:val="008F657F"/>
    <w:rsid w:val="008F6693"/>
    <w:rsid w:val="008F6F35"/>
    <w:rsid w:val="008F717E"/>
    <w:rsid w:val="008F7BA9"/>
    <w:rsid w:val="008F7E9A"/>
    <w:rsid w:val="0090062C"/>
    <w:rsid w:val="0090092B"/>
    <w:rsid w:val="00900DFA"/>
    <w:rsid w:val="00900E7A"/>
    <w:rsid w:val="00900F33"/>
    <w:rsid w:val="00901992"/>
    <w:rsid w:val="00901D7E"/>
    <w:rsid w:val="00901DBC"/>
    <w:rsid w:val="00901F0D"/>
    <w:rsid w:val="00902460"/>
    <w:rsid w:val="009031BD"/>
    <w:rsid w:val="009032E9"/>
    <w:rsid w:val="00904141"/>
    <w:rsid w:val="00904EDC"/>
    <w:rsid w:val="0090549B"/>
    <w:rsid w:val="0090558A"/>
    <w:rsid w:val="009058FA"/>
    <w:rsid w:val="00905B78"/>
    <w:rsid w:val="009065EA"/>
    <w:rsid w:val="00906712"/>
    <w:rsid w:val="0090680D"/>
    <w:rsid w:val="00906B62"/>
    <w:rsid w:val="00906F6C"/>
    <w:rsid w:val="0090710A"/>
    <w:rsid w:val="00907976"/>
    <w:rsid w:val="00907BEE"/>
    <w:rsid w:val="00907C08"/>
    <w:rsid w:val="00907DF4"/>
    <w:rsid w:val="00907E8B"/>
    <w:rsid w:val="00907F9E"/>
    <w:rsid w:val="00907FDF"/>
    <w:rsid w:val="009120CD"/>
    <w:rsid w:val="009124BC"/>
    <w:rsid w:val="00912B9E"/>
    <w:rsid w:val="00912CE4"/>
    <w:rsid w:val="00912EF2"/>
    <w:rsid w:val="009130C2"/>
    <w:rsid w:val="009134A6"/>
    <w:rsid w:val="00913530"/>
    <w:rsid w:val="00913AA1"/>
    <w:rsid w:val="00914062"/>
    <w:rsid w:val="009143DE"/>
    <w:rsid w:val="0091471E"/>
    <w:rsid w:val="00914AC3"/>
    <w:rsid w:val="00914B23"/>
    <w:rsid w:val="00914C14"/>
    <w:rsid w:val="00914C37"/>
    <w:rsid w:val="009158A1"/>
    <w:rsid w:val="00915D16"/>
    <w:rsid w:val="00915EB5"/>
    <w:rsid w:val="00916299"/>
    <w:rsid w:val="00916876"/>
    <w:rsid w:val="00916A41"/>
    <w:rsid w:val="00916A79"/>
    <w:rsid w:val="009177C2"/>
    <w:rsid w:val="00920604"/>
    <w:rsid w:val="00920677"/>
    <w:rsid w:val="009206BC"/>
    <w:rsid w:val="009209B1"/>
    <w:rsid w:val="009209EE"/>
    <w:rsid w:val="00920D0F"/>
    <w:rsid w:val="009214CB"/>
    <w:rsid w:val="00921770"/>
    <w:rsid w:val="009218C1"/>
    <w:rsid w:val="00921E01"/>
    <w:rsid w:val="00921EFE"/>
    <w:rsid w:val="009222DB"/>
    <w:rsid w:val="009223A4"/>
    <w:rsid w:val="009223B2"/>
    <w:rsid w:val="00922A84"/>
    <w:rsid w:val="00922CE8"/>
    <w:rsid w:val="009237F8"/>
    <w:rsid w:val="00924050"/>
    <w:rsid w:val="0092434E"/>
    <w:rsid w:val="00924684"/>
    <w:rsid w:val="0092468A"/>
    <w:rsid w:val="00925071"/>
    <w:rsid w:val="0092529C"/>
    <w:rsid w:val="009252C7"/>
    <w:rsid w:val="0092545E"/>
    <w:rsid w:val="00925BC2"/>
    <w:rsid w:val="0092613B"/>
    <w:rsid w:val="009263BD"/>
    <w:rsid w:val="0092644F"/>
    <w:rsid w:val="009266C6"/>
    <w:rsid w:val="009266CB"/>
    <w:rsid w:val="009268CA"/>
    <w:rsid w:val="009268E9"/>
    <w:rsid w:val="009268F6"/>
    <w:rsid w:val="009269B8"/>
    <w:rsid w:val="00926DA2"/>
    <w:rsid w:val="00927444"/>
    <w:rsid w:val="0092779E"/>
    <w:rsid w:val="00927A3A"/>
    <w:rsid w:val="00927FAB"/>
    <w:rsid w:val="00930579"/>
    <w:rsid w:val="00930771"/>
    <w:rsid w:val="00930AE6"/>
    <w:rsid w:val="0093131A"/>
    <w:rsid w:val="00931536"/>
    <w:rsid w:val="009316EC"/>
    <w:rsid w:val="00932375"/>
    <w:rsid w:val="00932E71"/>
    <w:rsid w:val="009330CE"/>
    <w:rsid w:val="00933276"/>
    <w:rsid w:val="00933678"/>
    <w:rsid w:val="00933952"/>
    <w:rsid w:val="00933AF1"/>
    <w:rsid w:val="0093403B"/>
    <w:rsid w:val="00934763"/>
    <w:rsid w:val="00934797"/>
    <w:rsid w:val="00934B24"/>
    <w:rsid w:val="00935044"/>
    <w:rsid w:val="0093591A"/>
    <w:rsid w:val="009359C4"/>
    <w:rsid w:val="00935A9E"/>
    <w:rsid w:val="00935B39"/>
    <w:rsid w:val="00935E80"/>
    <w:rsid w:val="00936615"/>
    <w:rsid w:val="00936820"/>
    <w:rsid w:val="0093763D"/>
    <w:rsid w:val="00937C9A"/>
    <w:rsid w:val="00940772"/>
    <w:rsid w:val="0094097D"/>
    <w:rsid w:val="009411C6"/>
    <w:rsid w:val="0094128E"/>
    <w:rsid w:val="0094157E"/>
    <w:rsid w:val="009415C2"/>
    <w:rsid w:val="009415C5"/>
    <w:rsid w:val="009419E5"/>
    <w:rsid w:val="00941A29"/>
    <w:rsid w:val="00941D09"/>
    <w:rsid w:val="009421E3"/>
    <w:rsid w:val="009423DC"/>
    <w:rsid w:val="009426C4"/>
    <w:rsid w:val="00942F9F"/>
    <w:rsid w:val="00943078"/>
    <w:rsid w:val="009432F6"/>
    <w:rsid w:val="009435DD"/>
    <w:rsid w:val="00944077"/>
    <w:rsid w:val="0094447A"/>
    <w:rsid w:val="0094471D"/>
    <w:rsid w:val="0094471E"/>
    <w:rsid w:val="00944A96"/>
    <w:rsid w:val="00944D43"/>
    <w:rsid w:val="00944FE6"/>
    <w:rsid w:val="00945235"/>
    <w:rsid w:val="00945303"/>
    <w:rsid w:val="00945D7A"/>
    <w:rsid w:val="00945D90"/>
    <w:rsid w:val="00945E8E"/>
    <w:rsid w:val="00946369"/>
    <w:rsid w:val="00946EEF"/>
    <w:rsid w:val="00946F1E"/>
    <w:rsid w:val="0094703E"/>
    <w:rsid w:val="00947736"/>
    <w:rsid w:val="00947A87"/>
    <w:rsid w:val="00947BB2"/>
    <w:rsid w:val="00950B47"/>
    <w:rsid w:val="00950C87"/>
    <w:rsid w:val="009510AF"/>
    <w:rsid w:val="00951103"/>
    <w:rsid w:val="00951A1D"/>
    <w:rsid w:val="00951CDE"/>
    <w:rsid w:val="00951F81"/>
    <w:rsid w:val="00951FD3"/>
    <w:rsid w:val="0095270A"/>
    <w:rsid w:val="00953231"/>
    <w:rsid w:val="009533A9"/>
    <w:rsid w:val="00953516"/>
    <w:rsid w:val="00953864"/>
    <w:rsid w:val="00953A6A"/>
    <w:rsid w:val="00953AC3"/>
    <w:rsid w:val="00953B47"/>
    <w:rsid w:val="00953D70"/>
    <w:rsid w:val="00954654"/>
    <w:rsid w:val="00954727"/>
    <w:rsid w:val="00955344"/>
    <w:rsid w:val="0095542A"/>
    <w:rsid w:val="00955469"/>
    <w:rsid w:val="009554F6"/>
    <w:rsid w:val="00955648"/>
    <w:rsid w:val="00955843"/>
    <w:rsid w:val="00955939"/>
    <w:rsid w:val="00955C93"/>
    <w:rsid w:val="00955DE5"/>
    <w:rsid w:val="00956183"/>
    <w:rsid w:val="00956648"/>
    <w:rsid w:val="009567AD"/>
    <w:rsid w:val="009570F6"/>
    <w:rsid w:val="0095732B"/>
    <w:rsid w:val="009577EC"/>
    <w:rsid w:val="00957A53"/>
    <w:rsid w:val="00957CE5"/>
    <w:rsid w:val="00957E35"/>
    <w:rsid w:val="00960377"/>
    <w:rsid w:val="009604EE"/>
    <w:rsid w:val="00961459"/>
    <w:rsid w:val="0096147E"/>
    <w:rsid w:val="00961F64"/>
    <w:rsid w:val="0096242D"/>
    <w:rsid w:val="00962503"/>
    <w:rsid w:val="00962B9A"/>
    <w:rsid w:val="009631C9"/>
    <w:rsid w:val="009632C5"/>
    <w:rsid w:val="00963E1B"/>
    <w:rsid w:val="00964139"/>
    <w:rsid w:val="00964205"/>
    <w:rsid w:val="0096443F"/>
    <w:rsid w:val="009645D6"/>
    <w:rsid w:val="0096478B"/>
    <w:rsid w:val="00964B8D"/>
    <w:rsid w:val="00965005"/>
    <w:rsid w:val="00965110"/>
    <w:rsid w:val="00965276"/>
    <w:rsid w:val="009652CC"/>
    <w:rsid w:val="009659B0"/>
    <w:rsid w:val="00965A35"/>
    <w:rsid w:val="00965C32"/>
    <w:rsid w:val="00965DA7"/>
    <w:rsid w:val="009660BF"/>
    <w:rsid w:val="009663ED"/>
    <w:rsid w:val="00966B5B"/>
    <w:rsid w:val="009676A2"/>
    <w:rsid w:val="00967754"/>
    <w:rsid w:val="00967B09"/>
    <w:rsid w:val="00967C8C"/>
    <w:rsid w:val="00967EF8"/>
    <w:rsid w:val="009710B8"/>
    <w:rsid w:val="00971139"/>
    <w:rsid w:val="009712E6"/>
    <w:rsid w:val="0097139E"/>
    <w:rsid w:val="00971CBB"/>
    <w:rsid w:val="00972544"/>
    <w:rsid w:val="009726B6"/>
    <w:rsid w:val="0097284C"/>
    <w:rsid w:val="00972BB5"/>
    <w:rsid w:val="00972E31"/>
    <w:rsid w:val="00973035"/>
    <w:rsid w:val="009735A7"/>
    <w:rsid w:val="009737BF"/>
    <w:rsid w:val="00973966"/>
    <w:rsid w:val="00973AD2"/>
    <w:rsid w:val="00973B19"/>
    <w:rsid w:val="00973BF3"/>
    <w:rsid w:val="00973E1B"/>
    <w:rsid w:val="00973E71"/>
    <w:rsid w:val="00973F4D"/>
    <w:rsid w:val="009743FF"/>
    <w:rsid w:val="00974D04"/>
    <w:rsid w:val="00974E06"/>
    <w:rsid w:val="00974E22"/>
    <w:rsid w:val="00974E6C"/>
    <w:rsid w:val="00975005"/>
    <w:rsid w:val="009755EB"/>
    <w:rsid w:val="00975CB6"/>
    <w:rsid w:val="00975DA8"/>
    <w:rsid w:val="009763C9"/>
    <w:rsid w:val="00976496"/>
    <w:rsid w:val="00976CB4"/>
    <w:rsid w:val="00976E0C"/>
    <w:rsid w:val="009770A6"/>
    <w:rsid w:val="00977210"/>
    <w:rsid w:val="00977A68"/>
    <w:rsid w:val="00980AFE"/>
    <w:rsid w:val="00981695"/>
    <w:rsid w:val="00981C91"/>
    <w:rsid w:val="0098265F"/>
    <w:rsid w:val="009828D6"/>
    <w:rsid w:val="009829B5"/>
    <w:rsid w:val="00982F2A"/>
    <w:rsid w:val="00983148"/>
    <w:rsid w:val="009832D3"/>
    <w:rsid w:val="009832FF"/>
    <w:rsid w:val="009834AC"/>
    <w:rsid w:val="009834C8"/>
    <w:rsid w:val="009834FC"/>
    <w:rsid w:val="00983E39"/>
    <w:rsid w:val="00983F9C"/>
    <w:rsid w:val="00983FF3"/>
    <w:rsid w:val="00984031"/>
    <w:rsid w:val="0098442C"/>
    <w:rsid w:val="00984466"/>
    <w:rsid w:val="00984487"/>
    <w:rsid w:val="00984DAD"/>
    <w:rsid w:val="00985877"/>
    <w:rsid w:val="00985AA9"/>
    <w:rsid w:val="00985ACB"/>
    <w:rsid w:val="0098617D"/>
    <w:rsid w:val="009861EF"/>
    <w:rsid w:val="00986493"/>
    <w:rsid w:val="009865BA"/>
    <w:rsid w:val="00986838"/>
    <w:rsid w:val="00986AD6"/>
    <w:rsid w:val="00986AF5"/>
    <w:rsid w:val="00986CD8"/>
    <w:rsid w:val="00987B62"/>
    <w:rsid w:val="00990019"/>
    <w:rsid w:val="00990021"/>
    <w:rsid w:val="0099057F"/>
    <w:rsid w:val="009908D5"/>
    <w:rsid w:val="009916FA"/>
    <w:rsid w:val="00991889"/>
    <w:rsid w:val="00991F58"/>
    <w:rsid w:val="00991FDF"/>
    <w:rsid w:val="009925C4"/>
    <w:rsid w:val="00992712"/>
    <w:rsid w:val="00992A44"/>
    <w:rsid w:val="00992EBA"/>
    <w:rsid w:val="00992EEF"/>
    <w:rsid w:val="00993205"/>
    <w:rsid w:val="00993421"/>
    <w:rsid w:val="00993505"/>
    <w:rsid w:val="0099388C"/>
    <w:rsid w:val="00993ED6"/>
    <w:rsid w:val="00994292"/>
    <w:rsid w:val="00994498"/>
    <w:rsid w:val="0099459E"/>
    <w:rsid w:val="0099518A"/>
    <w:rsid w:val="00995626"/>
    <w:rsid w:val="009956CE"/>
    <w:rsid w:val="00995C61"/>
    <w:rsid w:val="00995D6D"/>
    <w:rsid w:val="00995E0B"/>
    <w:rsid w:val="00995F2A"/>
    <w:rsid w:val="009965CB"/>
    <w:rsid w:val="00996612"/>
    <w:rsid w:val="009966CC"/>
    <w:rsid w:val="00996920"/>
    <w:rsid w:val="00996DD5"/>
    <w:rsid w:val="00996EF9"/>
    <w:rsid w:val="009971F7"/>
    <w:rsid w:val="00997231"/>
    <w:rsid w:val="00997272"/>
    <w:rsid w:val="009972BC"/>
    <w:rsid w:val="00997514"/>
    <w:rsid w:val="00997544"/>
    <w:rsid w:val="00997720"/>
    <w:rsid w:val="00997AF6"/>
    <w:rsid w:val="00997B25"/>
    <w:rsid w:val="00997F51"/>
    <w:rsid w:val="009A019A"/>
    <w:rsid w:val="009A03FF"/>
    <w:rsid w:val="009A0601"/>
    <w:rsid w:val="009A0D0A"/>
    <w:rsid w:val="009A1042"/>
    <w:rsid w:val="009A1B67"/>
    <w:rsid w:val="009A27D0"/>
    <w:rsid w:val="009A2A0B"/>
    <w:rsid w:val="009A2A42"/>
    <w:rsid w:val="009A2B8F"/>
    <w:rsid w:val="009A3070"/>
    <w:rsid w:val="009A3624"/>
    <w:rsid w:val="009A3789"/>
    <w:rsid w:val="009A3F67"/>
    <w:rsid w:val="009A41E7"/>
    <w:rsid w:val="009A4944"/>
    <w:rsid w:val="009A4A39"/>
    <w:rsid w:val="009A5A0F"/>
    <w:rsid w:val="009A5F30"/>
    <w:rsid w:val="009A682A"/>
    <w:rsid w:val="009A6A8F"/>
    <w:rsid w:val="009A6D96"/>
    <w:rsid w:val="009A7668"/>
    <w:rsid w:val="009A7BB6"/>
    <w:rsid w:val="009A7DD3"/>
    <w:rsid w:val="009B025E"/>
    <w:rsid w:val="009B0384"/>
    <w:rsid w:val="009B07F8"/>
    <w:rsid w:val="009B0898"/>
    <w:rsid w:val="009B111E"/>
    <w:rsid w:val="009B1664"/>
    <w:rsid w:val="009B1BE4"/>
    <w:rsid w:val="009B1EEC"/>
    <w:rsid w:val="009B263E"/>
    <w:rsid w:val="009B297C"/>
    <w:rsid w:val="009B316E"/>
    <w:rsid w:val="009B319E"/>
    <w:rsid w:val="009B32FF"/>
    <w:rsid w:val="009B3899"/>
    <w:rsid w:val="009B4017"/>
    <w:rsid w:val="009B468D"/>
    <w:rsid w:val="009B4755"/>
    <w:rsid w:val="009B4B54"/>
    <w:rsid w:val="009B4C95"/>
    <w:rsid w:val="009B5275"/>
    <w:rsid w:val="009B631B"/>
    <w:rsid w:val="009B646D"/>
    <w:rsid w:val="009B6F5B"/>
    <w:rsid w:val="009B711F"/>
    <w:rsid w:val="009B78D8"/>
    <w:rsid w:val="009B7BAD"/>
    <w:rsid w:val="009B7E63"/>
    <w:rsid w:val="009B7FD1"/>
    <w:rsid w:val="009C00C4"/>
    <w:rsid w:val="009C0551"/>
    <w:rsid w:val="009C060A"/>
    <w:rsid w:val="009C083D"/>
    <w:rsid w:val="009C0D33"/>
    <w:rsid w:val="009C109A"/>
    <w:rsid w:val="009C10B7"/>
    <w:rsid w:val="009C12F4"/>
    <w:rsid w:val="009C1556"/>
    <w:rsid w:val="009C1E68"/>
    <w:rsid w:val="009C2595"/>
    <w:rsid w:val="009C2705"/>
    <w:rsid w:val="009C2BD6"/>
    <w:rsid w:val="009C333C"/>
    <w:rsid w:val="009C35CA"/>
    <w:rsid w:val="009C3A29"/>
    <w:rsid w:val="009C3E42"/>
    <w:rsid w:val="009C3F6B"/>
    <w:rsid w:val="009C4304"/>
    <w:rsid w:val="009C437E"/>
    <w:rsid w:val="009C4F63"/>
    <w:rsid w:val="009C5115"/>
    <w:rsid w:val="009C567D"/>
    <w:rsid w:val="009C56AD"/>
    <w:rsid w:val="009C57AC"/>
    <w:rsid w:val="009C5812"/>
    <w:rsid w:val="009C583E"/>
    <w:rsid w:val="009C584E"/>
    <w:rsid w:val="009C5A52"/>
    <w:rsid w:val="009C5D07"/>
    <w:rsid w:val="009C5F2F"/>
    <w:rsid w:val="009C61DF"/>
    <w:rsid w:val="009C67F6"/>
    <w:rsid w:val="009C6896"/>
    <w:rsid w:val="009C6CB7"/>
    <w:rsid w:val="009C7098"/>
    <w:rsid w:val="009C7320"/>
    <w:rsid w:val="009C75FA"/>
    <w:rsid w:val="009C7AF3"/>
    <w:rsid w:val="009C7C35"/>
    <w:rsid w:val="009D00B7"/>
    <w:rsid w:val="009D01E5"/>
    <w:rsid w:val="009D0249"/>
    <w:rsid w:val="009D051F"/>
    <w:rsid w:val="009D05F6"/>
    <w:rsid w:val="009D068B"/>
    <w:rsid w:val="009D093A"/>
    <w:rsid w:val="009D0B6B"/>
    <w:rsid w:val="009D153A"/>
    <w:rsid w:val="009D17B2"/>
    <w:rsid w:val="009D1946"/>
    <w:rsid w:val="009D1A53"/>
    <w:rsid w:val="009D2676"/>
    <w:rsid w:val="009D2D1E"/>
    <w:rsid w:val="009D305E"/>
    <w:rsid w:val="009D3542"/>
    <w:rsid w:val="009D3800"/>
    <w:rsid w:val="009D3975"/>
    <w:rsid w:val="009D3AFB"/>
    <w:rsid w:val="009D3BDE"/>
    <w:rsid w:val="009D4012"/>
    <w:rsid w:val="009D40E8"/>
    <w:rsid w:val="009D4B36"/>
    <w:rsid w:val="009D4B79"/>
    <w:rsid w:val="009D568A"/>
    <w:rsid w:val="009D5FF6"/>
    <w:rsid w:val="009D65F9"/>
    <w:rsid w:val="009D698C"/>
    <w:rsid w:val="009D7F47"/>
    <w:rsid w:val="009E04C5"/>
    <w:rsid w:val="009E0CA4"/>
    <w:rsid w:val="009E10FE"/>
    <w:rsid w:val="009E16F9"/>
    <w:rsid w:val="009E1AD8"/>
    <w:rsid w:val="009E1CA9"/>
    <w:rsid w:val="009E1FB0"/>
    <w:rsid w:val="009E2093"/>
    <w:rsid w:val="009E20F1"/>
    <w:rsid w:val="009E25F8"/>
    <w:rsid w:val="009E260B"/>
    <w:rsid w:val="009E2906"/>
    <w:rsid w:val="009E2961"/>
    <w:rsid w:val="009E2A97"/>
    <w:rsid w:val="009E2B88"/>
    <w:rsid w:val="009E3264"/>
    <w:rsid w:val="009E3447"/>
    <w:rsid w:val="009E34B3"/>
    <w:rsid w:val="009E37D7"/>
    <w:rsid w:val="009E381F"/>
    <w:rsid w:val="009E3838"/>
    <w:rsid w:val="009E3B75"/>
    <w:rsid w:val="009E3F76"/>
    <w:rsid w:val="009E41ED"/>
    <w:rsid w:val="009E432C"/>
    <w:rsid w:val="009E43D9"/>
    <w:rsid w:val="009E43FD"/>
    <w:rsid w:val="009E46D2"/>
    <w:rsid w:val="009E4B33"/>
    <w:rsid w:val="009E4B75"/>
    <w:rsid w:val="009E5599"/>
    <w:rsid w:val="009E58C6"/>
    <w:rsid w:val="009E5E16"/>
    <w:rsid w:val="009E65CC"/>
    <w:rsid w:val="009E661F"/>
    <w:rsid w:val="009E6638"/>
    <w:rsid w:val="009E667C"/>
    <w:rsid w:val="009E6CA4"/>
    <w:rsid w:val="009E70EF"/>
    <w:rsid w:val="009E71FC"/>
    <w:rsid w:val="009E78DA"/>
    <w:rsid w:val="009E7A28"/>
    <w:rsid w:val="009E7AF8"/>
    <w:rsid w:val="009F0331"/>
    <w:rsid w:val="009F04CC"/>
    <w:rsid w:val="009F18A1"/>
    <w:rsid w:val="009F1EFC"/>
    <w:rsid w:val="009F29FD"/>
    <w:rsid w:val="009F2C63"/>
    <w:rsid w:val="009F3451"/>
    <w:rsid w:val="009F3A37"/>
    <w:rsid w:val="009F3B97"/>
    <w:rsid w:val="009F3E8A"/>
    <w:rsid w:val="009F423E"/>
    <w:rsid w:val="009F495F"/>
    <w:rsid w:val="009F4A0E"/>
    <w:rsid w:val="009F4D08"/>
    <w:rsid w:val="009F51E7"/>
    <w:rsid w:val="009F5CA6"/>
    <w:rsid w:val="009F5F3E"/>
    <w:rsid w:val="009F637D"/>
    <w:rsid w:val="009F6D1A"/>
    <w:rsid w:val="009F6F6F"/>
    <w:rsid w:val="009F7153"/>
    <w:rsid w:val="009F74AA"/>
    <w:rsid w:val="009F74E6"/>
    <w:rsid w:val="009F7BDC"/>
    <w:rsid w:val="009F7E87"/>
    <w:rsid w:val="009F7F77"/>
    <w:rsid w:val="00A00015"/>
    <w:rsid w:val="00A003B5"/>
    <w:rsid w:val="00A00671"/>
    <w:rsid w:val="00A00B5C"/>
    <w:rsid w:val="00A00E6C"/>
    <w:rsid w:val="00A00E8F"/>
    <w:rsid w:val="00A01616"/>
    <w:rsid w:val="00A01C4E"/>
    <w:rsid w:val="00A01D90"/>
    <w:rsid w:val="00A0219F"/>
    <w:rsid w:val="00A0232D"/>
    <w:rsid w:val="00A023C8"/>
    <w:rsid w:val="00A02690"/>
    <w:rsid w:val="00A029E4"/>
    <w:rsid w:val="00A0301C"/>
    <w:rsid w:val="00A0366E"/>
    <w:rsid w:val="00A03CAC"/>
    <w:rsid w:val="00A03DD2"/>
    <w:rsid w:val="00A03F81"/>
    <w:rsid w:val="00A03F9A"/>
    <w:rsid w:val="00A042C1"/>
    <w:rsid w:val="00A042CA"/>
    <w:rsid w:val="00A0439E"/>
    <w:rsid w:val="00A047F4"/>
    <w:rsid w:val="00A048C0"/>
    <w:rsid w:val="00A049B9"/>
    <w:rsid w:val="00A04B15"/>
    <w:rsid w:val="00A05015"/>
    <w:rsid w:val="00A0549B"/>
    <w:rsid w:val="00A054A3"/>
    <w:rsid w:val="00A05BC5"/>
    <w:rsid w:val="00A07425"/>
    <w:rsid w:val="00A076A3"/>
    <w:rsid w:val="00A07EA5"/>
    <w:rsid w:val="00A1021C"/>
    <w:rsid w:val="00A106C6"/>
    <w:rsid w:val="00A111F5"/>
    <w:rsid w:val="00A11A05"/>
    <w:rsid w:val="00A1214E"/>
    <w:rsid w:val="00A12D30"/>
    <w:rsid w:val="00A12DC6"/>
    <w:rsid w:val="00A13C1C"/>
    <w:rsid w:val="00A141A0"/>
    <w:rsid w:val="00A14BC7"/>
    <w:rsid w:val="00A14D85"/>
    <w:rsid w:val="00A14F04"/>
    <w:rsid w:val="00A15095"/>
    <w:rsid w:val="00A15276"/>
    <w:rsid w:val="00A152A7"/>
    <w:rsid w:val="00A15726"/>
    <w:rsid w:val="00A15E36"/>
    <w:rsid w:val="00A16538"/>
    <w:rsid w:val="00A171EB"/>
    <w:rsid w:val="00A1752E"/>
    <w:rsid w:val="00A17A79"/>
    <w:rsid w:val="00A17C81"/>
    <w:rsid w:val="00A17FDA"/>
    <w:rsid w:val="00A206E5"/>
    <w:rsid w:val="00A208C4"/>
    <w:rsid w:val="00A20B8E"/>
    <w:rsid w:val="00A20EB9"/>
    <w:rsid w:val="00A20F0C"/>
    <w:rsid w:val="00A21075"/>
    <w:rsid w:val="00A2131B"/>
    <w:rsid w:val="00A21970"/>
    <w:rsid w:val="00A21F5F"/>
    <w:rsid w:val="00A22027"/>
    <w:rsid w:val="00A223AD"/>
    <w:rsid w:val="00A226C3"/>
    <w:rsid w:val="00A229D2"/>
    <w:rsid w:val="00A230CD"/>
    <w:rsid w:val="00A23252"/>
    <w:rsid w:val="00A236AC"/>
    <w:rsid w:val="00A24128"/>
    <w:rsid w:val="00A24923"/>
    <w:rsid w:val="00A24C6D"/>
    <w:rsid w:val="00A24F58"/>
    <w:rsid w:val="00A25132"/>
    <w:rsid w:val="00A2556D"/>
    <w:rsid w:val="00A255F2"/>
    <w:rsid w:val="00A2570C"/>
    <w:rsid w:val="00A259A6"/>
    <w:rsid w:val="00A25AB2"/>
    <w:rsid w:val="00A25E1D"/>
    <w:rsid w:val="00A25FAD"/>
    <w:rsid w:val="00A262BD"/>
    <w:rsid w:val="00A26419"/>
    <w:rsid w:val="00A265FC"/>
    <w:rsid w:val="00A26608"/>
    <w:rsid w:val="00A26628"/>
    <w:rsid w:val="00A27089"/>
    <w:rsid w:val="00A27253"/>
    <w:rsid w:val="00A273EF"/>
    <w:rsid w:val="00A274A4"/>
    <w:rsid w:val="00A275FE"/>
    <w:rsid w:val="00A279C7"/>
    <w:rsid w:val="00A27E32"/>
    <w:rsid w:val="00A27EFE"/>
    <w:rsid w:val="00A30192"/>
    <w:rsid w:val="00A3061D"/>
    <w:rsid w:val="00A30820"/>
    <w:rsid w:val="00A30A93"/>
    <w:rsid w:val="00A30AC3"/>
    <w:rsid w:val="00A31036"/>
    <w:rsid w:val="00A312BC"/>
    <w:rsid w:val="00A313A8"/>
    <w:rsid w:val="00A3160A"/>
    <w:rsid w:val="00A317BB"/>
    <w:rsid w:val="00A318DF"/>
    <w:rsid w:val="00A319E6"/>
    <w:rsid w:val="00A31D4F"/>
    <w:rsid w:val="00A327A1"/>
    <w:rsid w:val="00A327EF"/>
    <w:rsid w:val="00A32C1C"/>
    <w:rsid w:val="00A32D06"/>
    <w:rsid w:val="00A330B0"/>
    <w:rsid w:val="00A336C1"/>
    <w:rsid w:val="00A339D9"/>
    <w:rsid w:val="00A33C78"/>
    <w:rsid w:val="00A33F26"/>
    <w:rsid w:val="00A340A6"/>
    <w:rsid w:val="00A344FA"/>
    <w:rsid w:val="00A34556"/>
    <w:rsid w:val="00A348B6"/>
    <w:rsid w:val="00A351E8"/>
    <w:rsid w:val="00A353CF"/>
    <w:rsid w:val="00A357F8"/>
    <w:rsid w:val="00A35805"/>
    <w:rsid w:val="00A35B82"/>
    <w:rsid w:val="00A35DDF"/>
    <w:rsid w:val="00A35FBF"/>
    <w:rsid w:val="00A3659C"/>
    <w:rsid w:val="00A36D6A"/>
    <w:rsid w:val="00A37361"/>
    <w:rsid w:val="00A3752F"/>
    <w:rsid w:val="00A37D0C"/>
    <w:rsid w:val="00A37E0F"/>
    <w:rsid w:val="00A400DC"/>
    <w:rsid w:val="00A4040A"/>
    <w:rsid w:val="00A406AF"/>
    <w:rsid w:val="00A407C6"/>
    <w:rsid w:val="00A411F4"/>
    <w:rsid w:val="00A412E9"/>
    <w:rsid w:val="00A41B3B"/>
    <w:rsid w:val="00A41C7B"/>
    <w:rsid w:val="00A41D50"/>
    <w:rsid w:val="00A41D75"/>
    <w:rsid w:val="00A41EDB"/>
    <w:rsid w:val="00A4202A"/>
    <w:rsid w:val="00A42B74"/>
    <w:rsid w:val="00A42CFE"/>
    <w:rsid w:val="00A432F0"/>
    <w:rsid w:val="00A434BF"/>
    <w:rsid w:val="00A43BB0"/>
    <w:rsid w:val="00A43D8E"/>
    <w:rsid w:val="00A4425E"/>
    <w:rsid w:val="00A443FB"/>
    <w:rsid w:val="00A44742"/>
    <w:rsid w:val="00A44D93"/>
    <w:rsid w:val="00A45BBA"/>
    <w:rsid w:val="00A45EB8"/>
    <w:rsid w:val="00A45F77"/>
    <w:rsid w:val="00A46230"/>
    <w:rsid w:val="00A462FD"/>
    <w:rsid w:val="00A464E6"/>
    <w:rsid w:val="00A464E9"/>
    <w:rsid w:val="00A466C2"/>
    <w:rsid w:val="00A46DDF"/>
    <w:rsid w:val="00A47216"/>
    <w:rsid w:val="00A506E8"/>
    <w:rsid w:val="00A50716"/>
    <w:rsid w:val="00A5124F"/>
    <w:rsid w:val="00A51685"/>
    <w:rsid w:val="00A518F8"/>
    <w:rsid w:val="00A51A48"/>
    <w:rsid w:val="00A5222A"/>
    <w:rsid w:val="00A52523"/>
    <w:rsid w:val="00A5268E"/>
    <w:rsid w:val="00A528FF"/>
    <w:rsid w:val="00A5290A"/>
    <w:rsid w:val="00A52A36"/>
    <w:rsid w:val="00A52E32"/>
    <w:rsid w:val="00A533C9"/>
    <w:rsid w:val="00A53DA9"/>
    <w:rsid w:val="00A53EA5"/>
    <w:rsid w:val="00A53EF6"/>
    <w:rsid w:val="00A5427E"/>
    <w:rsid w:val="00A54678"/>
    <w:rsid w:val="00A54C14"/>
    <w:rsid w:val="00A54D0B"/>
    <w:rsid w:val="00A54DFB"/>
    <w:rsid w:val="00A55333"/>
    <w:rsid w:val="00A55556"/>
    <w:rsid w:val="00A55959"/>
    <w:rsid w:val="00A55E53"/>
    <w:rsid w:val="00A55FCE"/>
    <w:rsid w:val="00A56448"/>
    <w:rsid w:val="00A5685D"/>
    <w:rsid w:val="00A56A78"/>
    <w:rsid w:val="00A56CD4"/>
    <w:rsid w:val="00A56D81"/>
    <w:rsid w:val="00A56FEB"/>
    <w:rsid w:val="00A5781E"/>
    <w:rsid w:val="00A57BE6"/>
    <w:rsid w:val="00A57C3A"/>
    <w:rsid w:val="00A600B9"/>
    <w:rsid w:val="00A60171"/>
    <w:rsid w:val="00A60265"/>
    <w:rsid w:val="00A606F4"/>
    <w:rsid w:val="00A60C79"/>
    <w:rsid w:val="00A6241D"/>
    <w:rsid w:val="00A624BE"/>
    <w:rsid w:val="00A626EC"/>
    <w:rsid w:val="00A63915"/>
    <w:rsid w:val="00A639CF"/>
    <w:rsid w:val="00A63CF2"/>
    <w:rsid w:val="00A6465D"/>
    <w:rsid w:val="00A6540E"/>
    <w:rsid w:val="00A6544E"/>
    <w:rsid w:val="00A65786"/>
    <w:rsid w:val="00A65E6E"/>
    <w:rsid w:val="00A660C5"/>
    <w:rsid w:val="00A663FD"/>
    <w:rsid w:val="00A66CC6"/>
    <w:rsid w:val="00A674F5"/>
    <w:rsid w:val="00A676E4"/>
    <w:rsid w:val="00A67937"/>
    <w:rsid w:val="00A67C1F"/>
    <w:rsid w:val="00A67ECB"/>
    <w:rsid w:val="00A70183"/>
    <w:rsid w:val="00A70486"/>
    <w:rsid w:val="00A7099E"/>
    <w:rsid w:val="00A70BCB"/>
    <w:rsid w:val="00A70C40"/>
    <w:rsid w:val="00A70E63"/>
    <w:rsid w:val="00A71056"/>
    <w:rsid w:val="00A71213"/>
    <w:rsid w:val="00A7196D"/>
    <w:rsid w:val="00A719C9"/>
    <w:rsid w:val="00A72106"/>
    <w:rsid w:val="00A728A0"/>
    <w:rsid w:val="00A72A88"/>
    <w:rsid w:val="00A72AC6"/>
    <w:rsid w:val="00A72BEA"/>
    <w:rsid w:val="00A72BF2"/>
    <w:rsid w:val="00A72F30"/>
    <w:rsid w:val="00A72F87"/>
    <w:rsid w:val="00A731A2"/>
    <w:rsid w:val="00A73BAD"/>
    <w:rsid w:val="00A73DFB"/>
    <w:rsid w:val="00A744A9"/>
    <w:rsid w:val="00A746B1"/>
    <w:rsid w:val="00A7484E"/>
    <w:rsid w:val="00A748D3"/>
    <w:rsid w:val="00A74B1A"/>
    <w:rsid w:val="00A74CF5"/>
    <w:rsid w:val="00A74FA2"/>
    <w:rsid w:val="00A7545D"/>
    <w:rsid w:val="00A75492"/>
    <w:rsid w:val="00A75AD4"/>
    <w:rsid w:val="00A760AF"/>
    <w:rsid w:val="00A7650E"/>
    <w:rsid w:val="00A76984"/>
    <w:rsid w:val="00A76B51"/>
    <w:rsid w:val="00A76E82"/>
    <w:rsid w:val="00A77561"/>
    <w:rsid w:val="00A776E1"/>
    <w:rsid w:val="00A77838"/>
    <w:rsid w:val="00A778E8"/>
    <w:rsid w:val="00A7796E"/>
    <w:rsid w:val="00A779C1"/>
    <w:rsid w:val="00A77AA2"/>
    <w:rsid w:val="00A8029A"/>
    <w:rsid w:val="00A808B2"/>
    <w:rsid w:val="00A80D07"/>
    <w:rsid w:val="00A812D6"/>
    <w:rsid w:val="00A81470"/>
    <w:rsid w:val="00A819C5"/>
    <w:rsid w:val="00A81ADB"/>
    <w:rsid w:val="00A828E4"/>
    <w:rsid w:val="00A82AE9"/>
    <w:rsid w:val="00A82C5D"/>
    <w:rsid w:val="00A82C87"/>
    <w:rsid w:val="00A82CEE"/>
    <w:rsid w:val="00A835EF"/>
    <w:rsid w:val="00A8394B"/>
    <w:rsid w:val="00A83D34"/>
    <w:rsid w:val="00A84053"/>
    <w:rsid w:val="00A84227"/>
    <w:rsid w:val="00A84769"/>
    <w:rsid w:val="00A84FBC"/>
    <w:rsid w:val="00A85642"/>
    <w:rsid w:val="00A85AB4"/>
    <w:rsid w:val="00A85F80"/>
    <w:rsid w:val="00A8629D"/>
    <w:rsid w:val="00A86B5A"/>
    <w:rsid w:val="00A871C9"/>
    <w:rsid w:val="00A876CA"/>
    <w:rsid w:val="00A87EFF"/>
    <w:rsid w:val="00A87F9F"/>
    <w:rsid w:val="00A9018B"/>
    <w:rsid w:val="00A90360"/>
    <w:rsid w:val="00A90592"/>
    <w:rsid w:val="00A911B4"/>
    <w:rsid w:val="00A9146A"/>
    <w:rsid w:val="00A9171A"/>
    <w:rsid w:val="00A91910"/>
    <w:rsid w:val="00A91C8F"/>
    <w:rsid w:val="00A91D1C"/>
    <w:rsid w:val="00A92315"/>
    <w:rsid w:val="00A9236A"/>
    <w:rsid w:val="00A92827"/>
    <w:rsid w:val="00A9308C"/>
    <w:rsid w:val="00A932D9"/>
    <w:rsid w:val="00A93337"/>
    <w:rsid w:val="00A93BC5"/>
    <w:rsid w:val="00A9493E"/>
    <w:rsid w:val="00A94A04"/>
    <w:rsid w:val="00A94A82"/>
    <w:rsid w:val="00A94DAB"/>
    <w:rsid w:val="00A94E9B"/>
    <w:rsid w:val="00A95003"/>
    <w:rsid w:val="00A955D3"/>
    <w:rsid w:val="00A956CE"/>
    <w:rsid w:val="00A959E5"/>
    <w:rsid w:val="00A95CEF"/>
    <w:rsid w:val="00A95D99"/>
    <w:rsid w:val="00A96343"/>
    <w:rsid w:val="00A96591"/>
    <w:rsid w:val="00A965E1"/>
    <w:rsid w:val="00A96C5A"/>
    <w:rsid w:val="00A96CDB"/>
    <w:rsid w:val="00A96DE3"/>
    <w:rsid w:val="00A970A0"/>
    <w:rsid w:val="00A97212"/>
    <w:rsid w:val="00A972A3"/>
    <w:rsid w:val="00AA0062"/>
    <w:rsid w:val="00AA0452"/>
    <w:rsid w:val="00AA1B20"/>
    <w:rsid w:val="00AA2221"/>
    <w:rsid w:val="00AA232D"/>
    <w:rsid w:val="00AA2479"/>
    <w:rsid w:val="00AA25BD"/>
    <w:rsid w:val="00AA2672"/>
    <w:rsid w:val="00AA26BC"/>
    <w:rsid w:val="00AA29E8"/>
    <w:rsid w:val="00AA2E90"/>
    <w:rsid w:val="00AA2F31"/>
    <w:rsid w:val="00AA3117"/>
    <w:rsid w:val="00AA314C"/>
    <w:rsid w:val="00AA326A"/>
    <w:rsid w:val="00AA39DC"/>
    <w:rsid w:val="00AA43E5"/>
    <w:rsid w:val="00AA4524"/>
    <w:rsid w:val="00AA458F"/>
    <w:rsid w:val="00AA4DF3"/>
    <w:rsid w:val="00AA503F"/>
    <w:rsid w:val="00AA512C"/>
    <w:rsid w:val="00AA5187"/>
    <w:rsid w:val="00AA5AC9"/>
    <w:rsid w:val="00AA5CBD"/>
    <w:rsid w:val="00AA611A"/>
    <w:rsid w:val="00AA70AD"/>
    <w:rsid w:val="00AA72F8"/>
    <w:rsid w:val="00AA77F0"/>
    <w:rsid w:val="00AA7D0A"/>
    <w:rsid w:val="00AB00F6"/>
    <w:rsid w:val="00AB062D"/>
    <w:rsid w:val="00AB0EE9"/>
    <w:rsid w:val="00AB159F"/>
    <w:rsid w:val="00AB179B"/>
    <w:rsid w:val="00AB1AD2"/>
    <w:rsid w:val="00AB1D2E"/>
    <w:rsid w:val="00AB1FA9"/>
    <w:rsid w:val="00AB2785"/>
    <w:rsid w:val="00AB299B"/>
    <w:rsid w:val="00AB2AE2"/>
    <w:rsid w:val="00AB2CF9"/>
    <w:rsid w:val="00AB2F31"/>
    <w:rsid w:val="00AB34EC"/>
    <w:rsid w:val="00AB3FBA"/>
    <w:rsid w:val="00AB4077"/>
    <w:rsid w:val="00AB4222"/>
    <w:rsid w:val="00AB480E"/>
    <w:rsid w:val="00AB4906"/>
    <w:rsid w:val="00AB4FFE"/>
    <w:rsid w:val="00AB5271"/>
    <w:rsid w:val="00AB53EA"/>
    <w:rsid w:val="00AB5769"/>
    <w:rsid w:val="00AB5789"/>
    <w:rsid w:val="00AB5F59"/>
    <w:rsid w:val="00AB5FEE"/>
    <w:rsid w:val="00AB634F"/>
    <w:rsid w:val="00AB65CF"/>
    <w:rsid w:val="00AB6B2D"/>
    <w:rsid w:val="00AB7387"/>
    <w:rsid w:val="00AB7705"/>
    <w:rsid w:val="00AB7DB3"/>
    <w:rsid w:val="00AB7E57"/>
    <w:rsid w:val="00AB7EEA"/>
    <w:rsid w:val="00AB7F2D"/>
    <w:rsid w:val="00AC0465"/>
    <w:rsid w:val="00AC1374"/>
    <w:rsid w:val="00AC157A"/>
    <w:rsid w:val="00AC1FD2"/>
    <w:rsid w:val="00AC1FF7"/>
    <w:rsid w:val="00AC262B"/>
    <w:rsid w:val="00AC2A40"/>
    <w:rsid w:val="00AC2B0B"/>
    <w:rsid w:val="00AC2B36"/>
    <w:rsid w:val="00AC3228"/>
    <w:rsid w:val="00AC38E4"/>
    <w:rsid w:val="00AC3974"/>
    <w:rsid w:val="00AC3B46"/>
    <w:rsid w:val="00AC40CD"/>
    <w:rsid w:val="00AC41F1"/>
    <w:rsid w:val="00AC4519"/>
    <w:rsid w:val="00AC45E5"/>
    <w:rsid w:val="00AC49E3"/>
    <w:rsid w:val="00AC4B9B"/>
    <w:rsid w:val="00AC4CD8"/>
    <w:rsid w:val="00AC4F61"/>
    <w:rsid w:val="00AC523C"/>
    <w:rsid w:val="00AC5C24"/>
    <w:rsid w:val="00AC5DD6"/>
    <w:rsid w:val="00AC6259"/>
    <w:rsid w:val="00AC6335"/>
    <w:rsid w:val="00AC63F6"/>
    <w:rsid w:val="00AC6606"/>
    <w:rsid w:val="00AC66D4"/>
    <w:rsid w:val="00AC6C3E"/>
    <w:rsid w:val="00AC6FCA"/>
    <w:rsid w:val="00AC73FC"/>
    <w:rsid w:val="00AC79F7"/>
    <w:rsid w:val="00AC7A94"/>
    <w:rsid w:val="00AC7B13"/>
    <w:rsid w:val="00AC7E5F"/>
    <w:rsid w:val="00AD05D0"/>
    <w:rsid w:val="00AD1072"/>
    <w:rsid w:val="00AD195D"/>
    <w:rsid w:val="00AD1A65"/>
    <w:rsid w:val="00AD1AC3"/>
    <w:rsid w:val="00AD1C58"/>
    <w:rsid w:val="00AD1D47"/>
    <w:rsid w:val="00AD1D7F"/>
    <w:rsid w:val="00AD221D"/>
    <w:rsid w:val="00AD2474"/>
    <w:rsid w:val="00AD2B0E"/>
    <w:rsid w:val="00AD2FB1"/>
    <w:rsid w:val="00AD3027"/>
    <w:rsid w:val="00AD3361"/>
    <w:rsid w:val="00AD3372"/>
    <w:rsid w:val="00AD3B24"/>
    <w:rsid w:val="00AD4879"/>
    <w:rsid w:val="00AD4C36"/>
    <w:rsid w:val="00AD4D66"/>
    <w:rsid w:val="00AD4DA8"/>
    <w:rsid w:val="00AD4E01"/>
    <w:rsid w:val="00AD5A86"/>
    <w:rsid w:val="00AD5B4F"/>
    <w:rsid w:val="00AD5FCA"/>
    <w:rsid w:val="00AD61AA"/>
    <w:rsid w:val="00AD6201"/>
    <w:rsid w:val="00AD63F5"/>
    <w:rsid w:val="00AD64E8"/>
    <w:rsid w:val="00AD65E2"/>
    <w:rsid w:val="00AD7484"/>
    <w:rsid w:val="00AD7829"/>
    <w:rsid w:val="00AD7BA5"/>
    <w:rsid w:val="00AD7D58"/>
    <w:rsid w:val="00AD7DF4"/>
    <w:rsid w:val="00AE0C76"/>
    <w:rsid w:val="00AE0C9A"/>
    <w:rsid w:val="00AE0E7A"/>
    <w:rsid w:val="00AE110C"/>
    <w:rsid w:val="00AE1A7D"/>
    <w:rsid w:val="00AE21E9"/>
    <w:rsid w:val="00AE232A"/>
    <w:rsid w:val="00AE23BD"/>
    <w:rsid w:val="00AE2704"/>
    <w:rsid w:val="00AE2846"/>
    <w:rsid w:val="00AE2876"/>
    <w:rsid w:val="00AE2D74"/>
    <w:rsid w:val="00AE303B"/>
    <w:rsid w:val="00AE38A8"/>
    <w:rsid w:val="00AE3ED2"/>
    <w:rsid w:val="00AE3F2A"/>
    <w:rsid w:val="00AE4C99"/>
    <w:rsid w:val="00AE4E7B"/>
    <w:rsid w:val="00AE554C"/>
    <w:rsid w:val="00AE5A02"/>
    <w:rsid w:val="00AE5A11"/>
    <w:rsid w:val="00AE5B08"/>
    <w:rsid w:val="00AE6D16"/>
    <w:rsid w:val="00AE7190"/>
    <w:rsid w:val="00AE71F5"/>
    <w:rsid w:val="00AE7805"/>
    <w:rsid w:val="00AE7A34"/>
    <w:rsid w:val="00AE7BB0"/>
    <w:rsid w:val="00AF055A"/>
    <w:rsid w:val="00AF08B8"/>
    <w:rsid w:val="00AF0D23"/>
    <w:rsid w:val="00AF0FC5"/>
    <w:rsid w:val="00AF128B"/>
    <w:rsid w:val="00AF14A5"/>
    <w:rsid w:val="00AF14F5"/>
    <w:rsid w:val="00AF181D"/>
    <w:rsid w:val="00AF18AD"/>
    <w:rsid w:val="00AF1F19"/>
    <w:rsid w:val="00AF2018"/>
    <w:rsid w:val="00AF2127"/>
    <w:rsid w:val="00AF267B"/>
    <w:rsid w:val="00AF26F6"/>
    <w:rsid w:val="00AF2773"/>
    <w:rsid w:val="00AF2869"/>
    <w:rsid w:val="00AF28BA"/>
    <w:rsid w:val="00AF2987"/>
    <w:rsid w:val="00AF2DBD"/>
    <w:rsid w:val="00AF2E32"/>
    <w:rsid w:val="00AF2EFC"/>
    <w:rsid w:val="00AF337D"/>
    <w:rsid w:val="00AF3941"/>
    <w:rsid w:val="00AF3D32"/>
    <w:rsid w:val="00AF3D9E"/>
    <w:rsid w:val="00AF3DA2"/>
    <w:rsid w:val="00AF4385"/>
    <w:rsid w:val="00AF448B"/>
    <w:rsid w:val="00AF44E5"/>
    <w:rsid w:val="00AF4BC6"/>
    <w:rsid w:val="00AF4BE0"/>
    <w:rsid w:val="00AF512A"/>
    <w:rsid w:val="00AF5543"/>
    <w:rsid w:val="00AF58A0"/>
    <w:rsid w:val="00AF5B35"/>
    <w:rsid w:val="00AF650A"/>
    <w:rsid w:val="00AF6598"/>
    <w:rsid w:val="00AF65B0"/>
    <w:rsid w:val="00AF6D57"/>
    <w:rsid w:val="00AF70AB"/>
    <w:rsid w:val="00AF7555"/>
    <w:rsid w:val="00AF795D"/>
    <w:rsid w:val="00B00192"/>
    <w:rsid w:val="00B0019A"/>
    <w:rsid w:val="00B001C0"/>
    <w:rsid w:val="00B003EB"/>
    <w:rsid w:val="00B00536"/>
    <w:rsid w:val="00B0065A"/>
    <w:rsid w:val="00B00979"/>
    <w:rsid w:val="00B01025"/>
    <w:rsid w:val="00B0144E"/>
    <w:rsid w:val="00B018AA"/>
    <w:rsid w:val="00B01E9D"/>
    <w:rsid w:val="00B02FDD"/>
    <w:rsid w:val="00B0325A"/>
    <w:rsid w:val="00B03420"/>
    <w:rsid w:val="00B03AC6"/>
    <w:rsid w:val="00B03EA4"/>
    <w:rsid w:val="00B0427B"/>
    <w:rsid w:val="00B0455A"/>
    <w:rsid w:val="00B04AEF"/>
    <w:rsid w:val="00B052BB"/>
    <w:rsid w:val="00B0545E"/>
    <w:rsid w:val="00B05FB5"/>
    <w:rsid w:val="00B065FC"/>
    <w:rsid w:val="00B06E70"/>
    <w:rsid w:val="00B06EDC"/>
    <w:rsid w:val="00B1049D"/>
    <w:rsid w:val="00B106A1"/>
    <w:rsid w:val="00B108EF"/>
    <w:rsid w:val="00B10A82"/>
    <w:rsid w:val="00B10D8F"/>
    <w:rsid w:val="00B1109D"/>
    <w:rsid w:val="00B11D55"/>
    <w:rsid w:val="00B11EC0"/>
    <w:rsid w:val="00B12164"/>
    <w:rsid w:val="00B1252E"/>
    <w:rsid w:val="00B12B93"/>
    <w:rsid w:val="00B12C9A"/>
    <w:rsid w:val="00B12DBD"/>
    <w:rsid w:val="00B132D5"/>
    <w:rsid w:val="00B13732"/>
    <w:rsid w:val="00B138CB"/>
    <w:rsid w:val="00B138EA"/>
    <w:rsid w:val="00B140F2"/>
    <w:rsid w:val="00B146B9"/>
    <w:rsid w:val="00B14AFB"/>
    <w:rsid w:val="00B14B1E"/>
    <w:rsid w:val="00B14C13"/>
    <w:rsid w:val="00B1505C"/>
    <w:rsid w:val="00B15340"/>
    <w:rsid w:val="00B15487"/>
    <w:rsid w:val="00B15985"/>
    <w:rsid w:val="00B15A78"/>
    <w:rsid w:val="00B15D31"/>
    <w:rsid w:val="00B166B1"/>
    <w:rsid w:val="00B16F11"/>
    <w:rsid w:val="00B170F6"/>
    <w:rsid w:val="00B173D1"/>
    <w:rsid w:val="00B176C4"/>
    <w:rsid w:val="00B17828"/>
    <w:rsid w:val="00B20EB5"/>
    <w:rsid w:val="00B211F4"/>
    <w:rsid w:val="00B2127E"/>
    <w:rsid w:val="00B216BF"/>
    <w:rsid w:val="00B217E8"/>
    <w:rsid w:val="00B21CFB"/>
    <w:rsid w:val="00B220AF"/>
    <w:rsid w:val="00B2251C"/>
    <w:rsid w:val="00B2274F"/>
    <w:rsid w:val="00B227BD"/>
    <w:rsid w:val="00B22F98"/>
    <w:rsid w:val="00B22FA7"/>
    <w:rsid w:val="00B23590"/>
    <w:rsid w:val="00B235A6"/>
    <w:rsid w:val="00B23681"/>
    <w:rsid w:val="00B23958"/>
    <w:rsid w:val="00B23F3E"/>
    <w:rsid w:val="00B240AC"/>
    <w:rsid w:val="00B25136"/>
    <w:rsid w:val="00B266BD"/>
    <w:rsid w:val="00B26AFC"/>
    <w:rsid w:val="00B2753B"/>
    <w:rsid w:val="00B27642"/>
    <w:rsid w:val="00B277DA"/>
    <w:rsid w:val="00B27DA1"/>
    <w:rsid w:val="00B27F39"/>
    <w:rsid w:val="00B30089"/>
    <w:rsid w:val="00B30498"/>
    <w:rsid w:val="00B30D81"/>
    <w:rsid w:val="00B30ED3"/>
    <w:rsid w:val="00B313EC"/>
    <w:rsid w:val="00B31955"/>
    <w:rsid w:val="00B31D50"/>
    <w:rsid w:val="00B326F0"/>
    <w:rsid w:val="00B327C7"/>
    <w:rsid w:val="00B33143"/>
    <w:rsid w:val="00B335EE"/>
    <w:rsid w:val="00B33D22"/>
    <w:rsid w:val="00B33DBA"/>
    <w:rsid w:val="00B33EFC"/>
    <w:rsid w:val="00B341D4"/>
    <w:rsid w:val="00B3426B"/>
    <w:rsid w:val="00B3433A"/>
    <w:rsid w:val="00B34340"/>
    <w:rsid w:val="00B34E5D"/>
    <w:rsid w:val="00B3505D"/>
    <w:rsid w:val="00B35264"/>
    <w:rsid w:val="00B35C1D"/>
    <w:rsid w:val="00B35F12"/>
    <w:rsid w:val="00B366A7"/>
    <w:rsid w:val="00B370C5"/>
    <w:rsid w:val="00B370F9"/>
    <w:rsid w:val="00B378AA"/>
    <w:rsid w:val="00B37C28"/>
    <w:rsid w:val="00B37C58"/>
    <w:rsid w:val="00B37DA5"/>
    <w:rsid w:val="00B37F4D"/>
    <w:rsid w:val="00B40465"/>
    <w:rsid w:val="00B40477"/>
    <w:rsid w:val="00B40C3F"/>
    <w:rsid w:val="00B40D22"/>
    <w:rsid w:val="00B4135A"/>
    <w:rsid w:val="00B415C6"/>
    <w:rsid w:val="00B417F7"/>
    <w:rsid w:val="00B419B6"/>
    <w:rsid w:val="00B41D8C"/>
    <w:rsid w:val="00B42071"/>
    <w:rsid w:val="00B4278F"/>
    <w:rsid w:val="00B427E7"/>
    <w:rsid w:val="00B42CCF"/>
    <w:rsid w:val="00B43150"/>
    <w:rsid w:val="00B43369"/>
    <w:rsid w:val="00B4343F"/>
    <w:rsid w:val="00B435BA"/>
    <w:rsid w:val="00B43EBE"/>
    <w:rsid w:val="00B43FD4"/>
    <w:rsid w:val="00B4418B"/>
    <w:rsid w:val="00B44EB3"/>
    <w:rsid w:val="00B4538F"/>
    <w:rsid w:val="00B45580"/>
    <w:rsid w:val="00B45618"/>
    <w:rsid w:val="00B459AE"/>
    <w:rsid w:val="00B4605B"/>
    <w:rsid w:val="00B462E5"/>
    <w:rsid w:val="00B463EE"/>
    <w:rsid w:val="00B46516"/>
    <w:rsid w:val="00B468F3"/>
    <w:rsid w:val="00B47491"/>
    <w:rsid w:val="00B475B7"/>
    <w:rsid w:val="00B479AE"/>
    <w:rsid w:val="00B47B79"/>
    <w:rsid w:val="00B50124"/>
    <w:rsid w:val="00B50839"/>
    <w:rsid w:val="00B50ADB"/>
    <w:rsid w:val="00B50F32"/>
    <w:rsid w:val="00B5101A"/>
    <w:rsid w:val="00B51E45"/>
    <w:rsid w:val="00B52827"/>
    <w:rsid w:val="00B52DEB"/>
    <w:rsid w:val="00B53113"/>
    <w:rsid w:val="00B54CC5"/>
    <w:rsid w:val="00B559F8"/>
    <w:rsid w:val="00B560ED"/>
    <w:rsid w:val="00B56167"/>
    <w:rsid w:val="00B56425"/>
    <w:rsid w:val="00B566A5"/>
    <w:rsid w:val="00B5696D"/>
    <w:rsid w:val="00B56D1F"/>
    <w:rsid w:val="00B57499"/>
    <w:rsid w:val="00B57595"/>
    <w:rsid w:val="00B578CF"/>
    <w:rsid w:val="00B60CEF"/>
    <w:rsid w:val="00B61065"/>
    <w:rsid w:val="00B617D4"/>
    <w:rsid w:val="00B61D26"/>
    <w:rsid w:val="00B62713"/>
    <w:rsid w:val="00B629E6"/>
    <w:rsid w:val="00B6338D"/>
    <w:rsid w:val="00B635CC"/>
    <w:rsid w:val="00B63627"/>
    <w:rsid w:val="00B6369E"/>
    <w:rsid w:val="00B63C9B"/>
    <w:rsid w:val="00B64055"/>
    <w:rsid w:val="00B64112"/>
    <w:rsid w:val="00B643F1"/>
    <w:rsid w:val="00B6458A"/>
    <w:rsid w:val="00B6474A"/>
    <w:rsid w:val="00B64918"/>
    <w:rsid w:val="00B650E7"/>
    <w:rsid w:val="00B65395"/>
    <w:rsid w:val="00B65904"/>
    <w:rsid w:val="00B659B2"/>
    <w:rsid w:val="00B65DC2"/>
    <w:rsid w:val="00B65E55"/>
    <w:rsid w:val="00B661E8"/>
    <w:rsid w:val="00B662A2"/>
    <w:rsid w:val="00B66A92"/>
    <w:rsid w:val="00B66CF7"/>
    <w:rsid w:val="00B66DC8"/>
    <w:rsid w:val="00B675A2"/>
    <w:rsid w:val="00B676BC"/>
    <w:rsid w:val="00B70C75"/>
    <w:rsid w:val="00B710B6"/>
    <w:rsid w:val="00B717FC"/>
    <w:rsid w:val="00B71B8F"/>
    <w:rsid w:val="00B7227F"/>
    <w:rsid w:val="00B724F3"/>
    <w:rsid w:val="00B7289C"/>
    <w:rsid w:val="00B7324F"/>
    <w:rsid w:val="00B738BD"/>
    <w:rsid w:val="00B73ABD"/>
    <w:rsid w:val="00B741F7"/>
    <w:rsid w:val="00B7422D"/>
    <w:rsid w:val="00B74CB1"/>
    <w:rsid w:val="00B74E28"/>
    <w:rsid w:val="00B753D2"/>
    <w:rsid w:val="00B7582E"/>
    <w:rsid w:val="00B75B27"/>
    <w:rsid w:val="00B75B5F"/>
    <w:rsid w:val="00B75E39"/>
    <w:rsid w:val="00B76138"/>
    <w:rsid w:val="00B76913"/>
    <w:rsid w:val="00B76D7E"/>
    <w:rsid w:val="00B7702E"/>
    <w:rsid w:val="00B770F9"/>
    <w:rsid w:val="00B776CB"/>
    <w:rsid w:val="00B778D3"/>
    <w:rsid w:val="00B77971"/>
    <w:rsid w:val="00B77AE1"/>
    <w:rsid w:val="00B80354"/>
    <w:rsid w:val="00B8071C"/>
    <w:rsid w:val="00B808B3"/>
    <w:rsid w:val="00B808F0"/>
    <w:rsid w:val="00B80C17"/>
    <w:rsid w:val="00B81304"/>
    <w:rsid w:val="00B81508"/>
    <w:rsid w:val="00B81680"/>
    <w:rsid w:val="00B81B7F"/>
    <w:rsid w:val="00B81D8E"/>
    <w:rsid w:val="00B81FB6"/>
    <w:rsid w:val="00B830A8"/>
    <w:rsid w:val="00B836D3"/>
    <w:rsid w:val="00B8371F"/>
    <w:rsid w:val="00B837D1"/>
    <w:rsid w:val="00B83FE0"/>
    <w:rsid w:val="00B8470E"/>
    <w:rsid w:val="00B8495C"/>
    <w:rsid w:val="00B84A04"/>
    <w:rsid w:val="00B84DCE"/>
    <w:rsid w:val="00B84E22"/>
    <w:rsid w:val="00B8536B"/>
    <w:rsid w:val="00B85720"/>
    <w:rsid w:val="00B85B01"/>
    <w:rsid w:val="00B8665B"/>
    <w:rsid w:val="00B86709"/>
    <w:rsid w:val="00B86A49"/>
    <w:rsid w:val="00B86E9B"/>
    <w:rsid w:val="00B8751A"/>
    <w:rsid w:val="00B87BD8"/>
    <w:rsid w:val="00B907CB"/>
    <w:rsid w:val="00B9080A"/>
    <w:rsid w:val="00B90E27"/>
    <w:rsid w:val="00B912A8"/>
    <w:rsid w:val="00B91B51"/>
    <w:rsid w:val="00B9219C"/>
    <w:rsid w:val="00B9263C"/>
    <w:rsid w:val="00B92724"/>
    <w:rsid w:val="00B9295C"/>
    <w:rsid w:val="00B93139"/>
    <w:rsid w:val="00B9332C"/>
    <w:rsid w:val="00B93501"/>
    <w:rsid w:val="00B94BD8"/>
    <w:rsid w:val="00B94F0C"/>
    <w:rsid w:val="00B954A4"/>
    <w:rsid w:val="00B9585E"/>
    <w:rsid w:val="00B95AD3"/>
    <w:rsid w:val="00B95FFE"/>
    <w:rsid w:val="00B962BA"/>
    <w:rsid w:val="00B962C7"/>
    <w:rsid w:val="00B9671D"/>
    <w:rsid w:val="00B96C60"/>
    <w:rsid w:val="00B96FE3"/>
    <w:rsid w:val="00B97218"/>
    <w:rsid w:val="00B97B98"/>
    <w:rsid w:val="00B97D16"/>
    <w:rsid w:val="00BA0100"/>
    <w:rsid w:val="00BA02B1"/>
    <w:rsid w:val="00BA07D1"/>
    <w:rsid w:val="00BA0BF8"/>
    <w:rsid w:val="00BA0DD7"/>
    <w:rsid w:val="00BA1408"/>
    <w:rsid w:val="00BA169E"/>
    <w:rsid w:val="00BA17B3"/>
    <w:rsid w:val="00BA17F7"/>
    <w:rsid w:val="00BA1A55"/>
    <w:rsid w:val="00BA1A79"/>
    <w:rsid w:val="00BA1DD9"/>
    <w:rsid w:val="00BA1E9B"/>
    <w:rsid w:val="00BA227B"/>
    <w:rsid w:val="00BA262B"/>
    <w:rsid w:val="00BA2631"/>
    <w:rsid w:val="00BA2BD3"/>
    <w:rsid w:val="00BA321D"/>
    <w:rsid w:val="00BA3453"/>
    <w:rsid w:val="00BA35E0"/>
    <w:rsid w:val="00BA3A46"/>
    <w:rsid w:val="00BA4682"/>
    <w:rsid w:val="00BA46AB"/>
    <w:rsid w:val="00BA48A3"/>
    <w:rsid w:val="00BA4C90"/>
    <w:rsid w:val="00BA5049"/>
    <w:rsid w:val="00BA5315"/>
    <w:rsid w:val="00BA5EE2"/>
    <w:rsid w:val="00BA60EA"/>
    <w:rsid w:val="00BA6178"/>
    <w:rsid w:val="00BA6E40"/>
    <w:rsid w:val="00BA75A9"/>
    <w:rsid w:val="00BA79AD"/>
    <w:rsid w:val="00BB09CD"/>
    <w:rsid w:val="00BB0D4E"/>
    <w:rsid w:val="00BB0FE8"/>
    <w:rsid w:val="00BB1238"/>
    <w:rsid w:val="00BB1413"/>
    <w:rsid w:val="00BB145B"/>
    <w:rsid w:val="00BB1786"/>
    <w:rsid w:val="00BB1C28"/>
    <w:rsid w:val="00BB2641"/>
    <w:rsid w:val="00BB2727"/>
    <w:rsid w:val="00BB358A"/>
    <w:rsid w:val="00BB3B01"/>
    <w:rsid w:val="00BB3B65"/>
    <w:rsid w:val="00BB3EED"/>
    <w:rsid w:val="00BB40AC"/>
    <w:rsid w:val="00BB418A"/>
    <w:rsid w:val="00BB43CB"/>
    <w:rsid w:val="00BB45A5"/>
    <w:rsid w:val="00BB4885"/>
    <w:rsid w:val="00BB4B3E"/>
    <w:rsid w:val="00BB4CA9"/>
    <w:rsid w:val="00BB55E2"/>
    <w:rsid w:val="00BB5760"/>
    <w:rsid w:val="00BB59FA"/>
    <w:rsid w:val="00BB5AB6"/>
    <w:rsid w:val="00BB6430"/>
    <w:rsid w:val="00BB67E0"/>
    <w:rsid w:val="00BB6A90"/>
    <w:rsid w:val="00BB7A11"/>
    <w:rsid w:val="00BB7B10"/>
    <w:rsid w:val="00BB7B97"/>
    <w:rsid w:val="00BB7C34"/>
    <w:rsid w:val="00BB7DCC"/>
    <w:rsid w:val="00BB7E79"/>
    <w:rsid w:val="00BC007F"/>
    <w:rsid w:val="00BC08CB"/>
    <w:rsid w:val="00BC0D46"/>
    <w:rsid w:val="00BC1184"/>
    <w:rsid w:val="00BC13E0"/>
    <w:rsid w:val="00BC1724"/>
    <w:rsid w:val="00BC1865"/>
    <w:rsid w:val="00BC244F"/>
    <w:rsid w:val="00BC27A1"/>
    <w:rsid w:val="00BC2DF7"/>
    <w:rsid w:val="00BC2E5A"/>
    <w:rsid w:val="00BC3057"/>
    <w:rsid w:val="00BC3141"/>
    <w:rsid w:val="00BC33E1"/>
    <w:rsid w:val="00BC366A"/>
    <w:rsid w:val="00BC36BB"/>
    <w:rsid w:val="00BC3B1B"/>
    <w:rsid w:val="00BC3D7F"/>
    <w:rsid w:val="00BC3FC9"/>
    <w:rsid w:val="00BC424E"/>
    <w:rsid w:val="00BC4565"/>
    <w:rsid w:val="00BC52BE"/>
    <w:rsid w:val="00BC54EA"/>
    <w:rsid w:val="00BC5B2A"/>
    <w:rsid w:val="00BC6352"/>
    <w:rsid w:val="00BC6658"/>
    <w:rsid w:val="00BC6B42"/>
    <w:rsid w:val="00BC6CB5"/>
    <w:rsid w:val="00BC72B1"/>
    <w:rsid w:val="00BC72BA"/>
    <w:rsid w:val="00BC7F5E"/>
    <w:rsid w:val="00BD045E"/>
    <w:rsid w:val="00BD09E3"/>
    <w:rsid w:val="00BD109B"/>
    <w:rsid w:val="00BD145F"/>
    <w:rsid w:val="00BD1587"/>
    <w:rsid w:val="00BD18DF"/>
    <w:rsid w:val="00BD1A7E"/>
    <w:rsid w:val="00BD2475"/>
    <w:rsid w:val="00BD29D8"/>
    <w:rsid w:val="00BD2A7A"/>
    <w:rsid w:val="00BD2C4D"/>
    <w:rsid w:val="00BD32FA"/>
    <w:rsid w:val="00BD34BA"/>
    <w:rsid w:val="00BD34C6"/>
    <w:rsid w:val="00BD37DF"/>
    <w:rsid w:val="00BD38FB"/>
    <w:rsid w:val="00BD40DE"/>
    <w:rsid w:val="00BD4444"/>
    <w:rsid w:val="00BD4A51"/>
    <w:rsid w:val="00BD551A"/>
    <w:rsid w:val="00BD5F32"/>
    <w:rsid w:val="00BD61AB"/>
    <w:rsid w:val="00BD6329"/>
    <w:rsid w:val="00BD63FA"/>
    <w:rsid w:val="00BD64C1"/>
    <w:rsid w:val="00BD7732"/>
    <w:rsid w:val="00BD7A1D"/>
    <w:rsid w:val="00BD7DAF"/>
    <w:rsid w:val="00BE0B79"/>
    <w:rsid w:val="00BE0E7A"/>
    <w:rsid w:val="00BE16C2"/>
    <w:rsid w:val="00BE16D3"/>
    <w:rsid w:val="00BE17A1"/>
    <w:rsid w:val="00BE1B97"/>
    <w:rsid w:val="00BE1DAF"/>
    <w:rsid w:val="00BE1E9A"/>
    <w:rsid w:val="00BE203C"/>
    <w:rsid w:val="00BE20F6"/>
    <w:rsid w:val="00BE2A32"/>
    <w:rsid w:val="00BE2C31"/>
    <w:rsid w:val="00BE2CF5"/>
    <w:rsid w:val="00BE30AF"/>
    <w:rsid w:val="00BE3907"/>
    <w:rsid w:val="00BE4272"/>
    <w:rsid w:val="00BE464B"/>
    <w:rsid w:val="00BE468F"/>
    <w:rsid w:val="00BE48B8"/>
    <w:rsid w:val="00BE49A9"/>
    <w:rsid w:val="00BE5309"/>
    <w:rsid w:val="00BE59A4"/>
    <w:rsid w:val="00BE5DFA"/>
    <w:rsid w:val="00BE6283"/>
    <w:rsid w:val="00BE6CE8"/>
    <w:rsid w:val="00BE7744"/>
    <w:rsid w:val="00BE7A12"/>
    <w:rsid w:val="00BF00E1"/>
    <w:rsid w:val="00BF01BD"/>
    <w:rsid w:val="00BF02BA"/>
    <w:rsid w:val="00BF08EF"/>
    <w:rsid w:val="00BF0A10"/>
    <w:rsid w:val="00BF1432"/>
    <w:rsid w:val="00BF1A28"/>
    <w:rsid w:val="00BF1C03"/>
    <w:rsid w:val="00BF1D6C"/>
    <w:rsid w:val="00BF1E6C"/>
    <w:rsid w:val="00BF1EB1"/>
    <w:rsid w:val="00BF1F22"/>
    <w:rsid w:val="00BF202B"/>
    <w:rsid w:val="00BF232A"/>
    <w:rsid w:val="00BF266B"/>
    <w:rsid w:val="00BF2797"/>
    <w:rsid w:val="00BF2854"/>
    <w:rsid w:val="00BF2A12"/>
    <w:rsid w:val="00BF349E"/>
    <w:rsid w:val="00BF3732"/>
    <w:rsid w:val="00BF3900"/>
    <w:rsid w:val="00BF3EC0"/>
    <w:rsid w:val="00BF436B"/>
    <w:rsid w:val="00BF482D"/>
    <w:rsid w:val="00BF4A26"/>
    <w:rsid w:val="00BF4E18"/>
    <w:rsid w:val="00BF4E7C"/>
    <w:rsid w:val="00BF505A"/>
    <w:rsid w:val="00BF574B"/>
    <w:rsid w:val="00BF5929"/>
    <w:rsid w:val="00BF5BDA"/>
    <w:rsid w:val="00BF5BF0"/>
    <w:rsid w:val="00BF605F"/>
    <w:rsid w:val="00BF60BE"/>
    <w:rsid w:val="00BF6605"/>
    <w:rsid w:val="00BF66C9"/>
    <w:rsid w:val="00BF68AF"/>
    <w:rsid w:val="00BF6B7A"/>
    <w:rsid w:val="00BF6F28"/>
    <w:rsid w:val="00BF7264"/>
    <w:rsid w:val="00BF7359"/>
    <w:rsid w:val="00BF7485"/>
    <w:rsid w:val="00BF753B"/>
    <w:rsid w:val="00BF7BF6"/>
    <w:rsid w:val="00C0011A"/>
    <w:rsid w:val="00C001DE"/>
    <w:rsid w:val="00C0047E"/>
    <w:rsid w:val="00C00633"/>
    <w:rsid w:val="00C00A24"/>
    <w:rsid w:val="00C00B92"/>
    <w:rsid w:val="00C0101F"/>
    <w:rsid w:val="00C0115F"/>
    <w:rsid w:val="00C012C5"/>
    <w:rsid w:val="00C01518"/>
    <w:rsid w:val="00C018D4"/>
    <w:rsid w:val="00C01DC6"/>
    <w:rsid w:val="00C0237B"/>
    <w:rsid w:val="00C0262F"/>
    <w:rsid w:val="00C030A7"/>
    <w:rsid w:val="00C03254"/>
    <w:rsid w:val="00C03627"/>
    <w:rsid w:val="00C03C20"/>
    <w:rsid w:val="00C03C3B"/>
    <w:rsid w:val="00C0402B"/>
    <w:rsid w:val="00C045C4"/>
    <w:rsid w:val="00C04B87"/>
    <w:rsid w:val="00C04FC8"/>
    <w:rsid w:val="00C0634B"/>
    <w:rsid w:val="00C065BA"/>
    <w:rsid w:val="00C06C0B"/>
    <w:rsid w:val="00C06E94"/>
    <w:rsid w:val="00C072BD"/>
    <w:rsid w:val="00C07C28"/>
    <w:rsid w:val="00C1011A"/>
    <w:rsid w:val="00C10292"/>
    <w:rsid w:val="00C10AF7"/>
    <w:rsid w:val="00C10B87"/>
    <w:rsid w:val="00C10FB6"/>
    <w:rsid w:val="00C11095"/>
    <w:rsid w:val="00C11B01"/>
    <w:rsid w:val="00C12031"/>
    <w:rsid w:val="00C120A7"/>
    <w:rsid w:val="00C12418"/>
    <w:rsid w:val="00C12420"/>
    <w:rsid w:val="00C12D87"/>
    <w:rsid w:val="00C13582"/>
    <w:rsid w:val="00C13AA7"/>
    <w:rsid w:val="00C13EEB"/>
    <w:rsid w:val="00C13FCA"/>
    <w:rsid w:val="00C1463A"/>
    <w:rsid w:val="00C14ABE"/>
    <w:rsid w:val="00C14ED0"/>
    <w:rsid w:val="00C14ED5"/>
    <w:rsid w:val="00C15326"/>
    <w:rsid w:val="00C15ACF"/>
    <w:rsid w:val="00C15D9B"/>
    <w:rsid w:val="00C15DCF"/>
    <w:rsid w:val="00C15E21"/>
    <w:rsid w:val="00C15F0D"/>
    <w:rsid w:val="00C15F2D"/>
    <w:rsid w:val="00C16357"/>
    <w:rsid w:val="00C163E1"/>
    <w:rsid w:val="00C16817"/>
    <w:rsid w:val="00C16836"/>
    <w:rsid w:val="00C16D1E"/>
    <w:rsid w:val="00C16D20"/>
    <w:rsid w:val="00C1753D"/>
    <w:rsid w:val="00C17862"/>
    <w:rsid w:val="00C17B1F"/>
    <w:rsid w:val="00C17C43"/>
    <w:rsid w:val="00C17DB4"/>
    <w:rsid w:val="00C17F65"/>
    <w:rsid w:val="00C20436"/>
    <w:rsid w:val="00C20C72"/>
    <w:rsid w:val="00C20D6E"/>
    <w:rsid w:val="00C20F92"/>
    <w:rsid w:val="00C212E4"/>
    <w:rsid w:val="00C2130E"/>
    <w:rsid w:val="00C21CC0"/>
    <w:rsid w:val="00C224FF"/>
    <w:rsid w:val="00C22648"/>
    <w:rsid w:val="00C22A47"/>
    <w:rsid w:val="00C235AB"/>
    <w:rsid w:val="00C23FD5"/>
    <w:rsid w:val="00C243F4"/>
    <w:rsid w:val="00C24950"/>
    <w:rsid w:val="00C24AC6"/>
    <w:rsid w:val="00C24B8F"/>
    <w:rsid w:val="00C252D7"/>
    <w:rsid w:val="00C2582A"/>
    <w:rsid w:val="00C25983"/>
    <w:rsid w:val="00C25BB1"/>
    <w:rsid w:val="00C2625D"/>
    <w:rsid w:val="00C263FD"/>
    <w:rsid w:val="00C26845"/>
    <w:rsid w:val="00C26B42"/>
    <w:rsid w:val="00C26B9C"/>
    <w:rsid w:val="00C26D97"/>
    <w:rsid w:val="00C270F5"/>
    <w:rsid w:val="00C273AE"/>
    <w:rsid w:val="00C2767B"/>
    <w:rsid w:val="00C27A89"/>
    <w:rsid w:val="00C303F8"/>
    <w:rsid w:val="00C304CB"/>
    <w:rsid w:val="00C3064D"/>
    <w:rsid w:val="00C30B22"/>
    <w:rsid w:val="00C30BAD"/>
    <w:rsid w:val="00C30E9C"/>
    <w:rsid w:val="00C31026"/>
    <w:rsid w:val="00C31A1E"/>
    <w:rsid w:val="00C31B00"/>
    <w:rsid w:val="00C32446"/>
    <w:rsid w:val="00C32A0D"/>
    <w:rsid w:val="00C32E72"/>
    <w:rsid w:val="00C32F48"/>
    <w:rsid w:val="00C33387"/>
    <w:rsid w:val="00C33486"/>
    <w:rsid w:val="00C33F0D"/>
    <w:rsid w:val="00C33FCB"/>
    <w:rsid w:val="00C34428"/>
    <w:rsid w:val="00C34780"/>
    <w:rsid w:val="00C349EC"/>
    <w:rsid w:val="00C3524E"/>
    <w:rsid w:val="00C35443"/>
    <w:rsid w:val="00C35702"/>
    <w:rsid w:val="00C35BF2"/>
    <w:rsid w:val="00C35C88"/>
    <w:rsid w:val="00C35C9B"/>
    <w:rsid w:val="00C365C6"/>
    <w:rsid w:val="00C36ED4"/>
    <w:rsid w:val="00C372D7"/>
    <w:rsid w:val="00C3750D"/>
    <w:rsid w:val="00C3761A"/>
    <w:rsid w:val="00C37BEC"/>
    <w:rsid w:val="00C37E18"/>
    <w:rsid w:val="00C37F13"/>
    <w:rsid w:val="00C403ED"/>
    <w:rsid w:val="00C40940"/>
    <w:rsid w:val="00C40C6F"/>
    <w:rsid w:val="00C40D0E"/>
    <w:rsid w:val="00C41240"/>
    <w:rsid w:val="00C41561"/>
    <w:rsid w:val="00C418AA"/>
    <w:rsid w:val="00C42303"/>
    <w:rsid w:val="00C42916"/>
    <w:rsid w:val="00C429B5"/>
    <w:rsid w:val="00C42AC8"/>
    <w:rsid w:val="00C42C2A"/>
    <w:rsid w:val="00C42DAF"/>
    <w:rsid w:val="00C4332F"/>
    <w:rsid w:val="00C4340F"/>
    <w:rsid w:val="00C4383C"/>
    <w:rsid w:val="00C43BFE"/>
    <w:rsid w:val="00C43F9C"/>
    <w:rsid w:val="00C44005"/>
    <w:rsid w:val="00C44095"/>
    <w:rsid w:val="00C44144"/>
    <w:rsid w:val="00C441CE"/>
    <w:rsid w:val="00C443A9"/>
    <w:rsid w:val="00C44AA4"/>
    <w:rsid w:val="00C4562E"/>
    <w:rsid w:val="00C45A43"/>
    <w:rsid w:val="00C45CF9"/>
    <w:rsid w:val="00C45D3B"/>
    <w:rsid w:val="00C45EE2"/>
    <w:rsid w:val="00C46652"/>
    <w:rsid w:val="00C469D4"/>
    <w:rsid w:val="00C46DA5"/>
    <w:rsid w:val="00C47A56"/>
    <w:rsid w:val="00C50009"/>
    <w:rsid w:val="00C50110"/>
    <w:rsid w:val="00C50178"/>
    <w:rsid w:val="00C50DBF"/>
    <w:rsid w:val="00C50DCD"/>
    <w:rsid w:val="00C511FB"/>
    <w:rsid w:val="00C51432"/>
    <w:rsid w:val="00C51650"/>
    <w:rsid w:val="00C522FD"/>
    <w:rsid w:val="00C52303"/>
    <w:rsid w:val="00C5242D"/>
    <w:rsid w:val="00C526CF"/>
    <w:rsid w:val="00C52703"/>
    <w:rsid w:val="00C5293B"/>
    <w:rsid w:val="00C53152"/>
    <w:rsid w:val="00C53382"/>
    <w:rsid w:val="00C54794"/>
    <w:rsid w:val="00C54B36"/>
    <w:rsid w:val="00C558A8"/>
    <w:rsid w:val="00C565A3"/>
    <w:rsid w:val="00C565DA"/>
    <w:rsid w:val="00C56780"/>
    <w:rsid w:val="00C56AFE"/>
    <w:rsid w:val="00C56DBD"/>
    <w:rsid w:val="00C571FC"/>
    <w:rsid w:val="00C574E2"/>
    <w:rsid w:val="00C57510"/>
    <w:rsid w:val="00C57545"/>
    <w:rsid w:val="00C57A63"/>
    <w:rsid w:val="00C57AA9"/>
    <w:rsid w:val="00C60341"/>
    <w:rsid w:val="00C60A5F"/>
    <w:rsid w:val="00C60CD4"/>
    <w:rsid w:val="00C60D56"/>
    <w:rsid w:val="00C60F8D"/>
    <w:rsid w:val="00C6101D"/>
    <w:rsid w:val="00C61D6C"/>
    <w:rsid w:val="00C62024"/>
    <w:rsid w:val="00C620C6"/>
    <w:rsid w:val="00C626EE"/>
    <w:rsid w:val="00C62763"/>
    <w:rsid w:val="00C62E00"/>
    <w:rsid w:val="00C62EC6"/>
    <w:rsid w:val="00C62F3F"/>
    <w:rsid w:val="00C62FBB"/>
    <w:rsid w:val="00C633D3"/>
    <w:rsid w:val="00C635DA"/>
    <w:rsid w:val="00C636BC"/>
    <w:rsid w:val="00C63DF6"/>
    <w:rsid w:val="00C63E97"/>
    <w:rsid w:val="00C63ED6"/>
    <w:rsid w:val="00C643B2"/>
    <w:rsid w:val="00C64710"/>
    <w:rsid w:val="00C64A0B"/>
    <w:rsid w:val="00C64AE6"/>
    <w:rsid w:val="00C64BA8"/>
    <w:rsid w:val="00C64C09"/>
    <w:rsid w:val="00C6585F"/>
    <w:rsid w:val="00C6614C"/>
    <w:rsid w:val="00C66535"/>
    <w:rsid w:val="00C66FFB"/>
    <w:rsid w:val="00C67091"/>
    <w:rsid w:val="00C6795B"/>
    <w:rsid w:val="00C67BF2"/>
    <w:rsid w:val="00C70170"/>
    <w:rsid w:val="00C7094E"/>
    <w:rsid w:val="00C70B1B"/>
    <w:rsid w:val="00C711D6"/>
    <w:rsid w:val="00C71426"/>
    <w:rsid w:val="00C7147E"/>
    <w:rsid w:val="00C7169C"/>
    <w:rsid w:val="00C7200E"/>
    <w:rsid w:val="00C72EF5"/>
    <w:rsid w:val="00C7325C"/>
    <w:rsid w:val="00C7347D"/>
    <w:rsid w:val="00C7384D"/>
    <w:rsid w:val="00C73F4D"/>
    <w:rsid w:val="00C73FD4"/>
    <w:rsid w:val="00C74985"/>
    <w:rsid w:val="00C75250"/>
    <w:rsid w:val="00C75298"/>
    <w:rsid w:val="00C7554A"/>
    <w:rsid w:val="00C7586E"/>
    <w:rsid w:val="00C75A15"/>
    <w:rsid w:val="00C75D4B"/>
    <w:rsid w:val="00C75E4C"/>
    <w:rsid w:val="00C76A2C"/>
    <w:rsid w:val="00C76AF3"/>
    <w:rsid w:val="00C76DFF"/>
    <w:rsid w:val="00C776EB"/>
    <w:rsid w:val="00C779D8"/>
    <w:rsid w:val="00C77BCC"/>
    <w:rsid w:val="00C80120"/>
    <w:rsid w:val="00C8051D"/>
    <w:rsid w:val="00C808E1"/>
    <w:rsid w:val="00C80C86"/>
    <w:rsid w:val="00C80E5B"/>
    <w:rsid w:val="00C8110F"/>
    <w:rsid w:val="00C812DC"/>
    <w:rsid w:val="00C815EF"/>
    <w:rsid w:val="00C81950"/>
    <w:rsid w:val="00C81F9C"/>
    <w:rsid w:val="00C81FE1"/>
    <w:rsid w:val="00C82082"/>
    <w:rsid w:val="00C829E4"/>
    <w:rsid w:val="00C82C3A"/>
    <w:rsid w:val="00C833CC"/>
    <w:rsid w:val="00C834A4"/>
    <w:rsid w:val="00C8388C"/>
    <w:rsid w:val="00C839C3"/>
    <w:rsid w:val="00C841A7"/>
    <w:rsid w:val="00C84705"/>
    <w:rsid w:val="00C84ACB"/>
    <w:rsid w:val="00C84C98"/>
    <w:rsid w:val="00C84D54"/>
    <w:rsid w:val="00C85C72"/>
    <w:rsid w:val="00C85CA9"/>
    <w:rsid w:val="00C85D35"/>
    <w:rsid w:val="00C85EC0"/>
    <w:rsid w:val="00C862EA"/>
    <w:rsid w:val="00C86429"/>
    <w:rsid w:val="00C86750"/>
    <w:rsid w:val="00C87101"/>
    <w:rsid w:val="00C8780D"/>
    <w:rsid w:val="00C87816"/>
    <w:rsid w:val="00C9043C"/>
    <w:rsid w:val="00C905E8"/>
    <w:rsid w:val="00C90C25"/>
    <w:rsid w:val="00C90C78"/>
    <w:rsid w:val="00C91080"/>
    <w:rsid w:val="00C911B4"/>
    <w:rsid w:val="00C914AC"/>
    <w:rsid w:val="00C916DE"/>
    <w:rsid w:val="00C91AD4"/>
    <w:rsid w:val="00C91B42"/>
    <w:rsid w:val="00C91D33"/>
    <w:rsid w:val="00C920C8"/>
    <w:rsid w:val="00C923B6"/>
    <w:rsid w:val="00C923CF"/>
    <w:rsid w:val="00C925B6"/>
    <w:rsid w:val="00C92817"/>
    <w:rsid w:val="00C928D5"/>
    <w:rsid w:val="00C92BF9"/>
    <w:rsid w:val="00C93215"/>
    <w:rsid w:val="00C93917"/>
    <w:rsid w:val="00C93D53"/>
    <w:rsid w:val="00C9496F"/>
    <w:rsid w:val="00C949A7"/>
    <w:rsid w:val="00C94B1F"/>
    <w:rsid w:val="00C94B62"/>
    <w:rsid w:val="00C94DD1"/>
    <w:rsid w:val="00C94FE3"/>
    <w:rsid w:val="00C95317"/>
    <w:rsid w:val="00C95647"/>
    <w:rsid w:val="00C9565A"/>
    <w:rsid w:val="00C9577F"/>
    <w:rsid w:val="00C95830"/>
    <w:rsid w:val="00C95838"/>
    <w:rsid w:val="00C95BCC"/>
    <w:rsid w:val="00C964D5"/>
    <w:rsid w:val="00C96659"/>
    <w:rsid w:val="00C9666A"/>
    <w:rsid w:val="00C96B9B"/>
    <w:rsid w:val="00C96C43"/>
    <w:rsid w:val="00C96D0B"/>
    <w:rsid w:val="00C977BD"/>
    <w:rsid w:val="00C979AE"/>
    <w:rsid w:val="00C97A1A"/>
    <w:rsid w:val="00C97B17"/>
    <w:rsid w:val="00CA0006"/>
    <w:rsid w:val="00CA0067"/>
    <w:rsid w:val="00CA02FB"/>
    <w:rsid w:val="00CA03D9"/>
    <w:rsid w:val="00CA0548"/>
    <w:rsid w:val="00CA05C2"/>
    <w:rsid w:val="00CA076E"/>
    <w:rsid w:val="00CA0A86"/>
    <w:rsid w:val="00CA0C07"/>
    <w:rsid w:val="00CA0FB7"/>
    <w:rsid w:val="00CA1061"/>
    <w:rsid w:val="00CA10D4"/>
    <w:rsid w:val="00CA12B6"/>
    <w:rsid w:val="00CA150F"/>
    <w:rsid w:val="00CA16CE"/>
    <w:rsid w:val="00CA21F8"/>
    <w:rsid w:val="00CA239D"/>
    <w:rsid w:val="00CA29B8"/>
    <w:rsid w:val="00CA302E"/>
    <w:rsid w:val="00CA3593"/>
    <w:rsid w:val="00CA3B1F"/>
    <w:rsid w:val="00CA3CF8"/>
    <w:rsid w:val="00CA3E5E"/>
    <w:rsid w:val="00CA4109"/>
    <w:rsid w:val="00CA4235"/>
    <w:rsid w:val="00CA48BC"/>
    <w:rsid w:val="00CA4CB8"/>
    <w:rsid w:val="00CA4D26"/>
    <w:rsid w:val="00CA5539"/>
    <w:rsid w:val="00CA553E"/>
    <w:rsid w:val="00CA5980"/>
    <w:rsid w:val="00CA62D0"/>
    <w:rsid w:val="00CA64B1"/>
    <w:rsid w:val="00CA65F6"/>
    <w:rsid w:val="00CA691C"/>
    <w:rsid w:val="00CA6A6C"/>
    <w:rsid w:val="00CA6FB6"/>
    <w:rsid w:val="00CA7109"/>
    <w:rsid w:val="00CA7691"/>
    <w:rsid w:val="00CA7970"/>
    <w:rsid w:val="00CA7AC4"/>
    <w:rsid w:val="00CA7B42"/>
    <w:rsid w:val="00CB0017"/>
    <w:rsid w:val="00CB02AF"/>
    <w:rsid w:val="00CB1126"/>
    <w:rsid w:val="00CB1151"/>
    <w:rsid w:val="00CB1566"/>
    <w:rsid w:val="00CB20B5"/>
    <w:rsid w:val="00CB235D"/>
    <w:rsid w:val="00CB24EC"/>
    <w:rsid w:val="00CB2C16"/>
    <w:rsid w:val="00CB301E"/>
    <w:rsid w:val="00CB3080"/>
    <w:rsid w:val="00CB32EB"/>
    <w:rsid w:val="00CB3318"/>
    <w:rsid w:val="00CB38FC"/>
    <w:rsid w:val="00CB3B3C"/>
    <w:rsid w:val="00CB4519"/>
    <w:rsid w:val="00CB4B0C"/>
    <w:rsid w:val="00CB51A3"/>
    <w:rsid w:val="00CB57BC"/>
    <w:rsid w:val="00CB66CE"/>
    <w:rsid w:val="00CB6C4A"/>
    <w:rsid w:val="00CB6D24"/>
    <w:rsid w:val="00CB6FCA"/>
    <w:rsid w:val="00CB71F2"/>
    <w:rsid w:val="00CB7528"/>
    <w:rsid w:val="00CB7777"/>
    <w:rsid w:val="00CC0014"/>
    <w:rsid w:val="00CC019E"/>
    <w:rsid w:val="00CC0375"/>
    <w:rsid w:val="00CC08FF"/>
    <w:rsid w:val="00CC0A6E"/>
    <w:rsid w:val="00CC0AF9"/>
    <w:rsid w:val="00CC0B75"/>
    <w:rsid w:val="00CC10B2"/>
    <w:rsid w:val="00CC1665"/>
    <w:rsid w:val="00CC1EF8"/>
    <w:rsid w:val="00CC20FE"/>
    <w:rsid w:val="00CC2264"/>
    <w:rsid w:val="00CC22E0"/>
    <w:rsid w:val="00CC2568"/>
    <w:rsid w:val="00CC25E1"/>
    <w:rsid w:val="00CC322B"/>
    <w:rsid w:val="00CC3A14"/>
    <w:rsid w:val="00CC3E3F"/>
    <w:rsid w:val="00CC3F9E"/>
    <w:rsid w:val="00CC40BF"/>
    <w:rsid w:val="00CC4200"/>
    <w:rsid w:val="00CC554A"/>
    <w:rsid w:val="00CC5790"/>
    <w:rsid w:val="00CC5CB1"/>
    <w:rsid w:val="00CC5E90"/>
    <w:rsid w:val="00CC615D"/>
    <w:rsid w:val="00CC6573"/>
    <w:rsid w:val="00CC6704"/>
    <w:rsid w:val="00CC67FE"/>
    <w:rsid w:val="00CC6B03"/>
    <w:rsid w:val="00CC6D85"/>
    <w:rsid w:val="00CC6E21"/>
    <w:rsid w:val="00CC72D7"/>
    <w:rsid w:val="00CD0010"/>
    <w:rsid w:val="00CD0572"/>
    <w:rsid w:val="00CD12C7"/>
    <w:rsid w:val="00CD1EF7"/>
    <w:rsid w:val="00CD2634"/>
    <w:rsid w:val="00CD2779"/>
    <w:rsid w:val="00CD27DF"/>
    <w:rsid w:val="00CD283B"/>
    <w:rsid w:val="00CD2D82"/>
    <w:rsid w:val="00CD2DB4"/>
    <w:rsid w:val="00CD2EEF"/>
    <w:rsid w:val="00CD36F4"/>
    <w:rsid w:val="00CD41C3"/>
    <w:rsid w:val="00CD41D0"/>
    <w:rsid w:val="00CD4408"/>
    <w:rsid w:val="00CD4466"/>
    <w:rsid w:val="00CD4AAC"/>
    <w:rsid w:val="00CD4D7B"/>
    <w:rsid w:val="00CD4DC4"/>
    <w:rsid w:val="00CD51E8"/>
    <w:rsid w:val="00CD5E2D"/>
    <w:rsid w:val="00CD662F"/>
    <w:rsid w:val="00CD724C"/>
    <w:rsid w:val="00CD756C"/>
    <w:rsid w:val="00CD78BC"/>
    <w:rsid w:val="00CD7E51"/>
    <w:rsid w:val="00CE0818"/>
    <w:rsid w:val="00CE08C4"/>
    <w:rsid w:val="00CE09C6"/>
    <w:rsid w:val="00CE10CA"/>
    <w:rsid w:val="00CE1719"/>
    <w:rsid w:val="00CE1A75"/>
    <w:rsid w:val="00CE1B4C"/>
    <w:rsid w:val="00CE218F"/>
    <w:rsid w:val="00CE21DF"/>
    <w:rsid w:val="00CE2408"/>
    <w:rsid w:val="00CE2536"/>
    <w:rsid w:val="00CE26FD"/>
    <w:rsid w:val="00CE2FD3"/>
    <w:rsid w:val="00CE3610"/>
    <w:rsid w:val="00CE3D3D"/>
    <w:rsid w:val="00CE3DF5"/>
    <w:rsid w:val="00CE4925"/>
    <w:rsid w:val="00CE4AA5"/>
    <w:rsid w:val="00CE4C9C"/>
    <w:rsid w:val="00CE4F68"/>
    <w:rsid w:val="00CE50B6"/>
    <w:rsid w:val="00CE577A"/>
    <w:rsid w:val="00CE59C0"/>
    <w:rsid w:val="00CE614E"/>
    <w:rsid w:val="00CE6194"/>
    <w:rsid w:val="00CE6599"/>
    <w:rsid w:val="00CE6821"/>
    <w:rsid w:val="00CE6A8E"/>
    <w:rsid w:val="00CE6D5E"/>
    <w:rsid w:val="00CE720D"/>
    <w:rsid w:val="00CE74B4"/>
    <w:rsid w:val="00CE7BFE"/>
    <w:rsid w:val="00CE7C3B"/>
    <w:rsid w:val="00CE7F0B"/>
    <w:rsid w:val="00CE7F52"/>
    <w:rsid w:val="00CF00BC"/>
    <w:rsid w:val="00CF026A"/>
    <w:rsid w:val="00CF03A4"/>
    <w:rsid w:val="00CF0530"/>
    <w:rsid w:val="00CF0629"/>
    <w:rsid w:val="00CF080C"/>
    <w:rsid w:val="00CF0830"/>
    <w:rsid w:val="00CF0890"/>
    <w:rsid w:val="00CF0B8F"/>
    <w:rsid w:val="00CF0C21"/>
    <w:rsid w:val="00CF1CC2"/>
    <w:rsid w:val="00CF1F32"/>
    <w:rsid w:val="00CF2578"/>
    <w:rsid w:val="00CF2DBA"/>
    <w:rsid w:val="00CF3416"/>
    <w:rsid w:val="00CF4334"/>
    <w:rsid w:val="00CF448E"/>
    <w:rsid w:val="00CF45DA"/>
    <w:rsid w:val="00CF4AA8"/>
    <w:rsid w:val="00CF4C7F"/>
    <w:rsid w:val="00CF4CF6"/>
    <w:rsid w:val="00CF4EA1"/>
    <w:rsid w:val="00CF50D8"/>
    <w:rsid w:val="00CF5588"/>
    <w:rsid w:val="00CF5CA7"/>
    <w:rsid w:val="00CF71C5"/>
    <w:rsid w:val="00CF75F8"/>
    <w:rsid w:val="00CF7835"/>
    <w:rsid w:val="00CF7950"/>
    <w:rsid w:val="00D00322"/>
    <w:rsid w:val="00D008DC"/>
    <w:rsid w:val="00D00982"/>
    <w:rsid w:val="00D00AE2"/>
    <w:rsid w:val="00D00C36"/>
    <w:rsid w:val="00D00F2A"/>
    <w:rsid w:val="00D0150D"/>
    <w:rsid w:val="00D01846"/>
    <w:rsid w:val="00D01A35"/>
    <w:rsid w:val="00D01B8D"/>
    <w:rsid w:val="00D01C13"/>
    <w:rsid w:val="00D0244C"/>
    <w:rsid w:val="00D029C1"/>
    <w:rsid w:val="00D02D86"/>
    <w:rsid w:val="00D02E98"/>
    <w:rsid w:val="00D031A6"/>
    <w:rsid w:val="00D0337E"/>
    <w:rsid w:val="00D03870"/>
    <w:rsid w:val="00D03945"/>
    <w:rsid w:val="00D039D9"/>
    <w:rsid w:val="00D03AED"/>
    <w:rsid w:val="00D04133"/>
    <w:rsid w:val="00D04A47"/>
    <w:rsid w:val="00D04C46"/>
    <w:rsid w:val="00D0505C"/>
    <w:rsid w:val="00D050E1"/>
    <w:rsid w:val="00D050E4"/>
    <w:rsid w:val="00D0523A"/>
    <w:rsid w:val="00D05276"/>
    <w:rsid w:val="00D05302"/>
    <w:rsid w:val="00D05BE5"/>
    <w:rsid w:val="00D06189"/>
    <w:rsid w:val="00D06425"/>
    <w:rsid w:val="00D06807"/>
    <w:rsid w:val="00D06C66"/>
    <w:rsid w:val="00D06E86"/>
    <w:rsid w:val="00D07268"/>
    <w:rsid w:val="00D076B6"/>
    <w:rsid w:val="00D07A6C"/>
    <w:rsid w:val="00D07C70"/>
    <w:rsid w:val="00D07E68"/>
    <w:rsid w:val="00D100EF"/>
    <w:rsid w:val="00D101C1"/>
    <w:rsid w:val="00D106D0"/>
    <w:rsid w:val="00D1086C"/>
    <w:rsid w:val="00D10A1A"/>
    <w:rsid w:val="00D10D7B"/>
    <w:rsid w:val="00D11C6D"/>
    <w:rsid w:val="00D1224C"/>
    <w:rsid w:val="00D1269E"/>
    <w:rsid w:val="00D12A96"/>
    <w:rsid w:val="00D12BDB"/>
    <w:rsid w:val="00D12F70"/>
    <w:rsid w:val="00D1380C"/>
    <w:rsid w:val="00D13C0F"/>
    <w:rsid w:val="00D14162"/>
    <w:rsid w:val="00D148EC"/>
    <w:rsid w:val="00D152DC"/>
    <w:rsid w:val="00D1538C"/>
    <w:rsid w:val="00D15759"/>
    <w:rsid w:val="00D16075"/>
    <w:rsid w:val="00D16493"/>
    <w:rsid w:val="00D167B7"/>
    <w:rsid w:val="00D16813"/>
    <w:rsid w:val="00D16DEA"/>
    <w:rsid w:val="00D16F56"/>
    <w:rsid w:val="00D17034"/>
    <w:rsid w:val="00D174C2"/>
    <w:rsid w:val="00D17504"/>
    <w:rsid w:val="00D1768A"/>
    <w:rsid w:val="00D1775C"/>
    <w:rsid w:val="00D17C8F"/>
    <w:rsid w:val="00D17EC3"/>
    <w:rsid w:val="00D20122"/>
    <w:rsid w:val="00D2013E"/>
    <w:rsid w:val="00D208EA"/>
    <w:rsid w:val="00D20AF6"/>
    <w:rsid w:val="00D210C5"/>
    <w:rsid w:val="00D21A9C"/>
    <w:rsid w:val="00D21AD7"/>
    <w:rsid w:val="00D21ECD"/>
    <w:rsid w:val="00D221CC"/>
    <w:rsid w:val="00D223EC"/>
    <w:rsid w:val="00D22517"/>
    <w:rsid w:val="00D22BEC"/>
    <w:rsid w:val="00D22D8F"/>
    <w:rsid w:val="00D22DA9"/>
    <w:rsid w:val="00D2354A"/>
    <w:rsid w:val="00D2356B"/>
    <w:rsid w:val="00D23715"/>
    <w:rsid w:val="00D2409D"/>
    <w:rsid w:val="00D245F6"/>
    <w:rsid w:val="00D247F6"/>
    <w:rsid w:val="00D2484C"/>
    <w:rsid w:val="00D24D18"/>
    <w:rsid w:val="00D252D2"/>
    <w:rsid w:val="00D256AD"/>
    <w:rsid w:val="00D25BEE"/>
    <w:rsid w:val="00D25DD6"/>
    <w:rsid w:val="00D2621E"/>
    <w:rsid w:val="00D26917"/>
    <w:rsid w:val="00D26959"/>
    <w:rsid w:val="00D2706A"/>
    <w:rsid w:val="00D2724B"/>
    <w:rsid w:val="00D273F3"/>
    <w:rsid w:val="00D275D2"/>
    <w:rsid w:val="00D275FB"/>
    <w:rsid w:val="00D27928"/>
    <w:rsid w:val="00D3022A"/>
    <w:rsid w:val="00D30358"/>
    <w:rsid w:val="00D305C7"/>
    <w:rsid w:val="00D30D7F"/>
    <w:rsid w:val="00D30DDF"/>
    <w:rsid w:val="00D30ED7"/>
    <w:rsid w:val="00D30F2C"/>
    <w:rsid w:val="00D3115D"/>
    <w:rsid w:val="00D313D0"/>
    <w:rsid w:val="00D313DA"/>
    <w:rsid w:val="00D31A4F"/>
    <w:rsid w:val="00D320E0"/>
    <w:rsid w:val="00D3263C"/>
    <w:rsid w:val="00D33510"/>
    <w:rsid w:val="00D3375D"/>
    <w:rsid w:val="00D343F9"/>
    <w:rsid w:val="00D346DA"/>
    <w:rsid w:val="00D3485C"/>
    <w:rsid w:val="00D34BB7"/>
    <w:rsid w:val="00D3505D"/>
    <w:rsid w:val="00D354FA"/>
    <w:rsid w:val="00D35677"/>
    <w:rsid w:val="00D35856"/>
    <w:rsid w:val="00D361EB"/>
    <w:rsid w:val="00D36355"/>
    <w:rsid w:val="00D36606"/>
    <w:rsid w:val="00D36A33"/>
    <w:rsid w:val="00D36A44"/>
    <w:rsid w:val="00D36F29"/>
    <w:rsid w:val="00D377EA"/>
    <w:rsid w:val="00D377F2"/>
    <w:rsid w:val="00D37DDE"/>
    <w:rsid w:val="00D37EFC"/>
    <w:rsid w:val="00D402E0"/>
    <w:rsid w:val="00D403CD"/>
    <w:rsid w:val="00D40508"/>
    <w:rsid w:val="00D4062E"/>
    <w:rsid w:val="00D407A0"/>
    <w:rsid w:val="00D40907"/>
    <w:rsid w:val="00D41FD6"/>
    <w:rsid w:val="00D42455"/>
    <w:rsid w:val="00D425EC"/>
    <w:rsid w:val="00D42809"/>
    <w:rsid w:val="00D42DF9"/>
    <w:rsid w:val="00D43263"/>
    <w:rsid w:val="00D434E6"/>
    <w:rsid w:val="00D43918"/>
    <w:rsid w:val="00D43980"/>
    <w:rsid w:val="00D43B26"/>
    <w:rsid w:val="00D43B44"/>
    <w:rsid w:val="00D44DB2"/>
    <w:rsid w:val="00D454F3"/>
    <w:rsid w:val="00D460B5"/>
    <w:rsid w:val="00D4655F"/>
    <w:rsid w:val="00D46965"/>
    <w:rsid w:val="00D46B4B"/>
    <w:rsid w:val="00D46F7E"/>
    <w:rsid w:val="00D46FD3"/>
    <w:rsid w:val="00D47376"/>
    <w:rsid w:val="00D4739C"/>
    <w:rsid w:val="00D475B7"/>
    <w:rsid w:val="00D47908"/>
    <w:rsid w:val="00D50102"/>
    <w:rsid w:val="00D50129"/>
    <w:rsid w:val="00D502B9"/>
    <w:rsid w:val="00D5065F"/>
    <w:rsid w:val="00D507D4"/>
    <w:rsid w:val="00D508FF"/>
    <w:rsid w:val="00D50A5F"/>
    <w:rsid w:val="00D50B19"/>
    <w:rsid w:val="00D50F5A"/>
    <w:rsid w:val="00D522AC"/>
    <w:rsid w:val="00D524E5"/>
    <w:rsid w:val="00D533A7"/>
    <w:rsid w:val="00D539D0"/>
    <w:rsid w:val="00D53E94"/>
    <w:rsid w:val="00D5414B"/>
    <w:rsid w:val="00D54670"/>
    <w:rsid w:val="00D5467C"/>
    <w:rsid w:val="00D54C6D"/>
    <w:rsid w:val="00D54F19"/>
    <w:rsid w:val="00D55456"/>
    <w:rsid w:val="00D5554D"/>
    <w:rsid w:val="00D5561F"/>
    <w:rsid w:val="00D55AA9"/>
    <w:rsid w:val="00D55F85"/>
    <w:rsid w:val="00D5621E"/>
    <w:rsid w:val="00D563BE"/>
    <w:rsid w:val="00D565A9"/>
    <w:rsid w:val="00D56640"/>
    <w:rsid w:val="00D56842"/>
    <w:rsid w:val="00D56C41"/>
    <w:rsid w:val="00D56E40"/>
    <w:rsid w:val="00D56EF7"/>
    <w:rsid w:val="00D5733B"/>
    <w:rsid w:val="00D5772D"/>
    <w:rsid w:val="00D57928"/>
    <w:rsid w:val="00D5795C"/>
    <w:rsid w:val="00D6066D"/>
    <w:rsid w:val="00D60B20"/>
    <w:rsid w:val="00D60FCC"/>
    <w:rsid w:val="00D624B0"/>
    <w:rsid w:val="00D62ED4"/>
    <w:rsid w:val="00D632D0"/>
    <w:rsid w:val="00D6345E"/>
    <w:rsid w:val="00D64448"/>
    <w:rsid w:val="00D64FB0"/>
    <w:rsid w:val="00D655BD"/>
    <w:rsid w:val="00D65A0C"/>
    <w:rsid w:val="00D65E44"/>
    <w:rsid w:val="00D66017"/>
    <w:rsid w:val="00D66323"/>
    <w:rsid w:val="00D66332"/>
    <w:rsid w:val="00D6686D"/>
    <w:rsid w:val="00D66B02"/>
    <w:rsid w:val="00D66B33"/>
    <w:rsid w:val="00D66C85"/>
    <w:rsid w:val="00D6729C"/>
    <w:rsid w:val="00D6730C"/>
    <w:rsid w:val="00D6784D"/>
    <w:rsid w:val="00D67EF4"/>
    <w:rsid w:val="00D70023"/>
    <w:rsid w:val="00D70196"/>
    <w:rsid w:val="00D7021B"/>
    <w:rsid w:val="00D7028D"/>
    <w:rsid w:val="00D7044D"/>
    <w:rsid w:val="00D704B2"/>
    <w:rsid w:val="00D70714"/>
    <w:rsid w:val="00D70B04"/>
    <w:rsid w:val="00D71601"/>
    <w:rsid w:val="00D71945"/>
    <w:rsid w:val="00D719C0"/>
    <w:rsid w:val="00D7206A"/>
    <w:rsid w:val="00D727ED"/>
    <w:rsid w:val="00D72B51"/>
    <w:rsid w:val="00D72BCC"/>
    <w:rsid w:val="00D73171"/>
    <w:rsid w:val="00D73180"/>
    <w:rsid w:val="00D7370A"/>
    <w:rsid w:val="00D73DC3"/>
    <w:rsid w:val="00D73F99"/>
    <w:rsid w:val="00D7407D"/>
    <w:rsid w:val="00D74247"/>
    <w:rsid w:val="00D742C0"/>
    <w:rsid w:val="00D743F8"/>
    <w:rsid w:val="00D7497C"/>
    <w:rsid w:val="00D74A67"/>
    <w:rsid w:val="00D75448"/>
    <w:rsid w:val="00D75742"/>
    <w:rsid w:val="00D764BE"/>
    <w:rsid w:val="00D766C9"/>
    <w:rsid w:val="00D768D9"/>
    <w:rsid w:val="00D76D21"/>
    <w:rsid w:val="00D7700E"/>
    <w:rsid w:val="00D77299"/>
    <w:rsid w:val="00D777AC"/>
    <w:rsid w:val="00D77C07"/>
    <w:rsid w:val="00D80130"/>
    <w:rsid w:val="00D80977"/>
    <w:rsid w:val="00D80C23"/>
    <w:rsid w:val="00D80F81"/>
    <w:rsid w:val="00D80FA8"/>
    <w:rsid w:val="00D812AF"/>
    <w:rsid w:val="00D81696"/>
    <w:rsid w:val="00D8177F"/>
    <w:rsid w:val="00D81804"/>
    <w:rsid w:val="00D81AB4"/>
    <w:rsid w:val="00D81F31"/>
    <w:rsid w:val="00D82644"/>
    <w:rsid w:val="00D82901"/>
    <w:rsid w:val="00D83FC8"/>
    <w:rsid w:val="00D8493A"/>
    <w:rsid w:val="00D84C41"/>
    <w:rsid w:val="00D84C79"/>
    <w:rsid w:val="00D84E8A"/>
    <w:rsid w:val="00D84EA7"/>
    <w:rsid w:val="00D8567C"/>
    <w:rsid w:val="00D857DB"/>
    <w:rsid w:val="00D861AE"/>
    <w:rsid w:val="00D8621F"/>
    <w:rsid w:val="00D86447"/>
    <w:rsid w:val="00D865AE"/>
    <w:rsid w:val="00D866DE"/>
    <w:rsid w:val="00D869FD"/>
    <w:rsid w:val="00D86BD9"/>
    <w:rsid w:val="00D86C12"/>
    <w:rsid w:val="00D87177"/>
    <w:rsid w:val="00D87450"/>
    <w:rsid w:val="00D875AB"/>
    <w:rsid w:val="00D876A1"/>
    <w:rsid w:val="00D878D1"/>
    <w:rsid w:val="00D87B42"/>
    <w:rsid w:val="00D87C05"/>
    <w:rsid w:val="00D87D9B"/>
    <w:rsid w:val="00D87DB5"/>
    <w:rsid w:val="00D9033A"/>
    <w:rsid w:val="00D9063C"/>
    <w:rsid w:val="00D908E3"/>
    <w:rsid w:val="00D916C6"/>
    <w:rsid w:val="00D91CBA"/>
    <w:rsid w:val="00D91D20"/>
    <w:rsid w:val="00D91E95"/>
    <w:rsid w:val="00D9284F"/>
    <w:rsid w:val="00D92A87"/>
    <w:rsid w:val="00D92F74"/>
    <w:rsid w:val="00D92FB1"/>
    <w:rsid w:val="00D9304D"/>
    <w:rsid w:val="00D9321A"/>
    <w:rsid w:val="00D93D7E"/>
    <w:rsid w:val="00D94490"/>
    <w:rsid w:val="00D94626"/>
    <w:rsid w:val="00D946E6"/>
    <w:rsid w:val="00D947E6"/>
    <w:rsid w:val="00D948FA"/>
    <w:rsid w:val="00D94CF9"/>
    <w:rsid w:val="00D94F4A"/>
    <w:rsid w:val="00D94FF4"/>
    <w:rsid w:val="00D9532A"/>
    <w:rsid w:val="00D953F4"/>
    <w:rsid w:val="00D9580C"/>
    <w:rsid w:val="00D95AC0"/>
    <w:rsid w:val="00D9604E"/>
    <w:rsid w:val="00D9626F"/>
    <w:rsid w:val="00D96687"/>
    <w:rsid w:val="00D96BCF"/>
    <w:rsid w:val="00D96C66"/>
    <w:rsid w:val="00D96D08"/>
    <w:rsid w:val="00D96D32"/>
    <w:rsid w:val="00D971B1"/>
    <w:rsid w:val="00D97841"/>
    <w:rsid w:val="00D97B93"/>
    <w:rsid w:val="00DA0640"/>
    <w:rsid w:val="00DA08E1"/>
    <w:rsid w:val="00DA0F74"/>
    <w:rsid w:val="00DA1072"/>
    <w:rsid w:val="00DA11E2"/>
    <w:rsid w:val="00DA144F"/>
    <w:rsid w:val="00DA18ED"/>
    <w:rsid w:val="00DA1985"/>
    <w:rsid w:val="00DA20D6"/>
    <w:rsid w:val="00DA21C3"/>
    <w:rsid w:val="00DA22D1"/>
    <w:rsid w:val="00DA26C3"/>
    <w:rsid w:val="00DA2843"/>
    <w:rsid w:val="00DA336B"/>
    <w:rsid w:val="00DA349B"/>
    <w:rsid w:val="00DA3B22"/>
    <w:rsid w:val="00DA45A4"/>
    <w:rsid w:val="00DA4669"/>
    <w:rsid w:val="00DA477C"/>
    <w:rsid w:val="00DA4AB7"/>
    <w:rsid w:val="00DA4C51"/>
    <w:rsid w:val="00DA4E0B"/>
    <w:rsid w:val="00DA51CF"/>
    <w:rsid w:val="00DA5495"/>
    <w:rsid w:val="00DA54AE"/>
    <w:rsid w:val="00DA5A05"/>
    <w:rsid w:val="00DA67D4"/>
    <w:rsid w:val="00DA7280"/>
    <w:rsid w:val="00DA7600"/>
    <w:rsid w:val="00DA7FEF"/>
    <w:rsid w:val="00DB0019"/>
    <w:rsid w:val="00DB0663"/>
    <w:rsid w:val="00DB09DD"/>
    <w:rsid w:val="00DB1882"/>
    <w:rsid w:val="00DB1A59"/>
    <w:rsid w:val="00DB1BDC"/>
    <w:rsid w:val="00DB1CA0"/>
    <w:rsid w:val="00DB1E68"/>
    <w:rsid w:val="00DB20DD"/>
    <w:rsid w:val="00DB2325"/>
    <w:rsid w:val="00DB289C"/>
    <w:rsid w:val="00DB29F1"/>
    <w:rsid w:val="00DB338E"/>
    <w:rsid w:val="00DB3DC8"/>
    <w:rsid w:val="00DB43E5"/>
    <w:rsid w:val="00DB4793"/>
    <w:rsid w:val="00DB4A46"/>
    <w:rsid w:val="00DB5476"/>
    <w:rsid w:val="00DB5CAC"/>
    <w:rsid w:val="00DB5DAE"/>
    <w:rsid w:val="00DB6586"/>
    <w:rsid w:val="00DB669D"/>
    <w:rsid w:val="00DB69B4"/>
    <w:rsid w:val="00DB6A3C"/>
    <w:rsid w:val="00DB6E46"/>
    <w:rsid w:val="00DB71E4"/>
    <w:rsid w:val="00DB732A"/>
    <w:rsid w:val="00DB7399"/>
    <w:rsid w:val="00DB755B"/>
    <w:rsid w:val="00DB7CAF"/>
    <w:rsid w:val="00DB7D6B"/>
    <w:rsid w:val="00DB7EBF"/>
    <w:rsid w:val="00DC01EB"/>
    <w:rsid w:val="00DC0632"/>
    <w:rsid w:val="00DC095F"/>
    <w:rsid w:val="00DC0AFD"/>
    <w:rsid w:val="00DC0BEB"/>
    <w:rsid w:val="00DC1102"/>
    <w:rsid w:val="00DC1203"/>
    <w:rsid w:val="00DC14E2"/>
    <w:rsid w:val="00DC1E62"/>
    <w:rsid w:val="00DC1FD8"/>
    <w:rsid w:val="00DC2566"/>
    <w:rsid w:val="00DC2612"/>
    <w:rsid w:val="00DC266F"/>
    <w:rsid w:val="00DC274F"/>
    <w:rsid w:val="00DC27AA"/>
    <w:rsid w:val="00DC28E0"/>
    <w:rsid w:val="00DC3009"/>
    <w:rsid w:val="00DC3170"/>
    <w:rsid w:val="00DC33D0"/>
    <w:rsid w:val="00DC35A7"/>
    <w:rsid w:val="00DC3827"/>
    <w:rsid w:val="00DC3F62"/>
    <w:rsid w:val="00DC4308"/>
    <w:rsid w:val="00DC4A11"/>
    <w:rsid w:val="00DC5437"/>
    <w:rsid w:val="00DC58D3"/>
    <w:rsid w:val="00DC5A35"/>
    <w:rsid w:val="00DC5CB8"/>
    <w:rsid w:val="00DC6A74"/>
    <w:rsid w:val="00DC73C3"/>
    <w:rsid w:val="00DC74DD"/>
    <w:rsid w:val="00DC789C"/>
    <w:rsid w:val="00DC7955"/>
    <w:rsid w:val="00DD133D"/>
    <w:rsid w:val="00DD15C9"/>
    <w:rsid w:val="00DD19AA"/>
    <w:rsid w:val="00DD210A"/>
    <w:rsid w:val="00DD259D"/>
    <w:rsid w:val="00DD3331"/>
    <w:rsid w:val="00DD3416"/>
    <w:rsid w:val="00DD3552"/>
    <w:rsid w:val="00DD357E"/>
    <w:rsid w:val="00DD3A49"/>
    <w:rsid w:val="00DD3F28"/>
    <w:rsid w:val="00DD3F78"/>
    <w:rsid w:val="00DD408E"/>
    <w:rsid w:val="00DD4855"/>
    <w:rsid w:val="00DD4EB2"/>
    <w:rsid w:val="00DD5075"/>
    <w:rsid w:val="00DD52F4"/>
    <w:rsid w:val="00DD54BE"/>
    <w:rsid w:val="00DD558B"/>
    <w:rsid w:val="00DD58E6"/>
    <w:rsid w:val="00DD59FA"/>
    <w:rsid w:val="00DD655F"/>
    <w:rsid w:val="00DD6710"/>
    <w:rsid w:val="00DD6914"/>
    <w:rsid w:val="00DD6B47"/>
    <w:rsid w:val="00DD6CB9"/>
    <w:rsid w:val="00DD6E8F"/>
    <w:rsid w:val="00DD6F1E"/>
    <w:rsid w:val="00DD7A4B"/>
    <w:rsid w:val="00DD7EA6"/>
    <w:rsid w:val="00DD7ED3"/>
    <w:rsid w:val="00DD7FC7"/>
    <w:rsid w:val="00DE0016"/>
    <w:rsid w:val="00DE0360"/>
    <w:rsid w:val="00DE066E"/>
    <w:rsid w:val="00DE08EB"/>
    <w:rsid w:val="00DE0A58"/>
    <w:rsid w:val="00DE13CF"/>
    <w:rsid w:val="00DE1401"/>
    <w:rsid w:val="00DE189B"/>
    <w:rsid w:val="00DE1FC4"/>
    <w:rsid w:val="00DE24DD"/>
    <w:rsid w:val="00DE267B"/>
    <w:rsid w:val="00DE2B1D"/>
    <w:rsid w:val="00DE2CE8"/>
    <w:rsid w:val="00DE310D"/>
    <w:rsid w:val="00DE33EE"/>
    <w:rsid w:val="00DE3848"/>
    <w:rsid w:val="00DE3948"/>
    <w:rsid w:val="00DE4379"/>
    <w:rsid w:val="00DE46DB"/>
    <w:rsid w:val="00DE4950"/>
    <w:rsid w:val="00DE53E0"/>
    <w:rsid w:val="00DE66FD"/>
    <w:rsid w:val="00DE6796"/>
    <w:rsid w:val="00DE70D1"/>
    <w:rsid w:val="00DE768A"/>
    <w:rsid w:val="00DE79DE"/>
    <w:rsid w:val="00DE79E8"/>
    <w:rsid w:val="00DE7AD6"/>
    <w:rsid w:val="00DE7B40"/>
    <w:rsid w:val="00DE7CC5"/>
    <w:rsid w:val="00DE7F05"/>
    <w:rsid w:val="00DF0086"/>
    <w:rsid w:val="00DF06F0"/>
    <w:rsid w:val="00DF0868"/>
    <w:rsid w:val="00DF0AB1"/>
    <w:rsid w:val="00DF0B97"/>
    <w:rsid w:val="00DF1116"/>
    <w:rsid w:val="00DF11D4"/>
    <w:rsid w:val="00DF1B8F"/>
    <w:rsid w:val="00DF202C"/>
    <w:rsid w:val="00DF23A9"/>
    <w:rsid w:val="00DF24ED"/>
    <w:rsid w:val="00DF28EB"/>
    <w:rsid w:val="00DF2C30"/>
    <w:rsid w:val="00DF3A8E"/>
    <w:rsid w:val="00DF43BF"/>
    <w:rsid w:val="00DF43E2"/>
    <w:rsid w:val="00DF443A"/>
    <w:rsid w:val="00DF47E7"/>
    <w:rsid w:val="00DF47F2"/>
    <w:rsid w:val="00DF4BD8"/>
    <w:rsid w:val="00DF4E7C"/>
    <w:rsid w:val="00DF546B"/>
    <w:rsid w:val="00DF5575"/>
    <w:rsid w:val="00DF5821"/>
    <w:rsid w:val="00DF5D0B"/>
    <w:rsid w:val="00DF60CA"/>
    <w:rsid w:val="00DF6664"/>
    <w:rsid w:val="00DF6ADA"/>
    <w:rsid w:val="00DF702E"/>
    <w:rsid w:val="00DF7183"/>
    <w:rsid w:val="00DF73E1"/>
    <w:rsid w:val="00DF7835"/>
    <w:rsid w:val="00DF7C63"/>
    <w:rsid w:val="00E005C8"/>
    <w:rsid w:val="00E0073B"/>
    <w:rsid w:val="00E008E4"/>
    <w:rsid w:val="00E00AA0"/>
    <w:rsid w:val="00E00B34"/>
    <w:rsid w:val="00E00B4D"/>
    <w:rsid w:val="00E01718"/>
    <w:rsid w:val="00E01CB7"/>
    <w:rsid w:val="00E02027"/>
    <w:rsid w:val="00E0212C"/>
    <w:rsid w:val="00E0265F"/>
    <w:rsid w:val="00E02721"/>
    <w:rsid w:val="00E028FD"/>
    <w:rsid w:val="00E02A99"/>
    <w:rsid w:val="00E02C1E"/>
    <w:rsid w:val="00E02C94"/>
    <w:rsid w:val="00E03978"/>
    <w:rsid w:val="00E03BD2"/>
    <w:rsid w:val="00E03D09"/>
    <w:rsid w:val="00E03F71"/>
    <w:rsid w:val="00E04006"/>
    <w:rsid w:val="00E04104"/>
    <w:rsid w:val="00E046DB"/>
    <w:rsid w:val="00E048DB"/>
    <w:rsid w:val="00E04A83"/>
    <w:rsid w:val="00E04FDE"/>
    <w:rsid w:val="00E052F4"/>
    <w:rsid w:val="00E0545A"/>
    <w:rsid w:val="00E05A16"/>
    <w:rsid w:val="00E05E4A"/>
    <w:rsid w:val="00E061CA"/>
    <w:rsid w:val="00E06512"/>
    <w:rsid w:val="00E06579"/>
    <w:rsid w:val="00E06C73"/>
    <w:rsid w:val="00E0775E"/>
    <w:rsid w:val="00E07D9B"/>
    <w:rsid w:val="00E10038"/>
    <w:rsid w:val="00E100BA"/>
    <w:rsid w:val="00E10203"/>
    <w:rsid w:val="00E1055A"/>
    <w:rsid w:val="00E10956"/>
    <w:rsid w:val="00E10AEC"/>
    <w:rsid w:val="00E11120"/>
    <w:rsid w:val="00E11237"/>
    <w:rsid w:val="00E112B4"/>
    <w:rsid w:val="00E1158C"/>
    <w:rsid w:val="00E1160E"/>
    <w:rsid w:val="00E1166E"/>
    <w:rsid w:val="00E11737"/>
    <w:rsid w:val="00E11DEE"/>
    <w:rsid w:val="00E11F07"/>
    <w:rsid w:val="00E1201F"/>
    <w:rsid w:val="00E12541"/>
    <w:rsid w:val="00E128B8"/>
    <w:rsid w:val="00E12BC1"/>
    <w:rsid w:val="00E12E57"/>
    <w:rsid w:val="00E130F1"/>
    <w:rsid w:val="00E136E7"/>
    <w:rsid w:val="00E13861"/>
    <w:rsid w:val="00E13FC7"/>
    <w:rsid w:val="00E1409B"/>
    <w:rsid w:val="00E142E0"/>
    <w:rsid w:val="00E144DC"/>
    <w:rsid w:val="00E14979"/>
    <w:rsid w:val="00E14A5D"/>
    <w:rsid w:val="00E15282"/>
    <w:rsid w:val="00E15463"/>
    <w:rsid w:val="00E156FC"/>
    <w:rsid w:val="00E15ECD"/>
    <w:rsid w:val="00E16306"/>
    <w:rsid w:val="00E16438"/>
    <w:rsid w:val="00E167A2"/>
    <w:rsid w:val="00E16817"/>
    <w:rsid w:val="00E1692B"/>
    <w:rsid w:val="00E16EF3"/>
    <w:rsid w:val="00E16F1B"/>
    <w:rsid w:val="00E176ED"/>
    <w:rsid w:val="00E17A46"/>
    <w:rsid w:val="00E20089"/>
    <w:rsid w:val="00E20C7E"/>
    <w:rsid w:val="00E20CB5"/>
    <w:rsid w:val="00E20E33"/>
    <w:rsid w:val="00E20FB9"/>
    <w:rsid w:val="00E20FF8"/>
    <w:rsid w:val="00E21DCD"/>
    <w:rsid w:val="00E22170"/>
    <w:rsid w:val="00E22196"/>
    <w:rsid w:val="00E22C16"/>
    <w:rsid w:val="00E22DE7"/>
    <w:rsid w:val="00E232CD"/>
    <w:rsid w:val="00E23441"/>
    <w:rsid w:val="00E2388D"/>
    <w:rsid w:val="00E23A67"/>
    <w:rsid w:val="00E24313"/>
    <w:rsid w:val="00E24643"/>
    <w:rsid w:val="00E2469A"/>
    <w:rsid w:val="00E2512E"/>
    <w:rsid w:val="00E254B1"/>
    <w:rsid w:val="00E25A5C"/>
    <w:rsid w:val="00E25CF5"/>
    <w:rsid w:val="00E25DBD"/>
    <w:rsid w:val="00E25EBF"/>
    <w:rsid w:val="00E261EF"/>
    <w:rsid w:val="00E26570"/>
    <w:rsid w:val="00E27167"/>
    <w:rsid w:val="00E27D7F"/>
    <w:rsid w:val="00E27F84"/>
    <w:rsid w:val="00E30313"/>
    <w:rsid w:val="00E30C6F"/>
    <w:rsid w:val="00E30FDE"/>
    <w:rsid w:val="00E31579"/>
    <w:rsid w:val="00E31761"/>
    <w:rsid w:val="00E319E2"/>
    <w:rsid w:val="00E32533"/>
    <w:rsid w:val="00E32BAB"/>
    <w:rsid w:val="00E33138"/>
    <w:rsid w:val="00E33440"/>
    <w:rsid w:val="00E339BC"/>
    <w:rsid w:val="00E33D55"/>
    <w:rsid w:val="00E34402"/>
    <w:rsid w:val="00E34A98"/>
    <w:rsid w:val="00E34E4D"/>
    <w:rsid w:val="00E34F13"/>
    <w:rsid w:val="00E35099"/>
    <w:rsid w:val="00E3580E"/>
    <w:rsid w:val="00E359AE"/>
    <w:rsid w:val="00E35C30"/>
    <w:rsid w:val="00E3666C"/>
    <w:rsid w:val="00E36A58"/>
    <w:rsid w:val="00E36F2C"/>
    <w:rsid w:val="00E37125"/>
    <w:rsid w:val="00E40047"/>
    <w:rsid w:val="00E4062D"/>
    <w:rsid w:val="00E40685"/>
    <w:rsid w:val="00E407FB"/>
    <w:rsid w:val="00E408F8"/>
    <w:rsid w:val="00E409BB"/>
    <w:rsid w:val="00E40B89"/>
    <w:rsid w:val="00E40E97"/>
    <w:rsid w:val="00E410C2"/>
    <w:rsid w:val="00E41595"/>
    <w:rsid w:val="00E42742"/>
    <w:rsid w:val="00E435EA"/>
    <w:rsid w:val="00E43C96"/>
    <w:rsid w:val="00E44781"/>
    <w:rsid w:val="00E448CE"/>
    <w:rsid w:val="00E455CE"/>
    <w:rsid w:val="00E455FB"/>
    <w:rsid w:val="00E45E69"/>
    <w:rsid w:val="00E45F4F"/>
    <w:rsid w:val="00E4663A"/>
    <w:rsid w:val="00E46854"/>
    <w:rsid w:val="00E46CE9"/>
    <w:rsid w:val="00E4735C"/>
    <w:rsid w:val="00E4747B"/>
    <w:rsid w:val="00E4747F"/>
    <w:rsid w:val="00E474CA"/>
    <w:rsid w:val="00E50144"/>
    <w:rsid w:val="00E50B27"/>
    <w:rsid w:val="00E50D08"/>
    <w:rsid w:val="00E514D4"/>
    <w:rsid w:val="00E519BE"/>
    <w:rsid w:val="00E51B20"/>
    <w:rsid w:val="00E51E07"/>
    <w:rsid w:val="00E51F80"/>
    <w:rsid w:val="00E524FA"/>
    <w:rsid w:val="00E52547"/>
    <w:rsid w:val="00E52DC0"/>
    <w:rsid w:val="00E530AD"/>
    <w:rsid w:val="00E531BE"/>
    <w:rsid w:val="00E5330C"/>
    <w:rsid w:val="00E53A9C"/>
    <w:rsid w:val="00E53CE0"/>
    <w:rsid w:val="00E54092"/>
    <w:rsid w:val="00E54387"/>
    <w:rsid w:val="00E545F0"/>
    <w:rsid w:val="00E54F72"/>
    <w:rsid w:val="00E54FC8"/>
    <w:rsid w:val="00E5507B"/>
    <w:rsid w:val="00E550E5"/>
    <w:rsid w:val="00E55B70"/>
    <w:rsid w:val="00E55CB7"/>
    <w:rsid w:val="00E55D5C"/>
    <w:rsid w:val="00E5616C"/>
    <w:rsid w:val="00E56374"/>
    <w:rsid w:val="00E5643E"/>
    <w:rsid w:val="00E574C6"/>
    <w:rsid w:val="00E574E2"/>
    <w:rsid w:val="00E57A32"/>
    <w:rsid w:val="00E57B30"/>
    <w:rsid w:val="00E57C19"/>
    <w:rsid w:val="00E57E3A"/>
    <w:rsid w:val="00E607DE"/>
    <w:rsid w:val="00E609A3"/>
    <w:rsid w:val="00E6189E"/>
    <w:rsid w:val="00E61EE3"/>
    <w:rsid w:val="00E62017"/>
    <w:rsid w:val="00E6246F"/>
    <w:rsid w:val="00E62DC0"/>
    <w:rsid w:val="00E6327C"/>
    <w:rsid w:val="00E63C13"/>
    <w:rsid w:val="00E63DB0"/>
    <w:rsid w:val="00E642BF"/>
    <w:rsid w:val="00E644AB"/>
    <w:rsid w:val="00E64AB6"/>
    <w:rsid w:val="00E64BAF"/>
    <w:rsid w:val="00E64E55"/>
    <w:rsid w:val="00E6538A"/>
    <w:rsid w:val="00E655AA"/>
    <w:rsid w:val="00E655BB"/>
    <w:rsid w:val="00E655CF"/>
    <w:rsid w:val="00E655F8"/>
    <w:rsid w:val="00E65960"/>
    <w:rsid w:val="00E66DF0"/>
    <w:rsid w:val="00E67429"/>
    <w:rsid w:val="00E6760D"/>
    <w:rsid w:val="00E67B11"/>
    <w:rsid w:val="00E67E55"/>
    <w:rsid w:val="00E70AB6"/>
    <w:rsid w:val="00E70C9B"/>
    <w:rsid w:val="00E70DD7"/>
    <w:rsid w:val="00E70F78"/>
    <w:rsid w:val="00E71004"/>
    <w:rsid w:val="00E7105A"/>
    <w:rsid w:val="00E71317"/>
    <w:rsid w:val="00E713AB"/>
    <w:rsid w:val="00E71A0A"/>
    <w:rsid w:val="00E71D61"/>
    <w:rsid w:val="00E7246C"/>
    <w:rsid w:val="00E7298A"/>
    <w:rsid w:val="00E72A7B"/>
    <w:rsid w:val="00E72D55"/>
    <w:rsid w:val="00E72E32"/>
    <w:rsid w:val="00E730A1"/>
    <w:rsid w:val="00E733E8"/>
    <w:rsid w:val="00E745BF"/>
    <w:rsid w:val="00E74BFF"/>
    <w:rsid w:val="00E7508F"/>
    <w:rsid w:val="00E75AE9"/>
    <w:rsid w:val="00E761A4"/>
    <w:rsid w:val="00E765B7"/>
    <w:rsid w:val="00E769C2"/>
    <w:rsid w:val="00E769FF"/>
    <w:rsid w:val="00E76E97"/>
    <w:rsid w:val="00E779D4"/>
    <w:rsid w:val="00E77D58"/>
    <w:rsid w:val="00E80B3C"/>
    <w:rsid w:val="00E811F1"/>
    <w:rsid w:val="00E8121B"/>
    <w:rsid w:val="00E81872"/>
    <w:rsid w:val="00E81948"/>
    <w:rsid w:val="00E8212A"/>
    <w:rsid w:val="00E82311"/>
    <w:rsid w:val="00E8243B"/>
    <w:rsid w:val="00E82888"/>
    <w:rsid w:val="00E82AB2"/>
    <w:rsid w:val="00E82CC5"/>
    <w:rsid w:val="00E82CDF"/>
    <w:rsid w:val="00E830B7"/>
    <w:rsid w:val="00E831B3"/>
    <w:rsid w:val="00E8326C"/>
    <w:rsid w:val="00E834DD"/>
    <w:rsid w:val="00E8350F"/>
    <w:rsid w:val="00E8385C"/>
    <w:rsid w:val="00E8440A"/>
    <w:rsid w:val="00E84E67"/>
    <w:rsid w:val="00E8528C"/>
    <w:rsid w:val="00E853E3"/>
    <w:rsid w:val="00E8541C"/>
    <w:rsid w:val="00E85670"/>
    <w:rsid w:val="00E8586F"/>
    <w:rsid w:val="00E85A61"/>
    <w:rsid w:val="00E85DE0"/>
    <w:rsid w:val="00E85DFD"/>
    <w:rsid w:val="00E85E6B"/>
    <w:rsid w:val="00E86580"/>
    <w:rsid w:val="00E86743"/>
    <w:rsid w:val="00E86782"/>
    <w:rsid w:val="00E86C37"/>
    <w:rsid w:val="00E86C70"/>
    <w:rsid w:val="00E86C7C"/>
    <w:rsid w:val="00E86EE6"/>
    <w:rsid w:val="00E8787B"/>
    <w:rsid w:val="00E901F8"/>
    <w:rsid w:val="00E90B49"/>
    <w:rsid w:val="00E9159B"/>
    <w:rsid w:val="00E91CAD"/>
    <w:rsid w:val="00E91D7A"/>
    <w:rsid w:val="00E92036"/>
    <w:rsid w:val="00E922F6"/>
    <w:rsid w:val="00E92B55"/>
    <w:rsid w:val="00E93736"/>
    <w:rsid w:val="00E9435C"/>
    <w:rsid w:val="00E9442A"/>
    <w:rsid w:val="00E9497D"/>
    <w:rsid w:val="00E95563"/>
    <w:rsid w:val="00E9599B"/>
    <w:rsid w:val="00E95AAD"/>
    <w:rsid w:val="00E95AFC"/>
    <w:rsid w:val="00E95C57"/>
    <w:rsid w:val="00E963DB"/>
    <w:rsid w:val="00E97044"/>
    <w:rsid w:val="00E9708A"/>
    <w:rsid w:val="00E97280"/>
    <w:rsid w:val="00E97514"/>
    <w:rsid w:val="00E97560"/>
    <w:rsid w:val="00E9771C"/>
    <w:rsid w:val="00E97B57"/>
    <w:rsid w:val="00E97BEE"/>
    <w:rsid w:val="00EA005C"/>
    <w:rsid w:val="00EA04EE"/>
    <w:rsid w:val="00EA06B8"/>
    <w:rsid w:val="00EA0CCC"/>
    <w:rsid w:val="00EA10BB"/>
    <w:rsid w:val="00EA14B0"/>
    <w:rsid w:val="00EA181A"/>
    <w:rsid w:val="00EA1976"/>
    <w:rsid w:val="00EA1FA9"/>
    <w:rsid w:val="00EA20CC"/>
    <w:rsid w:val="00EA2A12"/>
    <w:rsid w:val="00EA2C36"/>
    <w:rsid w:val="00EA2C4A"/>
    <w:rsid w:val="00EA2F27"/>
    <w:rsid w:val="00EA395D"/>
    <w:rsid w:val="00EA3A67"/>
    <w:rsid w:val="00EA3CDF"/>
    <w:rsid w:val="00EA3D4E"/>
    <w:rsid w:val="00EA3E9D"/>
    <w:rsid w:val="00EA3F77"/>
    <w:rsid w:val="00EA4348"/>
    <w:rsid w:val="00EA4A55"/>
    <w:rsid w:val="00EA4F7A"/>
    <w:rsid w:val="00EA55E7"/>
    <w:rsid w:val="00EA57C2"/>
    <w:rsid w:val="00EA6259"/>
    <w:rsid w:val="00EA6338"/>
    <w:rsid w:val="00EA63FB"/>
    <w:rsid w:val="00EA67CD"/>
    <w:rsid w:val="00EA68E5"/>
    <w:rsid w:val="00EA6D7A"/>
    <w:rsid w:val="00EA70E6"/>
    <w:rsid w:val="00EA7565"/>
    <w:rsid w:val="00EA7AAF"/>
    <w:rsid w:val="00EA7BEE"/>
    <w:rsid w:val="00EA7D26"/>
    <w:rsid w:val="00EA7FBE"/>
    <w:rsid w:val="00EB0BFA"/>
    <w:rsid w:val="00EB0F33"/>
    <w:rsid w:val="00EB109C"/>
    <w:rsid w:val="00EB1125"/>
    <w:rsid w:val="00EB1446"/>
    <w:rsid w:val="00EB1894"/>
    <w:rsid w:val="00EB1A67"/>
    <w:rsid w:val="00EB1B84"/>
    <w:rsid w:val="00EB2304"/>
    <w:rsid w:val="00EB23BE"/>
    <w:rsid w:val="00EB23D1"/>
    <w:rsid w:val="00EB257D"/>
    <w:rsid w:val="00EB28E3"/>
    <w:rsid w:val="00EB2A85"/>
    <w:rsid w:val="00EB2D7B"/>
    <w:rsid w:val="00EB2EB7"/>
    <w:rsid w:val="00EB2FD7"/>
    <w:rsid w:val="00EB30F8"/>
    <w:rsid w:val="00EB3355"/>
    <w:rsid w:val="00EB3498"/>
    <w:rsid w:val="00EB3E0A"/>
    <w:rsid w:val="00EB46A4"/>
    <w:rsid w:val="00EB4984"/>
    <w:rsid w:val="00EB4B42"/>
    <w:rsid w:val="00EB4E10"/>
    <w:rsid w:val="00EB4E41"/>
    <w:rsid w:val="00EB4EF9"/>
    <w:rsid w:val="00EB5182"/>
    <w:rsid w:val="00EB52E6"/>
    <w:rsid w:val="00EB5B84"/>
    <w:rsid w:val="00EB5FE3"/>
    <w:rsid w:val="00EB643A"/>
    <w:rsid w:val="00EB6982"/>
    <w:rsid w:val="00EB6CFC"/>
    <w:rsid w:val="00EB72F3"/>
    <w:rsid w:val="00EB751A"/>
    <w:rsid w:val="00EB7F3C"/>
    <w:rsid w:val="00EC0047"/>
    <w:rsid w:val="00EC0212"/>
    <w:rsid w:val="00EC03B7"/>
    <w:rsid w:val="00EC0609"/>
    <w:rsid w:val="00EC07B7"/>
    <w:rsid w:val="00EC0CE3"/>
    <w:rsid w:val="00EC13EB"/>
    <w:rsid w:val="00EC1718"/>
    <w:rsid w:val="00EC172E"/>
    <w:rsid w:val="00EC1894"/>
    <w:rsid w:val="00EC1AB2"/>
    <w:rsid w:val="00EC2197"/>
    <w:rsid w:val="00EC2934"/>
    <w:rsid w:val="00EC2A4C"/>
    <w:rsid w:val="00EC34FB"/>
    <w:rsid w:val="00EC3D75"/>
    <w:rsid w:val="00EC419E"/>
    <w:rsid w:val="00EC44FC"/>
    <w:rsid w:val="00EC48D6"/>
    <w:rsid w:val="00EC4A31"/>
    <w:rsid w:val="00EC4A54"/>
    <w:rsid w:val="00EC4C8B"/>
    <w:rsid w:val="00EC4D63"/>
    <w:rsid w:val="00EC5006"/>
    <w:rsid w:val="00EC50C1"/>
    <w:rsid w:val="00EC5589"/>
    <w:rsid w:val="00EC58AC"/>
    <w:rsid w:val="00EC5967"/>
    <w:rsid w:val="00EC5DC4"/>
    <w:rsid w:val="00EC5DD3"/>
    <w:rsid w:val="00EC615F"/>
    <w:rsid w:val="00EC6BBD"/>
    <w:rsid w:val="00EC6D00"/>
    <w:rsid w:val="00EC6EF6"/>
    <w:rsid w:val="00EC713F"/>
    <w:rsid w:val="00EC720F"/>
    <w:rsid w:val="00EC72F4"/>
    <w:rsid w:val="00EC7840"/>
    <w:rsid w:val="00ED0007"/>
    <w:rsid w:val="00ED0098"/>
    <w:rsid w:val="00ED02E9"/>
    <w:rsid w:val="00ED04F7"/>
    <w:rsid w:val="00ED0726"/>
    <w:rsid w:val="00ED122E"/>
    <w:rsid w:val="00ED159C"/>
    <w:rsid w:val="00ED15DF"/>
    <w:rsid w:val="00ED1BFD"/>
    <w:rsid w:val="00ED2006"/>
    <w:rsid w:val="00ED2F97"/>
    <w:rsid w:val="00ED360C"/>
    <w:rsid w:val="00ED373F"/>
    <w:rsid w:val="00ED3AEC"/>
    <w:rsid w:val="00ED464B"/>
    <w:rsid w:val="00ED4650"/>
    <w:rsid w:val="00ED47E6"/>
    <w:rsid w:val="00ED495A"/>
    <w:rsid w:val="00ED4A4C"/>
    <w:rsid w:val="00ED4B57"/>
    <w:rsid w:val="00ED4D5D"/>
    <w:rsid w:val="00ED50FC"/>
    <w:rsid w:val="00ED544D"/>
    <w:rsid w:val="00ED55CB"/>
    <w:rsid w:val="00ED5ACC"/>
    <w:rsid w:val="00ED61DD"/>
    <w:rsid w:val="00ED6301"/>
    <w:rsid w:val="00ED64C1"/>
    <w:rsid w:val="00ED6529"/>
    <w:rsid w:val="00ED65D5"/>
    <w:rsid w:val="00ED73D8"/>
    <w:rsid w:val="00ED75D6"/>
    <w:rsid w:val="00ED76C3"/>
    <w:rsid w:val="00ED7BA7"/>
    <w:rsid w:val="00ED7E87"/>
    <w:rsid w:val="00ED7F8A"/>
    <w:rsid w:val="00EE0261"/>
    <w:rsid w:val="00EE0ACF"/>
    <w:rsid w:val="00EE1003"/>
    <w:rsid w:val="00EE113F"/>
    <w:rsid w:val="00EE1578"/>
    <w:rsid w:val="00EE17D4"/>
    <w:rsid w:val="00EE1A42"/>
    <w:rsid w:val="00EE1D84"/>
    <w:rsid w:val="00EE24CD"/>
    <w:rsid w:val="00EE26C2"/>
    <w:rsid w:val="00EE2829"/>
    <w:rsid w:val="00EE2C32"/>
    <w:rsid w:val="00EE2C5D"/>
    <w:rsid w:val="00EE2E65"/>
    <w:rsid w:val="00EE3007"/>
    <w:rsid w:val="00EE31FF"/>
    <w:rsid w:val="00EE33EF"/>
    <w:rsid w:val="00EE3540"/>
    <w:rsid w:val="00EE378F"/>
    <w:rsid w:val="00EE39B6"/>
    <w:rsid w:val="00EE3B33"/>
    <w:rsid w:val="00EE3B9F"/>
    <w:rsid w:val="00EE406F"/>
    <w:rsid w:val="00EE43D6"/>
    <w:rsid w:val="00EE5159"/>
    <w:rsid w:val="00EE5224"/>
    <w:rsid w:val="00EE54FE"/>
    <w:rsid w:val="00EE5A2B"/>
    <w:rsid w:val="00EE5B23"/>
    <w:rsid w:val="00EE67F1"/>
    <w:rsid w:val="00EE719E"/>
    <w:rsid w:val="00EE7645"/>
    <w:rsid w:val="00EE7728"/>
    <w:rsid w:val="00EE7906"/>
    <w:rsid w:val="00EF0174"/>
    <w:rsid w:val="00EF01D6"/>
    <w:rsid w:val="00EF027A"/>
    <w:rsid w:val="00EF02B2"/>
    <w:rsid w:val="00EF03B3"/>
    <w:rsid w:val="00EF081C"/>
    <w:rsid w:val="00EF0CB4"/>
    <w:rsid w:val="00EF0EC1"/>
    <w:rsid w:val="00EF0FAE"/>
    <w:rsid w:val="00EF0FE7"/>
    <w:rsid w:val="00EF0FEF"/>
    <w:rsid w:val="00EF1767"/>
    <w:rsid w:val="00EF1ACB"/>
    <w:rsid w:val="00EF1BAC"/>
    <w:rsid w:val="00EF1F16"/>
    <w:rsid w:val="00EF1F5A"/>
    <w:rsid w:val="00EF217F"/>
    <w:rsid w:val="00EF21B8"/>
    <w:rsid w:val="00EF22CE"/>
    <w:rsid w:val="00EF2328"/>
    <w:rsid w:val="00EF251D"/>
    <w:rsid w:val="00EF256D"/>
    <w:rsid w:val="00EF27AE"/>
    <w:rsid w:val="00EF2B82"/>
    <w:rsid w:val="00EF2D18"/>
    <w:rsid w:val="00EF2D1F"/>
    <w:rsid w:val="00EF2EA8"/>
    <w:rsid w:val="00EF3151"/>
    <w:rsid w:val="00EF3686"/>
    <w:rsid w:val="00EF4673"/>
    <w:rsid w:val="00EF4860"/>
    <w:rsid w:val="00EF49EC"/>
    <w:rsid w:val="00EF532E"/>
    <w:rsid w:val="00EF5D76"/>
    <w:rsid w:val="00EF61D1"/>
    <w:rsid w:val="00EF62D3"/>
    <w:rsid w:val="00EF6AA8"/>
    <w:rsid w:val="00EF6B22"/>
    <w:rsid w:val="00EF6B64"/>
    <w:rsid w:val="00EF6F41"/>
    <w:rsid w:val="00EF705A"/>
    <w:rsid w:val="00EF71CE"/>
    <w:rsid w:val="00EF7F60"/>
    <w:rsid w:val="00EF7F8E"/>
    <w:rsid w:val="00F00A1D"/>
    <w:rsid w:val="00F00AAE"/>
    <w:rsid w:val="00F00B00"/>
    <w:rsid w:val="00F00B77"/>
    <w:rsid w:val="00F00C69"/>
    <w:rsid w:val="00F00D22"/>
    <w:rsid w:val="00F010DB"/>
    <w:rsid w:val="00F0138C"/>
    <w:rsid w:val="00F01544"/>
    <w:rsid w:val="00F01C22"/>
    <w:rsid w:val="00F0232E"/>
    <w:rsid w:val="00F0269D"/>
    <w:rsid w:val="00F0276D"/>
    <w:rsid w:val="00F03458"/>
    <w:rsid w:val="00F03ACD"/>
    <w:rsid w:val="00F04010"/>
    <w:rsid w:val="00F04076"/>
    <w:rsid w:val="00F0446A"/>
    <w:rsid w:val="00F046EB"/>
    <w:rsid w:val="00F048F9"/>
    <w:rsid w:val="00F04FB2"/>
    <w:rsid w:val="00F050F4"/>
    <w:rsid w:val="00F05420"/>
    <w:rsid w:val="00F05922"/>
    <w:rsid w:val="00F05C04"/>
    <w:rsid w:val="00F05C81"/>
    <w:rsid w:val="00F05EEB"/>
    <w:rsid w:val="00F06DEA"/>
    <w:rsid w:val="00F07012"/>
    <w:rsid w:val="00F0738E"/>
    <w:rsid w:val="00F073B4"/>
    <w:rsid w:val="00F07720"/>
    <w:rsid w:val="00F07BCF"/>
    <w:rsid w:val="00F07E5A"/>
    <w:rsid w:val="00F10680"/>
    <w:rsid w:val="00F10C1B"/>
    <w:rsid w:val="00F10C83"/>
    <w:rsid w:val="00F11405"/>
    <w:rsid w:val="00F115D3"/>
    <w:rsid w:val="00F11BDE"/>
    <w:rsid w:val="00F11C50"/>
    <w:rsid w:val="00F11EAA"/>
    <w:rsid w:val="00F127CC"/>
    <w:rsid w:val="00F12D48"/>
    <w:rsid w:val="00F12DA7"/>
    <w:rsid w:val="00F13041"/>
    <w:rsid w:val="00F13ADD"/>
    <w:rsid w:val="00F13C66"/>
    <w:rsid w:val="00F13DD5"/>
    <w:rsid w:val="00F1426B"/>
    <w:rsid w:val="00F144FD"/>
    <w:rsid w:val="00F1457B"/>
    <w:rsid w:val="00F14F2F"/>
    <w:rsid w:val="00F14F67"/>
    <w:rsid w:val="00F1517F"/>
    <w:rsid w:val="00F151DC"/>
    <w:rsid w:val="00F154EA"/>
    <w:rsid w:val="00F15E0F"/>
    <w:rsid w:val="00F1657E"/>
    <w:rsid w:val="00F16B5B"/>
    <w:rsid w:val="00F16D7E"/>
    <w:rsid w:val="00F17503"/>
    <w:rsid w:val="00F1776A"/>
    <w:rsid w:val="00F17915"/>
    <w:rsid w:val="00F17AC9"/>
    <w:rsid w:val="00F17C75"/>
    <w:rsid w:val="00F17D23"/>
    <w:rsid w:val="00F17E25"/>
    <w:rsid w:val="00F201AE"/>
    <w:rsid w:val="00F202A7"/>
    <w:rsid w:val="00F20EC0"/>
    <w:rsid w:val="00F20ECB"/>
    <w:rsid w:val="00F210D6"/>
    <w:rsid w:val="00F21129"/>
    <w:rsid w:val="00F211E3"/>
    <w:rsid w:val="00F214A9"/>
    <w:rsid w:val="00F21599"/>
    <w:rsid w:val="00F21773"/>
    <w:rsid w:val="00F219B6"/>
    <w:rsid w:val="00F21A02"/>
    <w:rsid w:val="00F21AC0"/>
    <w:rsid w:val="00F21DDF"/>
    <w:rsid w:val="00F22278"/>
    <w:rsid w:val="00F22FA3"/>
    <w:rsid w:val="00F2337D"/>
    <w:rsid w:val="00F2344A"/>
    <w:rsid w:val="00F23478"/>
    <w:rsid w:val="00F23F7D"/>
    <w:rsid w:val="00F2461B"/>
    <w:rsid w:val="00F246C5"/>
    <w:rsid w:val="00F25010"/>
    <w:rsid w:val="00F25413"/>
    <w:rsid w:val="00F260D4"/>
    <w:rsid w:val="00F26452"/>
    <w:rsid w:val="00F26E5E"/>
    <w:rsid w:val="00F271CD"/>
    <w:rsid w:val="00F27738"/>
    <w:rsid w:val="00F27941"/>
    <w:rsid w:val="00F27B50"/>
    <w:rsid w:val="00F27BCA"/>
    <w:rsid w:val="00F27F60"/>
    <w:rsid w:val="00F3053A"/>
    <w:rsid w:val="00F30816"/>
    <w:rsid w:val="00F30979"/>
    <w:rsid w:val="00F30E3A"/>
    <w:rsid w:val="00F312B6"/>
    <w:rsid w:val="00F316B8"/>
    <w:rsid w:val="00F31A62"/>
    <w:rsid w:val="00F3200C"/>
    <w:rsid w:val="00F324A7"/>
    <w:rsid w:val="00F32735"/>
    <w:rsid w:val="00F329F7"/>
    <w:rsid w:val="00F32AF4"/>
    <w:rsid w:val="00F332DA"/>
    <w:rsid w:val="00F3392B"/>
    <w:rsid w:val="00F33D44"/>
    <w:rsid w:val="00F34023"/>
    <w:rsid w:val="00F340B3"/>
    <w:rsid w:val="00F3438A"/>
    <w:rsid w:val="00F346F3"/>
    <w:rsid w:val="00F34833"/>
    <w:rsid w:val="00F34CD4"/>
    <w:rsid w:val="00F350B5"/>
    <w:rsid w:val="00F3521C"/>
    <w:rsid w:val="00F3543C"/>
    <w:rsid w:val="00F35491"/>
    <w:rsid w:val="00F3557B"/>
    <w:rsid w:val="00F35A42"/>
    <w:rsid w:val="00F35B23"/>
    <w:rsid w:val="00F35C11"/>
    <w:rsid w:val="00F360FB"/>
    <w:rsid w:val="00F36DCE"/>
    <w:rsid w:val="00F36ED4"/>
    <w:rsid w:val="00F3794B"/>
    <w:rsid w:val="00F379D2"/>
    <w:rsid w:val="00F37B49"/>
    <w:rsid w:val="00F40666"/>
    <w:rsid w:val="00F406E9"/>
    <w:rsid w:val="00F40912"/>
    <w:rsid w:val="00F40A37"/>
    <w:rsid w:val="00F41B2F"/>
    <w:rsid w:val="00F41D2D"/>
    <w:rsid w:val="00F4229F"/>
    <w:rsid w:val="00F42487"/>
    <w:rsid w:val="00F43345"/>
    <w:rsid w:val="00F43D74"/>
    <w:rsid w:val="00F43DB0"/>
    <w:rsid w:val="00F43E8E"/>
    <w:rsid w:val="00F44CBE"/>
    <w:rsid w:val="00F44E0F"/>
    <w:rsid w:val="00F453ED"/>
    <w:rsid w:val="00F45554"/>
    <w:rsid w:val="00F45627"/>
    <w:rsid w:val="00F457CE"/>
    <w:rsid w:val="00F458FF"/>
    <w:rsid w:val="00F45E99"/>
    <w:rsid w:val="00F45F36"/>
    <w:rsid w:val="00F4630B"/>
    <w:rsid w:val="00F4631F"/>
    <w:rsid w:val="00F467AD"/>
    <w:rsid w:val="00F46804"/>
    <w:rsid w:val="00F46B3B"/>
    <w:rsid w:val="00F472DD"/>
    <w:rsid w:val="00F47755"/>
    <w:rsid w:val="00F47787"/>
    <w:rsid w:val="00F477A1"/>
    <w:rsid w:val="00F477F0"/>
    <w:rsid w:val="00F47909"/>
    <w:rsid w:val="00F47922"/>
    <w:rsid w:val="00F47C8B"/>
    <w:rsid w:val="00F50440"/>
    <w:rsid w:val="00F507B8"/>
    <w:rsid w:val="00F50A7F"/>
    <w:rsid w:val="00F51295"/>
    <w:rsid w:val="00F51A27"/>
    <w:rsid w:val="00F51C0B"/>
    <w:rsid w:val="00F51FDA"/>
    <w:rsid w:val="00F52B39"/>
    <w:rsid w:val="00F5311E"/>
    <w:rsid w:val="00F533FD"/>
    <w:rsid w:val="00F54400"/>
    <w:rsid w:val="00F5447A"/>
    <w:rsid w:val="00F54685"/>
    <w:rsid w:val="00F54865"/>
    <w:rsid w:val="00F548D7"/>
    <w:rsid w:val="00F54ADA"/>
    <w:rsid w:val="00F54D51"/>
    <w:rsid w:val="00F551C2"/>
    <w:rsid w:val="00F551E5"/>
    <w:rsid w:val="00F5523D"/>
    <w:rsid w:val="00F5573A"/>
    <w:rsid w:val="00F55900"/>
    <w:rsid w:val="00F55CFD"/>
    <w:rsid w:val="00F562B6"/>
    <w:rsid w:val="00F563F5"/>
    <w:rsid w:val="00F56D5A"/>
    <w:rsid w:val="00F56FAB"/>
    <w:rsid w:val="00F5737A"/>
    <w:rsid w:val="00F60A18"/>
    <w:rsid w:val="00F60DD5"/>
    <w:rsid w:val="00F60EE6"/>
    <w:rsid w:val="00F6128A"/>
    <w:rsid w:val="00F6139C"/>
    <w:rsid w:val="00F61930"/>
    <w:rsid w:val="00F61C01"/>
    <w:rsid w:val="00F61EE8"/>
    <w:rsid w:val="00F620E7"/>
    <w:rsid w:val="00F6221B"/>
    <w:rsid w:val="00F623EF"/>
    <w:rsid w:val="00F627AF"/>
    <w:rsid w:val="00F628DE"/>
    <w:rsid w:val="00F62B48"/>
    <w:rsid w:val="00F63158"/>
    <w:rsid w:val="00F634F4"/>
    <w:rsid w:val="00F63853"/>
    <w:rsid w:val="00F63B3E"/>
    <w:rsid w:val="00F63F90"/>
    <w:rsid w:val="00F64087"/>
    <w:rsid w:val="00F64108"/>
    <w:rsid w:val="00F64692"/>
    <w:rsid w:val="00F64817"/>
    <w:rsid w:val="00F64C73"/>
    <w:rsid w:val="00F64F32"/>
    <w:rsid w:val="00F6524D"/>
    <w:rsid w:val="00F654BD"/>
    <w:rsid w:val="00F655B6"/>
    <w:rsid w:val="00F657A4"/>
    <w:rsid w:val="00F65C23"/>
    <w:rsid w:val="00F65E99"/>
    <w:rsid w:val="00F66C46"/>
    <w:rsid w:val="00F66E0C"/>
    <w:rsid w:val="00F67B81"/>
    <w:rsid w:val="00F70185"/>
    <w:rsid w:val="00F70249"/>
    <w:rsid w:val="00F70939"/>
    <w:rsid w:val="00F70D98"/>
    <w:rsid w:val="00F7101E"/>
    <w:rsid w:val="00F712C3"/>
    <w:rsid w:val="00F712D8"/>
    <w:rsid w:val="00F713A1"/>
    <w:rsid w:val="00F713C6"/>
    <w:rsid w:val="00F714DB"/>
    <w:rsid w:val="00F71D18"/>
    <w:rsid w:val="00F71E5C"/>
    <w:rsid w:val="00F7228E"/>
    <w:rsid w:val="00F72456"/>
    <w:rsid w:val="00F72F65"/>
    <w:rsid w:val="00F7308C"/>
    <w:rsid w:val="00F73146"/>
    <w:rsid w:val="00F73277"/>
    <w:rsid w:val="00F735AA"/>
    <w:rsid w:val="00F73821"/>
    <w:rsid w:val="00F73954"/>
    <w:rsid w:val="00F73E2F"/>
    <w:rsid w:val="00F74156"/>
    <w:rsid w:val="00F744B7"/>
    <w:rsid w:val="00F748C8"/>
    <w:rsid w:val="00F749B9"/>
    <w:rsid w:val="00F74D71"/>
    <w:rsid w:val="00F7530E"/>
    <w:rsid w:val="00F7544E"/>
    <w:rsid w:val="00F75B4B"/>
    <w:rsid w:val="00F75D41"/>
    <w:rsid w:val="00F75DBC"/>
    <w:rsid w:val="00F75E3F"/>
    <w:rsid w:val="00F760AD"/>
    <w:rsid w:val="00F7636A"/>
    <w:rsid w:val="00F76373"/>
    <w:rsid w:val="00F764E4"/>
    <w:rsid w:val="00F76BCE"/>
    <w:rsid w:val="00F77529"/>
    <w:rsid w:val="00F77A15"/>
    <w:rsid w:val="00F77E91"/>
    <w:rsid w:val="00F80BC9"/>
    <w:rsid w:val="00F8113D"/>
    <w:rsid w:val="00F811D2"/>
    <w:rsid w:val="00F812A1"/>
    <w:rsid w:val="00F813A5"/>
    <w:rsid w:val="00F813C2"/>
    <w:rsid w:val="00F813E7"/>
    <w:rsid w:val="00F8177A"/>
    <w:rsid w:val="00F81A1D"/>
    <w:rsid w:val="00F820EB"/>
    <w:rsid w:val="00F827BE"/>
    <w:rsid w:val="00F82F47"/>
    <w:rsid w:val="00F830A6"/>
    <w:rsid w:val="00F830F6"/>
    <w:rsid w:val="00F832D6"/>
    <w:rsid w:val="00F83318"/>
    <w:rsid w:val="00F8346D"/>
    <w:rsid w:val="00F836EC"/>
    <w:rsid w:val="00F837E9"/>
    <w:rsid w:val="00F83B1D"/>
    <w:rsid w:val="00F83E76"/>
    <w:rsid w:val="00F8410A"/>
    <w:rsid w:val="00F8416B"/>
    <w:rsid w:val="00F84A32"/>
    <w:rsid w:val="00F84A93"/>
    <w:rsid w:val="00F85284"/>
    <w:rsid w:val="00F855D2"/>
    <w:rsid w:val="00F85AED"/>
    <w:rsid w:val="00F85F28"/>
    <w:rsid w:val="00F86741"/>
    <w:rsid w:val="00F86853"/>
    <w:rsid w:val="00F87242"/>
    <w:rsid w:val="00F872DB"/>
    <w:rsid w:val="00F8758F"/>
    <w:rsid w:val="00F87826"/>
    <w:rsid w:val="00F879A8"/>
    <w:rsid w:val="00F87BED"/>
    <w:rsid w:val="00F87C07"/>
    <w:rsid w:val="00F9087A"/>
    <w:rsid w:val="00F90D7B"/>
    <w:rsid w:val="00F910B5"/>
    <w:rsid w:val="00F911B5"/>
    <w:rsid w:val="00F9145B"/>
    <w:rsid w:val="00F91785"/>
    <w:rsid w:val="00F91C40"/>
    <w:rsid w:val="00F91FCB"/>
    <w:rsid w:val="00F9289D"/>
    <w:rsid w:val="00F933A8"/>
    <w:rsid w:val="00F936B4"/>
    <w:rsid w:val="00F93A41"/>
    <w:rsid w:val="00F93C6E"/>
    <w:rsid w:val="00F93CB7"/>
    <w:rsid w:val="00F940C0"/>
    <w:rsid w:val="00F94411"/>
    <w:rsid w:val="00F94910"/>
    <w:rsid w:val="00F9498A"/>
    <w:rsid w:val="00F951D3"/>
    <w:rsid w:val="00F9559F"/>
    <w:rsid w:val="00F95B14"/>
    <w:rsid w:val="00F96022"/>
    <w:rsid w:val="00F961F2"/>
    <w:rsid w:val="00F964F0"/>
    <w:rsid w:val="00F9670F"/>
    <w:rsid w:val="00F96B1E"/>
    <w:rsid w:val="00F96BB0"/>
    <w:rsid w:val="00F96DF3"/>
    <w:rsid w:val="00F96E07"/>
    <w:rsid w:val="00F97442"/>
    <w:rsid w:val="00F97842"/>
    <w:rsid w:val="00F97BF7"/>
    <w:rsid w:val="00F97CBE"/>
    <w:rsid w:val="00FA02DE"/>
    <w:rsid w:val="00FA04D1"/>
    <w:rsid w:val="00FA04F4"/>
    <w:rsid w:val="00FA0B3A"/>
    <w:rsid w:val="00FA0D78"/>
    <w:rsid w:val="00FA0F02"/>
    <w:rsid w:val="00FA129B"/>
    <w:rsid w:val="00FA1631"/>
    <w:rsid w:val="00FA244C"/>
    <w:rsid w:val="00FA247D"/>
    <w:rsid w:val="00FA2A1A"/>
    <w:rsid w:val="00FA2B89"/>
    <w:rsid w:val="00FA2BED"/>
    <w:rsid w:val="00FA2C33"/>
    <w:rsid w:val="00FA3A60"/>
    <w:rsid w:val="00FA3D97"/>
    <w:rsid w:val="00FA40ED"/>
    <w:rsid w:val="00FA40F8"/>
    <w:rsid w:val="00FA458B"/>
    <w:rsid w:val="00FA46C4"/>
    <w:rsid w:val="00FA4974"/>
    <w:rsid w:val="00FA4CE0"/>
    <w:rsid w:val="00FA55A0"/>
    <w:rsid w:val="00FA5CAF"/>
    <w:rsid w:val="00FA64D2"/>
    <w:rsid w:val="00FA68C4"/>
    <w:rsid w:val="00FA6905"/>
    <w:rsid w:val="00FA6B36"/>
    <w:rsid w:val="00FA708C"/>
    <w:rsid w:val="00FA745F"/>
    <w:rsid w:val="00FA7917"/>
    <w:rsid w:val="00FA7A03"/>
    <w:rsid w:val="00FA7BC8"/>
    <w:rsid w:val="00FA7F08"/>
    <w:rsid w:val="00FB06B7"/>
    <w:rsid w:val="00FB0AAE"/>
    <w:rsid w:val="00FB10BC"/>
    <w:rsid w:val="00FB14B3"/>
    <w:rsid w:val="00FB15FC"/>
    <w:rsid w:val="00FB193E"/>
    <w:rsid w:val="00FB1F51"/>
    <w:rsid w:val="00FB3714"/>
    <w:rsid w:val="00FB3E84"/>
    <w:rsid w:val="00FB4181"/>
    <w:rsid w:val="00FB4336"/>
    <w:rsid w:val="00FB4393"/>
    <w:rsid w:val="00FB4546"/>
    <w:rsid w:val="00FB497D"/>
    <w:rsid w:val="00FB4F1B"/>
    <w:rsid w:val="00FB566F"/>
    <w:rsid w:val="00FB58EE"/>
    <w:rsid w:val="00FB5B23"/>
    <w:rsid w:val="00FB5BC0"/>
    <w:rsid w:val="00FB750E"/>
    <w:rsid w:val="00FB75D3"/>
    <w:rsid w:val="00FB7A79"/>
    <w:rsid w:val="00FB7CDD"/>
    <w:rsid w:val="00FB7ED9"/>
    <w:rsid w:val="00FC01C3"/>
    <w:rsid w:val="00FC01EC"/>
    <w:rsid w:val="00FC03D7"/>
    <w:rsid w:val="00FC1988"/>
    <w:rsid w:val="00FC1B0C"/>
    <w:rsid w:val="00FC1B3C"/>
    <w:rsid w:val="00FC1CBC"/>
    <w:rsid w:val="00FC1EFA"/>
    <w:rsid w:val="00FC2419"/>
    <w:rsid w:val="00FC2C5E"/>
    <w:rsid w:val="00FC3095"/>
    <w:rsid w:val="00FC3653"/>
    <w:rsid w:val="00FC3D19"/>
    <w:rsid w:val="00FC3EFE"/>
    <w:rsid w:val="00FC427D"/>
    <w:rsid w:val="00FC4305"/>
    <w:rsid w:val="00FC4661"/>
    <w:rsid w:val="00FC4D82"/>
    <w:rsid w:val="00FC4DC3"/>
    <w:rsid w:val="00FC52F2"/>
    <w:rsid w:val="00FC542D"/>
    <w:rsid w:val="00FC5483"/>
    <w:rsid w:val="00FC5506"/>
    <w:rsid w:val="00FC5517"/>
    <w:rsid w:val="00FC626C"/>
    <w:rsid w:val="00FC6DBE"/>
    <w:rsid w:val="00FC7411"/>
    <w:rsid w:val="00FC7666"/>
    <w:rsid w:val="00FC76FB"/>
    <w:rsid w:val="00FC7935"/>
    <w:rsid w:val="00FC7B9F"/>
    <w:rsid w:val="00FD032D"/>
    <w:rsid w:val="00FD077A"/>
    <w:rsid w:val="00FD099F"/>
    <w:rsid w:val="00FD1512"/>
    <w:rsid w:val="00FD151F"/>
    <w:rsid w:val="00FD1681"/>
    <w:rsid w:val="00FD1A00"/>
    <w:rsid w:val="00FD1A77"/>
    <w:rsid w:val="00FD1D4A"/>
    <w:rsid w:val="00FD2163"/>
    <w:rsid w:val="00FD223C"/>
    <w:rsid w:val="00FD23C4"/>
    <w:rsid w:val="00FD25A2"/>
    <w:rsid w:val="00FD27C9"/>
    <w:rsid w:val="00FD2892"/>
    <w:rsid w:val="00FD28DA"/>
    <w:rsid w:val="00FD293C"/>
    <w:rsid w:val="00FD2D08"/>
    <w:rsid w:val="00FD2F85"/>
    <w:rsid w:val="00FD3066"/>
    <w:rsid w:val="00FD31C3"/>
    <w:rsid w:val="00FD3300"/>
    <w:rsid w:val="00FD35C7"/>
    <w:rsid w:val="00FD39B9"/>
    <w:rsid w:val="00FD3B93"/>
    <w:rsid w:val="00FD3C27"/>
    <w:rsid w:val="00FD41CF"/>
    <w:rsid w:val="00FD4A06"/>
    <w:rsid w:val="00FD4AFA"/>
    <w:rsid w:val="00FD529B"/>
    <w:rsid w:val="00FD52C1"/>
    <w:rsid w:val="00FD5748"/>
    <w:rsid w:val="00FD58A9"/>
    <w:rsid w:val="00FD5E27"/>
    <w:rsid w:val="00FD61C7"/>
    <w:rsid w:val="00FD6495"/>
    <w:rsid w:val="00FD67D2"/>
    <w:rsid w:val="00FD683B"/>
    <w:rsid w:val="00FD6A78"/>
    <w:rsid w:val="00FD6A7D"/>
    <w:rsid w:val="00FD7381"/>
    <w:rsid w:val="00FD77C3"/>
    <w:rsid w:val="00FD7DAD"/>
    <w:rsid w:val="00FE0B28"/>
    <w:rsid w:val="00FE0EB3"/>
    <w:rsid w:val="00FE14A1"/>
    <w:rsid w:val="00FE17D9"/>
    <w:rsid w:val="00FE197C"/>
    <w:rsid w:val="00FE1986"/>
    <w:rsid w:val="00FE1B45"/>
    <w:rsid w:val="00FE2537"/>
    <w:rsid w:val="00FE2825"/>
    <w:rsid w:val="00FE2C28"/>
    <w:rsid w:val="00FE2CAB"/>
    <w:rsid w:val="00FE2E45"/>
    <w:rsid w:val="00FE31BF"/>
    <w:rsid w:val="00FE34C0"/>
    <w:rsid w:val="00FE3505"/>
    <w:rsid w:val="00FE37FB"/>
    <w:rsid w:val="00FE3FF9"/>
    <w:rsid w:val="00FE45B7"/>
    <w:rsid w:val="00FE475C"/>
    <w:rsid w:val="00FE4BB8"/>
    <w:rsid w:val="00FE4C6E"/>
    <w:rsid w:val="00FE4F26"/>
    <w:rsid w:val="00FE55A0"/>
    <w:rsid w:val="00FE6609"/>
    <w:rsid w:val="00FE670E"/>
    <w:rsid w:val="00FE682E"/>
    <w:rsid w:val="00FE6C39"/>
    <w:rsid w:val="00FE6F4A"/>
    <w:rsid w:val="00FE721C"/>
    <w:rsid w:val="00FE7386"/>
    <w:rsid w:val="00FE73D6"/>
    <w:rsid w:val="00FE7A80"/>
    <w:rsid w:val="00FE7BF5"/>
    <w:rsid w:val="00FE7DB8"/>
    <w:rsid w:val="00FF00D8"/>
    <w:rsid w:val="00FF044F"/>
    <w:rsid w:val="00FF0530"/>
    <w:rsid w:val="00FF09B9"/>
    <w:rsid w:val="00FF0C88"/>
    <w:rsid w:val="00FF0EAA"/>
    <w:rsid w:val="00FF1B2A"/>
    <w:rsid w:val="00FF1BA3"/>
    <w:rsid w:val="00FF1E2A"/>
    <w:rsid w:val="00FF2120"/>
    <w:rsid w:val="00FF229B"/>
    <w:rsid w:val="00FF3029"/>
    <w:rsid w:val="00FF312C"/>
    <w:rsid w:val="00FF365F"/>
    <w:rsid w:val="00FF37E6"/>
    <w:rsid w:val="00FF39F0"/>
    <w:rsid w:val="00FF3EA0"/>
    <w:rsid w:val="00FF4167"/>
    <w:rsid w:val="00FF43A8"/>
    <w:rsid w:val="00FF4734"/>
    <w:rsid w:val="00FF4AC7"/>
    <w:rsid w:val="00FF4F3A"/>
    <w:rsid w:val="00FF513A"/>
    <w:rsid w:val="00FF6C5F"/>
    <w:rsid w:val="00FF6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23D1BA"/>
  <w15:docId w15:val="{17811777-141C-497B-A917-0DD32079D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A8B"/>
    <w:pPr>
      <w:widowControl w:val="0"/>
      <w:autoSpaceDE w:val="0"/>
      <w:autoSpaceDN w:val="0"/>
      <w:adjustRightInd w:val="0"/>
    </w:pPr>
    <w:rPr>
      <w:rFonts w:ascii="Times New Roman" w:hAnsi="Times New Roman"/>
    </w:rPr>
  </w:style>
  <w:style w:type="paragraph" w:styleId="Heading1">
    <w:name w:val="heading 1"/>
    <w:basedOn w:val="Normal"/>
    <w:next w:val="Normal"/>
    <w:link w:val="Heading1Char"/>
    <w:qFormat/>
    <w:rsid w:val="0005769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4E0A14"/>
    <w:pPr>
      <w:keepNext/>
      <w:widowControl/>
      <w:autoSpaceDE/>
      <w:autoSpaceDN/>
      <w:adjustRightInd/>
      <w:outlineLvl w:val="1"/>
    </w:pPr>
    <w:rPr>
      <w:b/>
      <w:sz w:val="28"/>
    </w:rPr>
  </w:style>
  <w:style w:type="paragraph" w:styleId="Heading3">
    <w:name w:val="heading 3"/>
    <w:basedOn w:val="Normal"/>
    <w:next w:val="Text"/>
    <w:link w:val="Heading3Char"/>
    <w:uiPriority w:val="9"/>
    <w:qFormat/>
    <w:rsid w:val="008E5198"/>
    <w:pPr>
      <w:keepNext/>
      <w:widowControl/>
      <w:overflowPunct w:val="0"/>
      <w:spacing w:before="80" w:after="80"/>
      <w:textAlignment w:val="baseline"/>
      <w:outlineLvl w:val="2"/>
    </w:pPr>
    <w:rPr>
      <w:b/>
      <w:bCs/>
      <w:iCs/>
      <w:sz w:val="24"/>
      <w:lang w:val="en-GB" w:eastAsia="en-US"/>
    </w:rPr>
  </w:style>
  <w:style w:type="paragraph" w:styleId="Heading4">
    <w:name w:val="heading 4"/>
    <w:basedOn w:val="Normal"/>
    <w:next w:val="Normal"/>
    <w:link w:val="Heading4Char"/>
    <w:uiPriority w:val="9"/>
    <w:unhideWhenUsed/>
    <w:qFormat/>
    <w:rsid w:val="00A42CFE"/>
    <w:pPr>
      <w:keepNext/>
      <w:spacing w:before="240" w:after="60"/>
      <w:outlineLvl w:val="3"/>
    </w:pPr>
    <w:rPr>
      <w:rFonts w:ascii="Calibri" w:hAnsi="Calibri"/>
      <w:b/>
      <w:bCs/>
      <w:sz w:val="28"/>
      <w:szCs w:val="28"/>
    </w:rPr>
  </w:style>
  <w:style w:type="paragraph" w:styleId="Heading5">
    <w:name w:val="heading 5"/>
    <w:basedOn w:val="Normal"/>
    <w:link w:val="Heading5Char"/>
    <w:uiPriority w:val="9"/>
    <w:qFormat/>
    <w:rsid w:val="008E5198"/>
    <w:pPr>
      <w:widowControl/>
      <w:overflowPunct w:val="0"/>
      <w:spacing w:before="80" w:after="80"/>
      <w:textAlignment w:val="baseline"/>
      <w:outlineLvl w:val="4"/>
    </w:pPr>
    <w:rPr>
      <w:sz w:val="22"/>
      <w:lang w:val="en-GB" w:eastAsia="en-US"/>
    </w:rPr>
  </w:style>
  <w:style w:type="paragraph" w:styleId="Heading6">
    <w:name w:val="heading 6"/>
    <w:basedOn w:val="Normal"/>
    <w:next w:val="Heading7"/>
    <w:link w:val="Heading6Char"/>
    <w:uiPriority w:val="9"/>
    <w:qFormat/>
    <w:rsid w:val="008E5198"/>
    <w:pPr>
      <w:widowControl/>
      <w:overflowPunct w:val="0"/>
      <w:spacing w:before="80" w:after="80"/>
      <w:textAlignment w:val="baseline"/>
      <w:outlineLvl w:val="5"/>
    </w:pPr>
    <w:rPr>
      <w:i/>
      <w:iCs/>
      <w:sz w:val="22"/>
      <w:lang w:val="en-GB" w:eastAsia="en-US"/>
    </w:rPr>
  </w:style>
  <w:style w:type="paragraph" w:styleId="Heading7">
    <w:name w:val="heading 7"/>
    <w:basedOn w:val="Normal"/>
    <w:next w:val="Normal"/>
    <w:link w:val="Heading7Char"/>
    <w:uiPriority w:val="9"/>
    <w:qFormat/>
    <w:rsid w:val="008E5198"/>
    <w:pPr>
      <w:widowControl/>
      <w:overflowPunct w:val="0"/>
      <w:spacing w:before="80" w:after="80"/>
      <w:textAlignment w:val="baseline"/>
      <w:outlineLvl w:val="6"/>
    </w:pPr>
    <w:rPr>
      <w:sz w:val="22"/>
      <w:lang w:val="en-GB" w:eastAsia="en-US"/>
    </w:rPr>
  </w:style>
  <w:style w:type="paragraph" w:styleId="Heading8">
    <w:name w:val="heading 8"/>
    <w:basedOn w:val="Normal"/>
    <w:next w:val="Normal"/>
    <w:link w:val="Heading8Char"/>
    <w:uiPriority w:val="9"/>
    <w:qFormat/>
    <w:rsid w:val="008E5198"/>
    <w:pPr>
      <w:widowControl/>
      <w:overflowPunct w:val="0"/>
      <w:spacing w:before="80" w:after="80"/>
      <w:textAlignment w:val="baseline"/>
      <w:outlineLvl w:val="7"/>
    </w:pPr>
    <w:rPr>
      <w:sz w:val="22"/>
      <w:lang w:val="en-GB" w:eastAsia="en-US"/>
    </w:rPr>
  </w:style>
  <w:style w:type="paragraph" w:styleId="Heading9">
    <w:name w:val="heading 9"/>
    <w:basedOn w:val="Normal"/>
    <w:next w:val="Normal"/>
    <w:link w:val="Heading9Char"/>
    <w:uiPriority w:val="9"/>
    <w:qFormat/>
    <w:rsid w:val="008E5198"/>
    <w:pPr>
      <w:widowControl/>
      <w:overflowPunct w:val="0"/>
      <w:spacing w:before="80" w:after="80"/>
      <w:textAlignment w:val="baseline"/>
      <w:outlineLvl w:val="8"/>
    </w:pPr>
    <w:rPr>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57694"/>
    <w:rPr>
      <w:rFonts w:ascii="Cambria" w:eastAsia="Times New Roman" w:hAnsi="Cambria" w:cs="Times New Roman"/>
      <w:b/>
      <w:bCs/>
      <w:kern w:val="32"/>
      <w:sz w:val="32"/>
      <w:szCs w:val="32"/>
    </w:rPr>
  </w:style>
  <w:style w:type="character" w:customStyle="1" w:styleId="Heading2Char">
    <w:name w:val="Heading 2 Char"/>
    <w:link w:val="Heading2"/>
    <w:uiPriority w:val="9"/>
    <w:rsid w:val="004E0A14"/>
    <w:rPr>
      <w:rFonts w:ascii="Times New Roman" w:hAnsi="Times New Roman"/>
      <w:b/>
      <w:sz w:val="28"/>
      <w:lang w:eastAsia="ro-RO"/>
    </w:rPr>
  </w:style>
  <w:style w:type="paragraph" w:customStyle="1" w:styleId="Text">
    <w:name w:val="Text"/>
    <w:basedOn w:val="Normal"/>
    <w:uiPriority w:val="99"/>
    <w:rsid w:val="001111D8"/>
    <w:pPr>
      <w:widowControl/>
      <w:overflowPunct w:val="0"/>
      <w:spacing w:after="260"/>
      <w:jc w:val="both"/>
      <w:textAlignment w:val="baseline"/>
    </w:pPr>
    <w:rPr>
      <w:sz w:val="22"/>
      <w:lang w:val="en-GB" w:eastAsia="en-US"/>
    </w:rPr>
  </w:style>
  <w:style w:type="character" w:customStyle="1" w:styleId="Heading3Char">
    <w:name w:val="Heading 3 Char"/>
    <w:link w:val="Heading3"/>
    <w:uiPriority w:val="9"/>
    <w:rsid w:val="008E5198"/>
    <w:rPr>
      <w:rFonts w:ascii="Times New Roman" w:hAnsi="Times New Roman"/>
      <w:b/>
      <w:bCs/>
      <w:iCs/>
      <w:sz w:val="24"/>
      <w:lang w:val="en-GB" w:eastAsia="en-US"/>
    </w:rPr>
  </w:style>
  <w:style w:type="character" w:customStyle="1" w:styleId="Heading4Char">
    <w:name w:val="Heading 4 Char"/>
    <w:link w:val="Heading4"/>
    <w:uiPriority w:val="9"/>
    <w:rsid w:val="00A42CFE"/>
    <w:rPr>
      <w:rFonts w:ascii="Calibri" w:eastAsia="Times New Roman" w:hAnsi="Calibri" w:cs="Times New Roman"/>
      <w:b/>
      <w:bCs/>
      <w:sz w:val="28"/>
      <w:szCs w:val="28"/>
    </w:rPr>
  </w:style>
  <w:style w:type="character" w:customStyle="1" w:styleId="Heading5Char">
    <w:name w:val="Heading 5 Char"/>
    <w:link w:val="Heading5"/>
    <w:uiPriority w:val="9"/>
    <w:rsid w:val="008E5198"/>
    <w:rPr>
      <w:rFonts w:ascii="Times New Roman" w:hAnsi="Times New Roman"/>
      <w:sz w:val="22"/>
      <w:lang w:val="en-GB" w:eastAsia="en-US"/>
    </w:rPr>
  </w:style>
  <w:style w:type="character" w:customStyle="1" w:styleId="Heading7Char">
    <w:name w:val="Heading 7 Char"/>
    <w:link w:val="Heading7"/>
    <w:uiPriority w:val="9"/>
    <w:rsid w:val="008E5198"/>
    <w:rPr>
      <w:rFonts w:ascii="Times New Roman" w:hAnsi="Times New Roman"/>
      <w:sz w:val="22"/>
      <w:lang w:val="en-GB" w:eastAsia="en-US"/>
    </w:rPr>
  </w:style>
  <w:style w:type="character" w:customStyle="1" w:styleId="Heading6Char">
    <w:name w:val="Heading 6 Char"/>
    <w:link w:val="Heading6"/>
    <w:uiPriority w:val="9"/>
    <w:rsid w:val="008E5198"/>
    <w:rPr>
      <w:rFonts w:ascii="Times New Roman" w:hAnsi="Times New Roman"/>
      <w:i/>
      <w:iCs/>
      <w:sz w:val="22"/>
      <w:lang w:val="en-GB" w:eastAsia="en-US"/>
    </w:rPr>
  </w:style>
  <w:style w:type="character" w:customStyle="1" w:styleId="Heading8Char">
    <w:name w:val="Heading 8 Char"/>
    <w:link w:val="Heading8"/>
    <w:uiPriority w:val="9"/>
    <w:rsid w:val="008E5198"/>
    <w:rPr>
      <w:rFonts w:ascii="Times New Roman" w:hAnsi="Times New Roman"/>
      <w:sz w:val="22"/>
      <w:lang w:val="en-GB" w:eastAsia="en-US"/>
    </w:rPr>
  </w:style>
  <w:style w:type="character" w:customStyle="1" w:styleId="Heading9Char">
    <w:name w:val="Heading 9 Char"/>
    <w:link w:val="Heading9"/>
    <w:uiPriority w:val="9"/>
    <w:rsid w:val="008E5198"/>
    <w:rPr>
      <w:rFonts w:ascii="Times New Roman" w:hAnsi="Times New Roman"/>
      <w:sz w:val="22"/>
      <w:lang w:val="en-GB" w:eastAsia="en-US"/>
    </w:rPr>
  </w:style>
  <w:style w:type="paragraph" w:styleId="Header">
    <w:name w:val="header"/>
    <w:aliases w:val="even"/>
    <w:basedOn w:val="Normal"/>
    <w:link w:val="HeaderChar"/>
    <w:unhideWhenUsed/>
    <w:rsid w:val="00EB3498"/>
    <w:pPr>
      <w:tabs>
        <w:tab w:val="center" w:pos="4680"/>
        <w:tab w:val="right" w:pos="9360"/>
      </w:tabs>
    </w:pPr>
  </w:style>
  <w:style w:type="character" w:customStyle="1" w:styleId="HeaderChar">
    <w:name w:val="Header Char"/>
    <w:aliases w:val="even Char"/>
    <w:link w:val="Header"/>
    <w:rsid w:val="00EB3498"/>
    <w:rPr>
      <w:rFonts w:ascii="Times New Roman" w:hAnsi="Times New Roman"/>
      <w:lang w:val="ro-RO" w:eastAsia="ro-RO"/>
    </w:rPr>
  </w:style>
  <w:style w:type="paragraph" w:styleId="Footer">
    <w:name w:val="footer"/>
    <w:basedOn w:val="Normal"/>
    <w:link w:val="FooterChar"/>
    <w:uiPriority w:val="99"/>
    <w:unhideWhenUsed/>
    <w:rsid w:val="00EB3498"/>
    <w:pPr>
      <w:tabs>
        <w:tab w:val="center" w:pos="4680"/>
        <w:tab w:val="right" w:pos="9360"/>
      </w:tabs>
    </w:pPr>
  </w:style>
  <w:style w:type="character" w:customStyle="1" w:styleId="FooterChar">
    <w:name w:val="Footer Char"/>
    <w:link w:val="Footer"/>
    <w:uiPriority w:val="99"/>
    <w:rsid w:val="00EB3498"/>
    <w:rPr>
      <w:rFonts w:ascii="Times New Roman" w:hAnsi="Times New Roman"/>
      <w:lang w:val="ro-RO" w:eastAsia="ro-RO"/>
    </w:rPr>
  </w:style>
  <w:style w:type="paragraph" w:customStyle="1" w:styleId="CharChar1CharCharCharCharCharCharCharCharCharCharChar">
    <w:name w:val="Char Char1 Char Char Char Char Char Char Char Char Char Char Char"/>
    <w:basedOn w:val="Normal"/>
    <w:rsid w:val="00843495"/>
    <w:pPr>
      <w:widowControl/>
      <w:autoSpaceDE/>
      <w:autoSpaceDN/>
      <w:adjustRightInd/>
      <w:spacing w:after="160" w:line="240" w:lineRule="exact"/>
    </w:pPr>
    <w:rPr>
      <w:rFonts w:ascii="Verdana" w:hAnsi="Verdana"/>
      <w:lang w:val="en-US"/>
    </w:rPr>
  </w:style>
  <w:style w:type="paragraph" w:customStyle="1" w:styleId="Blockquote">
    <w:name w:val="Blockquote"/>
    <w:basedOn w:val="Normal"/>
    <w:rsid w:val="00F60EE6"/>
    <w:pPr>
      <w:widowControl/>
      <w:autoSpaceDE/>
      <w:autoSpaceDN/>
      <w:adjustRightInd/>
      <w:spacing w:before="100" w:after="100"/>
      <w:ind w:left="360" w:right="360"/>
    </w:pPr>
    <w:rPr>
      <w:snapToGrid w:val="0"/>
      <w:sz w:val="24"/>
      <w:lang w:eastAsia="en-US"/>
    </w:rPr>
  </w:style>
  <w:style w:type="character" w:styleId="Hyperlink">
    <w:name w:val="Hyperlink"/>
    <w:unhideWhenUsed/>
    <w:rsid w:val="003C6505"/>
    <w:rPr>
      <w:color w:val="0000FF"/>
      <w:u w:val="single"/>
    </w:rPr>
  </w:style>
  <w:style w:type="paragraph" w:customStyle="1" w:styleId="AnswerFont">
    <w:name w:val="Answer Font"/>
    <w:basedOn w:val="NormalIndent"/>
    <w:rsid w:val="0054225F"/>
    <w:pPr>
      <w:widowControl/>
      <w:autoSpaceDE/>
      <w:autoSpaceDN/>
      <w:adjustRightInd/>
      <w:spacing w:before="120" w:after="240" w:line="240" w:lineRule="atLeast"/>
      <w:ind w:left="0"/>
    </w:pPr>
    <w:rPr>
      <w:rFonts w:ascii="Tahoma" w:hAnsi="Tahoma" w:cs="Arial"/>
      <w:lang w:val="en-GB" w:eastAsia="en-US"/>
    </w:rPr>
  </w:style>
  <w:style w:type="paragraph" w:styleId="NormalIndent">
    <w:name w:val="Normal Indent"/>
    <w:basedOn w:val="Normal"/>
    <w:unhideWhenUsed/>
    <w:rsid w:val="0054225F"/>
    <w:pPr>
      <w:ind w:left="720"/>
    </w:pPr>
  </w:style>
  <w:style w:type="character" w:styleId="Strong">
    <w:name w:val="Strong"/>
    <w:uiPriority w:val="22"/>
    <w:qFormat/>
    <w:rsid w:val="004E0A14"/>
    <w:rPr>
      <w:b/>
      <w:bCs/>
    </w:rPr>
  </w:style>
  <w:style w:type="paragraph" w:styleId="BodyText">
    <w:name w:val="Body Text"/>
    <w:basedOn w:val="Normal"/>
    <w:link w:val="BodyTextChar"/>
    <w:rsid w:val="00A54678"/>
    <w:pPr>
      <w:widowControl/>
      <w:autoSpaceDE/>
      <w:autoSpaceDN/>
      <w:adjustRightInd/>
      <w:jc w:val="both"/>
    </w:pPr>
    <w:rPr>
      <w:rFonts w:ascii="Arial" w:hAnsi="Arial"/>
      <w:sz w:val="24"/>
    </w:rPr>
  </w:style>
  <w:style w:type="character" w:customStyle="1" w:styleId="BodyTextChar">
    <w:name w:val="Body Text Char"/>
    <w:link w:val="BodyText"/>
    <w:rsid w:val="00A54678"/>
    <w:rPr>
      <w:rFonts w:ascii="Arial" w:hAnsi="Arial"/>
      <w:sz w:val="24"/>
      <w:lang w:val="ro-RO"/>
    </w:rPr>
  </w:style>
  <w:style w:type="paragraph" w:styleId="BodyTextIndent">
    <w:name w:val="Body Text Indent"/>
    <w:basedOn w:val="Normal"/>
    <w:link w:val="BodyTextIndentChar"/>
    <w:unhideWhenUsed/>
    <w:rsid w:val="00302666"/>
    <w:pPr>
      <w:spacing w:after="120"/>
      <w:ind w:left="283"/>
    </w:pPr>
  </w:style>
  <w:style w:type="character" w:customStyle="1" w:styleId="BodyTextIndentChar">
    <w:name w:val="Body Text Indent Char"/>
    <w:link w:val="BodyTextIndent"/>
    <w:rsid w:val="00302666"/>
    <w:rPr>
      <w:rFonts w:ascii="Times New Roman" w:hAnsi="Times New Roman"/>
      <w:lang w:val="ro-RO" w:eastAsia="ro-RO"/>
    </w:rPr>
  </w:style>
  <w:style w:type="paragraph" w:styleId="ListParagraph">
    <w:name w:val="List Paragraph"/>
    <w:basedOn w:val="Normal"/>
    <w:link w:val="ListParagraphChar"/>
    <w:uiPriority w:val="34"/>
    <w:qFormat/>
    <w:rsid w:val="00194648"/>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search9">
    <w:name w:val="search9"/>
    <w:rsid w:val="00194648"/>
    <w:rPr>
      <w:rFonts w:ascii="Arial" w:hAnsi="Arial" w:cs="Arial" w:hint="default"/>
      <w:b/>
      <w:bCs/>
      <w:color w:val="0000FF"/>
      <w:sz w:val="13"/>
      <w:szCs w:val="13"/>
    </w:rPr>
  </w:style>
  <w:style w:type="character" w:customStyle="1" w:styleId="style110">
    <w:name w:val="style11"/>
    <w:rsid w:val="00194648"/>
    <w:rPr>
      <w:b/>
      <w:bCs/>
      <w:color w:val="05376C"/>
    </w:rPr>
  </w:style>
  <w:style w:type="table" w:styleId="TableGrid">
    <w:name w:val="Table Grid"/>
    <w:basedOn w:val="TableNormal"/>
    <w:rsid w:val="004728A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63158"/>
    <w:pPr>
      <w:autoSpaceDE w:val="0"/>
      <w:autoSpaceDN w:val="0"/>
      <w:adjustRightInd w:val="0"/>
    </w:pPr>
    <w:rPr>
      <w:rFonts w:ascii="Times New Roman" w:hAnsi="Times New Roman"/>
      <w:color w:val="000000"/>
      <w:sz w:val="24"/>
      <w:szCs w:val="24"/>
    </w:rPr>
  </w:style>
  <w:style w:type="paragraph" w:styleId="BodyTextIndent2">
    <w:name w:val="Body Text Indent 2"/>
    <w:basedOn w:val="Normal"/>
    <w:link w:val="BodyTextIndent2Char"/>
    <w:unhideWhenUsed/>
    <w:rsid w:val="0040798B"/>
    <w:pPr>
      <w:widowControl/>
      <w:autoSpaceDE/>
      <w:autoSpaceDN/>
      <w:adjustRightInd/>
      <w:spacing w:after="120" w:line="480" w:lineRule="auto"/>
      <w:ind w:left="283"/>
    </w:pPr>
    <w:rPr>
      <w:sz w:val="24"/>
      <w:szCs w:val="24"/>
    </w:rPr>
  </w:style>
  <w:style w:type="character" w:customStyle="1" w:styleId="BodyTextIndent2Char">
    <w:name w:val="Body Text Indent 2 Char"/>
    <w:link w:val="BodyTextIndent2"/>
    <w:rsid w:val="0040798B"/>
    <w:rPr>
      <w:rFonts w:ascii="Times New Roman" w:hAnsi="Times New Roman"/>
      <w:sz w:val="24"/>
      <w:szCs w:val="24"/>
      <w:lang w:val="ro-RO" w:eastAsia="ro-RO"/>
    </w:rPr>
  </w:style>
  <w:style w:type="paragraph" w:styleId="BalloonText">
    <w:name w:val="Balloon Text"/>
    <w:basedOn w:val="Normal"/>
    <w:link w:val="BalloonTextChar"/>
    <w:semiHidden/>
    <w:unhideWhenUsed/>
    <w:rsid w:val="00C469D4"/>
    <w:rPr>
      <w:rFonts w:ascii="Tahoma" w:hAnsi="Tahoma"/>
      <w:sz w:val="16"/>
      <w:szCs w:val="16"/>
    </w:rPr>
  </w:style>
  <w:style w:type="character" w:customStyle="1" w:styleId="BalloonTextChar">
    <w:name w:val="Balloon Text Char"/>
    <w:link w:val="BalloonText"/>
    <w:semiHidden/>
    <w:rsid w:val="00C469D4"/>
    <w:rPr>
      <w:rFonts w:ascii="Tahoma" w:hAnsi="Tahoma" w:cs="Tahoma"/>
      <w:sz w:val="16"/>
      <w:szCs w:val="16"/>
      <w:lang w:val="ro-RO" w:eastAsia="ro-RO"/>
    </w:rPr>
  </w:style>
  <w:style w:type="paragraph" w:styleId="NormalWeb">
    <w:name w:val="Normal (Web)"/>
    <w:basedOn w:val="Normal"/>
    <w:uiPriority w:val="99"/>
    <w:unhideWhenUsed/>
    <w:rsid w:val="00266CC9"/>
    <w:pPr>
      <w:widowControl/>
      <w:autoSpaceDE/>
      <w:autoSpaceDN/>
      <w:adjustRightInd/>
      <w:spacing w:before="100" w:beforeAutospacing="1" w:after="100" w:afterAutospacing="1"/>
    </w:pPr>
    <w:rPr>
      <w:sz w:val="24"/>
      <w:szCs w:val="24"/>
    </w:rPr>
  </w:style>
  <w:style w:type="character" w:customStyle="1" w:styleId="blue">
    <w:name w:val="blue"/>
    <w:basedOn w:val="DefaultParagraphFont"/>
    <w:rsid w:val="00266CC9"/>
  </w:style>
  <w:style w:type="paragraph" w:customStyle="1" w:styleId="CharChar1CharCharCharCharCharCharCharCharCharCharChar0">
    <w:name w:val="Char Char1 Char Char Char Char Char Char Char Char Char Char Char"/>
    <w:basedOn w:val="Normal"/>
    <w:rsid w:val="00EE0ACF"/>
    <w:pPr>
      <w:widowControl/>
      <w:autoSpaceDE/>
      <w:autoSpaceDN/>
      <w:adjustRightInd/>
      <w:spacing w:after="160" w:line="240" w:lineRule="exact"/>
    </w:pPr>
    <w:rPr>
      <w:rFonts w:ascii="Verdana" w:hAnsi="Verdana"/>
      <w:lang w:val="en-US"/>
    </w:rPr>
  </w:style>
  <w:style w:type="paragraph" w:styleId="BodyText2">
    <w:name w:val="Body Text 2"/>
    <w:basedOn w:val="Normal"/>
    <w:link w:val="BodyText2Char"/>
    <w:uiPriority w:val="99"/>
    <w:unhideWhenUsed/>
    <w:rsid w:val="00615F19"/>
    <w:pPr>
      <w:spacing w:after="120" w:line="480" w:lineRule="auto"/>
    </w:pPr>
  </w:style>
  <w:style w:type="character" w:customStyle="1" w:styleId="BodyText2Char">
    <w:name w:val="Body Text 2 Char"/>
    <w:link w:val="BodyText2"/>
    <w:uiPriority w:val="99"/>
    <w:rsid w:val="00615F19"/>
    <w:rPr>
      <w:rFonts w:ascii="Times New Roman" w:hAnsi="Times New Roman"/>
    </w:rPr>
  </w:style>
  <w:style w:type="paragraph" w:customStyle="1" w:styleId="meta">
    <w:name w:val="meta"/>
    <w:basedOn w:val="Normal"/>
    <w:rsid w:val="00524ECC"/>
    <w:pPr>
      <w:widowControl/>
      <w:autoSpaceDE/>
      <w:autoSpaceDN/>
      <w:adjustRightInd/>
      <w:spacing w:before="100" w:beforeAutospacing="1" w:after="100" w:afterAutospacing="1"/>
    </w:pPr>
    <w:rPr>
      <w:sz w:val="24"/>
      <w:szCs w:val="24"/>
    </w:rPr>
  </w:style>
  <w:style w:type="paragraph" w:customStyle="1" w:styleId="CaracterCaracterCharCharCaracterCaracterCharCharCaracterCaracterCharCharCaracterCaracterCharChar">
    <w:name w:val="Caracter Caracter Char Char Caracter Caracter Char Char Caracter Caracter Char Char Caracter Caracter Char Char"/>
    <w:basedOn w:val="Normal"/>
    <w:rsid w:val="002A5C53"/>
    <w:pPr>
      <w:widowControl/>
      <w:autoSpaceDE/>
      <w:autoSpaceDN/>
      <w:adjustRightInd/>
    </w:pPr>
    <w:rPr>
      <w:sz w:val="24"/>
      <w:szCs w:val="24"/>
      <w:lang w:val="pl-PL" w:eastAsia="pl-PL"/>
    </w:rPr>
  </w:style>
  <w:style w:type="paragraph" w:customStyle="1" w:styleId="CMSHeadL5">
    <w:name w:val="CMS Head L5"/>
    <w:basedOn w:val="Normal"/>
    <w:rsid w:val="002A5C53"/>
    <w:pPr>
      <w:widowControl/>
      <w:tabs>
        <w:tab w:val="num" w:pos="2551"/>
      </w:tabs>
      <w:autoSpaceDE/>
      <w:autoSpaceDN/>
      <w:adjustRightInd/>
      <w:spacing w:after="240"/>
      <w:ind w:left="2551" w:hanging="850"/>
      <w:outlineLvl w:val="4"/>
    </w:pPr>
    <w:rPr>
      <w:rFonts w:eastAsia="SimSun"/>
      <w:sz w:val="22"/>
      <w:szCs w:val="24"/>
      <w:lang w:val="en-GB" w:eastAsia="zh-CN"/>
    </w:rPr>
  </w:style>
  <w:style w:type="paragraph" w:customStyle="1" w:styleId="CMSHeadL6">
    <w:name w:val="CMS Head L6"/>
    <w:basedOn w:val="Normal"/>
    <w:rsid w:val="002A5C53"/>
    <w:pPr>
      <w:widowControl/>
      <w:tabs>
        <w:tab w:val="num" w:pos="3402"/>
      </w:tabs>
      <w:autoSpaceDE/>
      <w:autoSpaceDN/>
      <w:adjustRightInd/>
      <w:spacing w:after="240"/>
      <w:ind w:left="3402" w:hanging="851"/>
      <w:outlineLvl w:val="5"/>
    </w:pPr>
    <w:rPr>
      <w:rFonts w:eastAsia="SimSun"/>
      <w:sz w:val="22"/>
      <w:szCs w:val="24"/>
      <w:lang w:val="en-GB" w:eastAsia="zh-CN"/>
    </w:rPr>
  </w:style>
  <w:style w:type="paragraph" w:customStyle="1" w:styleId="CMSHeadL7">
    <w:name w:val="CMS Head L7"/>
    <w:basedOn w:val="Normal"/>
    <w:rsid w:val="002A5C53"/>
    <w:pPr>
      <w:widowControl/>
      <w:autoSpaceDE/>
      <w:autoSpaceDN/>
      <w:adjustRightInd/>
      <w:spacing w:after="240"/>
      <w:ind w:left="851"/>
      <w:outlineLvl w:val="6"/>
    </w:pPr>
    <w:rPr>
      <w:rFonts w:eastAsia="SimSun"/>
      <w:sz w:val="22"/>
      <w:szCs w:val="24"/>
      <w:lang w:val="en-GB" w:eastAsia="zh-CN"/>
    </w:rPr>
  </w:style>
  <w:style w:type="paragraph" w:customStyle="1" w:styleId="CMSHeadL8">
    <w:name w:val="CMS Head L8"/>
    <w:basedOn w:val="Normal"/>
    <w:rsid w:val="002A5C53"/>
    <w:pPr>
      <w:widowControl/>
      <w:tabs>
        <w:tab w:val="num" w:pos="1701"/>
      </w:tabs>
      <w:autoSpaceDE/>
      <w:autoSpaceDN/>
      <w:adjustRightInd/>
      <w:spacing w:after="240"/>
      <w:ind w:left="1701" w:hanging="850"/>
      <w:outlineLvl w:val="7"/>
    </w:pPr>
    <w:rPr>
      <w:rFonts w:eastAsia="SimSun"/>
      <w:sz w:val="22"/>
      <w:szCs w:val="24"/>
      <w:lang w:val="en-GB" w:eastAsia="zh-CN"/>
    </w:rPr>
  </w:style>
  <w:style w:type="paragraph" w:customStyle="1" w:styleId="CMSHeadL9">
    <w:name w:val="CMS Head L9"/>
    <w:basedOn w:val="Normal"/>
    <w:rsid w:val="002A5C53"/>
    <w:pPr>
      <w:widowControl/>
      <w:tabs>
        <w:tab w:val="num" w:pos="2552"/>
      </w:tabs>
      <w:autoSpaceDE/>
      <w:autoSpaceDN/>
      <w:adjustRightInd/>
      <w:spacing w:after="240"/>
      <w:ind w:left="2552" w:hanging="851"/>
      <w:outlineLvl w:val="8"/>
    </w:pPr>
    <w:rPr>
      <w:rFonts w:eastAsia="SimSun"/>
      <w:sz w:val="22"/>
      <w:szCs w:val="24"/>
      <w:lang w:val="en-GB" w:eastAsia="zh-CN"/>
    </w:rPr>
  </w:style>
  <w:style w:type="paragraph" w:customStyle="1" w:styleId="CMSIndentL3">
    <w:name w:val="CMS Indent L3"/>
    <w:basedOn w:val="Normal"/>
    <w:rsid w:val="002A5C53"/>
    <w:pPr>
      <w:widowControl/>
      <w:autoSpaceDE/>
      <w:autoSpaceDN/>
      <w:adjustRightInd/>
      <w:spacing w:after="240"/>
      <w:ind w:left="851"/>
    </w:pPr>
    <w:rPr>
      <w:rFonts w:eastAsia="SimSun"/>
      <w:sz w:val="22"/>
      <w:szCs w:val="24"/>
      <w:lang w:val="en-GB" w:eastAsia="zh-CN"/>
    </w:rPr>
  </w:style>
  <w:style w:type="paragraph" w:customStyle="1" w:styleId="CMSIndentL4">
    <w:name w:val="CMS Indent L4"/>
    <w:basedOn w:val="Normal"/>
    <w:rsid w:val="002A5C53"/>
    <w:pPr>
      <w:widowControl/>
      <w:autoSpaceDE/>
      <w:autoSpaceDN/>
      <w:adjustRightInd/>
      <w:spacing w:after="240"/>
      <w:ind w:left="1701"/>
    </w:pPr>
    <w:rPr>
      <w:rFonts w:eastAsia="SimSun"/>
      <w:sz w:val="22"/>
      <w:szCs w:val="24"/>
      <w:lang w:val="en-GB" w:eastAsia="zh-CN"/>
    </w:rPr>
  </w:style>
  <w:style w:type="paragraph" w:customStyle="1" w:styleId="CMSIndentL5">
    <w:name w:val="CMS Indent L5"/>
    <w:basedOn w:val="Normal"/>
    <w:rsid w:val="002A5C53"/>
    <w:pPr>
      <w:widowControl/>
      <w:autoSpaceDE/>
      <w:autoSpaceDN/>
      <w:adjustRightInd/>
      <w:spacing w:after="240"/>
      <w:ind w:left="2552"/>
    </w:pPr>
    <w:rPr>
      <w:rFonts w:eastAsia="SimSun"/>
      <w:sz w:val="22"/>
      <w:szCs w:val="24"/>
      <w:lang w:val="en-GB" w:eastAsia="zh-CN"/>
    </w:rPr>
  </w:style>
  <w:style w:type="paragraph" w:customStyle="1" w:styleId="CMSIndentL6">
    <w:name w:val="CMS Indent L6"/>
    <w:basedOn w:val="Normal"/>
    <w:rsid w:val="002A5C53"/>
    <w:pPr>
      <w:widowControl/>
      <w:autoSpaceDE/>
      <w:autoSpaceDN/>
      <w:adjustRightInd/>
      <w:spacing w:after="240"/>
      <w:ind w:left="3402"/>
    </w:pPr>
    <w:rPr>
      <w:rFonts w:eastAsia="SimSun"/>
      <w:sz w:val="22"/>
      <w:szCs w:val="24"/>
      <w:lang w:val="en-GB" w:eastAsia="zh-CN"/>
    </w:rPr>
  </w:style>
  <w:style w:type="paragraph" w:customStyle="1" w:styleId="CharCharCaracterCaracter">
    <w:name w:val="Char Char Caracter Caracter"/>
    <w:basedOn w:val="Normal"/>
    <w:rsid w:val="006003F1"/>
    <w:pPr>
      <w:widowControl/>
      <w:autoSpaceDE/>
      <w:autoSpaceDN/>
      <w:adjustRightInd/>
      <w:spacing w:after="160" w:line="240" w:lineRule="exact"/>
    </w:pPr>
    <w:rPr>
      <w:rFonts w:ascii="Verdana" w:hAnsi="Verdana" w:cs="Verdana"/>
      <w:lang w:val="en-US" w:eastAsia="en-US"/>
    </w:rPr>
  </w:style>
  <w:style w:type="paragraph" w:styleId="BodyTextIndent3">
    <w:name w:val="Body Text Indent 3"/>
    <w:basedOn w:val="Normal"/>
    <w:link w:val="BodyTextIndent3Char"/>
    <w:uiPriority w:val="99"/>
    <w:semiHidden/>
    <w:unhideWhenUsed/>
    <w:rsid w:val="00112BF7"/>
    <w:pPr>
      <w:spacing w:after="120"/>
      <w:ind w:left="283"/>
    </w:pPr>
    <w:rPr>
      <w:sz w:val="16"/>
      <w:szCs w:val="16"/>
    </w:rPr>
  </w:style>
  <w:style w:type="character" w:customStyle="1" w:styleId="BodyTextIndent3Char">
    <w:name w:val="Body Text Indent 3 Char"/>
    <w:link w:val="BodyTextIndent3"/>
    <w:uiPriority w:val="99"/>
    <w:semiHidden/>
    <w:rsid w:val="00112BF7"/>
    <w:rPr>
      <w:rFonts w:ascii="Times New Roman" w:hAnsi="Times New Roman"/>
      <w:sz w:val="16"/>
      <w:szCs w:val="16"/>
    </w:rPr>
  </w:style>
  <w:style w:type="paragraph" w:customStyle="1" w:styleId="CharChar">
    <w:name w:val="Char Char"/>
    <w:basedOn w:val="Normal"/>
    <w:rsid w:val="002212C5"/>
    <w:pPr>
      <w:widowControl/>
      <w:autoSpaceDE/>
      <w:autoSpaceDN/>
      <w:adjustRightInd/>
      <w:spacing w:after="160" w:line="240" w:lineRule="exact"/>
    </w:pPr>
    <w:rPr>
      <w:rFonts w:ascii="Verdana" w:hAnsi="Verdana" w:cs="Verdana"/>
      <w:lang w:val="en-US" w:eastAsia="en-US"/>
    </w:rPr>
  </w:style>
  <w:style w:type="paragraph" w:customStyle="1" w:styleId="titlu2">
    <w:name w:val="titlu 2"/>
    <w:basedOn w:val="Heading4"/>
    <w:link w:val="titlu2Char"/>
    <w:autoRedefine/>
    <w:qFormat/>
    <w:rsid w:val="00A42CFE"/>
    <w:pPr>
      <w:widowControl/>
      <w:overflowPunct w:val="0"/>
      <w:spacing w:before="80" w:after="80"/>
      <w:jc w:val="both"/>
      <w:textAlignment w:val="baseline"/>
    </w:pPr>
    <w:rPr>
      <w:iCs/>
      <w:sz w:val="24"/>
      <w:szCs w:val="22"/>
      <w:lang w:val="en-GB" w:eastAsia="en-US"/>
    </w:rPr>
  </w:style>
  <w:style w:type="character" w:customStyle="1" w:styleId="titlu2Char">
    <w:name w:val="titlu 2 Char"/>
    <w:link w:val="titlu2"/>
    <w:rsid w:val="00A42CFE"/>
    <w:rPr>
      <w:rFonts w:ascii="Calibri" w:eastAsia="Times New Roman" w:hAnsi="Calibri" w:cs="Times New Roman"/>
      <w:b/>
      <w:bCs/>
      <w:iCs/>
      <w:sz w:val="24"/>
      <w:szCs w:val="22"/>
      <w:lang w:val="en-GB" w:eastAsia="en-US"/>
    </w:rPr>
  </w:style>
  <w:style w:type="paragraph" w:styleId="Caption">
    <w:name w:val="caption"/>
    <w:basedOn w:val="Normal"/>
    <w:next w:val="Graphic"/>
    <w:uiPriority w:val="35"/>
    <w:qFormat/>
    <w:rsid w:val="008E5198"/>
    <w:pPr>
      <w:keepNext/>
      <w:keepLines/>
      <w:widowControl/>
      <w:overflowPunct w:val="0"/>
      <w:spacing w:before="130" w:after="130"/>
      <w:textAlignment w:val="baseline"/>
    </w:pPr>
    <w:rPr>
      <w:b/>
      <w:sz w:val="22"/>
      <w:lang w:val="en-GB" w:eastAsia="en-US"/>
    </w:rPr>
  </w:style>
  <w:style w:type="paragraph" w:customStyle="1" w:styleId="Graphic">
    <w:name w:val="Graphic"/>
    <w:basedOn w:val="Text"/>
    <w:rsid w:val="008E5198"/>
    <w:pPr>
      <w:keepNext/>
      <w:spacing w:after="130"/>
      <w:jc w:val="center"/>
    </w:pPr>
  </w:style>
  <w:style w:type="paragraph" w:styleId="TOC2">
    <w:name w:val="toc 2"/>
    <w:basedOn w:val="Normal"/>
    <w:uiPriority w:val="39"/>
    <w:rsid w:val="008E5198"/>
    <w:pPr>
      <w:widowControl/>
      <w:tabs>
        <w:tab w:val="left" w:pos="709"/>
        <w:tab w:val="right" w:pos="7938"/>
      </w:tabs>
      <w:overflowPunct w:val="0"/>
      <w:ind w:left="709" w:right="567" w:hanging="709"/>
      <w:textAlignment w:val="baseline"/>
    </w:pPr>
    <w:rPr>
      <w:rFonts w:ascii="Calibri" w:hAnsi="Calibri"/>
      <w:noProof/>
      <w:sz w:val="24"/>
      <w:szCs w:val="28"/>
      <w:lang w:val="en-GB" w:eastAsia="en-US"/>
    </w:rPr>
  </w:style>
  <w:style w:type="paragraph" w:styleId="TOC1">
    <w:name w:val="toc 1"/>
    <w:basedOn w:val="Normal"/>
    <w:uiPriority w:val="39"/>
    <w:rsid w:val="008E5198"/>
    <w:pPr>
      <w:widowControl/>
      <w:tabs>
        <w:tab w:val="left" w:pos="709"/>
        <w:tab w:val="right" w:pos="7938"/>
      </w:tabs>
      <w:overflowPunct w:val="0"/>
      <w:spacing w:before="260" w:after="60"/>
      <w:ind w:left="709" w:right="567" w:hanging="709"/>
      <w:textAlignment w:val="baseline"/>
    </w:pPr>
    <w:rPr>
      <w:rFonts w:ascii="Calibri" w:hAnsi="Calibri"/>
      <w:b/>
      <w:noProof/>
      <w:sz w:val="28"/>
      <w:szCs w:val="32"/>
      <w:lang w:val="en-GB" w:eastAsia="en-US"/>
    </w:rPr>
  </w:style>
  <w:style w:type="paragraph" w:styleId="Index1">
    <w:name w:val="index 1"/>
    <w:basedOn w:val="Normal"/>
    <w:next w:val="Index2"/>
    <w:semiHidden/>
    <w:rsid w:val="008E5198"/>
    <w:pPr>
      <w:widowControl/>
      <w:overflowPunct w:val="0"/>
      <w:spacing w:before="200"/>
      <w:ind w:left="851"/>
      <w:textAlignment w:val="baseline"/>
    </w:pPr>
    <w:rPr>
      <w:b/>
      <w:sz w:val="22"/>
      <w:lang w:val="en-GB" w:eastAsia="en-US"/>
    </w:rPr>
  </w:style>
  <w:style w:type="paragraph" w:styleId="Index2">
    <w:name w:val="index 2"/>
    <w:basedOn w:val="Normal"/>
    <w:semiHidden/>
    <w:rsid w:val="008E5198"/>
    <w:pPr>
      <w:widowControl/>
      <w:overflowPunct w:val="0"/>
      <w:ind w:left="1520"/>
      <w:textAlignment w:val="baseline"/>
    </w:pPr>
    <w:rPr>
      <w:sz w:val="22"/>
      <w:lang w:val="en-GB" w:eastAsia="en-US"/>
    </w:rPr>
  </w:style>
  <w:style w:type="paragraph" w:customStyle="1" w:styleId="ReportCopyRight">
    <w:name w:val="ReportCopyRight"/>
    <w:basedOn w:val="Normal"/>
    <w:rsid w:val="008E5198"/>
    <w:pPr>
      <w:widowControl/>
      <w:autoSpaceDE/>
      <w:autoSpaceDN/>
      <w:adjustRightInd/>
    </w:pPr>
    <w:rPr>
      <w:sz w:val="14"/>
      <w:szCs w:val="14"/>
      <w:lang w:val="en-GB" w:eastAsia="en-US"/>
    </w:rPr>
  </w:style>
  <w:style w:type="paragraph" w:customStyle="1" w:styleId="CoverClientName">
    <w:name w:val="Cover Client Name"/>
    <w:rsid w:val="008E5198"/>
    <w:pPr>
      <w:spacing w:before="80" w:after="520"/>
      <w:jc w:val="center"/>
    </w:pPr>
    <w:rPr>
      <w:rFonts w:ascii="Tms Rmn" w:hAnsi="Tms Rmn"/>
      <w:b/>
      <w:sz w:val="26"/>
      <w:lang w:val="en-GB" w:eastAsia="en-US"/>
    </w:rPr>
  </w:style>
  <w:style w:type="paragraph" w:customStyle="1" w:styleId="Single">
    <w:name w:val="Single"/>
    <w:basedOn w:val="Normal"/>
    <w:rsid w:val="008E5198"/>
    <w:pPr>
      <w:widowControl/>
      <w:overflowPunct w:val="0"/>
      <w:spacing w:after="130"/>
      <w:jc w:val="right"/>
      <w:textAlignment w:val="baseline"/>
    </w:pPr>
    <w:rPr>
      <w:sz w:val="22"/>
      <w:u w:val="single"/>
      <w:lang w:val="en-GB" w:eastAsia="en-US"/>
    </w:rPr>
  </w:style>
  <w:style w:type="paragraph" w:customStyle="1" w:styleId="CoverTitle">
    <w:name w:val="Cover Title"/>
    <w:rsid w:val="008E5198"/>
    <w:pPr>
      <w:spacing w:line="440" w:lineRule="exact"/>
      <w:jc w:val="center"/>
    </w:pPr>
    <w:rPr>
      <w:rFonts w:ascii="Tms Rmn" w:hAnsi="Tms Rmn"/>
      <w:sz w:val="36"/>
      <w:lang w:val="en-GB" w:eastAsia="en-US"/>
    </w:rPr>
  </w:style>
  <w:style w:type="paragraph" w:customStyle="1" w:styleId="Bullet">
    <w:name w:val="Bullet"/>
    <w:basedOn w:val="Normal"/>
    <w:rsid w:val="008E5198"/>
    <w:pPr>
      <w:widowControl/>
      <w:numPr>
        <w:numId w:val="1"/>
      </w:numPr>
      <w:tabs>
        <w:tab w:val="left" w:pos="284"/>
      </w:tabs>
      <w:overflowPunct w:val="0"/>
      <w:spacing w:after="130"/>
      <w:jc w:val="both"/>
      <w:textAlignment w:val="baseline"/>
    </w:pPr>
    <w:rPr>
      <w:sz w:val="22"/>
      <w:lang w:val="en-GB" w:eastAsia="en-US"/>
    </w:rPr>
  </w:style>
  <w:style w:type="paragraph" w:customStyle="1" w:styleId="SubCoverTitle">
    <w:name w:val="Sub Cover Title"/>
    <w:basedOn w:val="Normal"/>
    <w:rsid w:val="008E5198"/>
    <w:pPr>
      <w:framePr w:w="5999" w:hSpace="180" w:vSpace="180" w:wrap="auto" w:vAnchor="page" w:hAnchor="text" w:xAlign="center" w:y="3841"/>
      <w:widowControl/>
      <w:overflowPunct w:val="0"/>
      <w:spacing w:line="440" w:lineRule="exact"/>
      <w:ind w:left="567"/>
      <w:textAlignment w:val="baseline"/>
    </w:pPr>
    <w:rPr>
      <w:sz w:val="26"/>
      <w:lang w:val="en-GB" w:eastAsia="en-US"/>
    </w:rPr>
  </w:style>
  <w:style w:type="character" w:customStyle="1" w:styleId="ContentsPageNumber">
    <w:name w:val="Contents Page Number"/>
    <w:rsid w:val="008E5198"/>
    <w:rPr>
      <w:rFonts w:ascii="Times New Roman" w:hAnsi="Times New Roman"/>
      <w:sz w:val="22"/>
    </w:rPr>
  </w:style>
  <w:style w:type="paragraph" w:customStyle="1" w:styleId="Double">
    <w:name w:val="Double"/>
    <w:basedOn w:val="Normal"/>
    <w:rsid w:val="008E5198"/>
    <w:pPr>
      <w:widowControl/>
      <w:overflowPunct w:val="0"/>
      <w:spacing w:after="130"/>
      <w:jc w:val="right"/>
      <w:textAlignment w:val="baseline"/>
    </w:pPr>
    <w:rPr>
      <w:sz w:val="22"/>
      <w:u w:val="double"/>
      <w:lang w:val="en-GB" w:eastAsia="en-US"/>
    </w:rPr>
  </w:style>
  <w:style w:type="paragraph" w:customStyle="1" w:styleId="Tabletext">
    <w:name w:val="Tabletext"/>
    <w:basedOn w:val="Normal"/>
    <w:rsid w:val="008E5198"/>
    <w:pPr>
      <w:widowControl/>
      <w:overflowPunct w:val="0"/>
      <w:textAlignment w:val="baseline"/>
    </w:pPr>
    <w:rPr>
      <w:sz w:val="18"/>
      <w:lang w:val="en-GB" w:eastAsia="en-US"/>
    </w:rPr>
  </w:style>
  <w:style w:type="paragraph" w:customStyle="1" w:styleId="Tablehead">
    <w:name w:val="Tablehead"/>
    <w:basedOn w:val="Normal"/>
    <w:rsid w:val="008E5198"/>
    <w:pPr>
      <w:widowControl/>
      <w:overflowPunct w:val="0"/>
      <w:spacing w:before="130"/>
      <w:jc w:val="right"/>
      <w:textAlignment w:val="baseline"/>
    </w:pPr>
    <w:rPr>
      <w:sz w:val="18"/>
      <w:lang w:val="en-GB" w:eastAsia="en-US"/>
    </w:rPr>
  </w:style>
  <w:style w:type="paragraph" w:customStyle="1" w:styleId="Tablenums">
    <w:name w:val="Tablenums"/>
    <w:basedOn w:val="Normal"/>
    <w:rsid w:val="008E5198"/>
    <w:pPr>
      <w:widowControl/>
      <w:tabs>
        <w:tab w:val="decimal" w:pos="794"/>
      </w:tabs>
      <w:overflowPunct w:val="0"/>
      <w:textAlignment w:val="baseline"/>
    </w:pPr>
    <w:rPr>
      <w:sz w:val="18"/>
      <w:lang w:val="en-GB" w:eastAsia="en-US"/>
    </w:rPr>
  </w:style>
  <w:style w:type="paragraph" w:customStyle="1" w:styleId="Denomination">
    <w:name w:val="Denomination"/>
    <w:basedOn w:val="Tablehead"/>
    <w:rsid w:val="008E5198"/>
    <w:pPr>
      <w:spacing w:before="0"/>
    </w:pPr>
  </w:style>
  <w:style w:type="paragraph" w:customStyle="1" w:styleId="Source">
    <w:name w:val="Source"/>
    <w:basedOn w:val="Normal"/>
    <w:next w:val="Text"/>
    <w:rsid w:val="008E5198"/>
    <w:pPr>
      <w:keepLines/>
      <w:widowControl/>
      <w:overflowPunct w:val="0"/>
      <w:spacing w:after="130" w:line="260" w:lineRule="exact"/>
      <w:jc w:val="both"/>
      <w:textAlignment w:val="baseline"/>
    </w:pPr>
    <w:rPr>
      <w:i/>
      <w:sz w:val="18"/>
      <w:lang w:val="en-GB" w:eastAsia="en-US"/>
    </w:rPr>
  </w:style>
  <w:style w:type="character" w:customStyle="1" w:styleId="FootnoteTextChar">
    <w:name w:val="Footnote Text Char"/>
    <w:link w:val="FootnoteText"/>
    <w:uiPriority w:val="99"/>
    <w:semiHidden/>
    <w:rsid w:val="008E5198"/>
    <w:rPr>
      <w:rFonts w:ascii="Times New Roman" w:hAnsi="Times New Roman"/>
      <w:lang w:val="en-GB" w:eastAsia="en-US"/>
    </w:rPr>
  </w:style>
  <w:style w:type="paragraph" w:styleId="FootnoteText">
    <w:name w:val="footnote text"/>
    <w:basedOn w:val="Normal"/>
    <w:link w:val="FootnoteTextChar"/>
    <w:uiPriority w:val="99"/>
    <w:semiHidden/>
    <w:rsid w:val="008E5198"/>
    <w:pPr>
      <w:widowControl/>
      <w:overflowPunct w:val="0"/>
      <w:textAlignment w:val="baseline"/>
    </w:pPr>
    <w:rPr>
      <w:lang w:val="en-GB" w:eastAsia="en-US"/>
    </w:rPr>
  </w:style>
  <w:style w:type="character" w:customStyle="1" w:styleId="EndnoteTextChar">
    <w:name w:val="Endnote Text Char"/>
    <w:link w:val="EndnoteText"/>
    <w:semiHidden/>
    <w:rsid w:val="008E5198"/>
    <w:rPr>
      <w:rFonts w:ascii="Times New Roman" w:hAnsi="Times New Roman"/>
      <w:sz w:val="18"/>
      <w:lang w:val="en-GB" w:eastAsia="en-US"/>
    </w:rPr>
  </w:style>
  <w:style w:type="paragraph" w:styleId="EndnoteText">
    <w:name w:val="endnote text"/>
    <w:basedOn w:val="Normal"/>
    <w:link w:val="EndnoteTextChar"/>
    <w:semiHidden/>
    <w:rsid w:val="008E5198"/>
    <w:pPr>
      <w:widowControl/>
      <w:overflowPunct w:val="0"/>
      <w:spacing w:after="180"/>
      <w:textAlignment w:val="baseline"/>
    </w:pPr>
    <w:rPr>
      <w:sz w:val="18"/>
      <w:lang w:val="en-GB" w:eastAsia="en-US"/>
    </w:rPr>
  </w:style>
  <w:style w:type="paragraph" w:customStyle="1" w:styleId="AlignWithoutBrackets">
    <w:name w:val="AlignWithoutBrackets"/>
    <w:basedOn w:val="Tabletext"/>
    <w:rsid w:val="008E5198"/>
  </w:style>
  <w:style w:type="paragraph" w:customStyle="1" w:styleId="AlignBrackets">
    <w:name w:val="AlignBrackets"/>
    <w:basedOn w:val="Normal"/>
    <w:rsid w:val="008E5198"/>
    <w:pPr>
      <w:widowControl/>
      <w:overflowPunct w:val="0"/>
      <w:ind w:left="153" w:right="-57" w:hanging="153"/>
      <w:jc w:val="right"/>
      <w:textAlignment w:val="baseline"/>
    </w:pPr>
    <w:rPr>
      <w:sz w:val="18"/>
      <w:lang w:val="en-GB" w:eastAsia="en-US"/>
    </w:rPr>
  </w:style>
  <w:style w:type="paragraph" w:customStyle="1" w:styleId="ContentsHeading">
    <w:name w:val="Contents Heading"/>
    <w:rsid w:val="008E5198"/>
    <w:pPr>
      <w:spacing w:after="600"/>
    </w:pPr>
    <w:rPr>
      <w:rFonts w:ascii="Times New Roman" w:hAnsi="Times New Roman"/>
      <w:b/>
      <w:sz w:val="32"/>
      <w:lang w:val="en-GB" w:eastAsia="en-US"/>
    </w:rPr>
  </w:style>
  <w:style w:type="paragraph" w:customStyle="1" w:styleId="CoverSubTitle">
    <w:name w:val="Cover SubTitle"/>
    <w:rsid w:val="008E5198"/>
    <w:pPr>
      <w:spacing w:line="440" w:lineRule="exact"/>
      <w:jc w:val="center"/>
    </w:pPr>
    <w:rPr>
      <w:rFonts w:ascii="Tms Rmn" w:hAnsi="Tms Rmn"/>
      <w:sz w:val="32"/>
      <w:lang w:val="en-GB" w:eastAsia="en-US"/>
    </w:rPr>
  </w:style>
  <w:style w:type="paragraph" w:customStyle="1" w:styleId="CoverDate">
    <w:name w:val="Cover Date"/>
    <w:rsid w:val="008E5198"/>
    <w:pPr>
      <w:spacing w:before="40" w:after="40"/>
      <w:jc w:val="center"/>
    </w:pPr>
    <w:rPr>
      <w:rFonts w:ascii="Tms Rmn" w:hAnsi="Tms Rmn"/>
      <w:lang w:val="en-GB" w:eastAsia="en-US"/>
    </w:rPr>
  </w:style>
  <w:style w:type="paragraph" w:customStyle="1" w:styleId="CoverBranding">
    <w:name w:val="Cover Branding"/>
    <w:rsid w:val="008E5198"/>
    <w:pPr>
      <w:spacing w:before="40" w:after="40"/>
      <w:jc w:val="center"/>
    </w:pPr>
    <w:rPr>
      <w:rFonts w:ascii="Tms Rmn" w:hAnsi="Tms Rmn"/>
      <w:lang w:val="en-GB" w:eastAsia="en-US"/>
    </w:rPr>
  </w:style>
  <w:style w:type="paragraph" w:customStyle="1" w:styleId="CoverNumberOfPages">
    <w:name w:val="Cover NumberOfPages"/>
    <w:rsid w:val="008E5198"/>
    <w:pPr>
      <w:spacing w:before="40" w:after="40"/>
      <w:jc w:val="center"/>
    </w:pPr>
    <w:rPr>
      <w:rFonts w:ascii="Tms Rmn" w:hAnsi="Tms Rmn"/>
      <w:i/>
      <w:lang w:val="en-GB" w:eastAsia="en-US"/>
    </w:rPr>
  </w:style>
  <w:style w:type="paragraph" w:customStyle="1" w:styleId="CoverReference">
    <w:name w:val="Cover Reference"/>
    <w:rsid w:val="008E5198"/>
    <w:pPr>
      <w:spacing w:before="40" w:after="40"/>
      <w:jc w:val="center"/>
    </w:pPr>
    <w:rPr>
      <w:rFonts w:ascii="Tms Rmn" w:hAnsi="Tms Rmn"/>
      <w:lang w:val="en-GB" w:eastAsia="en-US"/>
    </w:rPr>
  </w:style>
  <w:style w:type="paragraph" w:customStyle="1" w:styleId="GlossaryHeader">
    <w:name w:val="Glossary Header"/>
    <w:next w:val="Normal"/>
    <w:rsid w:val="008E5198"/>
    <w:pPr>
      <w:overflowPunct w:val="0"/>
      <w:autoSpaceDE w:val="0"/>
      <w:autoSpaceDN w:val="0"/>
      <w:adjustRightInd w:val="0"/>
      <w:textAlignment w:val="baseline"/>
    </w:pPr>
    <w:rPr>
      <w:rFonts w:ascii="Times New Roman" w:hAnsi="Times New Roman"/>
      <w:noProof/>
      <w:sz w:val="36"/>
      <w:lang w:val="en-GB" w:eastAsia="en-US"/>
    </w:rPr>
  </w:style>
  <w:style w:type="paragraph" w:customStyle="1" w:styleId="GlossaryText">
    <w:name w:val="Glossary Text"/>
    <w:basedOn w:val="Normal"/>
    <w:rsid w:val="008E5198"/>
    <w:pPr>
      <w:widowControl/>
      <w:tabs>
        <w:tab w:val="left" w:pos="2835"/>
      </w:tabs>
      <w:overflowPunct w:val="0"/>
      <w:spacing w:before="260"/>
      <w:jc w:val="both"/>
      <w:textAlignment w:val="baseline"/>
    </w:pPr>
    <w:rPr>
      <w:sz w:val="22"/>
      <w:lang w:val="en-GB" w:eastAsia="en-US"/>
    </w:rPr>
  </w:style>
  <w:style w:type="paragraph" w:customStyle="1" w:styleId="AlignBracketsOne">
    <w:name w:val="AlignBracketsOne"/>
    <w:basedOn w:val="Normal"/>
    <w:rsid w:val="008E5198"/>
    <w:pPr>
      <w:widowControl/>
      <w:overflowPunct w:val="0"/>
      <w:ind w:left="153" w:hanging="153"/>
      <w:jc w:val="right"/>
      <w:textAlignment w:val="baseline"/>
    </w:pPr>
    <w:rPr>
      <w:sz w:val="18"/>
      <w:lang w:val="en-GB" w:eastAsia="en-US"/>
    </w:rPr>
  </w:style>
  <w:style w:type="paragraph" w:customStyle="1" w:styleId="AlignBracketsTwo">
    <w:name w:val="AlignBracketsTwo"/>
    <w:basedOn w:val="Normal"/>
    <w:rsid w:val="008E5198"/>
    <w:pPr>
      <w:widowControl/>
      <w:overflowPunct w:val="0"/>
      <w:ind w:left="153" w:right="57" w:hanging="153"/>
      <w:jc w:val="right"/>
      <w:textAlignment w:val="baseline"/>
    </w:pPr>
    <w:rPr>
      <w:sz w:val="18"/>
      <w:lang w:val="en-GB" w:eastAsia="en-US"/>
    </w:rPr>
  </w:style>
  <w:style w:type="paragraph" w:customStyle="1" w:styleId="AlignWithoutOne">
    <w:name w:val="AlignWithoutOne"/>
    <w:basedOn w:val="Normal"/>
    <w:rsid w:val="008E5198"/>
    <w:pPr>
      <w:widowControl/>
      <w:overflowPunct w:val="0"/>
      <w:ind w:left="153" w:right="57" w:hanging="153"/>
      <w:jc w:val="right"/>
      <w:textAlignment w:val="baseline"/>
    </w:pPr>
    <w:rPr>
      <w:sz w:val="18"/>
      <w:lang w:val="en-GB" w:eastAsia="en-US"/>
    </w:rPr>
  </w:style>
  <w:style w:type="paragraph" w:customStyle="1" w:styleId="AlignWithoutTwo">
    <w:name w:val="AlignWithoutTwo"/>
    <w:basedOn w:val="Normal"/>
    <w:rsid w:val="008E5198"/>
    <w:pPr>
      <w:widowControl/>
      <w:overflowPunct w:val="0"/>
      <w:ind w:left="153" w:right="113" w:hanging="153"/>
      <w:jc w:val="right"/>
      <w:textAlignment w:val="baseline"/>
    </w:pPr>
    <w:rPr>
      <w:sz w:val="18"/>
      <w:lang w:val="en-GB" w:eastAsia="en-US"/>
    </w:rPr>
  </w:style>
  <w:style w:type="paragraph" w:customStyle="1" w:styleId="Denomination1">
    <w:name w:val="Denomination1"/>
    <w:basedOn w:val="Normal"/>
    <w:rsid w:val="008E5198"/>
    <w:pPr>
      <w:widowControl/>
      <w:overflowPunct w:val="0"/>
      <w:ind w:right="113"/>
      <w:jc w:val="right"/>
      <w:textAlignment w:val="baseline"/>
    </w:pPr>
    <w:rPr>
      <w:sz w:val="18"/>
      <w:lang w:val="en-GB" w:eastAsia="en-US"/>
    </w:rPr>
  </w:style>
  <w:style w:type="paragraph" w:customStyle="1" w:styleId="Denomination2">
    <w:name w:val="Denomination2"/>
    <w:basedOn w:val="Normal"/>
    <w:rsid w:val="008E5198"/>
    <w:pPr>
      <w:widowControl/>
      <w:overflowPunct w:val="0"/>
      <w:ind w:right="113"/>
      <w:jc w:val="right"/>
      <w:textAlignment w:val="baseline"/>
    </w:pPr>
    <w:rPr>
      <w:sz w:val="18"/>
      <w:lang w:val="en-GB" w:eastAsia="en-US"/>
    </w:rPr>
  </w:style>
  <w:style w:type="paragraph" w:customStyle="1" w:styleId="Tablehead1">
    <w:name w:val="Tablehead1"/>
    <w:basedOn w:val="Normal"/>
    <w:rsid w:val="008E5198"/>
    <w:pPr>
      <w:widowControl/>
      <w:overflowPunct w:val="0"/>
      <w:spacing w:before="130"/>
      <w:ind w:right="113"/>
      <w:jc w:val="right"/>
      <w:textAlignment w:val="baseline"/>
    </w:pPr>
    <w:rPr>
      <w:sz w:val="18"/>
      <w:lang w:val="en-GB" w:eastAsia="en-US"/>
    </w:rPr>
  </w:style>
  <w:style w:type="paragraph" w:customStyle="1" w:styleId="Tabletext1">
    <w:name w:val="Tabletext1"/>
    <w:basedOn w:val="Normal"/>
    <w:rsid w:val="008E5198"/>
    <w:pPr>
      <w:widowControl/>
      <w:overflowPunct w:val="0"/>
      <w:spacing w:before="130"/>
      <w:ind w:right="57"/>
      <w:jc w:val="right"/>
      <w:textAlignment w:val="baseline"/>
    </w:pPr>
    <w:rPr>
      <w:sz w:val="18"/>
      <w:lang w:val="en-GB" w:eastAsia="en-US"/>
    </w:rPr>
  </w:style>
  <w:style w:type="paragraph" w:customStyle="1" w:styleId="Tabletext2">
    <w:name w:val="Tabletext2"/>
    <w:basedOn w:val="Normal"/>
    <w:rsid w:val="008E5198"/>
    <w:pPr>
      <w:widowControl/>
      <w:overflowPunct w:val="0"/>
      <w:spacing w:before="130"/>
      <w:ind w:right="113"/>
      <w:jc w:val="right"/>
      <w:textAlignment w:val="baseline"/>
    </w:pPr>
    <w:rPr>
      <w:sz w:val="18"/>
      <w:lang w:val="en-GB" w:eastAsia="en-US"/>
    </w:rPr>
  </w:style>
  <w:style w:type="paragraph" w:customStyle="1" w:styleId="AppendixHeader">
    <w:name w:val="Appendix Header"/>
    <w:basedOn w:val="Normal"/>
    <w:rsid w:val="008E5198"/>
    <w:pPr>
      <w:keepNext/>
      <w:pageBreakBefore/>
      <w:widowControl/>
      <w:tabs>
        <w:tab w:val="num" w:pos="0"/>
      </w:tabs>
      <w:overflowPunct w:val="0"/>
      <w:spacing w:after="600"/>
      <w:textAlignment w:val="baseline"/>
    </w:pPr>
    <w:rPr>
      <w:b/>
      <w:sz w:val="32"/>
      <w:lang w:val="en-GB" w:eastAsia="en-US"/>
    </w:rPr>
  </w:style>
  <w:style w:type="paragraph" w:customStyle="1" w:styleId="KPMGSmalllogo">
    <w:name w:val="KPMG Small logo"/>
    <w:basedOn w:val="Normal"/>
    <w:rsid w:val="008E5198"/>
    <w:pPr>
      <w:keepLines/>
      <w:widowControl/>
      <w:overflowPunct w:val="0"/>
      <w:textAlignment w:val="baseline"/>
    </w:pPr>
    <w:rPr>
      <w:rFonts w:ascii="KPMG Logo" w:hAnsi="KPMG Logo"/>
      <w:sz w:val="26"/>
      <w:lang w:val="en-GB" w:eastAsia="en-US"/>
    </w:rPr>
  </w:style>
  <w:style w:type="paragraph" w:styleId="ListBullet">
    <w:name w:val="List Bullet"/>
    <w:basedOn w:val="Normal"/>
    <w:rsid w:val="008E5198"/>
    <w:pPr>
      <w:widowControl/>
      <w:tabs>
        <w:tab w:val="left" w:pos="397"/>
      </w:tabs>
      <w:overflowPunct w:val="0"/>
      <w:spacing w:after="220"/>
      <w:ind w:left="397" w:hanging="397"/>
      <w:jc w:val="both"/>
      <w:textAlignment w:val="baseline"/>
    </w:pPr>
    <w:rPr>
      <w:sz w:val="22"/>
      <w:lang w:val="en-GB" w:eastAsia="en-US"/>
    </w:rPr>
  </w:style>
  <w:style w:type="paragraph" w:styleId="ListBullet2">
    <w:name w:val="List Bullet 2"/>
    <w:basedOn w:val="Normal"/>
    <w:rsid w:val="008E5198"/>
    <w:pPr>
      <w:widowControl/>
      <w:tabs>
        <w:tab w:val="left" w:pos="794"/>
      </w:tabs>
      <w:overflowPunct w:val="0"/>
      <w:spacing w:after="220"/>
      <w:ind w:left="794" w:hanging="397"/>
      <w:jc w:val="both"/>
      <w:textAlignment w:val="baseline"/>
    </w:pPr>
    <w:rPr>
      <w:sz w:val="22"/>
      <w:lang w:val="en-GB" w:eastAsia="en-US"/>
    </w:rPr>
  </w:style>
  <w:style w:type="paragraph" w:styleId="ListNumber">
    <w:name w:val="List Number"/>
    <w:basedOn w:val="Normal"/>
    <w:rsid w:val="008E5198"/>
    <w:pPr>
      <w:widowControl/>
      <w:overflowPunct w:val="0"/>
      <w:spacing w:before="130"/>
      <w:ind w:left="284" w:hanging="284"/>
      <w:textAlignment w:val="baseline"/>
    </w:pPr>
    <w:rPr>
      <w:sz w:val="22"/>
      <w:lang w:val="en-GB" w:eastAsia="en-US"/>
    </w:rPr>
  </w:style>
  <w:style w:type="paragraph" w:styleId="ListNumber2">
    <w:name w:val="List Number 2"/>
    <w:basedOn w:val="ListBullet2"/>
    <w:rsid w:val="008E5198"/>
    <w:pPr>
      <w:ind w:left="566" w:hanging="283"/>
    </w:pPr>
  </w:style>
  <w:style w:type="paragraph" w:styleId="BlockText">
    <w:name w:val="Block Text"/>
    <w:basedOn w:val="Normal"/>
    <w:rsid w:val="008E5198"/>
    <w:pPr>
      <w:widowControl/>
      <w:overflowPunct w:val="0"/>
      <w:spacing w:after="120"/>
      <w:ind w:left="1440" w:right="1440"/>
      <w:textAlignment w:val="baseline"/>
    </w:pPr>
    <w:rPr>
      <w:sz w:val="22"/>
      <w:lang w:val="en-GB" w:eastAsia="en-US"/>
    </w:rPr>
  </w:style>
  <w:style w:type="paragraph" w:styleId="Closing">
    <w:name w:val="Closing"/>
    <w:basedOn w:val="Normal"/>
    <w:link w:val="ClosingChar"/>
    <w:rsid w:val="008E5198"/>
    <w:pPr>
      <w:widowControl/>
      <w:overflowPunct w:val="0"/>
      <w:ind w:left="4252"/>
      <w:textAlignment w:val="baseline"/>
    </w:pPr>
    <w:rPr>
      <w:sz w:val="22"/>
      <w:lang w:val="en-GB" w:eastAsia="en-US"/>
    </w:rPr>
  </w:style>
  <w:style w:type="character" w:customStyle="1" w:styleId="ClosingChar">
    <w:name w:val="Closing Char"/>
    <w:link w:val="Closing"/>
    <w:rsid w:val="008E5198"/>
    <w:rPr>
      <w:rFonts w:ascii="Times New Roman" w:hAnsi="Times New Roman"/>
      <w:sz w:val="22"/>
      <w:lang w:val="en-GB" w:eastAsia="en-US"/>
    </w:rPr>
  </w:style>
  <w:style w:type="character" w:customStyle="1" w:styleId="CommentTextChar">
    <w:name w:val="Comment Text Char"/>
    <w:link w:val="CommentText"/>
    <w:uiPriority w:val="99"/>
    <w:semiHidden/>
    <w:rsid w:val="008E5198"/>
    <w:rPr>
      <w:rFonts w:ascii="Times New Roman" w:hAnsi="Times New Roman"/>
      <w:lang w:val="en-GB" w:eastAsia="en-US"/>
    </w:rPr>
  </w:style>
  <w:style w:type="paragraph" w:styleId="CommentText">
    <w:name w:val="annotation text"/>
    <w:basedOn w:val="Normal"/>
    <w:link w:val="CommentTextChar"/>
    <w:uiPriority w:val="99"/>
    <w:semiHidden/>
    <w:rsid w:val="008E5198"/>
    <w:pPr>
      <w:widowControl/>
      <w:overflowPunct w:val="0"/>
      <w:textAlignment w:val="baseline"/>
    </w:pPr>
    <w:rPr>
      <w:lang w:val="en-GB" w:eastAsia="en-US"/>
    </w:rPr>
  </w:style>
  <w:style w:type="paragraph" w:styleId="Date">
    <w:name w:val="Date"/>
    <w:basedOn w:val="Normal"/>
    <w:next w:val="Normal"/>
    <w:link w:val="DateChar"/>
    <w:rsid w:val="008E5198"/>
    <w:pPr>
      <w:widowControl/>
      <w:overflowPunct w:val="0"/>
      <w:textAlignment w:val="baseline"/>
    </w:pPr>
    <w:rPr>
      <w:sz w:val="22"/>
      <w:lang w:val="en-GB" w:eastAsia="en-US"/>
    </w:rPr>
  </w:style>
  <w:style w:type="character" w:customStyle="1" w:styleId="DateChar">
    <w:name w:val="Date Char"/>
    <w:link w:val="Date"/>
    <w:rsid w:val="008E5198"/>
    <w:rPr>
      <w:rFonts w:ascii="Times New Roman" w:hAnsi="Times New Roman"/>
      <w:sz w:val="22"/>
      <w:lang w:val="en-GB" w:eastAsia="en-US"/>
    </w:rPr>
  </w:style>
  <w:style w:type="character" w:customStyle="1" w:styleId="DocumentMapChar">
    <w:name w:val="Document Map Char"/>
    <w:link w:val="DocumentMap"/>
    <w:semiHidden/>
    <w:rsid w:val="008E5198"/>
    <w:rPr>
      <w:rFonts w:ascii="Tahoma" w:hAnsi="Tahoma" w:cs="Tahoma"/>
      <w:sz w:val="22"/>
      <w:shd w:val="clear" w:color="auto" w:fill="000080"/>
      <w:lang w:val="en-GB" w:eastAsia="en-US"/>
    </w:rPr>
  </w:style>
  <w:style w:type="paragraph" w:styleId="DocumentMap">
    <w:name w:val="Document Map"/>
    <w:basedOn w:val="Normal"/>
    <w:link w:val="DocumentMapChar"/>
    <w:semiHidden/>
    <w:rsid w:val="008E5198"/>
    <w:pPr>
      <w:widowControl/>
      <w:shd w:val="clear" w:color="auto" w:fill="000080"/>
      <w:overflowPunct w:val="0"/>
      <w:textAlignment w:val="baseline"/>
    </w:pPr>
    <w:rPr>
      <w:rFonts w:ascii="Tahoma" w:hAnsi="Tahoma"/>
      <w:sz w:val="22"/>
      <w:lang w:val="en-GB" w:eastAsia="en-US"/>
    </w:rPr>
  </w:style>
  <w:style w:type="paragraph" w:styleId="E-mailSignature">
    <w:name w:val="E-mail Signature"/>
    <w:basedOn w:val="Normal"/>
    <w:link w:val="E-mailSignatureChar"/>
    <w:rsid w:val="008E5198"/>
    <w:pPr>
      <w:widowControl/>
      <w:overflowPunct w:val="0"/>
      <w:textAlignment w:val="baseline"/>
    </w:pPr>
    <w:rPr>
      <w:sz w:val="22"/>
      <w:lang w:val="en-GB" w:eastAsia="en-US"/>
    </w:rPr>
  </w:style>
  <w:style w:type="character" w:customStyle="1" w:styleId="E-mailSignatureChar">
    <w:name w:val="E-mail Signature Char"/>
    <w:link w:val="E-mailSignature"/>
    <w:rsid w:val="008E5198"/>
    <w:rPr>
      <w:rFonts w:ascii="Times New Roman" w:hAnsi="Times New Roman"/>
      <w:sz w:val="22"/>
      <w:lang w:val="en-GB" w:eastAsia="en-US"/>
    </w:rPr>
  </w:style>
  <w:style w:type="character" w:styleId="Emphasis">
    <w:name w:val="Emphasis"/>
    <w:uiPriority w:val="20"/>
    <w:qFormat/>
    <w:rsid w:val="008E5198"/>
    <w:rPr>
      <w:i/>
      <w:iCs/>
    </w:rPr>
  </w:style>
  <w:style w:type="paragraph" w:styleId="EnvelopeAddress">
    <w:name w:val="envelope address"/>
    <w:basedOn w:val="Normal"/>
    <w:rsid w:val="008E5198"/>
    <w:pPr>
      <w:framePr w:w="7920" w:h="1980" w:hRule="exact" w:hSpace="180" w:wrap="auto" w:hAnchor="page" w:xAlign="center" w:yAlign="bottom"/>
      <w:widowControl/>
      <w:overflowPunct w:val="0"/>
      <w:ind w:left="2880"/>
      <w:textAlignment w:val="baseline"/>
    </w:pPr>
    <w:rPr>
      <w:rFonts w:ascii="Arial" w:hAnsi="Arial" w:cs="Arial"/>
      <w:sz w:val="24"/>
      <w:szCs w:val="24"/>
      <w:lang w:val="en-GB" w:eastAsia="en-US"/>
    </w:rPr>
  </w:style>
  <w:style w:type="paragraph" w:styleId="EnvelopeReturn">
    <w:name w:val="envelope return"/>
    <w:basedOn w:val="Normal"/>
    <w:rsid w:val="008E5198"/>
    <w:pPr>
      <w:widowControl/>
      <w:overflowPunct w:val="0"/>
      <w:textAlignment w:val="baseline"/>
    </w:pPr>
    <w:rPr>
      <w:rFonts w:ascii="Arial" w:hAnsi="Arial" w:cs="Arial"/>
      <w:lang w:val="en-GB" w:eastAsia="en-US"/>
    </w:rPr>
  </w:style>
  <w:style w:type="character" w:styleId="FollowedHyperlink">
    <w:name w:val="FollowedHyperlink"/>
    <w:rsid w:val="008E5198"/>
    <w:rPr>
      <w:color w:val="800080"/>
      <w:u w:val="single"/>
    </w:rPr>
  </w:style>
  <w:style w:type="character" w:styleId="HTMLAcronym">
    <w:name w:val="HTML Acronym"/>
    <w:basedOn w:val="DefaultParagraphFont"/>
    <w:rsid w:val="008E5198"/>
  </w:style>
  <w:style w:type="paragraph" w:styleId="HTMLAddress">
    <w:name w:val="HTML Address"/>
    <w:basedOn w:val="Normal"/>
    <w:link w:val="HTMLAddressChar"/>
    <w:rsid w:val="008E5198"/>
    <w:pPr>
      <w:widowControl/>
      <w:overflowPunct w:val="0"/>
      <w:textAlignment w:val="baseline"/>
    </w:pPr>
    <w:rPr>
      <w:i/>
      <w:iCs/>
      <w:sz w:val="22"/>
      <w:lang w:val="en-GB" w:eastAsia="en-US"/>
    </w:rPr>
  </w:style>
  <w:style w:type="character" w:customStyle="1" w:styleId="HTMLAddressChar">
    <w:name w:val="HTML Address Char"/>
    <w:link w:val="HTMLAddress"/>
    <w:rsid w:val="008E5198"/>
    <w:rPr>
      <w:rFonts w:ascii="Times New Roman" w:hAnsi="Times New Roman"/>
      <w:i/>
      <w:iCs/>
      <w:sz w:val="22"/>
      <w:lang w:val="en-GB" w:eastAsia="en-US"/>
    </w:rPr>
  </w:style>
  <w:style w:type="character" w:styleId="HTMLCite">
    <w:name w:val="HTML Cite"/>
    <w:rsid w:val="008E5198"/>
    <w:rPr>
      <w:i/>
      <w:iCs/>
    </w:rPr>
  </w:style>
  <w:style w:type="character" w:styleId="HTMLCode">
    <w:name w:val="HTML Code"/>
    <w:rsid w:val="008E5198"/>
    <w:rPr>
      <w:rFonts w:ascii="Courier New" w:hAnsi="Courier New"/>
      <w:sz w:val="20"/>
      <w:szCs w:val="20"/>
    </w:rPr>
  </w:style>
  <w:style w:type="character" w:styleId="HTMLDefinition">
    <w:name w:val="HTML Definition"/>
    <w:rsid w:val="008E5198"/>
    <w:rPr>
      <w:i/>
      <w:iCs/>
    </w:rPr>
  </w:style>
  <w:style w:type="character" w:styleId="HTMLKeyboard">
    <w:name w:val="HTML Keyboard"/>
    <w:rsid w:val="008E5198"/>
    <w:rPr>
      <w:rFonts w:ascii="Courier New" w:hAnsi="Courier New"/>
      <w:sz w:val="20"/>
      <w:szCs w:val="20"/>
    </w:rPr>
  </w:style>
  <w:style w:type="paragraph" w:styleId="HTMLPreformatted">
    <w:name w:val="HTML Preformatted"/>
    <w:basedOn w:val="Normal"/>
    <w:link w:val="HTMLPreformattedChar"/>
    <w:uiPriority w:val="99"/>
    <w:rsid w:val="008E5198"/>
    <w:pPr>
      <w:widowControl/>
      <w:overflowPunct w:val="0"/>
      <w:textAlignment w:val="baseline"/>
    </w:pPr>
    <w:rPr>
      <w:rFonts w:ascii="Courier New" w:hAnsi="Courier New"/>
      <w:lang w:val="en-GB" w:eastAsia="en-US"/>
    </w:rPr>
  </w:style>
  <w:style w:type="character" w:customStyle="1" w:styleId="HTMLPreformattedChar">
    <w:name w:val="HTML Preformatted Char"/>
    <w:link w:val="HTMLPreformatted"/>
    <w:uiPriority w:val="99"/>
    <w:rsid w:val="008E5198"/>
    <w:rPr>
      <w:rFonts w:ascii="Courier New" w:hAnsi="Courier New" w:cs="Courier New"/>
      <w:lang w:val="en-GB" w:eastAsia="en-US"/>
    </w:rPr>
  </w:style>
  <w:style w:type="character" w:styleId="HTMLSample">
    <w:name w:val="HTML Sample"/>
    <w:rsid w:val="008E5198"/>
    <w:rPr>
      <w:rFonts w:ascii="Courier New" w:hAnsi="Courier New"/>
    </w:rPr>
  </w:style>
  <w:style w:type="character" w:styleId="HTMLTypewriter">
    <w:name w:val="HTML Typewriter"/>
    <w:rsid w:val="008E5198"/>
    <w:rPr>
      <w:rFonts w:ascii="Courier New" w:hAnsi="Courier New"/>
      <w:sz w:val="20"/>
      <w:szCs w:val="20"/>
    </w:rPr>
  </w:style>
  <w:style w:type="character" w:styleId="HTMLVariable">
    <w:name w:val="HTML Variable"/>
    <w:rsid w:val="008E5198"/>
    <w:rPr>
      <w:i/>
      <w:iCs/>
    </w:rPr>
  </w:style>
  <w:style w:type="character" w:styleId="LineNumber">
    <w:name w:val="line number"/>
    <w:basedOn w:val="DefaultParagraphFont"/>
    <w:rsid w:val="008E5198"/>
  </w:style>
  <w:style w:type="paragraph" w:styleId="List">
    <w:name w:val="List"/>
    <w:basedOn w:val="Normal"/>
    <w:rsid w:val="008E5198"/>
    <w:pPr>
      <w:widowControl/>
      <w:overflowPunct w:val="0"/>
      <w:ind w:left="283" w:hanging="283"/>
      <w:textAlignment w:val="baseline"/>
    </w:pPr>
    <w:rPr>
      <w:sz w:val="22"/>
      <w:lang w:val="en-GB" w:eastAsia="en-US"/>
    </w:rPr>
  </w:style>
  <w:style w:type="paragraph" w:styleId="List2">
    <w:name w:val="List 2"/>
    <w:basedOn w:val="Normal"/>
    <w:rsid w:val="008E5198"/>
    <w:pPr>
      <w:widowControl/>
      <w:overflowPunct w:val="0"/>
      <w:ind w:left="566" w:hanging="283"/>
      <w:textAlignment w:val="baseline"/>
    </w:pPr>
    <w:rPr>
      <w:sz w:val="22"/>
      <w:lang w:val="en-GB" w:eastAsia="en-US"/>
    </w:rPr>
  </w:style>
  <w:style w:type="paragraph" w:styleId="List3">
    <w:name w:val="List 3"/>
    <w:basedOn w:val="Normal"/>
    <w:rsid w:val="008E5198"/>
    <w:pPr>
      <w:widowControl/>
      <w:overflowPunct w:val="0"/>
      <w:ind w:left="849" w:hanging="283"/>
      <w:textAlignment w:val="baseline"/>
    </w:pPr>
    <w:rPr>
      <w:sz w:val="22"/>
      <w:lang w:val="en-GB" w:eastAsia="en-US"/>
    </w:rPr>
  </w:style>
  <w:style w:type="paragraph" w:styleId="List4">
    <w:name w:val="List 4"/>
    <w:basedOn w:val="Normal"/>
    <w:rsid w:val="008E5198"/>
    <w:pPr>
      <w:widowControl/>
      <w:overflowPunct w:val="0"/>
      <w:ind w:left="1132" w:hanging="283"/>
      <w:textAlignment w:val="baseline"/>
    </w:pPr>
    <w:rPr>
      <w:sz w:val="22"/>
      <w:lang w:val="en-GB" w:eastAsia="en-US"/>
    </w:rPr>
  </w:style>
  <w:style w:type="paragraph" w:styleId="List5">
    <w:name w:val="List 5"/>
    <w:basedOn w:val="Normal"/>
    <w:rsid w:val="008E5198"/>
    <w:pPr>
      <w:widowControl/>
      <w:overflowPunct w:val="0"/>
      <w:ind w:left="1415" w:hanging="283"/>
      <w:textAlignment w:val="baseline"/>
    </w:pPr>
    <w:rPr>
      <w:sz w:val="22"/>
      <w:lang w:val="en-GB" w:eastAsia="en-US"/>
    </w:rPr>
  </w:style>
  <w:style w:type="paragraph" w:styleId="ListBullet3">
    <w:name w:val="List Bullet 3"/>
    <w:basedOn w:val="Normal"/>
    <w:autoRedefine/>
    <w:rsid w:val="008E5198"/>
    <w:pPr>
      <w:widowControl/>
      <w:tabs>
        <w:tab w:val="left" w:pos="1191"/>
      </w:tabs>
      <w:overflowPunct w:val="0"/>
      <w:spacing w:after="220"/>
      <w:ind w:left="1191" w:hanging="397"/>
      <w:textAlignment w:val="baseline"/>
    </w:pPr>
    <w:rPr>
      <w:sz w:val="22"/>
      <w:lang w:val="en-GB" w:eastAsia="en-US"/>
    </w:rPr>
  </w:style>
  <w:style w:type="paragraph" w:styleId="ListBullet4">
    <w:name w:val="List Bullet 4"/>
    <w:basedOn w:val="Normal"/>
    <w:autoRedefine/>
    <w:rsid w:val="008E5198"/>
    <w:pPr>
      <w:widowControl/>
      <w:tabs>
        <w:tab w:val="left" w:pos="1588"/>
      </w:tabs>
      <w:overflowPunct w:val="0"/>
      <w:spacing w:after="220"/>
      <w:ind w:left="1588" w:hanging="397"/>
      <w:textAlignment w:val="baseline"/>
    </w:pPr>
    <w:rPr>
      <w:sz w:val="22"/>
      <w:lang w:val="en-GB" w:eastAsia="en-US"/>
    </w:rPr>
  </w:style>
  <w:style w:type="paragraph" w:styleId="ListBullet5">
    <w:name w:val="List Bullet 5"/>
    <w:basedOn w:val="Normal"/>
    <w:autoRedefine/>
    <w:rsid w:val="008E5198"/>
    <w:pPr>
      <w:widowControl/>
      <w:tabs>
        <w:tab w:val="left" w:pos="1985"/>
      </w:tabs>
      <w:overflowPunct w:val="0"/>
      <w:spacing w:after="220"/>
      <w:ind w:left="1985" w:hanging="397"/>
      <w:textAlignment w:val="baseline"/>
    </w:pPr>
    <w:rPr>
      <w:sz w:val="22"/>
      <w:lang w:val="en-GB" w:eastAsia="en-US"/>
    </w:rPr>
  </w:style>
  <w:style w:type="paragraph" w:styleId="ListContinue">
    <w:name w:val="List Continue"/>
    <w:basedOn w:val="Normal"/>
    <w:rsid w:val="008E5198"/>
    <w:pPr>
      <w:widowControl/>
      <w:overflowPunct w:val="0"/>
      <w:spacing w:after="120"/>
      <w:ind w:left="283"/>
      <w:textAlignment w:val="baseline"/>
    </w:pPr>
    <w:rPr>
      <w:sz w:val="22"/>
      <w:lang w:val="en-GB" w:eastAsia="en-US"/>
    </w:rPr>
  </w:style>
  <w:style w:type="paragraph" w:styleId="ListContinue2">
    <w:name w:val="List Continue 2"/>
    <w:basedOn w:val="Normal"/>
    <w:rsid w:val="008E5198"/>
    <w:pPr>
      <w:widowControl/>
      <w:overflowPunct w:val="0"/>
      <w:spacing w:after="120"/>
      <w:ind w:left="566"/>
      <w:textAlignment w:val="baseline"/>
    </w:pPr>
    <w:rPr>
      <w:sz w:val="22"/>
      <w:lang w:val="en-GB" w:eastAsia="en-US"/>
    </w:rPr>
  </w:style>
  <w:style w:type="paragraph" w:styleId="ListContinue3">
    <w:name w:val="List Continue 3"/>
    <w:basedOn w:val="Normal"/>
    <w:rsid w:val="008E5198"/>
    <w:pPr>
      <w:widowControl/>
      <w:overflowPunct w:val="0"/>
      <w:spacing w:after="120"/>
      <w:ind w:left="849"/>
      <w:textAlignment w:val="baseline"/>
    </w:pPr>
    <w:rPr>
      <w:sz w:val="22"/>
      <w:lang w:val="en-GB" w:eastAsia="en-US"/>
    </w:rPr>
  </w:style>
  <w:style w:type="paragraph" w:styleId="ListContinue4">
    <w:name w:val="List Continue 4"/>
    <w:basedOn w:val="Normal"/>
    <w:rsid w:val="008E5198"/>
    <w:pPr>
      <w:widowControl/>
      <w:overflowPunct w:val="0"/>
      <w:spacing w:after="120"/>
      <w:ind w:left="1132"/>
      <w:textAlignment w:val="baseline"/>
    </w:pPr>
    <w:rPr>
      <w:sz w:val="22"/>
      <w:lang w:val="en-GB" w:eastAsia="en-US"/>
    </w:rPr>
  </w:style>
  <w:style w:type="paragraph" w:styleId="ListContinue5">
    <w:name w:val="List Continue 5"/>
    <w:basedOn w:val="Normal"/>
    <w:rsid w:val="008E5198"/>
    <w:pPr>
      <w:widowControl/>
      <w:overflowPunct w:val="0"/>
      <w:spacing w:after="120"/>
      <w:ind w:left="1415"/>
      <w:textAlignment w:val="baseline"/>
    </w:pPr>
    <w:rPr>
      <w:sz w:val="22"/>
      <w:lang w:val="en-GB" w:eastAsia="en-US"/>
    </w:rPr>
  </w:style>
  <w:style w:type="paragraph" w:styleId="ListNumber3">
    <w:name w:val="List Number 3"/>
    <w:basedOn w:val="Normal"/>
    <w:rsid w:val="008E5198"/>
    <w:pPr>
      <w:widowControl/>
      <w:tabs>
        <w:tab w:val="num" w:pos="926"/>
      </w:tabs>
      <w:overflowPunct w:val="0"/>
      <w:ind w:left="926" w:hanging="360"/>
      <w:textAlignment w:val="baseline"/>
    </w:pPr>
    <w:rPr>
      <w:sz w:val="22"/>
      <w:lang w:val="en-GB" w:eastAsia="en-US"/>
    </w:rPr>
  </w:style>
  <w:style w:type="paragraph" w:styleId="ListNumber4">
    <w:name w:val="List Number 4"/>
    <w:basedOn w:val="Normal"/>
    <w:rsid w:val="008E5198"/>
    <w:pPr>
      <w:widowControl/>
      <w:tabs>
        <w:tab w:val="num" w:pos="1209"/>
      </w:tabs>
      <w:overflowPunct w:val="0"/>
      <w:ind w:left="1209" w:hanging="360"/>
      <w:textAlignment w:val="baseline"/>
    </w:pPr>
    <w:rPr>
      <w:sz w:val="22"/>
      <w:lang w:val="en-GB" w:eastAsia="en-US"/>
    </w:rPr>
  </w:style>
  <w:style w:type="paragraph" w:styleId="ListNumber5">
    <w:name w:val="List Number 5"/>
    <w:basedOn w:val="Normal"/>
    <w:rsid w:val="008E5198"/>
    <w:pPr>
      <w:widowControl/>
      <w:tabs>
        <w:tab w:val="num" w:pos="1492"/>
      </w:tabs>
      <w:overflowPunct w:val="0"/>
      <w:ind w:left="1492" w:hanging="360"/>
      <w:textAlignment w:val="baseline"/>
    </w:pPr>
    <w:rPr>
      <w:sz w:val="22"/>
      <w:lang w:val="en-GB" w:eastAsia="en-US"/>
    </w:rPr>
  </w:style>
  <w:style w:type="character" w:customStyle="1" w:styleId="MacroTextChar">
    <w:name w:val="Macro Text Char"/>
    <w:link w:val="MacroText"/>
    <w:semiHidden/>
    <w:rsid w:val="008E5198"/>
    <w:rPr>
      <w:rFonts w:ascii="Courier New" w:hAnsi="Courier New" w:cs="Courier New"/>
      <w:lang w:val="en-GB" w:eastAsia="en-US" w:bidi="ar-SA"/>
    </w:rPr>
  </w:style>
  <w:style w:type="paragraph" w:styleId="MacroText">
    <w:name w:val="macro"/>
    <w:link w:val="MacroTextChar"/>
    <w:semiHidden/>
    <w:rsid w:val="008E519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lang w:val="en-GB" w:eastAsia="en-US"/>
    </w:rPr>
  </w:style>
  <w:style w:type="paragraph" w:styleId="MessageHeader">
    <w:name w:val="Message Header"/>
    <w:basedOn w:val="Normal"/>
    <w:link w:val="MessageHeaderChar"/>
    <w:rsid w:val="008E5198"/>
    <w:pPr>
      <w:widowControl/>
      <w:pBdr>
        <w:top w:val="single" w:sz="6" w:space="1" w:color="auto"/>
        <w:left w:val="single" w:sz="6" w:space="1" w:color="auto"/>
        <w:bottom w:val="single" w:sz="6" w:space="1" w:color="auto"/>
        <w:right w:val="single" w:sz="6" w:space="1" w:color="auto"/>
      </w:pBdr>
      <w:shd w:val="pct20" w:color="auto" w:fill="auto"/>
      <w:overflowPunct w:val="0"/>
      <w:ind w:left="1134" w:hanging="1134"/>
      <w:textAlignment w:val="baseline"/>
    </w:pPr>
    <w:rPr>
      <w:rFonts w:ascii="Arial" w:hAnsi="Arial"/>
      <w:sz w:val="24"/>
      <w:szCs w:val="24"/>
      <w:lang w:val="en-GB" w:eastAsia="en-US"/>
    </w:rPr>
  </w:style>
  <w:style w:type="character" w:customStyle="1" w:styleId="MessageHeaderChar">
    <w:name w:val="Message Header Char"/>
    <w:link w:val="MessageHeader"/>
    <w:rsid w:val="008E5198"/>
    <w:rPr>
      <w:rFonts w:ascii="Arial" w:hAnsi="Arial" w:cs="Arial"/>
      <w:sz w:val="24"/>
      <w:szCs w:val="24"/>
      <w:shd w:val="pct20" w:color="auto" w:fill="auto"/>
      <w:lang w:val="en-GB" w:eastAsia="en-US"/>
    </w:rPr>
  </w:style>
  <w:style w:type="paragraph" w:styleId="NoteHeading">
    <w:name w:val="Note Heading"/>
    <w:basedOn w:val="Normal"/>
    <w:next w:val="Normal"/>
    <w:link w:val="NoteHeadingChar"/>
    <w:rsid w:val="008E5198"/>
    <w:pPr>
      <w:widowControl/>
      <w:overflowPunct w:val="0"/>
      <w:textAlignment w:val="baseline"/>
    </w:pPr>
    <w:rPr>
      <w:sz w:val="22"/>
      <w:lang w:val="en-GB" w:eastAsia="en-US"/>
    </w:rPr>
  </w:style>
  <w:style w:type="character" w:customStyle="1" w:styleId="NoteHeadingChar">
    <w:name w:val="Note Heading Char"/>
    <w:link w:val="NoteHeading"/>
    <w:rsid w:val="008E5198"/>
    <w:rPr>
      <w:rFonts w:ascii="Times New Roman" w:hAnsi="Times New Roman"/>
      <w:sz w:val="22"/>
      <w:lang w:val="en-GB" w:eastAsia="en-US"/>
    </w:rPr>
  </w:style>
  <w:style w:type="character" w:styleId="PageNumber">
    <w:name w:val="page number"/>
    <w:basedOn w:val="DefaultParagraphFont"/>
    <w:rsid w:val="008E5198"/>
  </w:style>
  <w:style w:type="paragraph" w:styleId="PlainText">
    <w:name w:val="Plain Text"/>
    <w:basedOn w:val="Normal"/>
    <w:link w:val="PlainTextChar"/>
    <w:uiPriority w:val="99"/>
    <w:rsid w:val="008E5198"/>
    <w:pPr>
      <w:widowControl/>
      <w:overflowPunct w:val="0"/>
      <w:textAlignment w:val="baseline"/>
    </w:pPr>
    <w:rPr>
      <w:rFonts w:ascii="Courier New" w:hAnsi="Courier New"/>
      <w:lang w:val="en-GB" w:eastAsia="en-US"/>
    </w:rPr>
  </w:style>
  <w:style w:type="character" w:customStyle="1" w:styleId="PlainTextChar">
    <w:name w:val="Plain Text Char"/>
    <w:link w:val="PlainText"/>
    <w:uiPriority w:val="99"/>
    <w:rsid w:val="008E5198"/>
    <w:rPr>
      <w:rFonts w:ascii="Courier New" w:hAnsi="Courier New" w:cs="Courier New"/>
      <w:lang w:val="en-GB" w:eastAsia="en-US"/>
    </w:rPr>
  </w:style>
  <w:style w:type="paragraph" w:styleId="Salutation">
    <w:name w:val="Salutation"/>
    <w:basedOn w:val="Normal"/>
    <w:next w:val="Normal"/>
    <w:link w:val="SalutationChar"/>
    <w:rsid w:val="008E5198"/>
    <w:pPr>
      <w:widowControl/>
      <w:overflowPunct w:val="0"/>
      <w:textAlignment w:val="baseline"/>
    </w:pPr>
    <w:rPr>
      <w:sz w:val="22"/>
      <w:lang w:val="en-GB" w:eastAsia="en-US"/>
    </w:rPr>
  </w:style>
  <w:style w:type="character" w:customStyle="1" w:styleId="SalutationChar">
    <w:name w:val="Salutation Char"/>
    <w:link w:val="Salutation"/>
    <w:rsid w:val="008E5198"/>
    <w:rPr>
      <w:rFonts w:ascii="Times New Roman" w:hAnsi="Times New Roman"/>
      <w:sz w:val="22"/>
      <w:lang w:val="en-GB" w:eastAsia="en-US"/>
    </w:rPr>
  </w:style>
  <w:style w:type="paragraph" w:styleId="Signature">
    <w:name w:val="Signature"/>
    <w:basedOn w:val="Normal"/>
    <w:link w:val="SignatureChar"/>
    <w:rsid w:val="008E5198"/>
    <w:pPr>
      <w:widowControl/>
      <w:overflowPunct w:val="0"/>
      <w:ind w:left="4252"/>
      <w:textAlignment w:val="baseline"/>
    </w:pPr>
    <w:rPr>
      <w:sz w:val="22"/>
      <w:lang w:val="en-GB" w:eastAsia="en-US"/>
    </w:rPr>
  </w:style>
  <w:style w:type="character" w:customStyle="1" w:styleId="SignatureChar">
    <w:name w:val="Signature Char"/>
    <w:link w:val="Signature"/>
    <w:rsid w:val="008E5198"/>
    <w:rPr>
      <w:rFonts w:ascii="Times New Roman" w:hAnsi="Times New Roman"/>
      <w:sz w:val="22"/>
      <w:lang w:val="en-GB" w:eastAsia="en-US"/>
    </w:rPr>
  </w:style>
  <w:style w:type="paragraph" w:styleId="Subtitle">
    <w:name w:val="Subtitle"/>
    <w:basedOn w:val="Normal"/>
    <w:link w:val="SubtitleChar"/>
    <w:qFormat/>
    <w:rsid w:val="008E5198"/>
    <w:pPr>
      <w:widowControl/>
      <w:overflowPunct w:val="0"/>
      <w:spacing w:after="60"/>
      <w:jc w:val="center"/>
      <w:textAlignment w:val="baseline"/>
      <w:outlineLvl w:val="1"/>
    </w:pPr>
    <w:rPr>
      <w:rFonts w:ascii="Arial" w:hAnsi="Arial"/>
      <w:sz w:val="24"/>
      <w:szCs w:val="24"/>
      <w:lang w:val="en-GB" w:eastAsia="en-US"/>
    </w:rPr>
  </w:style>
  <w:style w:type="character" w:customStyle="1" w:styleId="SubtitleChar">
    <w:name w:val="Subtitle Char"/>
    <w:link w:val="Subtitle"/>
    <w:rsid w:val="008E5198"/>
    <w:rPr>
      <w:rFonts w:ascii="Arial" w:hAnsi="Arial" w:cs="Arial"/>
      <w:sz w:val="24"/>
      <w:szCs w:val="24"/>
      <w:lang w:val="en-GB" w:eastAsia="en-US"/>
    </w:rPr>
  </w:style>
  <w:style w:type="paragraph" w:styleId="Title">
    <w:name w:val="Title"/>
    <w:basedOn w:val="Normal"/>
    <w:link w:val="TitleChar"/>
    <w:uiPriority w:val="10"/>
    <w:qFormat/>
    <w:rsid w:val="008E5198"/>
    <w:pPr>
      <w:widowControl/>
      <w:overflowPunct w:val="0"/>
      <w:spacing w:before="240" w:after="60"/>
      <w:jc w:val="center"/>
      <w:textAlignment w:val="baseline"/>
      <w:outlineLvl w:val="0"/>
    </w:pPr>
    <w:rPr>
      <w:rFonts w:ascii="Arial" w:hAnsi="Arial"/>
      <w:b/>
      <w:bCs/>
      <w:kern w:val="28"/>
      <w:sz w:val="32"/>
      <w:szCs w:val="32"/>
      <w:lang w:val="en-GB" w:eastAsia="en-US"/>
    </w:rPr>
  </w:style>
  <w:style w:type="character" w:customStyle="1" w:styleId="TitleChar">
    <w:name w:val="Title Char"/>
    <w:link w:val="Title"/>
    <w:uiPriority w:val="10"/>
    <w:rsid w:val="008E5198"/>
    <w:rPr>
      <w:rFonts w:ascii="Arial" w:hAnsi="Arial" w:cs="Arial"/>
      <w:b/>
      <w:bCs/>
      <w:kern w:val="28"/>
      <w:sz w:val="32"/>
      <w:szCs w:val="32"/>
      <w:lang w:val="en-GB" w:eastAsia="en-US"/>
    </w:rPr>
  </w:style>
  <w:style w:type="paragraph" w:styleId="TOC3">
    <w:name w:val="toc 3"/>
    <w:basedOn w:val="Normal"/>
    <w:next w:val="Normal"/>
    <w:autoRedefine/>
    <w:uiPriority w:val="39"/>
    <w:rsid w:val="008E5198"/>
    <w:pPr>
      <w:widowControl/>
      <w:overflowPunct w:val="0"/>
      <w:ind w:left="440"/>
      <w:textAlignment w:val="baseline"/>
    </w:pPr>
    <w:rPr>
      <w:sz w:val="22"/>
      <w:lang w:val="en-GB" w:eastAsia="en-US"/>
    </w:rPr>
  </w:style>
  <w:style w:type="paragraph" w:customStyle="1" w:styleId="1point">
    <w:name w:val="1 point"/>
    <w:rsid w:val="008E5198"/>
    <w:pPr>
      <w:jc w:val="center"/>
    </w:pPr>
    <w:rPr>
      <w:rFonts w:ascii="Tms Rmn" w:hAnsi="Tms Rmn"/>
      <w:sz w:val="2"/>
      <w:lang w:val="en-GB" w:eastAsia="en-US"/>
    </w:rPr>
  </w:style>
  <w:style w:type="paragraph" w:customStyle="1" w:styleId="AppendixHeaderSmall">
    <w:name w:val="Appendix Header Small"/>
    <w:next w:val="Text"/>
    <w:rsid w:val="008E5198"/>
    <w:pPr>
      <w:overflowPunct w:val="0"/>
      <w:autoSpaceDE w:val="0"/>
      <w:autoSpaceDN w:val="0"/>
      <w:adjustRightInd w:val="0"/>
      <w:textAlignment w:val="baseline"/>
    </w:pPr>
    <w:rPr>
      <w:rFonts w:ascii="Tms Rmn" w:hAnsi="Tms Rmn"/>
      <w:b/>
      <w:noProof/>
      <w:sz w:val="26"/>
      <w:lang w:val="en-GB" w:eastAsia="en-US"/>
    </w:rPr>
  </w:style>
  <w:style w:type="paragraph" w:customStyle="1" w:styleId="H4Level3Paras">
    <w:name w:val="H4Level3Paras"/>
    <w:basedOn w:val="Text"/>
    <w:next w:val="Heading3"/>
    <w:rsid w:val="008E5198"/>
    <w:pPr>
      <w:keepNext/>
      <w:spacing w:before="260"/>
    </w:pPr>
    <w:rPr>
      <w:b/>
      <w:i/>
    </w:rPr>
  </w:style>
  <w:style w:type="paragraph" w:customStyle="1" w:styleId="H3Level2Paras">
    <w:name w:val="H3Level2Paras"/>
    <w:basedOn w:val="H4Level3Paras"/>
    <w:next w:val="Heading2"/>
    <w:rsid w:val="008E5198"/>
  </w:style>
  <w:style w:type="paragraph" w:customStyle="1" w:styleId="KPMGLargelogo">
    <w:name w:val="KPMG Large logo"/>
    <w:basedOn w:val="Normal"/>
    <w:rsid w:val="008E5198"/>
    <w:pPr>
      <w:widowControl/>
      <w:overflowPunct w:val="0"/>
      <w:jc w:val="both"/>
      <w:textAlignment w:val="baseline"/>
    </w:pPr>
    <w:rPr>
      <w:rFonts w:ascii="KPMG Logo" w:hAnsi="KPMG Logo"/>
      <w:sz w:val="44"/>
      <w:lang w:val="en-GB" w:eastAsia="en-US"/>
    </w:rPr>
  </w:style>
  <w:style w:type="paragraph" w:customStyle="1" w:styleId="Objective">
    <w:name w:val="Objective"/>
    <w:basedOn w:val="Text"/>
    <w:next w:val="ObjectiveBullet"/>
    <w:rsid w:val="008E5198"/>
    <w:pPr>
      <w:ind w:left="992" w:hanging="992"/>
    </w:pPr>
    <w:rPr>
      <w:b/>
      <w:i/>
      <w:sz w:val="18"/>
    </w:rPr>
  </w:style>
  <w:style w:type="paragraph" w:customStyle="1" w:styleId="ObjectiveBullet">
    <w:name w:val="ObjectiveBullet"/>
    <w:basedOn w:val="Objective"/>
    <w:rsid w:val="008E5198"/>
    <w:pPr>
      <w:ind w:left="1275" w:hanging="283"/>
    </w:pPr>
    <w:rPr>
      <w:i w:val="0"/>
    </w:rPr>
  </w:style>
  <w:style w:type="paragraph" w:customStyle="1" w:styleId="PageNumber1">
    <w:name w:val="Page Number1"/>
    <w:basedOn w:val="Normal"/>
    <w:rsid w:val="008E5198"/>
    <w:pPr>
      <w:widowControl/>
      <w:tabs>
        <w:tab w:val="center" w:pos="4320"/>
        <w:tab w:val="right" w:pos="8640"/>
      </w:tabs>
      <w:overflowPunct w:val="0"/>
      <w:jc w:val="center"/>
      <w:textAlignment w:val="baseline"/>
    </w:pPr>
    <w:rPr>
      <w:sz w:val="22"/>
      <w:lang w:val="en-GB" w:eastAsia="en-US"/>
    </w:rPr>
  </w:style>
  <w:style w:type="paragraph" w:customStyle="1" w:styleId="RunningTitle">
    <w:name w:val="Running Title"/>
    <w:basedOn w:val="Normal"/>
    <w:rsid w:val="008E5198"/>
    <w:pPr>
      <w:widowControl/>
      <w:overflowPunct w:val="0"/>
      <w:spacing w:line="220" w:lineRule="exact"/>
      <w:jc w:val="right"/>
      <w:textAlignment w:val="baseline"/>
    </w:pPr>
    <w:rPr>
      <w:i/>
      <w:sz w:val="18"/>
      <w:lang w:val="en-GB" w:eastAsia="en-US"/>
    </w:rPr>
  </w:style>
  <w:style w:type="character" w:customStyle="1" w:styleId="CommentSubjectChar">
    <w:name w:val="Comment Subject Char"/>
    <w:link w:val="CommentSubject"/>
    <w:semiHidden/>
    <w:rsid w:val="008E5198"/>
    <w:rPr>
      <w:rFonts w:ascii="Times New Roman" w:hAnsi="Times New Roman"/>
      <w:b/>
      <w:bCs/>
      <w:lang w:val="en-GB" w:eastAsia="en-US"/>
    </w:rPr>
  </w:style>
  <w:style w:type="paragraph" w:styleId="CommentSubject">
    <w:name w:val="annotation subject"/>
    <w:basedOn w:val="CommentText"/>
    <w:next w:val="CommentText"/>
    <w:link w:val="CommentSubjectChar"/>
    <w:semiHidden/>
    <w:rsid w:val="008E5198"/>
    <w:rPr>
      <w:b/>
      <w:bCs/>
    </w:rPr>
  </w:style>
  <w:style w:type="paragraph" w:customStyle="1" w:styleId="BodyText0">
    <w:name w:val="|Body_Text"/>
    <w:basedOn w:val="Normal"/>
    <w:rsid w:val="008E5198"/>
    <w:pPr>
      <w:autoSpaceDE/>
      <w:autoSpaceDN/>
      <w:adjustRightInd/>
      <w:spacing w:before="120" w:after="80"/>
    </w:pPr>
    <w:rPr>
      <w:noProof/>
      <w:color w:val="000000"/>
      <w:sz w:val="22"/>
      <w:lang w:val="en-US"/>
    </w:rPr>
  </w:style>
  <w:style w:type="character" w:customStyle="1" w:styleId="a1">
    <w:name w:val="a1"/>
    <w:rsid w:val="008E5198"/>
    <w:rPr>
      <w:color w:val="008000"/>
    </w:rPr>
  </w:style>
  <w:style w:type="paragraph" w:styleId="NoSpacing">
    <w:name w:val="No Spacing"/>
    <w:link w:val="NoSpacingChar"/>
    <w:uiPriority w:val="1"/>
    <w:qFormat/>
    <w:rsid w:val="008E5198"/>
    <w:rPr>
      <w:sz w:val="22"/>
      <w:szCs w:val="22"/>
      <w:lang w:val="en-US" w:eastAsia="en-US"/>
    </w:rPr>
  </w:style>
  <w:style w:type="character" w:customStyle="1" w:styleId="NoSpacingChar">
    <w:name w:val="No Spacing Char"/>
    <w:link w:val="NoSpacing"/>
    <w:uiPriority w:val="1"/>
    <w:rsid w:val="008E5198"/>
    <w:rPr>
      <w:sz w:val="22"/>
      <w:szCs w:val="22"/>
      <w:lang w:val="en-US" w:eastAsia="en-US" w:bidi="ar-SA"/>
    </w:rPr>
  </w:style>
  <w:style w:type="paragraph" w:customStyle="1" w:styleId="CVTitle">
    <w:name w:val="CV Title"/>
    <w:basedOn w:val="Normal"/>
    <w:rsid w:val="008E5198"/>
    <w:pPr>
      <w:widowControl/>
      <w:suppressAutoHyphens/>
      <w:autoSpaceDE/>
      <w:autoSpaceDN/>
      <w:adjustRightInd/>
      <w:ind w:left="113" w:right="113"/>
      <w:jc w:val="right"/>
    </w:pPr>
    <w:rPr>
      <w:rFonts w:ascii="Arial Narrow" w:hAnsi="Arial Narrow"/>
      <w:b/>
      <w:bCs/>
      <w:spacing w:val="10"/>
      <w:sz w:val="28"/>
      <w:lang w:val="fr-FR" w:eastAsia="ar-SA"/>
    </w:rPr>
  </w:style>
  <w:style w:type="paragraph" w:customStyle="1" w:styleId="CVHeading1">
    <w:name w:val="CV Heading 1"/>
    <w:basedOn w:val="Normal"/>
    <w:next w:val="Normal"/>
    <w:rsid w:val="008E5198"/>
    <w:pPr>
      <w:widowControl/>
      <w:suppressAutoHyphens/>
      <w:autoSpaceDE/>
      <w:autoSpaceDN/>
      <w:adjustRightInd/>
      <w:spacing w:before="74"/>
      <w:ind w:left="113" w:right="113"/>
      <w:jc w:val="right"/>
    </w:pPr>
    <w:rPr>
      <w:rFonts w:ascii="Arial Narrow" w:hAnsi="Arial Narrow"/>
      <w:b/>
      <w:sz w:val="24"/>
      <w:lang w:eastAsia="ar-SA"/>
    </w:rPr>
  </w:style>
  <w:style w:type="paragraph" w:customStyle="1" w:styleId="CVHeading2">
    <w:name w:val="CV Heading 2"/>
    <w:basedOn w:val="CVHeading1"/>
    <w:next w:val="Normal"/>
    <w:rsid w:val="008E5198"/>
    <w:pPr>
      <w:spacing w:before="0"/>
    </w:pPr>
    <w:rPr>
      <w:b w:val="0"/>
      <w:sz w:val="22"/>
    </w:rPr>
  </w:style>
  <w:style w:type="paragraph" w:customStyle="1" w:styleId="CVHeading2-FirstLine">
    <w:name w:val="CV Heading 2 - First Line"/>
    <w:basedOn w:val="CVHeading2"/>
    <w:next w:val="CVHeading2"/>
    <w:rsid w:val="008E5198"/>
    <w:pPr>
      <w:spacing w:before="74"/>
    </w:pPr>
  </w:style>
  <w:style w:type="paragraph" w:customStyle="1" w:styleId="CVHeading3">
    <w:name w:val="CV Heading 3"/>
    <w:basedOn w:val="Normal"/>
    <w:next w:val="Normal"/>
    <w:rsid w:val="008E5198"/>
    <w:pPr>
      <w:widowControl/>
      <w:suppressAutoHyphens/>
      <w:autoSpaceDE/>
      <w:autoSpaceDN/>
      <w:adjustRightInd/>
      <w:ind w:left="113" w:right="113"/>
      <w:jc w:val="right"/>
      <w:textAlignment w:val="center"/>
    </w:pPr>
    <w:rPr>
      <w:rFonts w:ascii="Arial Narrow" w:hAnsi="Arial Narrow"/>
      <w:lang w:eastAsia="ar-SA"/>
    </w:rPr>
  </w:style>
  <w:style w:type="paragraph" w:customStyle="1" w:styleId="CVHeading3-FirstLine">
    <w:name w:val="CV Heading 3 - First Line"/>
    <w:basedOn w:val="CVHeading3"/>
    <w:next w:val="CVHeading3"/>
    <w:rsid w:val="008E5198"/>
    <w:pPr>
      <w:spacing w:before="74"/>
    </w:pPr>
  </w:style>
  <w:style w:type="paragraph" w:customStyle="1" w:styleId="CVHeadingLanguage">
    <w:name w:val="CV Heading Language"/>
    <w:basedOn w:val="CVHeading2"/>
    <w:next w:val="LevelAssessment-Code"/>
    <w:rsid w:val="008E5198"/>
    <w:rPr>
      <w:b/>
    </w:rPr>
  </w:style>
  <w:style w:type="paragraph" w:customStyle="1" w:styleId="LevelAssessment-Code">
    <w:name w:val="Level Assessment - Code"/>
    <w:basedOn w:val="Normal"/>
    <w:next w:val="LevelAssessment-Description"/>
    <w:rsid w:val="008E5198"/>
    <w:pPr>
      <w:widowControl/>
      <w:suppressAutoHyphens/>
      <w:autoSpaceDE/>
      <w:autoSpaceDN/>
      <w:adjustRightInd/>
      <w:ind w:left="28"/>
      <w:jc w:val="center"/>
    </w:pPr>
    <w:rPr>
      <w:rFonts w:ascii="Arial Narrow" w:hAnsi="Arial Narrow"/>
      <w:sz w:val="18"/>
      <w:lang w:eastAsia="ar-SA"/>
    </w:rPr>
  </w:style>
  <w:style w:type="paragraph" w:customStyle="1" w:styleId="LevelAssessment-Description">
    <w:name w:val="Level Assessment - Description"/>
    <w:basedOn w:val="LevelAssessment-Code"/>
    <w:next w:val="LevelAssessment-Code"/>
    <w:rsid w:val="008E5198"/>
    <w:pPr>
      <w:textAlignment w:val="bottom"/>
    </w:pPr>
  </w:style>
  <w:style w:type="paragraph" w:customStyle="1" w:styleId="CVHeadingLevel">
    <w:name w:val="CV Heading Level"/>
    <w:basedOn w:val="CVHeading3"/>
    <w:next w:val="Normal"/>
    <w:rsid w:val="008E5198"/>
    <w:rPr>
      <w:i/>
    </w:rPr>
  </w:style>
  <w:style w:type="paragraph" w:customStyle="1" w:styleId="LevelAssessment-Heading1">
    <w:name w:val="Level Assessment - Heading 1"/>
    <w:basedOn w:val="LevelAssessment-Code"/>
    <w:rsid w:val="008E5198"/>
    <w:pPr>
      <w:ind w:left="57" w:right="57"/>
    </w:pPr>
    <w:rPr>
      <w:b/>
      <w:sz w:val="22"/>
    </w:rPr>
  </w:style>
  <w:style w:type="paragraph" w:customStyle="1" w:styleId="LevelAssessment-Heading2">
    <w:name w:val="Level Assessment - Heading 2"/>
    <w:basedOn w:val="Normal"/>
    <w:rsid w:val="008E5198"/>
    <w:pPr>
      <w:widowControl/>
      <w:suppressAutoHyphens/>
      <w:autoSpaceDE/>
      <w:autoSpaceDN/>
      <w:adjustRightInd/>
      <w:ind w:left="57" w:right="57"/>
      <w:jc w:val="center"/>
    </w:pPr>
    <w:rPr>
      <w:rFonts w:ascii="Arial Narrow" w:hAnsi="Arial Narrow"/>
      <w:sz w:val="18"/>
      <w:lang w:val="en-US" w:eastAsia="ar-SA"/>
    </w:rPr>
  </w:style>
  <w:style w:type="paragraph" w:customStyle="1" w:styleId="LevelAssessment-Note">
    <w:name w:val="Level Assessment - Note"/>
    <w:basedOn w:val="LevelAssessment-Code"/>
    <w:rsid w:val="008E5198"/>
    <w:pPr>
      <w:ind w:left="113"/>
      <w:jc w:val="left"/>
    </w:pPr>
    <w:rPr>
      <w:i/>
    </w:rPr>
  </w:style>
  <w:style w:type="paragraph" w:customStyle="1" w:styleId="CVMajor-FirstLine">
    <w:name w:val="CV Major - First Line"/>
    <w:basedOn w:val="Normal"/>
    <w:next w:val="Normal"/>
    <w:rsid w:val="008E5198"/>
    <w:pPr>
      <w:widowControl/>
      <w:suppressAutoHyphens/>
      <w:autoSpaceDE/>
      <w:autoSpaceDN/>
      <w:adjustRightInd/>
      <w:spacing w:before="74"/>
      <w:ind w:left="113" w:right="113"/>
    </w:pPr>
    <w:rPr>
      <w:rFonts w:ascii="Arial Narrow" w:hAnsi="Arial Narrow"/>
      <w:b/>
      <w:sz w:val="24"/>
      <w:lang w:eastAsia="ar-SA"/>
    </w:rPr>
  </w:style>
  <w:style w:type="paragraph" w:customStyle="1" w:styleId="CVMedium-FirstLine">
    <w:name w:val="CV Medium - First Line"/>
    <w:basedOn w:val="Normal"/>
    <w:next w:val="Normal"/>
    <w:rsid w:val="008E5198"/>
    <w:pPr>
      <w:widowControl/>
      <w:suppressAutoHyphens/>
      <w:autoSpaceDE/>
      <w:autoSpaceDN/>
      <w:adjustRightInd/>
      <w:spacing w:before="74"/>
      <w:ind w:left="113" w:right="113"/>
    </w:pPr>
    <w:rPr>
      <w:rFonts w:ascii="Arial Narrow" w:hAnsi="Arial Narrow"/>
      <w:b/>
      <w:sz w:val="22"/>
      <w:lang w:eastAsia="ar-SA"/>
    </w:rPr>
  </w:style>
  <w:style w:type="paragraph" w:customStyle="1" w:styleId="CVNormal">
    <w:name w:val="CV Normal"/>
    <w:basedOn w:val="Normal"/>
    <w:rsid w:val="008E5198"/>
    <w:pPr>
      <w:widowControl/>
      <w:suppressAutoHyphens/>
      <w:autoSpaceDE/>
      <w:autoSpaceDN/>
      <w:adjustRightInd/>
      <w:ind w:left="113" w:right="113"/>
    </w:pPr>
    <w:rPr>
      <w:rFonts w:ascii="Arial Narrow" w:hAnsi="Arial Narrow"/>
      <w:lang w:eastAsia="ar-SA"/>
    </w:rPr>
  </w:style>
  <w:style w:type="paragraph" w:customStyle="1" w:styleId="CVSpacer">
    <w:name w:val="CV Spacer"/>
    <w:basedOn w:val="CVNormal"/>
    <w:rsid w:val="008E5198"/>
    <w:rPr>
      <w:sz w:val="4"/>
    </w:rPr>
  </w:style>
  <w:style w:type="paragraph" w:customStyle="1" w:styleId="CVNormal-FirstLine">
    <w:name w:val="CV Normal - First Line"/>
    <w:basedOn w:val="CVNormal"/>
    <w:next w:val="CVNormal"/>
    <w:rsid w:val="008E5198"/>
    <w:pPr>
      <w:spacing w:before="74"/>
    </w:pPr>
  </w:style>
  <w:style w:type="paragraph" w:customStyle="1" w:styleId="Tableheader">
    <w:name w:val="Table header"/>
    <w:basedOn w:val="Normal"/>
    <w:link w:val="TableheaderChar"/>
    <w:rsid w:val="008E5198"/>
    <w:pPr>
      <w:keepNext/>
      <w:widowControl/>
      <w:overflowPunct w:val="0"/>
      <w:spacing w:before="120" w:after="120"/>
      <w:textAlignment w:val="baseline"/>
    </w:pPr>
    <w:rPr>
      <w:rFonts w:ascii="Univers 45 Light" w:hAnsi="Univers 45 Light"/>
      <w:b/>
      <w:color w:val="FFFFFF"/>
      <w:sz w:val="16"/>
      <w:lang w:val="en-US" w:eastAsia="en-US"/>
    </w:rPr>
  </w:style>
  <w:style w:type="character" w:customStyle="1" w:styleId="TableheaderChar">
    <w:name w:val="Table header Char"/>
    <w:link w:val="Tableheader"/>
    <w:rsid w:val="008E5198"/>
    <w:rPr>
      <w:rFonts w:ascii="Univers 45 Light" w:hAnsi="Univers 45 Light"/>
      <w:b/>
      <w:color w:val="FFFFFF"/>
      <w:sz w:val="16"/>
      <w:lang w:val="en-US" w:eastAsia="en-US"/>
    </w:rPr>
  </w:style>
  <w:style w:type="character" w:customStyle="1" w:styleId="hps">
    <w:name w:val="hps"/>
    <w:basedOn w:val="DefaultParagraphFont"/>
    <w:rsid w:val="008E5198"/>
  </w:style>
  <w:style w:type="paragraph" w:customStyle="1" w:styleId="titlu">
    <w:name w:val="titlu"/>
    <w:basedOn w:val="Heading1"/>
    <w:link w:val="titluChar"/>
    <w:autoRedefine/>
    <w:qFormat/>
    <w:rsid w:val="0079275D"/>
    <w:pPr>
      <w:pageBreakBefore/>
      <w:widowControl/>
      <w:overflowPunct w:val="0"/>
      <w:spacing w:before="0" w:after="600"/>
      <w:textAlignment w:val="baseline"/>
    </w:pPr>
    <w:rPr>
      <w:rFonts w:ascii="Arial" w:hAnsi="Arial"/>
      <w:bCs w:val="0"/>
      <w:i/>
      <w:kern w:val="0"/>
      <w:sz w:val="22"/>
      <w:szCs w:val="22"/>
      <w:lang w:eastAsia="en-US"/>
    </w:rPr>
  </w:style>
  <w:style w:type="character" w:customStyle="1" w:styleId="titluChar">
    <w:name w:val="titlu Char"/>
    <w:link w:val="titlu"/>
    <w:rsid w:val="0079275D"/>
    <w:rPr>
      <w:rFonts w:ascii="Arial" w:hAnsi="Arial" w:cs="Arial"/>
      <w:b/>
      <w:i/>
      <w:sz w:val="22"/>
      <w:szCs w:val="22"/>
      <w:lang w:eastAsia="en-US"/>
    </w:rPr>
  </w:style>
  <w:style w:type="paragraph" w:customStyle="1" w:styleId="titlu1">
    <w:name w:val="titlu1"/>
    <w:basedOn w:val="Heading2"/>
    <w:link w:val="titlu1Char"/>
    <w:autoRedefine/>
    <w:qFormat/>
    <w:rsid w:val="008E5198"/>
    <w:pPr>
      <w:overflowPunct w:val="0"/>
      <w:autoSpaceDE w:val="0"/>
      <w:autoSpaceDN w:val="0"/>
      <w:adjustRightInd w:val="0"/>
      <w:spacing w:before="80" w:after="80"/>
      <w:textAlignment w:val="baseline"/>
    </w:pPr>
    <w:rPr>
      <w:rFonts w:ascii="Arial" w:hAnsi="Arial"/>
      <w:iCs/>
      <w:sz w:val="22"/>
      <w:szCs w:val="22"/>
      <w:lang w:eastAsia="en-US"/>
    </w:rPr>
  </w:style>
  <w:style w:type="character" w:customStyle="1" w:styleId="titlu1Char">
    <w:name w:val="titlu1 Char"/>
    <w:link w:val="titlu1"/>
    <w:rsid w:val="008E5198"/>
    <w:rPr>
      <w:rFonts w:ascii="Arial" w:hAnsi="Arial" w:cs="Arial"/>
      <w:b/>
      <w:iCs/>
      <w:sz w:val="22"/>
      <w:szCs w:val="22"/>
      <w:lang w:eastAsia="en-US"/>
    </w:rPr>
  </w:style>
  <w:style w:type="paragraph" w:styleId="BodyText3">
    <w:name w:val="Body Text 3"/>
    <w:basedOn w:val="Normal"/>
    <w:link w:val="BodyText3Char"/>
    <w:rsid w:val="002F27AC"/>
    <w:pPr>
      <w:widowControl/>
      <w:autoSpaceDE/>
      <w:autoSpaceDN/>
      <w:adjustRightInd/>
      <w:spacing w:after="120"/>
    </w:pPr>
    <w:rPr>
      <w:sz w:val="16"/>
      <w:szCs w:val="16"/>
    </w:rPr>
  </w:style>
  <w:style w:type="character" w:customStyle="1" w:styleId="BodyText3Char">
    <w:name w:val="Body Text 3 Char"/>
    <w:link w:val="BodyText3"/>
    <w:rsid w:val="002F27AC"/>
    <w:rPr>
      <w:rFonts w:ascii="Times New Roman" w:hAnsi="Times New Roman"/>
      <w:sz w:val="16"/>
      <w:szCs w:val="16"/>
      <w:lang w:val="ro-RO"/>
    </w:rPr>
  </w:style>
  <w:style w:type="character" w:styleId="PlaceholderText">
    <w:name w:val="Placeholder Text"/>
    <w:uiPriority w:val="99"/>
    <w:semiHidden/>
    <w:rsid w:val="002F27AC"/>
    <w:rPr>
      <w:color w:val="808080"/>
    </w:rPr>
  </w:style>
  <w:style w:type="paragraph" w:customStyle="1" w:styleId="ABLOCKPARA">
    <w:name w:val="A BLOCK PARA"/>
    <w:basedOn w:val="Normal"/>
    <w:link w:val="ABLOCKPARAChar"/>
    <w:rsid w:val="002F27AC"/>
    <w:pPr>
      <w:widowControl/>
      <w:autoSpaceDE/>
      <w:autoSpaceDN/>
      <w:adjustRightInd/>
    </w:pPr>
    <w:rPr>
      <w:rFonts w:ascii="Book Antiqua" w:hAnsi="Book Antiqua"/>
      <w:sz w:val="22"/>
    </w:rPr>
  </w:style>
  <w:style w:type="character" w:customStyle="1" w:styleId="ABLOCKPARAChar">
    <w:name w:val="A BLOCK PARA Char"/>
    <w:link w:val="ABLOCKPARA"/>
    <w:locked/>
    <w:rsid w:val="002F27AC"/>
    <w:rPr>
      <w:rFonts w:ascii="Book Antiqua" w:hAnsi="Book Antiqua"/>
      <w:sz w:val="22"/>
      <w:lang w:val="ro-RO"/>
    </w:rPr>
  </w:style>
  <w:style w:type="paragraph" w:customStyle="1" w:styleId="font5">
    <w:name w:val="font5"/>
    <w:basedOn w:val="Normal"/>
    <w:rsid w:val="002F27AC"/>
    <w:pPr>
      <w:widowControl/>
      <w:autoSpaceDE/>
      <w:autoSpaceDN/>
      <w:adjustRightInd/>
      <w:spacing w:before="100" w:beforeAutospacing="1" w:after="100" w:afterAutospacing="1"/>
      <w:jc w:val="both"/>
    </w:pPr>
    <w:rPr>
      <w:rFonts w:eastAsia="Arial Unicode MS"/>
    </w:rPr>
  </w:style>
  <w:style w:type="paragraph" w:customStyle="1" w:styleId="xl34">
    <w:name w:val="xl34"/>
    <w:basedOn w:val="Normal"/>
    <w:rsid w:val="002F27AC"/>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Arial Unicode MS"/>
      <w:sz w:val="24"/>
      <w:szCs w:val="24"/>
    </w:rPr>
  </w:style>
  <w:style w:type="character" w:styleId="FootnoteReference">
    <w:name w:val="footnote reference"/>
    <w:uiPriority w:val="99"/>
    <w:semiHidden/>
    <w:rsid w:val="002F27AC"/>
    <w:rPr>
      <w:vertAlign w:val="superscript"/>
    </w:rPr>
  </w:style>
  <w:style w:type="character" w:customStyle="1" w:styleId="tabletxteygChar">
    <w:name w:val="tabletxt eyg Char"/>
    <w:link w:val="tabletxteyg"/>
    <w:rsid w:val="002F27AC"/>
    <w:rPr>
      <w:rFonts w:ascii="EY Gothic Comp BookPS" w:hAnsi="EY Gothic Comp BookPS"/>
      <w:color w:val="000000"/>
      <w:lang w:val="en-GB"/>
    </w:rPr>
  </w:style>
  <w:style w:type="paragraph" w:customStyle="1" w:styleId="tabletxteyg">
    <w:name w:val="tabletxt eyg"/>
    <w:basedOn w:val="Normal"/>
    <w:link w:val="tabletxteygChar"/>
    <w:rsid w:val="002F27AC"/>
    <w:pPr>
      <w:widowControl/>
      <w:tabs>
        <w:tab w:val="right" w:leader="dot" w:pos="9739"/>
      </w:tabs>
      <w:overflowPunct w:val="0"/>
      <w:spacing w:after="80" w:line="240" w:lineRule="exact"/>
      <w:jc w:val="both"/>
      <w:textAlignment w:val="baseline"/>
    </w:pPr>
    <w:rPr>
      <w:rFonts w:ascii="EY Gothic Comp BookPS" w:hAnsi="EY Gothic Comp BookPS"/>
      <w:color w:val="000000"/>
      <w:lang w:val="en-GB"/>
    </w:rPr>
  </w:style>
  <w:style w:type="paragraph" w:customStyle="1" w:styleId="tabletxtns">
    <w:name w:val="tabletxtns"/>
    <w:basedOn w:val="Normal"/>
    <w:link w:val="tabletxtnsChar"/>
    <w:rsid w:val="002F27AC"/>
    <w:pPr>
      <w:widowControl/>
      <w:overflowPunct w:val="0"/>
      <w:spacing w:before="20" w:line="200" w:lineRule="exact"/>
      <w:jc w:val="both"/>
      <w:textAlignment w:val="baseline"/>
    </w:pPr>
    <w:rPr>
      <w:rFonts w:ascii="EY Gothic Comp BookPS" w:hAnsi="EY Gothic Comp BookPS"/>
      <w:color w:val="000000"/>
      <w:lang w:val="en-GB"/>
    </w:rPr>
  </w:style>
  <w:style w:type="paragraph" w:customStyle="1" w:styleId="tabletxtbluetotal">
    <w:name w:val="tabletxt blue total"/>
    <w:basedOn w:val="Normal"/>
    <w:link w:val="tabletxtbluetotalChar"/>
    <w:rsid w:val="002F27AC"/>
    <w:pPr>
      <w:widowControl/>
      <w:pBdr>
        <w:bottom w:val="double" w:sz="4" w:space="1" w:color="000080"/>
      </w:pBdr>
      <w:tabs>
        <w:tab w:val="decimal" w:pos="782"/>
      </w:tabs>
      <w:overflowPunct w:val="0"/>
      <w:spacing w:before="40" w:after="40" w:line="200" w:lineRule="exact"/>
      <w:jc w:val="both"/>
      <w:textAlignment w:val="baseline"/>
    </w:pPr>
    <w:rPr>
      <w:rFonts w:ascii="EY Gothic Comp BookPS" w:hAnsi="EY Gothic Comp BookPS"/>
      <w:b/>
      <w:color w:val="000080"/>
      <w:lang w:val="en-GB"/>
    </w:rPr>
  </w:style>
  <w:style w:type="character" w:customStyle="1" w:styleId="tabletxtbluetotalChar">
    <w:name w:val="tabletxt blue total Char"/>
    <w:link w:val="tabletxtbluetotal"/>
    <w:rsid w:val="002F27AC"/>
    <w:rPr>
      <w:rFonts w:ascii="EY Gothic Comp BookPS" w:hAnsi="EY Gothic Comp BookPS"/>
      <w:b/>
      <w:color w:val="000080"/>
      <w:lang w:val="en-GB" w:eastAsia="ro-RO"/>
    </w:rPr>
  </w:style>
  <w:style w:type="paragraph" w:customStyle="1" w:styleId="tabletxthdital">
    <w:name w:val="tabletxt hdital"/>
    <w:basedOn w:val="Normal"/>
    <w:rsid w:val="002F27AC"/>
    <w:pPr>
      <w:widowControl/>
      <w:tabs>
        <w:tab w:val="decimal" w:pos="782"/>
      </w:tabs>
      <w:overflowPunct w:val="0"/>
      <w:spacing w:before="20" w:line="200" w:lineRule="exact"/>
      <w:jc w:val="both"/>
      <w:textAlignment w:val="baseline"/>
    </w:pPr>
    <w:rPr>
      <w:rFonts w:ascii="EY Gothic Comp BookPS" w:hAnsi="EY Gothic Comp BookPS"/>
      <w:i/>
      <w:lang w:val="en-GB"/>
    </w:rPr>
  </w:style>
  <w:style w:type="paragraph" w:customStyle="1" w:styleId="tabletxtsubtotal">
    <w:name w:val="tabletxt subtotal"/>
    <w:basedOn w:val="Normal"/>
    <w:rsid w:val="002F27AC"/>
    <w:pPr>
      <w:widowControl/>
      <w:pBdr>
        <w:bottom w:val="single" w:sz="4" w:space="1" w:color="auto"/>
      </w:pBdr>
      <w:tabs>
        <w:tab w:val="decimal" w:pos="782"/>
      </w:tabs>
      <w:overflowPunct w:val="0"/>
      <w:spacing w:line="200" w:lineRule="exact"/>
      <w:jc w:val="both"/>
      <w:textAlignment w:val="baseline"/>
    </w:pPr>
    <w:rPr>
      <w:rFonts w:ascii="EY Gothic Comp BookPS" w:hAnsi="EY Gothic Comp BookPS"/>
      <w:lang w:val="en-GB"/>
    </w:rPr>
  </w:style>
  <w:style w:type="paragraph" w:customStyle="1" w:styleId="tabletxts">
    <w:name w:val="tabletxt #s"/>
    <w:basedOn w:val="Normal"/>
    <w:link w:val="tabletxtsChar"/>
    <w:rsid w:val="002F27AC"/>
    <w:pPr>
      <w:widowControl/>
      <w:tabs>
        <w:tab w:val="decimal" w:pos="778"/>
      </w:tabs>
      <w:overflowPunct w:val="0"/>
      <w:spacing w:before="20" w:line="200" w:lineRule="exact"/>
      <w:jc w:val="both"/>
      <w:textAlignment w:val="baseline"/>
    </w:pPr>
    <w:rPr>
      <w:rFonts w:ascii="EY Gothic Comp BookPS" w:hAnsi="EY Gothic Comp BookPS"/>
      <w:color w:val="000000"/>
      <w:lang w:val="en-GB"/>
    </w:rPr>
  </w:style>
  <w:style w:type="character" w:customStyle="1" w:styleId="tabletxtnsChar">
    <w:name w:val="tabletxtns Char"/>
    <w:link w:val="tabletxtns"/>
    <w:rsid w:val="002F27AC"/>
    <w:rPr>
      <w:rFonts w:ascii="EY Gothic Comp BookPS" w:hAnsi="EY Gothic Comp BookPS"/>
      <w:color w:val="000000"/>
      <w:lang w:val="en-GB" w:eastAsia="ro-RO"/>
    </w:rPr>
  </w:style>
  <w:style w:type="character" w:customStyle="1" w:styleId="tabletxtsChar">
    <w:name w:val="tabletxt #s Char"/>
    <w:link w:val="tabletxts"/>
    <w:rsid w:val="002F27AC"/>
    <w:rPr>
      <w:rFonts w:ascii="EY Gothic Comp BookPS" w:hAnsi="EY Gothic Comp BookPS"/>
      <w:color w:val="000000"/>
      <w:lang w:val="en-GB" w:eastAsia="ro-RO"/>
    </w:rPr>
  </w:style>
  <w:style w:type="character" w:styleId="CommentReference">
    <w:name w:val="annotation reference"/>
    <w:uiPriority w:val="99"/>
    <w:semiHidden/>
    <w:rsid w:val="002F27AC"/>
    <w:rPr>
      <w:sz w:val="16"/>
      <w:szCs w:val="16"/>
    </w:rPr>
  </w:style>
  <w:style w:type="table" w:styleId="TableProfessional">
    <w:name w:val="Table Professional"/>
    <w:basedOn w:val="TableNormal"/>
    <w:rsid w:val="002F27AC"/>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paragraf1">
    <w:name w:val="paragraf1"/>
    <w:rsid w:val="002F27AC"/>
    <w:rPr>
      <w:shd w:val="clear" w:color="auto" w:fill="auto"/>
    </w:rPr>
  </w:style>
  <w:style w:type="paragraph" w:styleId="Revision">
    <w:name w:val="Revision"/>
    <w:hidden/>
    <w:uiPriority w:val="99"/>
    <w:semiHidden/>
    <w:rsid w:val="002F27AC"/>
    <w:pPr>
      <w:spacing w:after="160" w:line="252" w:lineRule="auto"/>
      <w:jc w:val="both"/>
    </w:pPr>
    <w:rPr>
      <w:rFonts w:ascii="Times New Roman" w:hAnsi="Times New Roman"/>
      <w:sz w:val="24"/>
      <w:szCs w:val="24"/>
      <w:lang w:val="en-US" w:eastAsia="en-US"/>
    </w:rPr>
  </w:style>
  <w:style w:type="paragraph" w:customStyle="1" w:styleId="AcctBody16Col">
    <w:name w:val="AcctBody 16 Col"/>
    <w:basedOn w:val="Normal"/>
    <w:rsid w:val="002F27AC"/>
    <w:pPr>
      <w:tabs>
        <w:tab w:val="left" w:pos="1531"/>
        <w:tab w:val="decimal" w:pos="4762"/>
        <w:tab w:val="decimal" w:pos="5613"/>
        <w:tab w:val="decimal" w:pos="6463"/>
        <w:tab w:val="decimal" w:pos="7313"/>
        <w:tab w:val="decimal" w:pos="8164"/>
        <w:tab w:val="decimal" w:pos="9014"/>
        <w:tab w:val="decimal" w:pos="9865"/>
        <w:tab w:val="decimal" w:pos="10715"/>
        <w:tab w:val="decimal" w:pos="11509"/>
        <w:tab w:val="decimal" w:pos="12416"/>
        <w:tab w:val="decimal" w:pos="13266"/>
        <w:tab w:val="decimal" w:pos="14117"/>
      </w:tabs>
      <w:spacing w:line="260" w:lineRule="atLeast"/>
      <w:jc w:val="both"/>
      <w:textAlignment w:val="center"/>
    </w:pPr>
    <w:rPr>
      <w:rFonts w:ascii="Univers 45 Light" w:hAnsi="Univers 45 Light" w:cs="Univers 45 Light"/>
      <w:color w:val="000000"/>
      <w:lang w:val="en-GB"/>
    </w:rPr>
  </w:style>
  <w:style w:type="paragraph" w:customStyle="1" w:styleId="AccountingPolicy">
    <w:name w:val="Accounting Policy"/>
    <w:basedOn w:val="Normal"/>
    <w:rsid w:val="002F27AC"/>
    <w:pPr>
      <w:tabs>
        <w:tab w:val="left" w:pos="1531"/>
        <w:tab w:val="left" w:pos="1871"/>
      </w:tabs>
      <w:suppressAutoHyphens/>
      <w:spacing w:line="260" w:lineRule="atLeast"/>
      <w:ind w:left="1531" w:hanging="1531"/>
      <w:jc w:val="both"/>
      <w:textAlignment w:val="center"/>
    </w:pPr>
    <w:rPr>
      <w:rFonts w:ascii="Univers 45 Light" w:hAnsi="Univers 45 Light" w:cs="Univers 45 Light"/>
      <w:color w:val="000000"/>
      <w:lang w:val="en-GB"/>
    </w:rPr>
  </w:style>
  <w:style w:type="paragraph" w:customStyle="1" w:styleId="AcctBody6Col">
    <w:name w:val="Acct Body 6 Col"/>
    <w:basedOn w:val="AcctBody16Col"/>
    <w:next w:val="AcctBody16Col"/>
    <w:rsid w:val="002F27AC"/>
  </w:style>
  <w:style w:type="paragraph" w:customStyle="1" w:styleId="Subhead3">
    <w:name w:val="Subhead 3"/>
    <w:basedOn w:val="Normal"/>
    <w:rsid w:val="002F27AC"/>
    <w:pPr>
      <w:tabs>
        <w:tab w:val="left" w:pos="1134"/>
        <w:tab w:val="left" w:pos="1531"/>
        <w:tab w:val="left" w:pos="1871"/>
      </w:tabs>
      <w:suppressAutoHyphens/>
      <w:spacing w:line="260" w:lineRule="atLeast"/>
      <w:ind w:left="1531" w:right="935" w:hanging="1531"/>
      <w:jc w:val="both"/>
      <w:textAlignment w:val="center"/>
    </w:pPr>
    <w:rPr>
      <w:rFonts w:ascii="Univers 45 Light" w:hAnsi="Univers 45 Light" w:cs="Univers 45 Light"/>
      <w:b/>
      <w:bCs/>
      <w:color w:val="0C2D83"/>
      <w:lang w:val="en-GB"/>
    </w:rPr>
  </w:style>
  <w:style w:type="character" w:customStyle="1" w:styleId="Reference">
    <w:name w:val="Reference"/>
    <w:rsid w:val="002F27AC"/>
    <w:rPr>
      <w:rFonts w:ascii="Univers 45 Light" w:hAnsi="Univers 45 Light"/>
      <w:i/>
      <w:color w:val="0C2D83"/>
      <w:sz w:val="16"/>
    </w:rPr>
  </w:style>
  <w:style w:type="paragraph" w:customStyle="1" w:styleId="Subhead4">
    <w:name w:val="Subhead 4"/>
    <w:basedOn w:val="Normal"/>
    <w:rsid w:val="002F27AC"/>
    <w:pPr>
      <w:tabs>
        <w:tab w:val="left" w:pos="1134"/>
        <w:tab w:val="left" w:pos="1531"/>
        <w:tab w:val="left" w:pos="1871"/>
      </w:tabs>
      <w:suppressAutoHyphens/>
      <w:spacing w:line="260" w:lineRule="atLeast"/>
      <w:ind w:left="1531" w:right="935" w:hanging="1531"/>
      <w:jc w:val="both"/>
      <w:textAlignment w:val="center"/>
    </w:pPr>
    <w:rPr>
      <w:rFonts w:ascii="Univers 45 Light" w:hAnsi="Univers 45 Light" w:cs="Univers 45 Light"/>
      <w:b/>
      <w:bCs/>
      <w:color w:val="808EC8"/>
      <w:lang w:val="en-GB"/>
    </w:rPr>
  </w:style>
  <w:style w:type="character" w:customStyle="1" w:styleId="Footnote">
    <w:name w:val="Footnote"/>
    <w:rsid w:val="002F27AC"/>
    <w:rPr>
      <w:rFonts w:ascii="Univers 45 Light" w:hAnsi="Univers 45 Light"/>
      <w:color w:val="0C2D83"/>
      <w:position w:val="2"/>
      <w:sz w:val="20"/>
      <w:vertAlign w:val="superscript"/>
    </w:rPr>
  </w:style>
  <w:style w:type="paragraph" w:customStyle="1" w:styleId="zcompanyname">
    <w:name w:val="zcompany name"/>
    <w:basedOn w:val="Normal"/>
    <w:semiHidden/>
    <w:rsid w:val="002F27AC"/>
    <w:pPr>
      <w:widowControl/>
      <w:autoSpaceDE/>
      <w:autoSpaceDN/>
      <w:adjustRightInd/>
      <w:spacing w:after="400" w:line="440" w:lineRule="exact"/>
      <w:jc w:val="center"/>
    </w:pPr>
    <w:rPr>
      <w:b/>
      <w:sz w:val="26"/>
    </w:rPr>
  </w:style>
  <w:style w:type="numbering" w:customStyle="1" w:styleId="Style1">
    <w:name w:val="Style1"/>
    <w:uiPriority w:val="99"/>
    <w:rsid w:val="002F27AC"/>
    <w:pPr>
      <w:numPr>
        <w:numId w:val="2"/>
      </w:numPr>
    </w:pPr>
  </w:style>
  <w:style w:type="character" w:customStyle="1" w:styleId="ln2talineat">
    <w:name w:val="ln2talineat"/>
    <w:rsid w:val="002F27AC"/>
  </w:style>
  <w:style w:type="character" w:customStyle="1" w:styleId="ln2alineat1">
    <w:name w:val="ln2alineat1"/>
    <w:rsid w:val="002F27AC"/>
    <w:rPr>
      <w:b/>
      <w:bCs/>
      <w:color w:val="74929F"/>
    </w:rPr>
  </w:style>
  <w:style w:type="character" w:customStyle="1" w:styleId="ln2paragraf1">
    <w:name w:val="ln2paragraf1"/>
    <w:rsid w:val="002F27AC"/>
    <w:rPr>
      <w:b/>
      <w:bCs/>
    </w:rPr>
  </w:style>
  <w:style w:type="character" w:customStyle="1" w:styleId="ln2tparagraf">
    <w:name w:val="ln2tparagraf"/>
    <w:rsid w:val="002F27AC"/>
  </w:style>
  <w:style w:type="character" w:customStyle="1" w:styleId="ln2punct1">
    <w:name w:val="ln2punct1"/>
    <w:rsid w:val="002F27AC"/>
    <w:rPr>
      <w:b/>
      <w:bCs/>
      <w:color w:val="008F00"/>
    </w:rPr>
  </w:style>
  <w:style w:type="character" w:customStyle="1" w:styleId="ln2tpunct">
    <w:name w:val="ln2tpunct"/>
    <w:rsid w:val="002F27AC"/>
  </w:style>
  <w:style w:type="character" w:customStyle="1" w:styleId="ln2tnota1">
    <w:name w:val="ln2tnota1"/>
    <w:rsid w:val="002F27AC"/>
    <w:rPr>
      <w:rFonts w:ascii="Verdana" w:hAnsi="Verdana" w:hint="default"/>
    </w:rPr>
  </w:style>
  <w:style w:type="character" w:customStyle="1" w:styleId="ln2litera1">
    <w:name w:val="ln2litera1"/>
    <w:rsid w:val="002F27AC"/>
    <w:rPr>
      <w:b/>
      <w:bCs/>
      <w:color w:val="00008F"/>
    </w:rPr>
  </w:style>
  <w:style w:type="character" w:customStyle="1" w:styleId="ln2tlitera">
    <w:name w:val="ln2tlitera"/>
    <w:rsid w:val="002F27AC"/>
  </w:style>
  <w:style w:type="character" w:customStyle="1" w:styleId="ln2linie">
    <w:name w:val="ln2linie"/>
    <w:rsid w:val="002F27AC"/>
  </w:style>
  <w:style w:type="character" w:customStyle="1" w:styleId="ln2tlinie">
    <w:name w:val="ln2tlinie"/>
    <w:rsid w:val="002F27AC"/>
  </w:style>
  <w:style w:type="paragraph" w:styleId="Quote">
    <w:name w:val="Quote"/>
    <w:basedOn w:val="Normal"/>
    <w:next w:val="Normal"/>
    <w:link w:val="QuoteChar"/>
    <w:uiPriority w:val="29"/>
    <w:qFormat/>
    <w:rsid w:val="002F27AC"/>
    <w:pPr>
      <w:widowControl/>
      <w:autoSpaceDE/>
      <w:autoSpaceDN/>
      <w:adjustRightInd/>
      <w:spacing w:before="200" w:after="160" w:line="264" w:lineRule="auto"/>
      <w:ind w:left="864" w:right="864"/>
      <w:jc w:val="center"/>
    </w:pPr>
    <w:rPr>
      <w:rFonts w:ascii="Calibri Light" w:eastAsia="SimSun" w:hAnsi="Calibri Light"/>
      <w:i/>
      <w:iCs/>
      <w:sz w:val="24"/>
      <w:szCs w:val="24"/>
    </w:rPr>
  </w:style>
  <w:style w:type="character" w:customStyle="1" w:styleId="QuoteChar">
    <w:name w:val="Quote Char"/>
    <w:link w:val="Quote"/>
    <w:uiPriority w:val="29"/>
    <w:rsid w:val="002F27AC"/>
    <w:rPr>
      <w:rFonts w:ascii="Calibri Light" w:eastAsia="SimSun" w:hAnsi="Calibri Light"/>
      <w:i/>
      <w:iCs/>
      <w:sz w:val="24"/>
      <w:szCs w:val="24"/>
      <w:lang w:val="ro-RO" w:eastAsia="ro-RO"/>
    </w:rPr>
  </w:style>
  <w:style w:type="paragraph" w:styleId="IntenseQuote">
    <w:name w:val="Intense Quote"/>
    <w:basedOn w:val="Normal"/>
    <w:next w:val="Normal"/>
    <w:link w:val="IntenseQuoteChar"/>
    <w:uiPriority w:val="30"/>
    <w:qFormat/>
    <w:rsid w:val="002F27AC"/>
    <w:pPr>
      <w:widowControl/>
      <w:autoSpaceDE/>
      <w:autoSpaceDN/>
      <w:adjustRightInd/>
      <w:spacing w:before="100" w:beforeAutospacing="1" w:after="240" w:line="252" w:lineRule="auto"/>
      <w:ind w:left="936" w:right="936"/>
      <w:jc w:val="center"/>
    </w:pPr>
    <w:rPr>
      <w:rFonts w:ascii="Calibri Light" w:eastAsia="SimSun" w:hAnsi="Calibri Light"/>
      <w:sz w:val="26"/>
      <w:szCs w:val="26"/>
    </w:rPr>
  </w:style>
  <w:style w:type="character" w:customStyle="1" w:styleId="IntenseQuoteChar">
    <w:name w:val="Intense Quote Char"/>
    <w:link w:val="IntenseQuote"/>
    <w:uiPriority w:val="30"/>
    <w:rsid w:val="002F27AC"/>
    <w:rPr>
      <w:rFonts w:ascii="Calibri Light" w:eastAsia="SimSun" w:hAnsi="Calibri Light"/>
      <w:sz w:val="26"/>
      <w:szCs w:val="26"/>
      <w:lang w:val="ro-RO" w:eastAsia="ro-RO"/>
    </w:rPr>
  </w:style>
  <w:style w:type="character" w:styleId="SubtleEmphasis">
    <w:name w:val="Subtle Emphasis"/>
    <w:uiPriority w:val="19"/>
    <w:qFormat/>
    <w:rsid w:val="002F27AC"/>
    <w:rPr>
      <w:i/>
      <w:iCs/>
      <w:color w:val="auto"/>
    </w:rPr>
  </w:style>
  <w:style w:type="character" w:styleId="IntenseEmphasis">
    <w:name w:val="Intense Emphasis"/>
    <w:uiPriority w:val="21"/>
    <w:qFormat/>
    <w:rsid w:val="002F27AC"/>
    <w:rPr>
      <w:b/>
      <w:bCs/>
      <w:i/>
      <w:iCs/>
      <w:color w:val="auto"/>
    </w:rPr>
  </w:style>
  <w:style w:type="character" w:styleId="SubtleReference">
    <w:name w:val="Subtle Reference"/>
    <w:uiPriority w:val="31"/>
    <w:qFormat/>
    <w:rsid w:val="002F27AC"/>
    <w:rPr>
      <w:smallCaps/>
      <w:color w:val="auto"/>
      <w:u w:val="single" w:color="7F7F7F"/>
    </w:rPr>
  </w:style>
  <w:style w:type="character" w:styleId="IntenseReference">
    <w:name w:val="Intense Reference"/>
    <w:uiPriority w:val="32"/>
    <w:qFormat/>
    <w:rsid w:val="002F27AC"/>
    <w:rPr>
      <w:b/>
      <w:bCs/>
      <w:smallCaps/>
      <w:color w:val="auto"/>
      <w:u w:val="single"/>
    </w:rPr>
  </w:style>
  <w:style w:type="character" w:styleId="BookTitle">
    <w:name w:val="Book Title"/>
    <w:uiPriority w:val="33"/>
    <w:qFormat/>
    <w:rsid w:val="002F27AC"/>
    <w:rPr>
      <w:b/>
      <w:bCs/>
      <w:smallCaps/>
      <w:color w:val="auto"/>
    </w:rPr>
  </w:style>
  <w:style w:type="paragraph" w:styleId="TOCHeading">
    <w:name w:val="TOC Heading"/>
    <w:basedOn w:val="Heading1"/>
    <w:next w:val="Normal"/>
    <w:uiPriority w:val="39"/>
    <w:semiHidden/>
    <w:unhideWhenUsed/>
    <w:qFormat/>
    <w:rsid w:val="002F27AC"/>
    <w:pPr>
      <w:keepLines/>
      <w:widowControl/>
      <w:autoSpaceDE/>
      <w:autoSpaceDN/>
      <w:adjustRightInd/>
      <w:spacing w:before="320" w:after="40" w:line="252" w:lineRule="auto"/>
      <w:jc w:val="both"/>
      <w:outlineLvl w:val="9"/>
    </w:pPr>
    <w:rPr>
      <w:rFonts w:ascii="Calibri Light" w:eastAsia="SimSun" w:hAnsi="Calibri Light"/>
      <w:caps/>
      <w:spacing w:val="4"/>
      <w:kern w:val="0"/>
      <w:sz w:val="28"/>
      <w:szCs w:val="28"/>
    </w:rPr>
  </w:style>
  <w:style w:type="paragraph" w:customStyle="1" w:styleId="BodytextChar0">
    <w:name w:val="Body text Char"/>
    <w:link w:val="BodytextCharChar"/>
    <w:rsid w:val="002F27AC"/>
    <w:pPr>
      <w:tabs>
        <w:tab w:val="left" w:pos="397"/>
      </w:tabs>
      <w:autoSpaceDE w:val="0"/>
      <w:autoSpaceDN w:val="0"/>
      <w:adjustRightInd w:val="0"/>
      <w:spacing w:line="260" w:lineRule="atLeast"/>
    </w:pPr>
    <w:rPr>
      <w:rFonts w:ascii="Univers 45 Light" w:hAnsi="Univers 45 Light" w:cs="Univers 45 Light"/>
      <w:color w:val="000000"/>
      <w:lang w:val="en-NZ" w:eastAsia="en-NZ"/>
    </w:rPr>
  </w:style>
  <w:style w:type="character" w:customStyle="1" w:styleId="BodytextCharChar">
    <w:name w:val="Body text Char Char"/>
    <w:link w:val="BodytextChar0"/>
    <w:rsid w:val="002F27AC"/>
    <w:rPr>
      <w:rFonts w:ascii="Univers 45 Light" w:hAnsi="Univers 45 Light" w:cs="Univers 45 Light"/>
      <w:color w:val="000000"/>
      <w:lang w:val="en-NZ" w:eastAsia="en-NZ" w:bidi="ar-SA"/>
    </w:rPr>
  </w:style>
  <w:style w:type="paragraph" w:customStyle="1" w:styleId="BodytextChar3">
    <w:name w:val="Body text Char3"/>
    <w:link w:val="BodytextCharChar2"/>
    <w:rsid w:val="002F27AC"/>
    <w:pPr>
      <w:tabs>
        <w:tab w:val="left" w:pos="397"/>
      </w:tabs>
      <w:autoSpaceDE w:val="0"/>
      <w:autoSpaceDN w:val="0"/>
      <w:adjustRightInd w:val="0"/>
      <w:spacing w:line="260" w:lineRule="atLeast"/>
    </w:pPr>
    <w:rPr>
      <w:rFonts w:ascii="Univers 45 Light" w:hAnsi="Univers 45 Light" w:cs="Univers 45 Light"/>
      <w:color w:val="000000"/>
      <w:lang w:val="en-NZ" w:eastAsia="en-NZ"/>
    </w:rPr>
  </w:style>
  <w:style w:type="character" w:customStyle="1" w:styleId="BodytextCharChar2">
    <w:name w:val="Body text Char Char2"/>
    <w:link w:val="BodytextChar3"/>
    <w:rsid w:val="002F27AC"/>
    <w:rPr>
      <w:rFonts w:ascii="Univers 45 Light" w:hAnsi="Univers 45 Light" w:cs="Univers 45 Light"/>
      <w:color w:val="000000"/>
      <w:lang w:val="en-NZ" w:eastAsia="en-NZ" w:bidi="ar-SA"/>
    </w:rPr>
  </w:style>
  <w:style w:type="paragraph" w:customStyle="1" w:styleId="ColumnHeading">
    <w:name w:val="Column Heading"/>
    <w:basedOn w:val="AcctBody6Col"/>
    <w:link w:val="ColumnHeadingChar"/>
    <w:rsid w:val="002F27AC"/>
    <w:pPr>
      <w:widowControl/>
      <w:tabs>
        <w:tab w:val="clear" w:pos="1531"/>
        <w:tab w:val="clear" w:pos="4762"/>
        <w:tab w:val="clear" w:pos="5613"/>
        <w:tab w:val="clear" w:pos="6463"/>
        <w:tab w:val="clear" w:pos="7313"/>
        <w:tab w:val="clear" w:pos="8164"/>
        <w:tab w:val="clear" w:pos="9014"/>
        <w:tab w:val="clear" w:pos="9865"/>
        <w:tab w:val="clear" w:pos="10715"/>
        <w:tab w:val="clear" w:pos="11509"/>
        <w:tab w:val="clear" w:pos="12416"/>
        <w:tab w:val="clear" w:pos="13266"/>
        <w:tab w:val="clear" w:pos="14117"/>
        <w:tab w:val="decimal" w:pos="737"/>
      </w:tabs>
      <w:spacing w:line="240" w:lineRule="exact"/>
      <w:jc w:val="left"/>
      <w:textAlignment w:val="auto"/>
    </w:pPr>
    <w:rPr>
      <w:rFonts w:cs="Times New Roman"/>
      <w:b/>
      <w:bCs/>
      <w:spacing w:val="-6"/>
      <w:sz w:val="16"/>
      <w:szCs w:val="16"/>
      <w:lang w:val="en-NZ" w:eastAsia="en-NZ"/>
    </w:rPr>
  </w:style>
  <w:style w:type="character" w:customStyle="1" w:styleId="ColumnHeadingChar">
    <w:name w:val="Column Heading Char"/>
    <w:link w:val="ColumnHeading"/>
    <w:rsid w:val="002F27AC"/>
    <w:rPr>
      <w:rFonts w:ascii="Univers 45 Light" w:hAnsi="Univers 45 Light" w:cs="Univers 45 Light"/>
      <w:b/>
      <w:bCs/>
      <w:color w:val="000000"/>
      <w:spacing w:val="-6"/>
      <w:sz w:val="16"/>
      <w:szCs w:val="16"/>
      <w:lang w:val="en-NZ" w:eastAsia="en-NZ"/>
    </w:rPr>
  </w:style>
  <w:style w:type="paragraph" w:customStyle="1" w:styleId="AccountHD1">
    <w:name w:val="AccountHD1"/>
    <w:basedOn w:val="Normal"/>
    <w:next w:val="Normal"/>
    <w:link w:val="AccountHD1Char"/>
    <w:rsid w:val="002F27AC"/>
    <w:pPr>
      <w:widowControl/>
      <w:tabs>
        <w:tab w:val="decimal" w:pos="1134"/>
      </w:tabs>
      <w:spacing w:line="260" w:lineRule="atLeast"/>
    </w:pPr>
    <w:rPr>
      <w:rFonts w:ascii="Univers 45 Light" w:hAnsi="Univers 45 Light"/>
      <w:b/>
      <w:bCs/>
      <w:sz w:val="16"/>
      <w:szCs w:val="17"/>
      <w:lang w:eastAsia="en-NZ"/>
    </w:rPr>
  </w:style>
  <w:style w:type="character" w:customStyle="1" w:styleId="AccountHD1Char">
    <w:name w:val="AccountHD1 Char"/>
    <w:link w:val="AccountHD1"/>
    <w:rsid w:val="002F27AC"/>
    <w:rPr>
      <w:rFonts w:ascii="Univers 45 Light" w:hAnsi="Univers 45 Light" w:cs="Univers 45 Light"/>
      <w:b/>
      <w:bCs/>
      <w:sz w:val="16"/>
      <w:szCs w:val="17"/>
      <w:lang w:val="ro-RO" w:eastAsia="en-NZ"/>
    </w:rPr>
  </w:style>
  <w:style w:type="paragraph" w:customStyle="1" w:styleId="AcctBody2Col">
    <w:name w:val="Acct Body 2 Col"/>
    <w:basedOn w:val="Normal"/>
    <w:rsid w:val="002F27AC"/>
    <w:pPr>
      <w:widowControl/>
      <w:tabs>
        <w:tab w:val="decimal" w:pos="1134"/>
      </w:tabs>
      <w:spacing w:line="260" w:lineRule="atLeast"/>
    </w:pPr>
    <w:rPr>
      <w:rFonts w:ascii="Univers 45 Light" w:hAnsi="Univers 45 Light" w:cs="Univers 45 Light"/>
      <w:lang w:eastAsia="en-NZ"/>
    </w:rPr>
  </w:style>
  <w:style w:type="paragraph" w:customStyle="1" w:styleId="AccountingPolicySpreads">
    <w:name w:val="Accounting Policy (Spreads)"/>
    <w:basedOn w:val="Normal"/>
    <w:uiPriority w:val="99"/>
    <w:rsid w:val="002F27AC"/>
    <w:pPr>
      <w:tabs>
        <w:tab w:val="left" w:pos="1701"/>
        <w:tab w:val="left" w:pos="2041"/>
      </w:tabs>
      <w:suppressAutoHyphens/>
      <w:spacing w:after="120" w:line="240" w:lineRule="atLeast"/>
      <w:ind w:left="1701" w:hanging="1701"/>
      <w:textAlignment w:val="center"/>
    </w:pPr>
    <w:rPr>
      <w:rFonts w:ascii="Univers 45 Light" w:eastAsia="PMingLiU" w:hAnsi="Univers 45 Light" w:cs="Univers 45 Light"/>
      <w:color w:val="000000"/>
      <w:sz w:val="19"/>
      <w:szCs w:val="19"/>
      <w:lang w:val="en-GB" w:eastAsia="en-NZ"/>
    </w:rPr>
  </w:style>
  <w:style w:type="character" w:customStyle="1" w:styleId="st">
    <w:name w:val="st"/>
    <w:basedOn w:val="DefaultParagraphFont"/>
    <w:rsid w:val="009B4755"/>
  </w:style>
  <w:style w:type="paragraph" w:customStyle="1" w:styleId="xmsonormal">
    <w:name w:val="x_msonormal"/>
    <w:basedOn w:val="Normal"/>
    <w:uiPriority w:val="99"/>
    <w:rsid w:val="0025400A"/>
    <w:pPr>
      <w:widowControl/>
      <w:autoSpaceDE/>
      <w:autoSpaceDN/>
      <w:adjustRightInd/>
      <w:spacing w:before="100" w:beforeAutospacing="1" w:after="100" w:afterAutospacing="1"/>
    </w:pPr>
    <w:rPr>
      <w:sz w:val="24"/>
      <w:szCs w:val="24"/>
    </w:rPr>
  </w:style>
  <w:style w:type="character" w:customStyle="1" w:styleId="Bodytext30">
    <w:name w:val="Body text (3)_"/>
    <w:link w:val="Bodytext31"/>
    <w:rsid w:val="0003089C"/>
    <w:rPr>
      <w:rFonts w:cs="Calibri"/>
      <w:b/>
      <w:bCs/>
      <w:shd w:val="clear" w:color="auto" w:fill="FFFFFF"/>
    </w:rPr>
  </w:style>
  <w:style w:type="paragraph" w:customStyle="1" w:styleId="Bodytext31">
    <w:name w:val="Body text (3)"/>
    <w:basedOn w:val="Normal"/>
    <w:link w:val="Bodytext30"/>
    <w:rsid w:val="0003089C"/>
    <w:pPr>
      <w:shd w:val="clear" w:color="auto" w:fill="FFFFFF"/>
      <w:autoSpaceDE/>
      <w:autoSpaceDN/>
      <w:adjustRightInd/>
      <w:spacing w:line="0" w:lineRule="atLeast"/>
    </w:pPr>
    <w:rPr>
      <w:rFonts w:ascii="Calibri" w:hAnsi="Calibri"/>
      <w:b/>
      <w:bCs/>
    </w:rPr>
  </w:style>
  <w:style w:type="character" w:customStyle="1" w:styleId="apple-converted-space">
    <w:name w:val="apple-converted-space"/>
    <w:basedOn w:val="DefaultParagraphFont"/>
    <w:rsid w:val="00C36ED4"/>
  </w:style>
  <w:style w:type="character" w:customStyle="1" w:styleId="ListParagraphChar">
    <w:name w:val="List Paragraph Char"/>
    <w:link w:val="ListParagraph"/>
    <w:uiPriority w:val="34"/>
    <w:rsid w:val="005200DF"/>
    <w:rPr>
      <w:rFonts w:eastAsia="Calibri"/>
      <w:sz w:val="22"/>
      <w:szCs w:val="22"/>
      <w:lang w:val="ro-RO"/>
    </w:rPr>
  </w:style>
  <w:style w:type="character" w:customStyle="1" w:styleId="FootnoteTextChar1">
    <w:name w:val="Footnote Text Char1"/>
    <w:basedOn w:val="DefaultParagraphFont"/>
    <w:uiPriority w:val="99"/>
    <w:semiHidden/>
    <w:rsid w:val="00754358"/>
    <w:rPr>
      <w:sz w:val="20"/>
      <w:szCs w:val="20"/>
    </w:rPr>
  </w:style>
  <w:style w:type="character" w:customStyle="1" w:styleId="EndnoteTextChar1">
    <w:name w:val="Endnote Text Char1"/>
    <w:basedOn w:val="DefaultParagraphFont"/>
    <w:uiPriority w:val="99"/>
    <w:semiHidden/>
    <w:rsid w:val="00754358"/>
    <w:rPr>
      <w:sz w:val="20"/>
      <w:szCs w:val="20"/>
    </w:rPr>
  </w:style>
  <w:style w:type="character" w:customStyle="1" w:styleId="CommentTextChar1">
    <w:name w:val="Comment Text Char1"/>
    <w:basedOn w:val="DefaultParagraphFont"/>
    <w:uiPriority w:val="99"/>
    <w:semiHidden/>
    <w:rsid w:val="00754358"/>
    <w:rPr>
      <w:sz w:val="20"/>
      <w:szCs w:val="20"/>
    </w:rPr>
  </w:style>
  <w:style w:type="character" w:customStyle="1" w:styleId="DocumentMapChar1">
    <w:name w:val="Document Map Char1"/>
    <w:basedOn w:val="DefaultParagraphFont"/>
    <w:uiPriority w:val="99"/>
    <w:semiHidden/>
    <w:rsid w:val="00754358"/>
    <w:rPr>
      <w:rFonts w:ascii="Segoe UI" w:hAnsi="Segoe UI" w:cs="Segoe UI"/>
      <w:sz w:val="16"/>
      <w:szCs w:val="16"/>
    </w:rPr>
  </w:style>
  <w:style w:type="character" w:customStyle="1" w:styleId="MacroTextChar1">
    <w:name w:val="Macro Text Char1"/>
    <w:basedOn w:val="DefaultParagraphFont"/>
    <w:uiPriority w:val="99"/>
    <w:semiHidden/>
    <w:rsid w:val="00754358"/>
    <w:rPr>
      <w:rFonts w:ascii="Consolas" w:hAnsi="Consolas"/>
      <w:sz w:val="20"/>
      <w:szCs w:val="20"/>
    </w:rPr>
  </w:style>
  <w:style w:type="character" w:customStyle="1" w:styleId="CommentSubjectChar1">
    <w:name w:val="Comment Subject Char1"/>
    <w:basedOn w:val="CommentTextChar1"/>
    <w:uiPriority w:val="99"/>
    <w:semiHidden/>
    <w:rsid w:val="00754358"/>
    <w:rPr>
      <w:b/>
      <w:bCs/>
      <w:sz w:val="20"/>
      <w:szCs w:val="20"/>
    </w:rPr>
  </w:style>
  <w:style w:type="paragraph" w:customStyle="1" w:styleId="CharChar0">
    <w:name w:val="Char Char"/>
    <w:basedOn w:val="Normal"/>
    <w:rsid w:val="00205157"/>
    <w:pPr>
      <w:widowControl/>
      <w:autoSpaceDE/>
      <w:autoSpaceDN/>
      <w:adjustRightInd/>
      <w:spacing w:after="160" w:line="240" w:lineRule="exact"/>
    </w:pPr>
    <w:rPr>
      <w:rFonts w:ascii="Verdana" w:hAnsi="Verdana" w:cs="Verdana"/>
      <w:lang w:val="en-US" w:eastAsia="en-US"/>
    </w:rPr>
  </w:style>
  <w:style w:type="paragraph" w:customStyle="1" w:styleId="CharChar1CharCharCharCharCharCharCharCharCharCharChar1">
    <w:name w:val="Char Char1 Char Char Char Char Char Char Char Char Char Char Char"/>
    <w:basedOn w:val="Normal"/>
    <w:rsid w:val="00170C8B"/>
    <w:pPr>
      <w:widowControl/>
      <w:autoSpaceDE/>
      <w:autoSpaceDN/>
      <w:adjustRightInd/>
      <w:spacing w:after="160" w:line="240" w:lineRule="exact"/>
    </w:pPr>
    <w:rPr>
      <w:rFonts w:ascii="Verdana" w:hAnsi="Verdana"/>
      <w:lang w:val="en-US"/>
    </w:rPr>
  </w:style>
  <w:style w:type="paragraph" w:customStyle="1" w:styleId="CaracterCaracterCharCharCaracterCaracterCharCharCaracterCaracterCharCharCaracterCaracterCharChar0">
    <w:name w:val="Caracter Caracter Char Char Caracter Caracter Char Char Caracter Caracter Char Char Caracter Caracter Char Char"/>
    <w:basedOn w:val="Normal"/>
    <w:rsid w:val="00170C8B"/>
    <w:pPr>
      <w:widowControl/>
      <w:autoSpaceDE/>
      <w:autoSpaceDN/>
      <w:adjustRightInd/>
    </w:pPr>
    <w:rPr>
      <w:sz w:val="24"/>
      <w:szCs w:val="24"/>
      <w:lang w:val="pl-PL" w:eastAsia="pl-PL"/>
    </w:rPr>
  </w:style>
  <w:style w:type="paragraph" w:customStyle="1" w:styleId="CharCharCaracterCaracter0">
    <w:name w:val="Char Char Caracter Caracter"/>
    <w:basedOn w:val="Normal"/>
    <w:rsid w:val="00170C8B"/>
    <w:pPr>
      <w:widowControl/>
      <w:autoSpaceDE/>
      <w:autoSpaceDN/>
      <w:adjustRightInd/>
      <w:spacing w:after="160" w:line="240" w:lineRule="exact"/>
    </w:pPr>
    <w:rPr>
      <w:rFonts w:ascii="Verdana" w:hAnsi="Verdana" w:cs="Verdana"/>
      <w:lang w:val="en-US" w:eastAsia="en-US"/>
    </w:rPr>
  </w:style>
  <w:style w:type="paragraph" w:customStyle="1" w:styleId="CharChar1">
    <w:name w:val="Char Char"/>
    <w:basedOn w:val="Normal"/>
    <w:rsid w:val="00170C8B"/>
    <w:pPr>
      <w:widowControl/>
      <w:autoSpaceDE/>
      <w:autoSpaceDN/>
      <w:adjustRightInd/>
      <w:spacing w:after="160" w:line="240" w:lineRule="exact"/>
    </w:pPr>
    <w:rPr>
      <w:rFonts w:ascii="Verdana" w:hAnsi="Verdana" w:cs="Verdana"/>
      <w:lang w:val="en-US" w:eastAsia="en-US"/>
    </w:rPr>
  </w:style>
  <w:style w:type="paragraph" w:customStyle="1" w:styleId="xmsolistparagraph">
    <w:name w:val="x_msolistparagraph"/>
    <w:basedOn w:val="Normal"/>
    <w:rsid w:val="00170C8B"/>
    <w:pPr>
      <w:widowControl/>
      <w:autoSpaceDE/>
      <w:autoSpaceDN/>
      <w:adjustRightInd/>
      <w:spacing w:before="100" w:beforeAutospacing="1" w:after="100" w:afterAutospacing="1"/>
    </w:pPr>
    <w:rPr>
      <w:sz w:val="24"/>
      <w:szCs w:val="24"/>
    </w:rPr>
  </w:style>
  <w:style w:type="paragraph" w:customStyle="1" w:styleId="CharChar2">
    <w:name w:val="Char Char"/>
    <w:basedOn w:val="Normal"/>
    <w:rsid w:val="00E04104"/>
    <w:pPr>
      <w:widowControl/>
      <w:autoSpaceDE/>
      <w:autoSpaceDN/>
      <w:adjustRightInd/>
      <w:spacing w:after="160" w:line="240" w:lineRule="exact"/>
    </w:pPr>
    <w:rPr>
      <w:rFonts w:ascii="Verdana" w:hAnsi="Verdana" w:cs="Verdana"/>
      <w:lang w:val="en-US" w:eastAsia="en-US"/>
    </w:rPr>
  </w:style>
  <w:style w:type="numbering" w:customStyle="1" w:styleId="NoList1">
    <w:name w:val="No List1"/>
    <w:next w:val="NoList"/>
    <w:semiHidden/>
    <w:unhideWhenUsed/>
    <w:rsid w:val="00973E1B"/>
  </w:style>
  <w:style w:type="table" w:customStyle="1" w:styleId="TableGrid1">
    <w:name w:val="Table Grid1"/>
    <w:basedOn w:val="TableNormal"/>
    <w:next w:val="TableGrid"/>
    <w:uiPriority w:val="39"/>
    <w:rsid w:val="00973E1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TableNormal"/>
    <w:next w:val="TableProfessional"/>
    <w:rsid w:val="00973E1B"/>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western">
    <w:name w:val="western"/>
    <w:basedOn w:val="Normal"/>
    <w:rsid w:val="00C349EC"/>
    <w:pPr>
      <w:widowControl/>
      <w:autoSpaceDE/>
      <w:autoSpaceDN/>
      <w:adjustRightInd/>
      <w:spacing w:before="100" w:beforeAutospacing="1" w:after="100" w:afterAutospacing="1"/>
    </w:pPr>
    <w:rPr>
      <w:sz w:val="24"/>
      <w:szCs w:val="24"/>
    </w:rPr>
  </w:style>
  <w:style w:type="table" w:customStyle="1" w:styleId="TableGrid2">
    <w:name w:val="Table Grid2"/>
    <w:basedOn w:val="TableNormal"/>
    <w:next w:val="TableGrid"/>
    <w:uiPriority w:val="39"/>
    <w:rsid w:val="00E20E3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E20E33"/>
    <w:pPr>
      <w:numPr>
        <w:numId w:val="17"/>
      </w:numPr>
    </w:pPr>
  </w:style>
  <w:style w:type="numbering" w:customStyle="1" w:styleId="Style111">
    <w:name w:val="Style111"/>
    <w:uiPriority w:val="99"/>
    <w:rsid w:val="003D6980"/>
    <w:pPr>
      <w:numPr>
        <w:numId w:val="1"/>
      </w:numPr>
    </w:pPr>
  </w:style>
  <w:style w:type="table" w:customStyle="1" w:styleId="TableGrid3">
    <w:name w:val="Table Grid3"/>
    <w:basedOn w:val="TableNormal"/>
    <w:next w:val="TableGrid"/>
    <w:uiPriority w:val="39"/>
    <w:rsid w:val="00A20EB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52F9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6306">
      <w:bodyDiv w:val="1"/>
      <w:marLeft w:val="0"/>
      <w:marRight w:val="0"/>
      <w:marTop w:val="0"/>
      <w:marBottom w:val="0"/>
      <w:divBdr>
        <w:top w:val="none" w:sz="0" w:space="0" w:color="auto"/>
        <w:left w:val="none" w:sz="0" w:space="0" w:color="auto"/>
        <w:bottom w:val="none" w:sz="0" w:space="0" w:color="auto"/>
        <w:right w:val="none" w:sz="0" w:space="0" w:color="auto"/>
      </w:divBdr>
    </w:div>
    <w:div w:id="20864413">
      <w:bodyDiv w:val="1"/>
      <w:marLeft w:val="0"/>
      <w:marRight w:val="0"/>
      <w:marTop w:val="0"/>
      <w:marBottom w:val="0"/>
      <w:divBdr>
        <w:top w:val="none" w:sz="0" w:space="0" w:color="auto"/>
        <w:left w:val="none" w:sz="0" w:space="0" w:color="auto"/>
        <w:bottom w:val="none" w:sz="0" w:space="0" w:color="auto"/>
        <w:right w:val="none" w:sz="0" w:space="0" w:color="auto"/>
      </w:divBdr>
    </w:div>
    <w:div w:id="29690852">
      <w:bodyDiv w:val="1"/>
      <w:marLeft w:val="0"/>
      <w:marRight w:val="0"/>
      <w:marTop w:val="0"/>
      <w:marBottom w:val="0"/>
      <w:divBdr>
        <w:top w:val="none" w:sz="0" w:space="0" w:color="auto"/>
        <w:left w:val="none" w:sz="0" w:space="0" w:color="auto"/>
        <w:bottom w:val="none" w:sz="0" w:space="0" w:color="auto"/>
        <w:right w:val="none" w:sz="0" w:space="0" w:color="auto"/>
      </w:divBdr>
    </w:div>
    <w:div w:id="40331538">
      <w:bodyDiv w:val="1"/>
      <w:marLeft w:val="0"/>
      <w:marRight w:val="0"/>
      <w:marTop w:val="0"/>
      <w:marBottom w:val="0"/>
      <w:divBdr>
        <w:top w:val="none" w:sz="0" w:space="0" w:color="auto"/>
        <w:left w:val="none" w:sz="0" w:space="0" w:color="auto"/>
        <w:bottom w:val="none" w:sz="0" w:space="0" w:color="auto"/>
        <w:right w:val="none" w:sz="0" w:space="0" w:color="auto"/>
      </w:divBdr>
    </w:div>
    <w:div w:id="59136419">
      <w:bodyDiv w:val="1"/>
      <w:marLeft w:val="0"/>
      <w:marRight w:val="0"/>
      <w:marTop w:val="0"/>
      <w:marBottom w:val="0"/>
      <w:divBdr>
        <w:top w:val="none" w:sz="0" w:space="0" w:color="auto"/>
        <w:left w:val="none" w:sz="0" w:space="0" w:color="auto"/>
        <w:bottom w:val="none" w:sz="0" w:space="0" w:color="auto"/>
        <w:right w:val="none" w:sz="0" w:space="0" w:color="auto"/>
      </w:divBdr>
    </w:div>
    <w:div w:id="59638502">
      <w:bodyDiv w:val="1"/>
      <w:marLeft w:val="0"/>
      <w:marRight w:val="0"/>
      <w:marTop w:val="0"/>
      <w:marBottom w:val="0"/>
      <w:divBdr>
        <w:top w:val="none" w:sz="0" w:space="0" w:color="auto"/>
        <w:left w:val="none" w:sz="0" w:space="0" w:color="auto"/>
        <w:bottom w:val="none" w:sz="0" w:space="0" w:color="auto"/>
        <w:right w:val="none" w:sz="0" w:space="0" w:color="auto"/>
      </w:divBdr>
    </w:div>
    <w:div w:id="62921227">
      <w:bodyDiv w:val="1"/>
      <w:marLeft w:val="0"/>
      <w:marRight w:val="0"/>
      <w:marTop w:val="0"/>
      <w:marBottom w:val="0"/>
      <w:divBdr>
        <w:top w:val="none" w:sz="0" w:space="0" w:color="auto"/>
        <w:left w:val="none" w:sz="0" w:space="0" w:color="auto"/>
        <w:bottom w:val="none" w:sz="0" w:space="0" w:color="auto"/>
        <w:right w:val="none" w:sz="0" w:space="0" w:color="auto"/>
      </w:divBdr>
    </w:div>
    <w:div w:id="74476474">
      <w:bodyDiv w:val="1"/>
      <w:marLeft w:val="0"/>
      <w:marRight w:val="0"/>
      <w:marTop w:val="0"/>
      <w:marBottom w:val="0"/>
      <w:divBdr>
        <w:top w:val="none" w:sz="0" w:space="0" w:color="auto"/>
        <w:left w:val="none" w:sz="0" w:space="0" w:color="auto"/>
        <w:bottom w:val="none" w:sz="0" w:space="0" w:color="auto"/>
        <w:right w:val="none" w:sz="0" w:space="0" w:color="auto"/>
      </w:divBdr>
    </w:div>
    <w:div w:id="89786281">
      <w:bodyDiv w:val="1"/>
      <w:marLeft w:val="0"/>
      <w:marRight w:val="0"/>
      <w:marTop w:val="0"/>
      <w:marBottom w:val="0"/>
      <w:divBdr>
        <w:top w:val="none" w:sz="0" w:space="0" w:color="auto"/>
        <w:left w:val="none" w:sz="0" w:space="0" w:color="auto"/>
        <w:bottom w:val="none" w:sz="0" w:space="0" w:color="auto"/>
        <w:right w:val="none" w:sz="0" w:space="0" w:color="auto"/>
      </w:divBdr>
    </w:div>
    <w:div w:id="99764605">
      <w:bodyDiv w:val="1"/>
      <w:marLeft w:val="0"/>
      <w:marRight w:val="0"/>
      <w:marTop w:val="0"/>
      <w:marBottom w:val="0"/>
      <w:divBdr>
        <w:top w:val="none" w:sz="0" w:space="0" w:color="auto"/>
        <w:left w:val="none" w:sz="0" w:space="0" w:color="auto"/>
        <w:bottom w:val="none" w:sz="0" w:space="0" w:color="auto"/>
        <w:right w:val="none" w:sz="0" w:space="0" w:color="auto"/>
      </w:divBdr>
    </w:div>
    <w:div w:id="170685735">
      <w:bodyDiv w:val="1"/>
      <w:marLeft w:val="0"/>
      <w:marRight w:val="0"/>
      <w:marTop w:val="0"/>
      <w:marBottom w:val="0"/>
      <w:divBdr>
        <w:top w:val="none" w:sz="0" w:space="0" w:color="auto"/>
        <w:left w:val="none" w:sz="0" w:space="0" w:color="auto"/>
        <w:bottom w:val="none" w:sz="0" w:space="0" w:color="auto"/>
        <w:right w:val="none" w:sz="0" w:space="0" w:color="auto"/>
      </w:divBdr>
    </w:div>
    <w:div w:id="203366941">
      <w:bodyDiv w:val="1"/>
      <w:marLeft w:val="0"/>
      <w:marRight w:val="0"/>
      <w:marTop w:val="0"/>
      <w:marBottom w:val="0"/>
      <w:divBdr>
        <w:top w:val="none" w:sz="0" w:space="0" w:color="auto"/>
        <w:left w:val="none" w:sz="0" w:space="0" w:color="auto"/>
        <w:bottom w:val="none" w:sz="0" w:space="0" w:color="auto"/>
        <w:right w:val="none" w:sz="0" w:space="0" w:color="auto"/>
      </w:divBdr>
    </w:div>
    <w:div w:id="218176907">
      <w:bodyDiv w:val="1"/>
      <w:marLeft w:val="0"/>
      <w:marRight w:val="0"/>
      <w:marTop w:val="0"/>
      <w:marBottom w:val="0"/>
      <w:divBdr>
        <w:top w:val="none" w:sz="0" w:space="0" w:color="auto"/>
        <w:left w:val="none" w:sz="0" w:space="0" w:color="auto"/>
        <w:bottom w:val="none" w:sz="0" w:space="0" w:color="auto"/>
        <w:right w:val="none" w:sz="0" w:space="0" w:color="auto"/>
      </w:divBdr>
    </w:div>
    <w:div w:id="244800791">
      <w:bodyDiv w:val="1"/>
      <w:marLeft w:val="0"/>
      <w:marRight w:val="0"/>
      <w:marTop w:val="0"/>
      <w:marBottom w:val="0"/>
      <w:divBdr>
        <w:top w:val="none" w:sz="0" w:space="0" w:color="auto"/>
        <w:left w:val="none" w:sz="0" w:space="0" w:color="auto"/>
        <w:bottom w:val="none" w:sz="0" w:space="0" w:color="auto"/>
        <w:right w:val="none" w:sz="0" w:space="0" w:color="auto"/>
      </w:divBdr>
    </w:div>
    <w:div w:id="267007042">
      <w:bodyDiv w:val="1"/>
      <w:marLeft w:val="0"/>
      <w:marRight w:val="0"/>
      <w:marTop w:val="0"/>
      <w:marBottom w:val="0"/>
      <w:divBdr>
        <w:top w:val="none" w:sz="0" w:space="0" w:color="auto"/>
        <w:left w:val="none" w:sz="0" w:space="0" w:color="auto"/>
        <w:bottom w:val="none" w:sz="0" w:space="0" w:color="auto"/>
        <w:right w:val="none" w:sz="0" w:space="0" w:color="auto"/>
      </w:divBdr>
    </w:div>
    <w:div w:id="312299777">
      <w:bodyDiv w:val="1"/>
      <w:marLeft w:val="0"/>
      <w:marRight w:val="0"/>
      <w:marTop w:val="0"/>
      <w:marBottom w:val="0"/>
      <w:divBdr>
        <w:top w:val="none" w:sz="0" w:space="0" w:color="auto"/>
        <w:left w:val="none" w:sz="0" w:space="0" w:color="auto"/>
        <w:bottom w:val="none" w:sz="0" w:space="0" w:color="auto"/>
        <w:right w:val="none" w:sz="0" w:space="0" w:color="auto"/>
      </w:divBdr>
    </w:div>
    <w:div w:id="333463110">
      <w:bodyDiv w:val="1"/>
      <w:marLeft w:val="0"/>
      <w:marRight w:val="0"/>
      <w:marTop w:val="0"/>
      <w:marBottom w:val="0"/>
      <w:divBdr>
        <w:top w:val="none" w:sz="0" w:space="0" w:color="auto"/>
        <w:left w:val="none" w:sz="0" w:space="0" w:color="auto"/>
        <w:bottom w:val="none" w:sz="0" w:space="0" w:color="auto"/>
        <w:right w:val="none" w:sz="0" w:space="0" w:color="auto"/>
      </w:divBdr>
    </w:div>
    <w:div w:id="345596980">
      <w:bodyDiv w:val="1"/>
      <w:marLeft w:val="0"/>
      <w:marRight w:val="0"/>
      <w:marTop w:val="0"/>
      <w:marBottom w:val="0"/>
      <w:divBdr>
        <w:top w:val="none" w:sz="0" w:space="0" w:color="auto"/>
        <w:left w:val="none" w:sz="0" w:space="0" w:color="auto"/>
        <w:bottom w:val="none" w:sz="0" w:space="0" w:color="auto"/>
        <w:right w:val="none" w:sz="0" w:space="0" w:color="auto"/>
      </w:divBdr>
    </w:div>
    <w:div w:id="350226736">
      <w:bodyDiv w:val="1"/>
      <w:marLeft w:val="0"/>
      <w:marRight w:val="0"/>
      <w:marTop w:val="0"/>
      <w:marBottom w:val="0"/>
      <w:divBdr>
        <w:top w:val="none" w:sz="0" w:space="0" w:color="auto"/>
        <w:left w:val="none" w:sz="0" w:space="0" w:color="auto"/>
        <w:bottom w:val="none" w:sz="0" w:space="0" w:color="auto"/>
        <w:right w:val="none" w:sz="0" w:space="0" w:color="auto"/>
      </w:divBdr>
    </w:div>
    <w:div w:id="365718202">
      <w:bodyDiv w:val="1"/>
      <w:marLeft w:val="0"/>
      <w:marRight w:val="0"/>
      <w:marTop w:val="0"/>
      <w:marBottom w:val="0"/>
      <w:divBdr>
        <w:top w:val="none" w:sz="0" w:space="0" w:color="auto"/>
        <w:left w:val="none" w:sz="0" w:space="0" w:color="auto"/>
        <w:bottom w:val="none" w:sz="0" w:space="0" w:color="auto"/>
        <w:right w:val="none" w:sz="0" w:space="0" w:color="auto"/>
      </w:divBdr>
    </w:div>
    <w:div w:id="388260700">
      <w:bodyDiv w:val="1"/>
      <w:marLeft w:val="0"/>
      <w:marRight w:val="0"/>
      <w:marTop w:val="0"/>
      <w:marBottom w:val="0"/>
      <w:divBdr>
        <w:top w:val="none" w:sz="0" w:space="0" w:color="auto"/>
        <w:left w:val="none" w:sz="0" w:space="0" w:color="auto"/>
        <w:bottom w:val="none" w:sz="0" w:space="0" w:color="auto"/>
        <w:right w:val="none" w:sz="0" w:space="0" w:color="auto"/>
      </w:divBdr>
    </w:div>
    <w:div w:id="404493164">
      <w:bodyDiv w:val="1"/>
      <w:marLeft w:val="0"/>
      <w:marRight w:val="0"/>
      <w:marTop w:val="0"/>
      <w:marBottom w:val="0"/>
      <w:divBdr>
        <w:top w:val="none" w:sz="0" w:space="0" w:color="auto"/>
        <w:left w:val="none" w:sz="0" w:space="0" w:color="auto"/>
        <w:bottom w:val="none" w:sz="0" w:space="0" w:color="auto"/>
        <w:right w:val="none" w:sz="0" w:space="0" w:color="auto"/>
      </w:divBdr>
    </w:div>
    <w:div w:id="411053836">
      <w:bodyDiv w:val="1"/>
      <w:marLeft w:val="0"/>
      <w:marRight w:val="0"/>
      <w:marTop w:val="0"/>
      <w:marBottom w:val="0"/>
      <w:divBdr>
        <w:top w:val="none" w:sz="0" w:space="0" w:color="auto"/>
        <w:left w:val="none" w:sz="0" w:space="0" w:color="auto"/>
        <w:bottom w:val="none" w:sz="0" w:space="0" w:color="auto"/>
        <w:right w:val="none" w:sz="0" w:space="0" w:color="auto"/>
      </w:divBdr>
    </w:div>
    <w:div w:id="411465366">
      <w:bodyDiv w:val="1"/>
      <w:marLeft w:val="0"/>
      <w:marRight w:val="0"/>
      <w:marTop w:val="0"/>
      <w:marBottom w:val="0"/>
      <w:divBdr>
        <w:top w:val="none" w:sz="0" w:space="0" w:color="auto"/>
        <w:left w:val="none" w:sz="0" w:space="0" w:color="auto"/>
        <w:bottom w:val="none" w:sz="0" w:space="0" w:color="auto"/>
        <w:right w:val="none" w:sz="0" w:space="0" w:color="auto"/>
      </w:divBdr>
    </w:div>
    <w:div w:id="445928613">
      <w:bodyDiv w:val="1"/>
      <w:marLeft w:val="0"/>
      <w:marRight w:val="0"/>
      <w:marTop w:val="0"/>
      <w:marBottom w:val="0"/>
      <w:divBdr>
        <w:top w:val="none" w:sz="0" w:space="0" w:color="auto"/>
        <w:left w:val="none" w:sz="0" w:space="0" w:color="auto"/>
        <w:bottom w:val="none" w:sz="0" w:space="0" w:color="auto"/>
        <w:right w:val="none" w:sz="0" w:space="0" w:color="auto"/>
      </w:divBdr>
    </w:div>
    <w:div w:id="451285221">
      <w:bodyDiv w:val="1"/>
      <w:marLeft w:val="0"/>
      <w:marRight w:val="0"/>
      <w:marTop w:val="0"/>
      <w:marBottom w:val="0"/>
      <w:divBdr>
        <w:top w:val="none" w:sz="0" w:space="0" w:color="auto"/>
        <w:left w:val="none" w:sz="0" w:space="0" w:color="auto"/>
        <w:bottom w:val="none" w:sz="0" w:space="0" w:color="auto"/>
        <w:right w:val="none" w:sz="0" w:space="0" w:color="auto"/>
      </w:divBdr>
    </w:div>
    <w:div w:id="474221126">
      <w:bodyDiv w:val="1"/>
      <w:marLeft w:val="0"/>
      <w:marRight w:val="0"/>
      <w:marTop w:val="0"/>
      <w:marBottom w:val="0"/>
      <w:divBdr>
        <w:top w:val="none" w:sz="0" w:space="0" w:color="auto"/>
        <w:left w:val="none" w:sz="0" w:space="0" w:color="auto"/>
        <w:bottom w:val="none" w:sz="0" w:space="0" w:color="auto"/>
        <w:right w:val="none" w:sz="0" w:space="0" w:color="auto"/>
      </w:divBdr>
    </w:div>
    <w:div w:id="475683920">
      <w:bodyDiv w:val="1"/>
      <w:marLeft w:val="0"/>
      <w:marRight w:val="0"/>
      <w:marTop w:val="0"/>
      <w:marBottom w:val="0"/>
      <w:divBdr>
        <w:top w:val="none" w:sz="0" w:space="0" w:color="auto"/>
        <w:left w:val="none" w:sz="0" w:space="0" w:color="auto"/>
        <w:bottom w:val="none" w:sz="0" w:space="0" w:color="auto"/>
        <w:right w:val="none" w:sz="0" w:space="0" w:color="auto"/>
      </w:divBdr>
    </w:div>
    <w:div w:id="476648487">
      <w:bodyDiv w:val="1"/>
      <w:marLeft w:val="0"/>
      <w:marRight w:val="0"/>
      <w:marTop w:val="0"/>
      <w:marBottom w:val="0"/>
      <w:divBdr>
        <w:top w:val="none" w:sz="0" w:space="0" w:color="auto"/>
        <w:left w:val="none" w:sz="0" w:space="0" w:color="auto"/>
        <w:bottom w:val="none" w:sz="0" w:space="0" w:color="auto"/>
        <w:right w:val="none" w:sz="0" w:space="0" w:color="auto"/>
      </w:divBdr>
    </w:div>
    <w:div w:id="494104132">
      <w:bodyDiv w:val="1"/>
      <w:marLeft w:val="0"/>
      <w:marRight w:val="0"/>
      <w:marTop w:val="0"/>
      <w:marBottom w:val="0"/>
      <w:divBdr>
        <w:top w:val="none" w:sz="0" w:space="0" w:color="auto"/>
        <w:left w:val="none" w:sz="0" w:space="0" w:color="auto"/>
        <w:bottom w:val="none" w:sz="0" w:space="0" w:color="auto"/>
        <w:right w:val="none" w:sz="0" w:space="0" w:color="auto"/>
      </w:divBdr>
    </w:div>
    <w:div w:id="515854205">
      <w:bodyDiv w:val="1"/>
      <w:marLeft w:val="0"/>
      <w:marRight w:val="0"/>
      <w:marTop w:val="0"/>
      <w:marBottom w:val="0"/>
      <w:divBdr>
        <w:top w:val="none" w:sz="0" w:space="0" w:color="auto"/>
        <w:left w:val="none" w:sz="0" w:space="0" w:color="auto"/>
        <w:bottom w:val="none" w:sz="0" w:space="0" w:color="auto"/>
        <w:right w:val="none" w:sz="0" w:space="0" w:color="auto"/>
      </w:divBdr>
    </w:div>
    <w:div w:id="528685866">
      <w:bodyDiv w:val="1"/>
      <w:marLeft w:val="0"/>
      <w:marRight w:val="0"/>
      <w:marTop w:val="0"/>
      <w:marBottom w:val="0"/>
      <w:divBdr>
        <w:top w:val="none" w:sz="0" w:space="0" w:color="auto"/>
        <w:left w:val="none" w:sz="0" w:space="0" w:color="auto"/>
        <w:bottom w:val="none" w:sz="0" w:space="0" w:color="auto"/>
        <w:right w:val="none" w:sz="0" w:space="0" w:color="auto"/>
      </w:divBdr>
    </w:div>
    <w:div w:id="529925492">
      <w:bodyDiv w:val="1"/>
      <w:marLeft w:val="0"/>
      <w:marRight w:val="0"/>
      <w:marTop w:val="0"/>
      <w:marBottom w:val="0"/>
      <w:divBdr>
        <w:top w:val="none" w:sz="0" w:space="0" w:color="auto"/>
        <w:left w:val="none" w:sz="0" w:space="0" w:color="auto"/>
        <w:bottom w:val="none" w:sz="0" w:space="0" w:color="auto"/>
        <w:right w:val="none" w:sz="0" w:space="0" w:color="auto"/>
      </w:divBdr>
    </w:div>
    <w:div w:id="578059172">
      <w:bodyDiv w:val="1"/>
      <w:marLeft w:val="0"/>
      <w:marRight w:val="0"/>
      <w:marTop w:val="0"/>
      <w:marBottom w:val="0"/>
      <w:divBdr>
        <w:top w:val="none" w:sz="0" w:space="0" w:color="auto"/>
        <w:left w:val="none" w:sz="0" w:space="0" w:color="auto"/>
        <w:bottom w:val="none" w:sz="0" w:space="0" w:color="auto"/>
        <w:right w:val="none" w:sz="0" w:space="0" w:color="auto"/>
      </w:divBdr>
    </w:div>
    <w:div w:id="583879984">
      <w:bodyDiv w:val="1"/>
      <w:marLeft w:val="0"/>
      <w:marRight w:val="0"/>
      <w:marTop w:val="0"/>
      <w:marBottom w:val="0"/>
      <w:divBdr>
        <w:top w:val="none" w:sz="0" w:space="0" w:color="auto"/>
        <w:left w:val="none" w:sz="0" w:space="0" w:color="auto"/>
        <w:bottom w:val="none" w:sz="0" w:space="0" w:color="auto"/>
        <w:right w:val="none" w:sz="0" w:space="0" w:color="auto"/>
      </w:divBdr>
    </w:div>
    <w:div w:id="584266553">
      <w:bodyDiv w:val="1"/>
      <w:marLeft w:val="0"/>
      <w:marRight w:val="0"/>
      <w:marTop w:val="0"/>
      <w:marBottom w:val="0"/>
      <w:divBdr>
        <w:top w:val="none" w:sz="0" w:space="0" w:color="auto"/>
        <w:left w:val="none" w:sz="0" w:space="0" w:color="auto"/>
        <w:bottom w:val="none" w:sz="0" w:space="0" w:color="auto"/>
        <w:right w:val="none" w:sz="0" w:space="0" w:color="auto"/>
      </w:divBdr>
    </w:div>
    <w:div w:id="621884217">
      <w:bodyDiv w:val="1"/>
      <w:marLeft w:val="0"/>
      <w:marRight w:val="0"/>
      <w:marTop w:val="0"/>
      <w:marBottom w:val="0"/>
      <w:divBdr>
        <w:top w:val="none" w:sz="0" w:space="0" w:color="auto"/>
        <w:left w:val="none" w:sz="0" w:space="0" w:color="auto"/>
        <w:bottom w:val="none" w:sz="0" w:space="0" w:color="auto"/>
        <w:right w:val="none" w:sz="0" w:space="0" w:color="auto"/>
      </w:divBdr>
    </w:div>
    <w:div w:id="645086702">
      <w:bodyDiv w:val="1"/>
      <w:marLeft w:val="0"/>
      <w:marRight w:val="0"/>
      <w:marTop w:val="0"/>
      <w:marBottom w:val="0"/>
      <w:divBdr>
        <w:top w:val="none" w:sz="0" w:space="0" w:color="auto"/>
        <w:left w:val="none" w:sz="0" w:space="0" w:color="auto"/>
        <w:bottom w:val="none" w:sz="0" w:space="0" w:color="auto"/>
        <w:right w:val="none" w:sz="0" w:space="0" w:color="auto"/>
      </w:divBdr>
    </w:div>
    <w:div w:id="649093206">
      <w:bodyDiv w:val="1"/>
      <w:marLeft w:val="0"/>
      <w:marRight w:val="0"/>
      <w:marTop w:val="0"/>
      <w:marBottom w:val="0"/>
      <w:divBdr>
        <w:top w:val="none" w:sz="0" w:space="0" w:color="auto"/>
        <w:left w:val="none" w:sz="0" w:space="0" w:color="auto"/>
        <w:bottom w:val="none" w:sz="0" w:space="0" w:color="auto"/>
        <w:right w:val="none" w:sz="0" w:space="0" w:color="auto"/>
      </w:divBdr>
    </w:div>
    <w:div w:id="651718486">
      <w:bodyDiv w:val="1"/>
      <w:marLeft w:val="0"/>
      <w:marRight w:val="0"/>
      <w:marTop w:val="0"/>
      <w:marBottom w:val="0"/>
      <w:divBdr>
        <w:top w:val="none" w:sz="0" w:space="0" w:color="auto"/>
        <w:left w:val="none" w:sz="0" w:space="0" w:color="auto"/>
        <w:bottom w:val="none" w:sz="0" w:space="0" w:color="auto"/>
        <w:right w:val="none" w:sz="0" w:space="0" w:color="auto"/>
      </w:divBdr>
    </w:div>
    <w:div w:id="665785070">
      <w:bodyDiv w:val="1"/>
      <w:marLeft w:val="0"/>
      <w:marRight w:val="0"/>
      <w:marTop w:val="0"/>
      <w:marBottom w:val="0"/>
      <w:divBdr>
        <w:top w:val="none" w:sz="0" w:space="0" w:color="auto"/>
        <w:left w:val="none" w:sz="0" w:space="0" w:color="auto"/>
        <w:bottom w:val="none" w:sz="0" w:space="0" w:color="auto"/>
        <w:right w:val="none" w:sz="0" w:space="0" w:color="auto"/>
      </w:divBdr>
    </w:div>
    <w:div w:id="674767583">
      <w:bodyDiv w:val="1"/>
      <w:marLeft w:val="0"/>
      <w:marRight w:val="0"/>
      <w:marTop w:val="0"/>
      <w:marBottom w:val="0"/>
      <w:divBdr>
        <w:top w:val="none" w:sz="0" w:space="0" w:color="auto"/>
        <w:left w:val="none" w:sz="0" w:space="0" w:color="auto"/>
        <w:bottom w:val="none" w:sz="0" w:space="0" w:color="auto"/>
        <w:right w:val="none" w:sz="0" w:space="0" w:color="auto"/>
      </w:divBdr>
    </w:div>
    <w:div w:id="695469879">
      <w:bodyDiv w:val="1"/>
      <w:marLeft w:val="0"/>
      <w:marRight w:val="0"/>
      <w:marTop w:val="0"/>
      <w:marBottom w:val="0"/>
      <w:divBdr>
        <w:top w:val="none" w:sz="0" w:space="0" w:color="auto"/>
        <w:left w:val="none" w:sz="0" w:space="0" w:color="auto"/>
        <w:bottom w:val="none" w:sz="0" w:space="0" w:color="auto"/>
        <w:right w:val="none" w:sz="0" w:space="0" w:color="auto"/>
      </w:divBdr>
    </w:div>
    <w:div w:id="700327575">
      <w:bodyDiv w:val="1"/>
      <w:marLeft w:val="0"/>
      <w:marRight w:val="0"/>
      <w:marTop w:val="0"/>
      <w:marBottom w:val="0"/>
      <w:divBdr>
        <w:top w:val="none" w:sz="0" w:space="0" w:color="auto"/>
        <w:left w:val="none" w:sz="0" w:space="0" w:color="auto"/>
        <w:bottom w:val="none" w:sz="0" w:space="0" w:color="auto"/>
        <w:right w:val="none" w:sz="0" w:space="0" w:color="auto"/>
      </w:divBdr>
    </w:div>
    <w:div w:id="709035921">
      <w:bodyDiv w:val="1"/>
      <w:marLeft w:val="0"/>
      <w:marRight w:val="0"/>
      <w:marTop w:val="0"/>
      <w:marBottom w:val="0"/>
      <w:divBdr>
        <w:top w:val="none" w:sz="0" w:space="0" w:color="auto"/>
        <w:left w:val="none" w:sz="0" w:space="0" w:color="auto"/>
        <w:bottom w:val="none" w:sz="0" w:space="0" w:color="auto"/>
        <w:right w:val="none" w:sz="0" w:space="0" w:color="auto"/>
      </w:divBdr>
    </w:div>
    <w:div w:id="713966379">
      <w:bodyDiv w:val="1"/>
      <w:marLeft w:val="0"/>
      <w:marRight w:val="0"/>
      <w:marTop w:val="0"/>
      <w:marBottom w:val="0"/>
      <w:divBdr>
        <w:top w:val="none" w:sz="0" w:space="0" w:color="auto"/>
        <w:left w:val="none" w:sz="0" w:space="0" w:color="auto"/>
        <w:bottom w:val="none" w:sz="0" w:space="0" w:color="auto"/>
        <w:right w:val="none" w:sz="0" w:space="0" w:color="auto"/>
      </w:divBdr>
    </w:div>
    <w:div w:id="747271581">
      <w:bodyDiv w:val="1"/>
      <w:marLeft w:val="0"/>
      <w:marRight w:val="0"/>
      <w:marTop w:val="0"/>
      <w:marBottom w:val="0"/>
      <w:divBdr>
        <w:top w:val="none" w:sz="0" w:space="0" w:color="auto"/>
        <w:left w:val="none" w:sz="0" w:space="0" w:color="auto"/>
        <w:bottom w:val="none" w:sz="0" w:space="0" w:color="auto"/>
        <w:right w:val="none" w:sz="0" w:space="0" w:color="auto"/>
      </w:divBdr>
    </w:div>
    <w:div w:id="755784486">
      <w:bodyDiv w:val="1"/>
      <w:marLeft w:val="0"/>
      <w:marRight w:val="0"/>
      <w:marTop w:val="0"/>
      <w:marBottom w:val="0"/>
      <w:divBdr>
        <w:top w:val="none" w:sz="0" w:space="0" w:color="auto"/>
        <w:left w:val="none" w:sz="0" w:space="0" w:color="auto"/>
        <w:bottom w:val="none" w:sz="0" w:space="0" w:color="auto"/>
        <w:right w:val="none" w:sz="0" w:space="0" w:color="auto"/>
      </w:divBdr>
    </w:div>
    <w:div w:id="758798575">
      <w:bodyDiv w:val="1"/>
      <w:marLeft w:val="0"/>
      <w:marRight w:val="0"/>
      <w:marTop w:val="0"/>
      <w:marBottom w:val="0"/>
      <w:divBdr>
        <w:top w:val="none" w:sz="0" w:space="0" w:color="auto"/>
        <w:left w:val="none" w:sz="0" w:space="0" w:color="auto"/>
        <w:bottom w:val="none" w:sz="0" w:space="0" w:color="auto"/>
        <w:right w:val="none" w:sz="0" w:space="0" w:color="auto"/>
      </w:divBdr>
    </w:div>
    <w:div w:id="768618454">
      <w:bodyDiv w:val="1"/>
      <w:marLeft w:val="0"/>
      <w:marRight w:val="0"/>
      <w:marTop w:val="0"/>
      <w:marBottom w:val="0"/>
      <w:divBdr>
        <w:top w:val="none" w:sz="0" w:space="0" w:color="auto"/>
        <w:left w:val="none" w:sz="0" w:space="0" w:color="auto"/>
        <w:bottom w:val="none" w:sz="0" w:space="0" w:color="auto"/>
        <w:right w:val="none" w:sz="0" w:space="0" w:color="auto"/>
      </w:divBdr>
    </w:div>
    <w:div w:id="837379073">
      <w:bodyDiv w:val="1"/>
      <w:marLeft w:val="0"/>
      <w:marRight w:val="0"/>
      <w:marTop w:val="0"/>
      <w:marBottom w:val="0"/>
      <w:divBdr>
        <w:top w:val="none" w:sz="0" w:space="0" w:color="auto"/>
        <w:left w:val="none" w:sz="0" w:space="0" w:color="auto"/>
        <w:bottom w:val="none" w:sz="0" w:space="0" w:color="auto"/>
        <w:right w:val="none" w:sz="0" w:space="0" w:color="auto"/>
      </w:divBdr>
    </w:div>
    <w:div w:id="845560241">
      <w:bodyDiv w:val="1"/>
      <w:marLeft w:val="0"/>
      <w:marRight w:val="0"/>
      <w:marTop w:val="0"/>
      <w:marBottom w:val="0"/>
      <w:divBdr>
        <w:top w:val="none" w:sz="0" w:space="0" w:color="auto"/>
        <w:left w:val="none" w:sz="0" w:space="0" w:color="auto"/>
        <w:bottom w:val="none" w:sz="0" w:space="0" w:color="auto"/>
        <w:right w:val="none" w:sz="0" w:space="0" w:color="auto"/>
      </w:divBdr>
    </w:div>
    <w:div w:id="877165972">
      <w:bodyDiv w:val="1"/>
      <w:marLeft w:val="0"/>
      <w:marRight w:val="0"/>
      <w:marTop w:val="0"/>
      <w:marBottom w:val="0"/>
      <w:divBdr>
        <w:top w:val="none" w:sz="0" w:space="0" w:color="auto"/>
        <w:left w:val="none" w:sz="0" w:space="0" w:color="auto"/>
        <w:bottom w:val="none" w:sz="0" w:space="0" w:color="auto"/>
        <w:right w:val="none" w:sz="0" w:space="0" w:color="auto"/>
      </w:divBdr>
    </w:div>
    <w:div w:id="877662845">
      <w:bodyDiv w:val="1"/>
      <w:marLeft w:val="0"/>
      <w:marRight w:val="0"/>
      <w:marTop w:val="0"/>
      <w:marBottom w:val="0"/>
      <w:divBdr>
        <w:top w:val="none" w:sz="0" w:space="0" w:color="auto"/>
        <w:left w:val="none" w:sz="0" w:space="0" w:color="auto"/>
        <w:bottom w:val="none" w:sz="0" w:space="0" w:color="auto"/>
        <w:right w:val="none" w:sz="0" w:space="0" w:color="auto"/>
      </w:divBdr>
    </w:div>
    <w:div w:id="882643267">
      <w:bodyDiv w:val="1"/>
      <w:marLeft w:val="0"/>
      <w:marRight w:val="0"/>
      <w:marTop w:val="0"/>
      <w:marBottom w:val="0"/>
      <w:divBdr>
        <w:top w:val="none" w:sz="0" w:space="0" w:color="auto"/>
        <w:left w:val="none" w:sz="0" w:space="0" w:color="auto"/>
        <w:bottom w:val="none" w:sz="0" w:space="0" w:color="auto"/>
        <w:right w:val="none" w:sz="0" w:space="0" w:color="auto"/>
      </w:divBdr>
    </w:div>
    <w:div w:id="925266637">
      <w:bodyDiv w:val="1"/>
      <w:marLeft w:val="0"/>
      <w:marRight w:val="0"/>
      <w:marTop w:val="0"/>
      <w:marBottom w:val="0"/>
      <w:divBdr>
        <w:top w:val="none" w:sz="0" w:space="0" w:color="auto"/>
        <w:left w:val="none" w:sz="0" w:space="0" w:color="auto"/>
        <w:bottom w:val="none" w:sz="0" w:space="0" w:color="auto"/>
        <w:right w:val="none" w:sz="0" w:space="0" w:color="auto"/>
      </w:divBdr>
    </w:div>
    <w:div w:id="940457912">
      <w:bodyDiv w:val="1"/>
      <w:marLeft w:val="0"/>
      <w:marRight w:val="0"/>
      <w:marTop w:val="0"/>
      <w:marBottom w:val="0"/>
      <w:divBdr>
        <w:top w:val="none" w:sz="0" w:space="0" w:color="auto"/>
        <w:left w:val="none" w:sz="0" w:space="0" w:color="auto"/>
        <w:bottom w:val="none" w:sz="0" w:space="0" w:color="auto"/>
        <w:right w:val="none" w:sz="0" w:space="0" w:color="auto"/>
      </w:divBdr>
    </w:div>
    <w:div w:id="963728366">
      <w:bodyDiv w:val="1"/>
      <w:marLeft w:val="0"/>
      <w:marRight w:val="0"/>
      <w:marTop w:val="0"/>
      <w:marBottom w:val="0"/>
      <w:divBdr>
        <w:top w:val="none" w:sz="0" w:space="0" w:color="auto"/>
        <w:left w:val="none" w:sz="0" w:space="0" w:color="auto"/>
        <w:bottom w:val="none" w:sz="0" w:space="0" w:color="auto"/>
        <w:right w:val="none" w:sz="0" w:space="0" w:color="auto"/>
      </w:divBdr>
    </w:div>
    <w:div w:id="969090827">
      <w:bodyDiv w:val="1"/>
      <w:marLeft w:val="0"/>
      <w:marRight w:val="0"/>
      <w:marTop w:val="0"/>
      <w:marBottom w:val="0"/>
      <w:divBdr>
        <w:top w:val="none" w:sz="0" w:space="0" w:color="auto"/>
        <w:left w:val="none" w:sz="0" w:space="0" w:color="auto"/>
        <w:bottom w:val="none" w:sz="0" w:space="0" w:color="auto"/>
        <w:right w:val="none" w:sz="0" w:space="0" w:color="auto"/>
      </w:divBdr>
    </w:div>
    <w:div w:id="975141741">
      <w:bodyDiv w:val="1"/>
      <w:marLeft w:val="0"/>
      <w:marRight w:val="0"/>
      <w:marTop w:val="0"/>
      <w:marBottom w:val="0"/>
      <w:divBdr>
        <w:top w:val="none" w:sz="0" w:space="0" w:color="auto"/>
        <w:left w:val="none" w:sz="0" w:space="0" w:color="auto"/>
        <w:bottom w:val="none" w:sz="0" w:space="0" w:color="auto"/>
        <w:right w:val="none" w:sz="0" w:space="0" w:color="auto"/>
      </w:divBdr>
    </w:div>
    <w:div w:id="979965354">
      <w:bodyDiv w:val="1"/>
      <w:marLeft w:val="0"/>
      <w:marRight w:val="0"/>
      <w:marTop w:val="0"/>
      <w:marBottom w:val="0"/>
      <w:divBdr>
        <w:top w:val="none" w:sz="0" w:space="0" w:color="auto"/>
        <w:left w:val="none" w:sz="0" w:space="0" w:color="auto"/>
        <w:bottom w:val="none" w:sz="0" w:space="0" w:color="auto"/>
        <w:right w:val="none" w:sz="0" w:space="0" w:color="auto"/>
      </w:divBdr>
    </w:div>
    <w:div w:id="988099129">
      <w:bodyDiv w:val="1"/>
      <w:marLeft w:val="0"/>
      <w:marRight w:val="0"/>
      <w:marTop w:val="0"/>
      <w:marBottom w:val="0"/>
      <w:divBdr>
        <w:top w:val="none" w:sz="0" w:space="0" w:color="auto"/>
        <w:left w:val="none" w:sz="0" w:space="0" w:color="auto"/>
        <w:bottom w:val="none" w:sz="0" w:space="0" w:color="auto"/>
        <w:right w:val="none" w:sz="0" w:space="0" w:color="auto"/>
      </w:divBdr>
    </w:div>
    <w:div w:id="995690695">
      <w:bodyDiv w:val="1"/>
      <w:marLeft w:val="0"/>
      <w:marRight w:val="0"/>
      <w:marTop w:val="0"/>
      <w:marBottom w:val="0"/>
      <w:divBdr>
        <w:top w:val="none" w:sz="0" w:space="0" w:color="auto"/>
        <w:left w:val="none" w:sz="0" w:space="0" w:color="auto"/>
        <w:bottom w:val="none" w:sz="0" w:space="0" w:color="auto"/>
        <w:right w:val="none" w:sz="0" w:space="0" w:color="auto"/>
      </w:divBdr>
    </w:div>
    <w:div w:id="1002322232">
      <w:bodyDiv w:val="1"/>
      <w:marLeft w:val="0"/>
      <w:marRight w:val="0"/>
      <w:marTop w:val="0"/>
      <w:marBottom w:val="0"/>
      <w:divBdr>
        <w:top w:val="none" w:sz="0" w:space="0" w:color="auto"/>
        <w:left w:val="none" w:sz="0" w:space="0" w:color="auto"/>
        <w:bottom w:val="none" w:sz="0" w:space="0" w:color="auto"/>
        <w:right w:val="none" w:sz="0" w:space="0" w:color="auto"/>
      </w:divBdr>
    </w:div>
    <w:div w:id="1009987699">
      <w:bodyDiv w:val="1"/>
      <w:marLeft w:val="0"/>
      <w:marRight w:val="0"/>
      <w:marTop w:val="100"/>
      <w:marBottom w:val="100"/>
      <w:divBdr>
        <w:top w:val="none" w:sz="0" w:space="0" w:color="auto"/>
        <w:left w:val="none" w:sz="0" w:space="0" w:color="auto"/>
        <w:bottom w:val="none" w:sz="0" w:space="0" w:color="auto"/>
        <w:right w:val="none" w:sz="0" w:space="0" w:color="auto"/>
      </w:divBdr>
      <w:divsChild>
        <w:div w:id="551380854">
          <w:marLeft w:val="0"/>
          <w:marRight w:val="0"/>
          <w:marTop w:val="0"/>
          <w:marBottom w:val="0"/>
          <w:divBdr>
            <w:top w:val="none" w:sz="0" w:space="0" w:color="auto"/>
            <w:left w:val="none" w:sz="0" w:space="0" w:color="auto"/>
            <w:bottom w:val="none" w:sz="0" w:space="0" w:color="auto"/>
            <w:right w:val="none" w:sz="0" w:space="0" w:color="auto"/>
          </w:divBdr>
          <w:divsChild>
            <w:div w:id="786393523">
              <w:marLeft w:val="0"/>
              <w:marRight w:val="0"/>
              <w:marTop w:val="0"/>
              <w:marBottom w:val="0"/>
              <w:divBdr>
                <w:top w:val="none" w:sz="0" w:space="0" w:color="auto"/>
                <w:left w:val="none" w:sz="0" w:space="0" w:color="auto"/>
                <w:bottom w:val="none" w:sz="0" w:space="0" w:color="auto"/>
                <w:right w:val="none" w:sz="0" w:space="0" w:color="auto"/>
              </w:divBdr>
              <w:divsChild>
                <w:div w:id="168951809">
                  <w:marLeft w:val="0"/>
                  <w:marRight w:val="0"/>
                  <w:marTop w:val="0"/>
                  <w:marBottom w:val="0"/>
                  <w:divBdr>
                    <w:top w:val="none" w:sz="0" w:space="0" w:color="auto"/>
                    <w:left w:val="none" w:sz="0" w:space="0" w:color="auto"/>
                    <w:bottom w:val="none" w:sz="0" w:space="0" w:color="auto"/>
                    <w:right w:val="none" w:sz="0" w:space="0" w:color="auto"/>
                  </w:divBdr>
                  <w:divsChild>
                    <w:div w:id="11199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08182">
      <w:bodyDiv w:val="1"/>
      <w:marLeft w:val="0"/>
      <w:marRight w:val="0"/>
      <w:marTop w:val="0"/>
      <w:marBottom w:val="0"/>
      <w:divBdr>
        <w:top w:val="none" w:sz="0" w:space="0" w:color="auto"/>
        <w:left w:val="none" w:sz="0" w:space="0" w:color="auto"/>
        <w:bottom w:val="none" w:sz="0" w:space="0" w:color="auto"/>
        <w:right w:val="none" w:sz="0" w:space="0" w:color="auto"/>
      </w:divBdr>
    </w:div>
    <w:div w:id="1018000357">
      <w:bodyDiv w:val="1"/>
      <w:marLeft w:val="0"/>
      <w:marRight w:val="0"/>
      <w:marTop w:val="0"/>
      <w:marBottom w:val="0"/>
      <w:divBdr>
        <w:top w:val="none" w:sz="0" w:space="0" w:color="auto"/>
        <w:left w:val="none" w:sz="0" w:space="0" w:color="auto"/>
        <w:bottom w:val="none" w:sz="0" w:space="0" w:color="auto"/>
        <w:right w:val="none" w:sz="0" w:space="0" w:color="auto"/>
      </w:divBdr>
    </w:div>
    <w:div w:id="1045523493">
      <w:bodyDiv w:val="1"/>
      <w:marLeft w:val="0"/>
      <w:marRight w:val="0"/>
      <w:marTop w:val="0"/>
      <w:marBottom w:val="0"/>
      <w:divBdr>
        <w:top w:val="none" w:sz="0" w:space="0" w:color="auto"/>
        <w:left w:val="none" w:sz="0" w:space="0" w:color="auto"/>
        <w:bottom w:val="none" w:sz="0" w:space="0" w:color="auto"/>
        <w:right w:val="none" w:sz="0" w:space="0" w:color="auto"/>
      </w:divBdr>
    </w:div>
    <w:div w:id="1046564296">
      <w:bodyDiv w:val="1"/>
      <w:marLeft w:val="0"/>
      <w:marRight w:val="0"/>
      <w:marTop w:val="0"/>
      <w:marBottom w:val="0"/>
      <w:divBdr>
        <w:top w:val="none" w:sz="0" w:space="0" w:color="auto"/>
        <w:left w:val="none" w:sz="0" w:space="0" w:color="auto"/>
        <w:bottom w:val="none" w:sz="0" w:space="0" w:color="auto"/>
        <w:right w:val="none" w:sz="0" w:space="0" w:color="auto"/>
      </w:divBdr>
    </w:div>
    <w:div w:id="1047952770">
      <w:bodyDiv w:val="1"/>
      <w:marLeft w:val="0"/>
      <w:marRight w:val="0"/>
      <w:marTop w:val="0"/>
      <w:marBottom w:val="0"/>
      <w:divBdr>
        <w:top w:val="none" w:sz="0" w:space="0" w:color="auto"/>
        <w:left w:val="none" w:sz="0" w:space="0" w:color="auto"/>
        <w:bottom w:val="none" w:sz="0" w:space="0" w:color="auto"/>
        <w:right w:val="none" w:sz="0" w:space="0" w:color="auto"/>
      </w:divBdr>
    </w:div>
    <w:div w:id="1054812185">
      <w:bodyDiv w:val="1"/>
      <w:marLeft w:val="0"/>
      <w:marRight w:val="0"/>
      <w:marTop w:val="0"/>
      <w:marBottom w:val="0"/>
      <w:divBdr>
        <w:top w:val="none" w:sz="0" w:space="0" w:color="auto"/>
        <w:left w:val="none" w:sz="0" w:space="0" w:color="auto"/>
        <w:bottom w:val="none" w:sz="0" w:space="0" w:color="auto"/>
        <w:right w:val="none" w:sz="0" w:space="0" w:color="auto"/>
      </w:divBdr>
    </w:div>
    <w:div w:id="1071344819">
      <w:bodyDiv w:val="1"/>
      <w:marLeft w:val="0"/>
      <w:marRight w:val="0"/>
      <w:marTop w:val="0"/>
      <w:marBottom w:val="0"/>
      <w:divBdr>
        <w:top w:val="none" w:sz="0" w:space="0" w:color="auto"/>
        <w:left w:val="none" w:sz="0" w:space="0" w:color="auto"/>
        <w:bottom w:val="none" w:sz="0" w:space="0" w:color="auto"/>
        <w:right w:val="none" w:sz="0" w:space="0" w:color="auto"/>
      </w:divBdr>
    </w:div>
    <w:div w:id="1081484254">
      <w:bodyDiv w:val="1"/>
      <w:marLeft w:val="0"/>
      <w:marRight w:val="0"/>
      <w:marTop w:val="0"/>
      <w:marBottom w:val="0"/>
      <w:divBdr>
        <w:top w:val="none" w:sz="0" w:space="0" w:color="auto"/>
        <w:left w:val="none" w:sz="0" w:space="0" w:color="auto"/>
        <w:bottom w:val="none" w:sz="0" w:space="0" w:color="auto"/>
        <w:right w:val="none" w:sz="0" w:space="0" w:color="auto"/>
      </w:divBdr>
    </w:div>
    <w:div w:id="1099957574">
      <w:bodyDiv w:val="1"/>
      <w:marLeft w:val="0"/>
      <w:marRight w:val="0"/>
      <w:marTop w:val="0"/>
      <w:marBottom w:val="0"/>
      <w:divBdr>
        <w:top w:val="none" w:sz="0" w:space="0" w:color="auto"/>
        <w:left w:val="none" w:sz="0" w:space="0" w:color="auto"/>
        <w:bottom w:val="none" w:sz="0" w:space="0" w:color="auto"/>
        <w:right w:val="none" w:sz="0" w:space="0" w:color="auto"/>
      </w:divBdr>
    </w:div>
    <w:div w:id="1138761498">
      <w:bodyDiv w:val="1"/>
      <w:marLeft w:val="0"/>
      <w:marRight w:val="0"/>
      <w:marTop w:val="0"/>
      <w:marBottom w:val="0"/>
      <w:divBdr>
        <w:top w:val="none" w:sz="0" w:space="0" w:color="auto"/>
        <w:left w:val="none" w:sz="0" w:space="0" w:color="auto"/>
        <w:bottom w:val="none" w:sz="0" w:space="0" w:color="auto"/>
        <w:right w:val="none" w:sz="0" w:space="0" w:color="auto"/>
      </w:divBdr>
    </w:div>
    <w:div w:id="1163089290">
      <w:bodyDiv w:val="1"/>
      <w:marLeft w:val="0"/>
      <w:marRight w:val="0"/>
      <w:marTop w:val="0"/>
      <w:marBottom w:val="0"/>
      <w:divBdr>
        <w:top w:val="none" w:sz="0" w:space="0" w:color="auto"/>
        <w:left w:val="none" w:sz="0" w:space="0" w:color="auto"/>
        <w:bottom w:val="none" w:sz="0" w:space="0" w:color="auto"/>
        <w:right w:val="none" w:sz="0" w:space="0" w:color="auto"/>
      </w:divBdr>
    </w:div>
    <w:div w:id="1182940393">
      <w:bodyDiv w:val="1"/>
      <w:marLeft w:val="0"/>
      <w:marRight w:val="0"/>
      <w:marTop w:val="0"/>
      <w:marBottom w:val="0"/>
      <w:divBdr>
        <w:top w:val="none" w:sz="0" w:space="0" w:color="auto"/>
        <w:left w:val="none" w:sz="0" w:space="0" w:color="auto"/>
        <w:bottom w:val="none" w:sz="0" w:space="0" w:color="auto"/>
        <w:right w:val="none" w:sz="0" w:space="0" w:color="auto"/>
      </w:divBdr>
    </w:div>
    <w:div w:id="1185368507">
      <w:bodyDiv w:val="1"/>
      <w:marLeft w:val="0"/>
      <w:marRight w:val="0"/>
      <w:marTop w:val="0"/>
      <w:marBottom w:val="0"/>
      <w:divBdr>
        <w:top w:val="none" w:sz="0" w:space="0" w:color="auto"/>
        <w:left w:val="none" w:sz="0" w:space="0" w:color="auto"/>
        <w:bottom w:val="none" w:sz="0" w:space="0" w:color="auto"/>
        <w:right w:val="none" w:sz="0" w:space="0" w:color="auto"/>
      </w:divBdr>
    </w:div>
    <w:div w:id="1195076862">
      <w:bodyDiv w:val="1"/>
      <w:marLeft w:val="0"/>
      <w:marRight w:val="0"/>
      <w:marTop w:val="0"/>
      <w:marBottom w:val="0"/>
      <w:divBdr>
        <w:top w:val="none" w:sz="0" w:space="0" w:color="auto"/>
        <w:left w:val="none" w:sz="0" w:space="0" w:color="auto"/>
        <w:bottom w:val="none" w:sz="0" w:space="0" w:color="auto"/>
        <w:right w:val="none" w:sz="0" w:space="0" w:color="auto"/>
      </w:divBdr>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
    <w:div w:id="1280145981">
      <w:bodyDiv w:val="1"/>
      <w:marLeft w:val="0"/>
      <w:marRight w:val="0"/>
      <w:marTop w:val="0"/>
      <w:marBottom w:val="0"/>
      <w:divBdr>
        <w:top w:val="none" w:sz="0" w:space="0" w:color="auto"/>
        <w:left w:val="none" w:sz="0" w:space="0" w:color="auto"/>
        <w:bottom w:val="none" w:sz="0" w:space="0" w:color="auto"/>
        <w:right w:val="none" w:sz="0" w:space="0" w:color="auto"/>
      </w:divBdr>
    </w:div>
    <w:div w:id="1302080537">
      <w:bodyDiv w:val="1"/>
      <w:marLeft w:val="0"/>
      <w:marRight w:val="0"/>
      <w:marTop w:val="0"/>
      <w:marBottom w:val="0"/>
      <w:divBdr>
        <w:top w:val="none" w:sz="0" w:space="0" w:color="auto"/>
        <w:left w:val="none" w:sz="0" w:space="0" w:color="auto"/>
        <w:bottom w:val="none" w:sz="0" w:space="0" w:color="auto"/>
        <w:right w:val="none" w:sz="0" w:space="0" w:color="auto"/>
      </w:divBdr>
    </w:div>
    <w:div w:id="1317151998">
      <w:bodyDiv w:val="1"/>
      <w:marLeft w:val="0"/>
      <w:marRight w:val="0"/>
      <w:marTop w:val="0"/>
      <w:marBottom w:val="0"/>
      <w:divBdr>
        <w:top w:val="none" w:sz="0" w:space="0" w:color="auto"/>
        <w:left w:val="none" w:sz="0" w:space="0" w:color="auto"/>
        <w:bottom w:val="none" w:sz="0" w:space="0" w:color="auto"/>
        <w:right w:val="none" w:sz="0" w:space="0" w:color="auto"/>
      </w:divBdr>
    </w:div>
    <w:div w:id="1323662619">
      <w:bodyDiv w:val="1"/>
      <w:marLeft w:val="0"/>
      <w:marRight w:val="0"/>
      <w:marTop w:val="0"/>
      <w:marBottom w:val="0"/>
      <w:divBdr>
        <w:top w:val="none" w:sz="0" w:space="0" w:color="auto"/>
        <w:left w:val="none" w:sz="0" w:space="0" w:color="auto"/>
        <w:bottom w:val="none" w:sz="0" w:space="0" w:color="auto"/>
        <w:right w:val="none" w:sz="0" w:space="0" w:color="auto"/>
      </w:divBdr>
    </w:div>
    <w:div w:id="1343052548">
      <w:bodyDiv w:val="1"/>
      <w:marLeft w:val="0"/>
      <w:marRight w:val="0"/>
      <w:marTop w:val="0"/>
      <w:marBottom w:val="0"/>
      <w:divBdr>
        <w:top w:val="none" w:sz="0" w:space="0" w:color="auto"/>
        <w:left w:val="none" w:sz="0" w:space="0" w:color="auto"/>
        <w:bottom w:val="none" w:sz="0" w:space="0" w:color="auto"/>
        <w:right w:val="none" w:sz="0" w:space="0" w:color="auto"/>
      </w:divBdr>
    </w:div>
    <w:div w:id="1352607086">
      <w:bodyDiv w:val="1"/>
      <w:marLeft w:val="0"/>
      <w:marRight w:val="0"/>
      <w:marTop w:val="0"/>
      <w:marBottom w:val="0"/>
      <w:divBdr>
        <w:top w:val="none" w:sz="0" w:space="0" w:color="auto"/>
        <w:left w:val="none" w:sz="0" w:space="0" w:color="auto"/>
        <w:bottom w:val="none" w:sz="0" w:space="0" w:color="auto"/>
        <w:right w:val="none" w:sz="0" w:space="0" w:color="auto"/>
      </w:divBdr>
    </w:div>
    <w:div w:id="1359235777">
      <w:bodyDiv w:val="1"/>
      <w:marLeft w:val="0"/>
      <w:marRight w:val="0"/>
      <w:marTop w:val="0"/>
      <w:marBottom w:val="0"/>
      <w:divBdr>
        <w:top w:val="none" w:sz="0" w:space="0" w:color="auto"/>
        <w:left w:val="none" w:sz="0" w:space="0" w:color="auto"/>
        <w:bottom w:val="none" w:sz="0" w:space="0" w:color="auto"/>
        <w:right w:val="none" w:sz="0" w:space="0" w:color="auto"/>
      </w:divBdr>
    </w:div>
    <w:div w:id="1364132106">
      <w:bodyDiv w:val="1"/>
      <w:marLeft w:val="0"/>
      <w:marRight w:val="0"/>
      <w:marTop w:val="0"/>
      <w:marBottom w:val="0"/>
      <w:divBdr>
        <w:top w:val="none" w:sz="0" w:space="0" w:color="auto"/>
        <w:left w:val="none" w:sz="0" w:space="0" w:color="auto"/>
        <w:bottom w:val="none" w:sz="0" w:space="0" w:color="auto"/>
        <w:right w:val="none" w:sz="0" w:space="0" w:color="auto"/>
      </w:divBdr>
    </w:div>
    <w:div w:id="1370912318">
      <w:bodyDiv w:val="1"/>
      <w:marLeft w:val="0"/>
      <w:marRight w:val="0"/>
      <w:marTop w:val="0"/>
      <w:marBottom w:val="0"/>
      <w:divBdr>
        <w:top w:val="none" w:sz="0" w:space="0" w:color="auto"/>
        <w:left w:val="none" w:sz="0" w:space="0" w:color="auto"/>
        <w:bottom w:val="none" w:sz="0" w:space="0" w:color="auto"/>
        <w:right w:val="none" w:sz="0" w:space="0" w:color="auto"/>
      </w:divBdr>
    </w:div>
    <w:div w:id="1386683753">
      <w:bodyDiv w:val="1"/>
      <w:marLeft w:val="0"/>
      <w:marRight w:val="0"/>
      <w:marTop w:val="0"/>
      <w:marBottom w:val="0"/>
      <w:divBdr>
        <w:top w:val="none" w:sz="0" w:space="0" w:color="auto"/>
        <w:left w:val="none" w:sz="0" w:space="0" w:color="auto"/>
        <w:bottom w:val="none" w:sz="0" w:space="0" w:color="auto"/>
        <w:right w:val="none" w:sz="0" w:space="0" w:color="auto"/>
      </w:divBdr>
    </w:div>
    <w:div w:id="1406104140">
      <w:bodyDiv w:val="1"/>
      <w:marLeft w:val="0"/>
      <w:marRight w:val="0"/>
      <w:marTop w:val="0"/>
      <w:marBottom w:val="0"/>
      <w:divBdr>
        <w:top w:val="none" w:sz="0" w:space="0" w:color="auto"/>
        <w:left w:val="none" w:sz="0" w:space="0" w:color="auto"/>
        <w:bottom w:val="none" w:sz="0" w:space="0" w:color="auto"/>
        <w:right w:val="none" w:sz="0" w:space="0" w:color="auto"/>
      </w:divBdr>
    </w:div>
    <w:div w:id="1469859141">
      <w:bodyDiv w:val="1"/>
      <w:marLeft w:val="0"/>
      <w:marRight w:val="0"/>
      <w:marTop w:val="0"/>
      <w:marBottom w:val="0"/>
      <w:divBdr>
        <w:top w:val="none" w:sz="0" w:space="0" w:color="auto"/>
        <w:left w:val="none" w:sz="0" w:space="0" w:color="auto"/>
        <w:bottom w:val="none" w:sz="0" w:space="0" w:color="auto"/>
        <w:right w:val="none" w:sz="0" w:space="0" w:color="auto"/>
      </w:divBdr>
    </w:div>
    <w:div w:id="1480998850">
      <w:bodyDiv w:val="1"/>
      <w:marLeft w:val="0"/>
      <w:marRight w:val="0"/>
      <w:marTop w:val="0"/>
      <w:marBottom w:val="0"/>
      <w:divBdr>
        <w:top w:val="none" w:sz="0" w:space="0" w:color="auto"/>
        <w:left w:val="none" w:sz="0" w:space="0" w:color="auto"/>
        <w:bottom w:val="none" w:sz="0" w:space="0" w:color="auto"/>
        <w:right w:val="none" w:sz="0" w:space="0" w:color="auto"/>
      </w:divBdr>
    </w:div>
    <w:div w:id="1492600984">
      <w:bodyDiv w:val="1"/>
      <w:marLeft w:val="0"/>
      <w:marRight w:val="0"/>
      <w:marTop w:val="0"/>
      <w:marBottom w:val="0"/>
      <w:divBdr>
        <w:top w:val="none" w:sz="0" w:space="0" w:color="auto"/>
        <w:left w:val="none" w:sz="0" w:space="0" w:color="auto"/>
        <w:bottom w:val="none" w:sz="0" w:space="0" w:color="auto"/>
        <w:right w:val="none" w:sz="0" w:space="0" w:color="auto"/>
      </w:divBdr>
    </w:div>
    <w:div w:id="1503203735">
      <w:bodyDiv w:val="1"/>
      <w:marLeft w:val="0"/>
      <w:marRight w:val="0"/>
      <w:marTop w:val="0"/>
      <w:marBottom w:val="0"/>
      <w:divBdr>
        <w:top w:val="none" w:sz="0" w:space="0" w:color="auto"/>
        <w:left w:val="none" w:sz="0" w:space="0" w:color="auto"/>
        <w:bottom w:val="none" w:sz="0" w:space="0" w:color="auto"/>
        <w:right w:val="none" w:sz="0" w:space="0" w:color="auto"/>
      </w:divBdr>
    </w:div>
    <w:div w:id="1530298111">
      <w:bodyDiv w:val="1"/>
      <w:marLeft w:val="0"/>
      <w:marRight w:val="0"/>
      <w:marTop w:val="0"/>
      <w:marBottom w:val="0"/>
      <w:divBdr>
        <w:top w:val="none" w:sz="0" w:space="0" w:color="auto"/>
        <w:left w:val="none" w:sz="0" w:space="0" w:color="auto"/>
        <w:bottom w:val="none" w:sz="0" w:space="0" w:color="auto"/>
        <w:right w:val="none" w:sz="0" w:space="0" w:color="auto"/>
      </w:divBdr>
    </w:div>
    <w:div w:id="1558203751">
      <w:bodyDiv w:val="1"/>
      <w:marLeft w:val="0"/>
      <w:marRight w:val="0"/>
      <w:marTop w:val="0"/>
      <w:marBottom w:val="0"/>
      <w:divBdr>
        <w:top w:val="none" w:sz="0" w:space="0" w:color="auto"/>
        <w:left w:val="none" w:sz="0" w:space="0" w:color="auto"/>
        <w:bottom w:val="none" w:sz="0" w:space="0" w:color="auto"/>
        <w:right w:val="none" w:sz="0" w:space="0" w:color="auto"/>
      </w:divBdr>
    </w:div>
    <w:div w:id="1568762510">
      <w:bodyDiv w:val="1"/>
      <w:marLeft w:val="0"/>
      <w:marRight w:val="0"/>
      <w:marTop w:val="0"/>
      <w:marBottom w:val="0"/>
      <w:divBdr>
        <w:top w:val="none" w:sz="0" w:space="0" w:color="auto"/>
        <w:left w:val="none" w:sz="0" w:space="0" w:color="auto"/>
        <w:bottom w:val="none" w:sz="0" w:space="0" w:color="auto"/>
        <w:right w:val="none" w:sz="0" w:space="0" w:color="auto"/>
      </w:divBdr>
    </w:div>
    <w:div w:id="1576428306">
      <w:bodyDiv w:val="1"/>
      <w:marLeft w:val="0"/>
      <w:marRight w:val="0"/>
      <w:marTop w:val="0"/>
      <w:marBottom w:val="0"/>
      <w:divBdr>
        <w:top w:val="none" w:sz="0" w:space="0" w:color="auto"/>
        <w:left w:val="none" w:sz="0" w:space="0" w:color="auto"/>
        <w:bottom w:val="none" w:sz="0" w:space="0" w:color="auto"/>
        <w:right w:val="none" w:sz="0" w:space="0" w:color="auto"/>
      </w:divBdr>
    </w:div>
    <w:div w:id="1577352366">
      <w:bodyDiv w:val="1"/>
      <w:marLeft w:val="0"/>
      <w:marRight w:val="0"/>
      <w:marTop w:val="0"/>
      <w:marBottom w:val="0"/>
      <w:divBdr>
        <w:top w:val="none" w:sz="0" w:space="0" w:color="auto"/>
        <w:left w:val="none" w:sz="0" w:space="0" w:color="auto"/>
        <w:bottom w:val="none" w:sz="0" w:space="0" w:color="auto"/>
        <w:right w:val="none" w:sz="0" w:space="0" w:color="auto"/>
      </w:divBdr>
    </w:div>
    <w:div w:id="1578056429">
      <w:bodyDiv w:val="1"/>
      <w:marLeft w:val="0"/>
      <w:marRight w:val="0"/>
      <w:marTop w:val="0"/>
      <w:marBottom w:val="0"/>
      <w:divBdr>
        <w:top w:val="none" w:sz="0" w:space="0" w:color="auto"/>
        <w:left w:val="none" w:sz="0" w:space="0" w:color="auto"/>
        <w:bottom w:val="none" w:sz="0" w:space="0" w:color="auto"/>
        <w:right w:val="none" w:sz="0" w:space="0" w:color="auto"/>
      </w:divBdr>
    </w:div>
    <w:div w:id="1580289287">
      <w:bodyDiv w:val="1"/>
      <w:marLeft w:val="0"/>
      <w:marRight w:val="0"/>
      <w:marTop w:val="0"/>
      <w:marBottom w:val="0"/>
      <w:divBdr>
        <w:top w:val="none" w:sz="0" w:space="0" w:color="auto"/>
        <w:left w:val="none" w:sz="0" w:space="0" w:color="auto"/>
        <w:bottom w:val="none" w:sz="0" w:space="0" w:color="auto"/>
        <w:right w:val="none" w:sz="0" w:space="0" w:color="auto"/>
      </w:divBdr>
      <w:divsChild>
        <w:div w:id="660278142">
          <w:marLeft w:val="0"/>
          <w:marRight w:val="0"/>
          <w:marTop w:val="0"/>
          <w:marBottom w:val="0"/>
          <w:divBdr>
            <w:top w:val="none" w:sz="0" w:space="0" w:color="auto"/>
            <w:left w:val="none" w:sz="0" w:space="0" w:color="auto"/>
            <w:bottom w:val="none" w:sz="0" w:space="0" w:color="auto"/>
            <w:right w:val="none" w:sz="0" w:space="0" w:color="auto"/>
          </w:divBdr>
          <w:divsChild>
            <w:div w:id="776102900">
              <w:marLeft w:val="0"/>
              <w:marRight w:val="0"/>
              <w:marTop w:val="0"/>
              <w:marBottom w:val="0"/>
              <w:divBdr>
                <w:top w:val="none" w:sz="0" w:space="0" w:color="auto"/>
                <w:left w:val="none" w:sz="0" w:space="0" w:color="auto"/>
                <w:bottom w:val="none" w:sz="0" w:space="0" w:color="auto"/>
                <w:right w:val="none" w:sz="0" w:space="0" w:color="auto"/>
              </w:divBdr>
              <w:divsChild>
                <w:div w:id="1789740895">
                  <w:marLeft w:val="0"/>
                  <w:marRight w:val="0"/>
                  <w:marTop w:val="0"/>
                  <w:marBottom w:val="0"/>
                  <w:divBdr>
                    <w:top w:val="none" w:sz="0" w:space="0" w:color="auto"/>
                    <w:left w:val="none" w:sz="0" w:space="0" w:color="auto"/>
                    <w:bottom w:val="none" w:sz="0" w:space="0" w:color="auto"/>
                    <w:right w:val="none" w:sz="0" w:space="0" w:color="auto"/>
                  </w:divBdr>
                  <w:divsChild>
                    <w:div w:id="177393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753554">
      <w:bodyDiv w:val="1"/>
      <w:marLeft w:val="0"/>
      <w:marRight w:val="0"/>
      <w:marTop w:val="0"/>
      <w:marBottom w:val="0"/>
      <w:divBdr>
        <w:top w:val="none" w:sz="0" w:space="0" w:color="auto"/>
        <w:left w:val="none" w:sz="0" w:space="0" w:color="auto"/>
        <w:bottom w:val="none" w:sz="0" w:space="0" w:color="auto"/>
        <w:right w:val="none" w:sz="0" w:space="0" w:color="auto"/>
      </w:divBdr>
    </w:div>
    <w:div w:id="1595741080">
      <w:bodyDiv w:val="1"/>
      <w:marLeft w:val="0"/>
      <w:marRight w:val="0"/>
      <w:marTop w:val="0"/>
      <w:marBottom w:val="0"/>
      <w:divBdr>
        <w:top w:val="none" w:sz="0" w:space="0" w:color="auto"/>
        <w:left w:val="none" w:sz="0" w:space="0" w:color="auto"/>
        <w:bottom w:val="none" w:sz="0" w:space="0" w:color="auto"/>
        <w:right w:val="none" w:sz="0" w:space="0" w:color="auto"/>
      </w:divBdr>
    </w:div>
    <w:div w:id="1605533148">
      <w:bodyDiv w:val="1"/>
      <w:marLeft w:val="0"/>
      <w:marRight w:val="0"/>
      <w:marTop w:val="0"/>
      <w:marBottom w:val="0"/>
      <w:divBdr>
        <w:top w:val="none" w:sz="0" w:space="0" w:color="auto"/>
        <w:left w:val="none" w:sz="0" w:space="0" w:color="auto"/>
        <w:bottom w:val="none" w:sz="0" w:space="0" w:color="auto"/>
        <w:right w:val="none" w:sz="0" w:space="0" w:color="auto"/>
      </w:divBdr>
    </w:div>
    <w:div w:id="1619796399">
      <w:bodyDiv w:val="1"/>
      <w:marLeft w:val="0"/>
      <w:marRight w:val="0"/>
      <w:marTop w:val="0"/>
      <w:marBottom w:val="0"/>
      <w:divBdr>
        <w:top w:val="none" w:sz="0" w:space="0" w:color="auto"/>
        <w:left w:val="none" w:sz="0" w:space="0" w:color="auto"/>
        <w:bottom w:val="none" w:sz="0" w:space="0" w:color="auto"/>
        <w:right w:val="none" w:sz="0" w:space="0" w:color="auto"/>
      </w:divBdr>
    </w:div>
    <w:div w:id="1627857619">
      <w:bodyDiv w:val="1"/>
      <w:marLeft w:val="0"/>
      <w:marRight w:val="0"/>
      <w:marTop w:val="0"/>
      <w:marBottom w:val="0"/>
      <w:divBdr>
        <w:top w:val="none" w:sz="0" w:space="0" w:color="auto"/>
        <w:left w:val="none" w:sz="0" w:space="0" w:color="auto"/>
        <w:bottom w:val="none" w:sz="0" w:space="0" w:color="auto"/>
        <w:right w:val="none" w:sz="0" w:space="0" w:color="auto"/>
      </w:divBdr>
    </w:div>
    <w:div w:id="1670718748">
      <w:bodyDiv w:val="1"/>
      <w:marLeft w:val="0"/>
      <w:marRight w:val="0"/>
      <w:marTop w:val="0"/>
      <w:marBottom w:val="0"/>
      <w:divBdr>
        <w:top w:val="none" w:sz="0" w:space="0" w:color="auto"/>
        <w:left w:val="none" w:sz="0" w:space="0" w:color="auto"/>
        <w:bottom w:val="none" w:sz="0" w:space="0" w:color="auto"/>
        <w:right w:val="none" w:sz="0" w:space="0" w:color="auto"/>
      </w:divBdr>
    </w:div>
    <w:div w:id="1675066595">
      <w:bodyDiv w:val="1"/>
      <w:marLeft w:val="0"/>
      <w:marRight w:val="0"/>
      <w:marTop w:val="0"/>
      <w:marBottom w:val="0"/>
      <w:divBdr>
        <w:top w:val="none" w:sz="0" w:space="0" w:color="auto"/>
        <w:left w:val="none" w:sz="0" w:space="0" w:color="auto"/>
        <w:bottom w:val="none" w:sz="0" w:space="0" w:color="auto"/>
        <w:right w:val="none" w:sz="0" w:space="0" w:color="auto"/>
      </w:divBdr>
    </w:div>
    <w:div w:id="1687635089">
      <w:bodyDiv w:val="1"/>
      <w:marLeft w:val="0"/>
      <w:marRight w:val="0"/>
      <w:marTop w:val="0"/>
      <w:marBottom w:val="0"/>
      <w:divBdr>
        <w:top w:val="none" w:sz="0" w:space="0" w:color="auto"/>
        <w:left w:val="none" w:sz="0" w:space="0" w:color="auto"/>
        <w:bottom w:val="none" w:sz="0" w:space="0" w:color="auto"/>
        <w:right w:val="none" w:sz="0" w:space="0" w:color="auto"/>
      </w:divBdr>
      <w:divsChild>
        <w:div w:id="918900774">
          <w:marLeft w:val="0"/>
          <w:marRight w:val="0"/>
          <w:marTop w:val="0"/>
          <w:marBottom w:val="0"/>
          <w:divBdr>
            <w:top w:val="none" w:sz="0" w:space="0" w:color="auto"/>
            <w:left w:val="none" w:sz="0" w:space="0" w:color="auto"/>
            <w:bottom w:val="none" w:sz="0" w:space="0" w:color="auto"/>
            <w:right w:val="none" w:sz="0" w:space="0" w:color="auto"/>
          </w:divBdr>
          <w:divsChild>
            <w:div w:id="1275015636">
              <w:marLeft w:val="0"/>
              <w:marRight w:val="0"/>
              <w:marTop w:val="0"/>
              <w:marBottom w:val="0"/>
              <w:divBdr>
                <w:top w:val="none" w:sz="0" w:space="0" w:color="auto"/>
                <w:left w:val="none" w:sz="0" w:space="0" w:color="auto"/>
                <w:bottom w:val="none" w:sz="0" w:space="0" w:color="auto"/>
                <w:right w:val="none" w:sz="0" w:space="0" w:color="auto"/>
              </w:divBdr>
              <w:divsChild>
                <w:div w:id="386029089">
                  <w:marLeft w:val="0"/>
                  <w:marRight w:val="0"/>
                  <w:marTop w:val="0"/>
                  <w:marBottom w:val="0"/>
                  <w:divBdr>
                    <w:top w:val="none" w:sz="0" w:space="0" w:color="auto"/>
                    <w:left w:val="none" w:sz="0" w:space="0" w:color="auto"/>
                    <w:bottom w:val="none" w:sz="0" w:space="0" w:color="auto"/>
                    <w:right w:val="none" w:sz="0" w:space="0" w:color="auto"/>
                  </w:divBdr>
                  <w:divsChild>
                    <w:div w:id="1132020234">
                      <w:marLeft w:val="0"/>
                      <w:marRight w:val="0"/>
                      <w:marTop w:val="0"/>
                      <w:marBottom w:val="0"/>
                      <w:divBdr>
                        <w:top w:val="none" w:sz="0" w:space="0" w:color="auto"/>
                        <w:left w:val="none" w:sz="0" w:space="0" w:color="auto"/>
                        <w:bottom w:val="none" w:sz="0" w:space="0" w:color="auto"/>
                        <w:right w:val="none" w:sz="0" w:space="0" w:color="auto"/>
                      </w:divBdr>
                      <w:divsChild>
                        <w:div w:id="577519866">
                          <w:marLeft w:val="0"/>
                          <w:marRight w:val="0"/>
                          <w:marTop w:val="0"/>
                          <w:marBottom w:val="0"/>
                          <w:divBdr>
                            <w:top w:val="none" w:sz="0" w:space="0" w:color="auto"/>
                            <w:left w:val="none" w:sz="0" w:space="0" w:color="auto"/>
                            <w:bottom w:val="none" w:sz="0" w:space="0" w:color="auto"/>
                            <w:right w:val="none" w:sz="0" w:space="0" w:color="auto"/>
                          </w:divBdr>
                          <w:divsChild>
                            <w:div w:id="8543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506617">
      <w:bodyDiv w:val="1"/>
      <w:marLeft w:val="0"/>
      <w:marRight w:val="0"/>
      <w:marTop w:val="0"/>
      <w:marBottom w:val="0"/>
      <w:divBdr>
        <w:top w:val="none" w:sz="0" w:space="0" w:color="auto"/>
        <w:left w:val="none" w:sz="0" w:space="0" w:color="auto"/>
        <w:bottom w:val="none" w:sz="0" w:space="0" w:color="auto"/>
        <w:right w:val="none" w:sz="0" w:space="0" w:color="auto"/>
      </w:divBdr>
    </w:div>
    <w:div w:id="1721051804">
      <w:bodyDiv w:val="1"/>
      <w:marLeft w:val="0"/>
      <w:marRight w:val="0"/>
      <w:marTop w:val="0"/>
      <w:marBottom w:val="0"/>
      <w:divBdr>
        <w:top w:val="none" w:sz="0" w:space="0" w:color="auto"/>
        <w:left w:val="none" w:sz="0" w:space="0" w:color="auto"/>
        <w:bottom w:val="none" w:sz="0" w:space="0" w:color="auto"/>
        <w:right w:val="none" w:sz="0" w:space="0" w:color="auto"/>
      </w:divBdr>
    </w:div>
    <w:div w:id="1721317025">
      <w:bodyDiv w:val="1"/>
      <w:marLeft w:val="0"/>
      <w:marRight w:val="0"/>
      <w:marTop w:val="0"/>
      <w:marBottom w:val="0"/>
      <w:divBdr>
        <w:top w:val="none" w:sz="0" w:space="0" w:color="auto"/>
        <w:left w:val="none" w:sz="0" w:space="0" w:color="auto"/>
        <w:bottom w:val="none" w:sz="0" w:space="0" w:color="auto"/>
        <w:right w:val="none" w:sz="0" w:space="0" w:color="auto"/>
      </w:divBdr>
    </w:div>
    <w:div w:id="1742171549">
      <w:bodyDiv w:val="1"/>
      <w:marLeft w:val="0"/>
      <w:marRight w:val="0"/>
      <w:marTop w:val="0"/>
      <w:marBottom w:val="0"/>
      <w:divBdr>
        <w:top w:val="none" w:sz="0" w:space="0" w:color="auto"/>
        <w:left w:val="none" w:sz="0" w:space="0" w:color="auto"/>
        <w:bottom w:val="none" w:sz="0" w:space="0" w:color="auto"/>
        <w:right w:val="none" w:sz="0" w:space="0" w:color="auto"/>
      </w:divBdr>
    </w:div>
    <w:div w:id="1743914150">
      <w:bodyDiv w:val="1"/>
      <w:marLeft w:val="0"/>
      <w:marRight w:val="0"/>
      <w:marTop w:val="0"/>
      <w:marBottom w:val="0"/>
      <w:divBdr>
        <w:top w:val="none" w:sz="0" w:space="0" w:color="auto"/>
        <w:left w:val="none" w:sz="0" w:space="0" w:color="auto"/>
        <w:bottom w:val="none" w:sz="0" w:space="0" w:color="auto"/>
        <w:right w:val="none" w:sz="0" w:space="0" w:color="auto"/>
      </w:divBdr>
    </w:div>
    <w:div w:id="1752508145">
      <w:bodyDiv w:val="1"/>
      <w:marLeft w:val="0"/>
      <w:marRight w:val="0"/>
      <w:marTop w:val="0"/>
      <w:marBottom w:val="0"/>
      <w:divBdr>
        <w:top w:val="none" w:sz="0" w:space="0" w:color="auto"/>
        <w:left w:val="none" w:sz="0" w:space="0" w:color="auto"/>
        <w:bottom w:val="none" w:sz="0" w:space="0" w:color="auto"/>
        <w:right w:val="none" w:sz="0" w:space="0" w:color="auto"/>
      </w:divBdr>
    </w:div>
    <w:div w:id="1786734649">
      <w:bodyDiv w:val="1"/>
      <w:marLeft w:val="0"/>
      <w:marRight w:val="0"/>
      <w:marTop w:val="0"/>
      <w:marBottom w:val="0"/>
      <w:divBdr>
        <w:top w:val="none" w:sz="0" w:space="0" w:color="auto"/>
        <w:left w:val="none" w:sz="0" w:space="0" w:color="auto"/>
        <w:bottom w:val="none" w:sz="0" w:space="0" w:color="auto"/>
        <w:right w:val="none" w:sz="0" w:space="0" w:color="auto"/>
      </w:divBdr>
    </w:div>
    <w:div w:id="1789201846">
      <w:bodyDiv w:val="1"/>
      <w:marLeft w:val="0"/>
      <w:marRight w:val="0"/>
      <w:marTop w:val="0"/>
      <w:marBottom w:val="0"/>
      <w:divBdr>
        <w:top w:val="none" w:sz="0" w:space="0" w:color="auto"/>
        <w:left w:val="none" w:sz="0" w:space="0" w:color="auto"/>
        <w:bottom w:val="none" w:sz="0" w:space="0" w:color="auto"/>
        <w:right w:val="none" w:sz="0" w:space="0" w:color="auto"/>
      </w:divBdr>
    </w:div>
    <w:div w:id="1815025895">
      <w:bodyDiv w:val="1"/>
      <w:marLeft w:val="0"/>
      <w:marRight w:val="0"/>
      <w:marTop w:val="0"/>
      <w:marBottom w:val="0"/>
      <w:divBdr>
        <w:top w:val="none" w:sz="0" w:space="0" w:color="auto"/>
        <w:left w:val="none" w:sz="0" w:space="0" w:color="auto"/>
        <w:bottom w:val="none" w:sz="0" w:space="0" w:color="auto"/>
        <w:right w:val="none" w:sz="0" w:space="0" w:color="auto"/>
      </w:divBdr>
    </w:div>
    <w:div w:id="1820001105">
      <w:bodyDiv w:val="1"/>
      <w:marLeft w:val="0"/>
      <w:marRight w:val="0"/>
      <w:marTop w:val="0"/>
      <w:marBottom w:val="0"/>
      <w:divBdr>
        <w:top w:val="none" w:sz="0" w:space="0" w:color="auto"/>
        <w:left w:val="none" w:sz="0" w:space="0" w:color="auto"/>
        <w:bottom w:val="none" w:sz="0" w:space="0" w:color="auto"/>
        <w:right w:val="none" w:sz="0" w:space="0" w:color="auto"/>
      </w:divBdr>
    </w:div>
    <w:div w:id="1823229638">
      <w:bodyDiv w:val="1"/>
      <w:marLeft w:val="0"/>
      <w:marRight w:val="0"/>
      <w:marTop w:val="0"/>
      <w:marBottom w:val="0"/>
      <w:divBdr>
        <w:top w:val="none" w:sz="0" w:space="0" w:color="auto"/>
        <w:left w:val="none" w:sz="0" w:space="0" w:color="auto"/>
        <w:bottom w:val="none" w:sz="0" w:space="0" w:color="auto"/>
        <w:right w:val="none" w:sz="0" w:space="0" w:color="auto"/>
      </w:divBdr>
    </w:div>
    <w:div w:id="1826622404">
      <w:bodyDiv w:val="1"/>
      <w:marLeft w:val="0"/>
      <w:marRight w:val="0"/>
      <w:marTop w:val="0"/>
      <w:marBottom w:val="0"/>
      <w:divBdr>
        <w:top w:val="none" w:sz="0" w:space="0" w:color="auto"/>
        <w:left w:val="none" w:sz="0" w:space="0" w:color="auto"/>
        <w:bottom w:val="none" w:sz="0" w:space="0" w:color="auto"/>
        <w:right w:val="none" w:sz="0" w:space="0" w:color="auto"/>
      </w:divBdr>
    </w:div>
    <w:div w:id="1844196449">
      <w:bodyDiv w:val="1"/>
      <w:marLeft w:val="0"/>
      <w:marRight w:val="0"/>
      <w:marTop w:val="0"/>
      <w:marBottom w:val="0"/>
      <w:divBdr>
        <w:top w:val="none" w:sz="0" w:space="0" w:color="auto"/>
        <w:left w:val="none" w:sz="0" w:space="0" w:color="auto"/>
        <w:bottom w:val="none" w:sz="0" w:space="0" w:color="auto"/>
        <w:right w:val="none" w:sz="0" w:space="0" w:color="auto"/>
      </w:divBdr>
    </w:div>
    <w:div w:id="1857227669">
      <w:bodyDiv w:val="1"/>
      <w:marLeft w:val="0"/>
      <w:marRight w:val="0"/>
      <w:marTop w:val="0"/>
      <w:marBottom w:val="0"/>
      <w:divBdr>
        <w:top w:val="none" w:sz="0" w:space="0" w:color="auto"/>
        <w:left w:val="none" w:sz="0" w:space="0" w:color="auto"/>
        <w:bottom w:val="none" w:sz="0" w:space="0" w:color="auto"/>
        <w:right w:val="none" w:sz="0" w:space="0" w:color="auto"/>
      </w:divBdr>
    </w:div>
    <w:div w:id="1880777831">
      <w:bodyDiv w:val="1"/>
      <w:marLeft w:val="0"/>
      <w:marRight w:val="0"/>
      <w:marTop w:val="100"/>
      <w:marBottom w:val="100"/>
      <w:divBdr>
        <w:top w:val="none" w:sz="0" w:space="0" w:color="auto"/>
        <w:left w:val="none" w:sz="0" w:space="0" w:color="auto"/>
        <w:bottom w:val="none" w:sz="0" w:space="0" w:color="auto"/>
        <w:right w:val="none" w:sz="0" w:space="0" w:color="auto"/>
      </w:divBdr>
      <w:divsChild>
        <w:div w:id="345063948">
          <w:marLeft w:val="0"/>
          <w:marRight w:val="0"/>
          <w:marTop w:val="0"/>
          <w:marBottom w:val="0"/>
          <w:divBdr>
            <w:top w:val="none" w:sz="0" w:space="0" w:color="auto"/>
            <w:left w:val="none" w:sz="0" w:space="0" w:color="auto"/>
            <w:bottom w:val="none" w:sz="0" w:space="0" w:color="auto"/>
            <w:right w:val="none" w:sz="0" w:space="0" w:color="auto"/>
          </w:divBdr>
          <w:divsChild>
            <w:div w:id="2114520618">
              <w:marLeft w:val="0"/>
              <w:marRight w:val="0"/>
              <w:marTop w:val="0"/>
              <w:marBottom w:val="0"/>
              <w:divBdr>
                <w:top w:val="none" w:sz="0" w:space="0" w:color="auto"/>
                <w:left w:val="none" w:sz="0" w:space="0" w:color="auto"/>
                <w:bottom w:val="none" w:sz="0" w:space="0" w:color="auto"/>
                <w:right w:val="none" w:sz="0" w:space="0" w:color="auto"/>
              </w:divBdr>
              <w:divsChild>
                <w:div w:id="2099206327">
                  <w:marLeft w:val="0"/>
                  <w:marRight w:val="0"/>
                  <w:marTop w:val="0"/>
                  <w:marBottom w:val="0"/>
                  <w:divBdr>
                    <w:top w:val="none" w:sz="0" w:space="0" w:color="auto"/>
                    <w:left w:val="none" w:sz="0" w:space="0" w:color="auto"/>
                    <w:bottom w:val="none" w:sz="0" w:space="0" w:color="auto"/>
                    <w:right w:val="none" w:sz="0" w:space="0" w:color="auto"/>
                  </w:divBdr>
                  <w:divsChild>
                    <w:div w:id="103693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672786">
      <w:bodyDiv w:val="1"/>
      <w:marLeft w:val="0"/>
      <w:marRight w:val="0"/>
      <w:marTop w:val="0"/>
      <w:marBottom w:val="0"/>
      <w:divBdr>
        <w:top w:val="none" w:sz="0" w:space="0" w:color="auto"/>
        <w:left w:val="none" w:sz="0" w:space="0" w:color="auto"/>
        <w:bottom w:val="none" w:sz="0" w:space="0" w:color="auto"/>
        <w:right w:val="none" w:sz="0" w:space="0" w:color="auto"/>
      </w:divBdr>
    </w:div>
    <w:div w:id="1905067357">
      <w:bodyDiv w:val="1"/>
      <w:marLeft w:val="0"/>
      <w:marRight w:val="0"/>
      <w:marTop w:val="0"/>
      <w:marBottom w:val="0"/>
      <w:divBdr>
        <w:top w:val="none" w:sz="0" w:space="0" w:color="auto"/>
        <w:left w:val="none" w:sz="0" w:space="0" w:color="auto"/>
        <w:bottom w:val="none" w:sz="0" w:space="0" w:color="auto"/>
        <w:right w:val="none" w:sz="0" w:space="0" w:color="auto"/>
      </w:divBdr>
    </w:div>
    <w:div w:id="1917087419">
      <w:bodyDiv w:val="1"/>
      <w:marLeft w:val="0"/>
      <w:marRight w:val="0"/>
      <w:marTop w:val="0"/>
      <w:marBottom w:val="0"/>
      <w:divBdr>
        <w:top w:val="none" w:sz="0" w:space="0" w:color="auto"/>
        <w:left w:val="none" w:sz="0" w:space="0" w:color="auto"/>
        <w:bottom w:val="none" w:sz="0" w:space="0" w:color="auto"/>
        <w:right w:val="none" w:sz="0" w:space="0" w:color="auto"/>
      </w:divBdr>
    </w:div>
    <w:div w:id="1919749666">
      <w:bodyDiv w:val="1"/>
      <w:marLeft w:val="0"/>
      <w:marRight w:val="0"/>
      <w:marTop w:val="0"/>
      <w:marBottom w:val="0"/>
      <w:divBdr>
        <w:top w:val="none" w:sz="0" w:space="0" w:color="auto"/>
        <w:left w:val="none" w:sz="0" w:space="0" w:color="auto"/>
        <w:bottom w:val="none" w:sz="0" w:space="0" w:color="auto"/>
        <w:right w:val="none" w:sz="0" w:space="0" w:color="auto"/>
      </w:divBdr>
    </w:div>
    <w:div w:id="1939949185">
      <w:bodyDiv w:val="1"/>
      <w:marLeft w:val="0"/>
      <w:marRight w:val="0"/>
      <w:marTop w:val="0"/>
      <w:marBottom w:val="0"/>
      <w:divBdr>
        <w:top w:val="none" w:sz="0" w:space="0" w:color="auto"/>
        <w:left w:val="none" w:sz="0" w:space="0" w:color="auto"/>
        <w:bottom w:val="none" w:sz="0" w:space="0" w:color="auto"/>
        <w:right w:val="none" w:sz="0" w:space="0" w:color="auto"/>
      </w:divBdr>
    </w:div>
    <w:div w:id="1940916695">
      <w:bodyDiv w:val="1"/>
      <w:marLeft w:val="0"/>
      <w:marRight w:val="0"/>
      <w:marTop w:val="0"/>
      <w:marBottom w:val="0"/>
      <w:divBdr>
        <w:top w:val="none" w:sz="0" w:space="0" w:color="auto"/>
        <w:left w:val="none" w:sz="0" w:space="0" w:color="auto"/>
        <w:bottom w:val="none" w:sz="0" w:space="0" w:color="auto"/>
        <w:right w:val="none" w:sz="0" w:space="0" w:color="auto"/>
      </w:divBdr>
    </w:div>
    <w:div w:id="1948193856">
      <w:bodyDiv w:val="1"/>
      <w:marLeft w:val="0"/>
      <w:marRight w:val="0"/>
      <w:marTop w:val="0"/>
      <w:marBottom w:val="0"/>
      <w:divBdr>
        <w:top w:val="none" w:sz="0" w:space="0" w:color="auto"/>
        <w:left w:val="none" w:sz="0" w:space="0" w:color="auto"/>
        <w:bottom w:val="none" w:sz="0" w:space="0" w:color="auto"/>
        <w:right w:val="none" w:sz="0" w:space="0" w:color="auto"/>
      </w:divBdr>
    </w:div>
    <w:div w:id="1952085418">
      <w:bodyDiv w:val="1"/>
      <w:marLeft w:val="0"/>
      <w:marRight w:val="0"/>
      <w:marTop w:val="0"/>
      <w:marBottom w:val="0"/>
      <w:divBdr>
        <w:top w:val="none" w:sz="0" w:space="0" w:color="auto"/>
        <w:left w:val="none" w:sz="0" w:space="0" w:color="auto"/>
        <w:bottom w:val="none" w:sz="0" w:space="0" w:color="auto"/>
        <w:right w:val="none" w:sz="0" w:space="0" w:color="auto"/>
      </w:divBdr>
    </w:div>
    <w:div w:id="1995991297">
      <w:bodyDiv w:val="1"/>
      <w:marLeft w:val="0"/>
      <w:marRight w:val="0"/>
      <w:marTop w:val="0"/>
      <w:marBottom w:val="0"/>
      <w:divBdr>
        <w:top w:val="none" w:sz="0" w:space="0" w:color="auto"/>
        <w:left w:val="none" w:sz="0" w:space="0" w:color="auto"/>
        <w:bottom w:val="none" w:sz="0" w:space="0" w:color="auto"/>
        <w:right w:val="none" w:sz="0" w:space="0" w:color="auto"/>
      </w:divBdr>
    </w:div>
    <w:div w:id="2006542245">
      <w:bodyDiv w:val="1"/>
      <w:marLeft w:val="0"/>
      <w:marRight w:val="0"/>
      <w:marTop w:val="0"/>
      <w:marBottom w:val="0"/>
      <w:divBdr>
        <w:top w:val="none" w:sz="0" w:space="0" w:color="auto"/>
        <w:left w:val="none" w:sz="0" w:space="0" w:color="auto"/>
        <w:bottom w:val="none" w:sz="0" w:space="0" w:color="auto"/>
        <w:right w:val="none" w:sz="0" w:space="0" w:color="auto"/>
      </w:divBdr>
    </w:div>
    <w:div w:id="2031639278">
      <w:bodyDiv w:val="1"/>
      <w:marLeft w:val="0"/>
      <w:marRight w:val="0"/>
      <w:marTop w:val="0"/>
      <w:marBottom w:val="0"/>
      <w:divBdr>
        <w:top w:val="none" w:sz="0" w:space="0" w:color="auto"/>
        <w:left w:val="none" w:sz="0" w:space="0" w:color="auto"/>
        <w:bottom w:val="none" w:sz="0" w:space="0" w:color="auto"/>
        <w:right w:val="none" w:sz="0" w:space="0" w:color="auto"/>
      </w:divBdr>
    </w:div>
    <w:div w:id="2033336413">
      <w:bodyDiv w:val="1"/>
      <w:marLeft w:val="0"/>
      <w:marRight w:val="0"/>
      <w:marTop w:val="0"/>
      <w:marBottom w:val="0"/>
      <w:divBdr>
        <w:top w:val="none" w:sz="0" w:space="0" w:color="auto"/>
        <w:left w:val="none" w:sz="0" w:space="0" w:color="auto"/>
        <w:bottom w:val="none" w:sz="0" w:space="0" w:color="auto"/>
        <w:right w:val="none" w:sz="0" w:space="0" w:color="auto"/>
      </w:divBdr>
    </w:div>
    <w:div w:id="2073773593">
      <w:bodyDiv w:val="1"/>
      <w:marLeft w:val="0"/>
      <w:marRight w:val="0"/>
      <w:marTop w:val="0"/>
      <w:marBottom w:val="0"/>
      <w:divBdr>
        <w:top w:val="none" w:sz="0" w:space="0" w:color="auto"/>
        <w:left w:val="none" w:sz="0" w:space="0" w:color="auto"/>
        <w:bottom w:val="none" w:sz="0" w:space="0" w:color="auto"/>
        <w:right w:val="none" w:sz="0" w:space="0" w:color="auto"/>
      </w:divBdr>
    </w:div>
    <w:div w:id="2087608102">
      <w:bodyDiv w:val="1"/>
      <w:marLeft w:val="0"/>
      <w:marRight w:val="0"/>
      <w:marTop w:val="0"/>
      <w:marBottom w:val="0"/>
      <w:divBdr>
        <w:top w:val="none" w:sz="0" w:space="0" w:color="auto"/>
        <w:left w:val="none" w:sz="0" w:space="0" w:color="auto"/>
        <w:bottom w:val="none" w:sz="0" w:space="0" w:color="auto"/>
        <w:right w:val="none" w:sz="0" w:space="0" w:color="auto"/>
      </w:divBdr>
      <w:divsChild>
        <w:div w:id="1456021593">
          <w:marLeft w:val="0"/>
          <w:marRight w:val="0"/>
          <w:marTop w:val="0"/>
          <w:marBottom w:val="0"/>
          <w:divBdr>
            <w:top w:val="none" w:sz="0" w:space="0" w:color="auto"/>
            <w:left w:val="none" w:sz="0" w:space="0" w:color="auto"/>
            <w:bottom w:val="none" w:sz="0" w:space="0" w:color="auto"/>
            <w:right w:val="none" w:sz="0" w:space="0" w:color="auto"/>
          </w:divBdr>
          <w:divsChild>
            <w:div w:id="151677294">
              <w:marLeft w:val="0"/>
              <w:marRight w:val="0"/>
              <w:marTop w:val="0"/>
              <w:marBottom w:val="0"/>
              <w:divBdr>
                <w:top w:val="none" w:sz="0" w:space="0" w:color="auto"/>
                <w:left w:val="none" w:sz="0" w:space="0" w:color="auto"/>
                <w:bottom w:val="none" w:sz="0" w:space="0" w:color="auto"/>
                <w:right w:val="none" w:sz="0" w:space="0" w:color="auto"/>
              </w:divBdr>
              <w:divsChild>
                <w:div w:id="1038042837">
                  <w:marLeft w:val="0"/>
                  <w:marRight w:val="0"/>
                  <w:marTop w:val="0"/>
                  <w:marBottom w:val="0"/>
                  <w:divBdr>
                    <w:top w:val="none" w:sz="0" w:space="0" w:color="auto"/>
                    <w:left w:val="none" w:sz="0" w:space="0" w:color="auto"/>
                    <w:bottom w:val="none" w:sz="0" w:space="0" w:color="auto"/>
                    <w:right w:val="none" w:sz="0" w:space="0" w:color="auto"/>
                  </w:divBdr>
                  <w:divsChild>
                    <w:div w:id="1616592922">
                      <w:marLeft w:val="0"/>
                      <w:marRight w:val="0"/>
                      <w:marTop w:val="0"/>
                      <w:marBottom w:val="0"/>
                      <w:divBdr>
                        <w:top w:val="none" w:sz="0" w:space="0" w:color="auto"/>
                        <w:left w:val="none" w:sz="0" w:space="0" w:color="auto"/>
                        <w:bottom w:val="none" w:sz="0" w:space="0" w:color="auto"/>
                        <w:right w:val="none" w:sz="0" w:space="0" w:color="auto"/>
                      </w:divBdr>
                      <w:divsChild>
                        <w:div w:id="515002092">
                          <w:marLeft w:val="0"/>
                          <w:marRight w:val="0"/>
                          <w:marTop w:val="0"/>
                          <w:marBottom w:val="0"/>
                          <w:divBdr>
                            <w:top w:val="none" w:sz="0" w:space="0" w:color="auto"/>
                            <w:left w:val="none" w:sz="0" w:space="0" w:color="auto"/>
                            <w:bottom w:val="none" w:sz="0" w:space="0" w:color="auto"/>
                            <w:right w:val="none" w:sz="0" w:space="0" w:color="auto"/>
                          </w:divBdr>
                          <w:divsChild>
                            <w:div w:id="16942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02612">
      <w:bodyDiv w:val="1"/>
      <w:marLeft w:val="0"/>
      <w:marRight w:val="0"/>
      <w:marTop w:val="0"/>
      <w:marBottom w:val="0"/>
      <w:divBdr>
        <w:top w:val="none" w:sz="0" w:space="0" w:color="auto"/>
        <w:left w:val="none" w:sz="0" w:space="0" w:color="auto"/>
        <w:bottom w:val="none" w:sz="0" w:space="0" w:color="auto"/>
        <w:right w:val="none" w:sz="0" w:space="0" w:color="auto"/>
      </w:divBdr>
    </w:div>
    <w:div w:id="2113239321">
      <w:bodyDiv w:val="1"/>
      <w:marLeft w:val="0"/>
      <w:marRight w:val="0"/>
      <w:marTop w:val="0"/>
      <w:marBottom w:val="0"/>
      <w:divBdr>
        <w:top w:val="none" w:sz="0" w:space="0" w:color="auto"/>
        <w:left w:val="none" w:sz="0" w:space="0" w:color="auto"/>
        <w:bottom w:val="none" w:sz="0" w:space="0" w:color="auto"/>
        <w:right w:val="none" w:sz="0" w:space="0" w:color="auto"/>
      </w:divBdr>
    </w:div>
    <w:div w:id="211651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chart" Target="charts/chart6.xm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5.xml"/><Relationship Id="rId33" Type="http://schemas.openxmlformats.org/officeDocument/2006/relationships/hyperlink" Target="http://www.conpet.ro/wp-content/uploads/2015/12/RIOF-Comitete-Consultative-constituite-la-nivelul-Consiliului-de-Administratie.pdf"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3.xml"/><Relationship Id="rId29" Type="http://schemas.openxmlformats.org/officeDocument/2006/relationships/hyperlink" Target="mailto:infoinvestitori@conpet.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hyperlink" Target="http://www.conpet.ro/wp-content/uploads/2015/10/ROF-CA-17.12.2015-semnat.pdf"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www.conpet.ro/guvernanta-corporativa/regulament-de-guvernanta-corporativa/" TargetMode="External"/><Relationship Id="rId36" Type="http://schemas.openxmlformats.org/officeDocument/2006/relationships/footer" Target="footer2.xml"/><Relationship Id="rId10" Type="http://schemas.openxmlformats.org/officeDocument/2006/relationships/hyperlink" Target="http://www.conpet.ro" TargetMode="External"/><Relationship Id="rId19" Type="http://schemas.openxmlformats.org/officeDocument/2006/relationships/chart" Target="charts/chart2.xml"/><Relationship Id="rId31" Type="http://schemas.openxmlformats.org/officeDocument/2006/relationships/hyperlink" Target="http://www.conpet.ro/Guvernan&#539;&#259;%20corporativ&#259;%20/" TargetMode="External"/><Relationship Id="rId4" Type="http://schemas.openxmlformats.org/officeDocument/2006/relationships/settings" Target="settings.xml"/><Relationship Id="rId9" Type="http://schemas.openxmlformats.org/officeDocument/2006/relationships/hyperlink" Target="mailto:conpet@conpet.ro"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hyperlink" Target="http://www.conpet.ro/relatia-cu-investitorii/info-actionari/"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Raport%20administratori\Fisier%20personal%2030.06.2018_analiza%20studi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Raport%20administratori\Fisier%20personal%2030.06.2018_analiza%20studi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raport%20anual%202017\Pret%20mediu%202017%20vs%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Sheet2!$Y$23</c:f>
              <c:strCache>
                <c:ptCount val="1"/>
                <c:pt idx="0">
                  <c:v>Femei</c:v>
                </c:pt>
              </c:strCache>
            </c:strRef>
          </c:tx>
          <c:spPr>
            <a:solidFill>
              <a:srgbClr val="FF66CC"/>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Sheet2!$X$24:$X$26</c:f>
              <c:strCache>
                <c:ptCount val="3"/>
                <c:pt idx="0">
                  <c:v>generale (8-10 clase)</c:v>
                </c:pt>
                <c:pt idx="1">
                  <c:v>medii</c:v>
                </c:pt>
                <c:pt idx="2">
                  <c:v>superioare</c:v>
                </c:pt>
              </c:strCache>
            </c:strRef>
          </c:cat>
          <c:val>
            <c:numRef>
              <c:f>Sheet2!$Y$24:$Y$26</c:f>
              <c:numCache>
                <c:formatCode>General</c:formatCode>
                <c:ptCount val="3"/>
                <c:pt idx="0">
                  <c:v>14</c:v>
                </c:pt>
                <c:pt idx="1">
                  <c:v>88</c:v>
                </c:pt>
                <c:pt idx="2">
                  <c:v>190</c:v>
                </c:pt>
              </c:numCache>
            </c:numRef>
          </c:val>
          <c:extLst>
            <c:ext xmlns:c16="http://schemas.microsoft.com/office/drawing/2014/chart" uri="{C3380CC4-5D6E-409C-BE32-E72D297353CC}">
              <c16:uniqueId val="{00000000-D16A-4841-AB5A-5E232AB5D701}"/>
            </c:ext>
          </c:extLst>
        </c:ser>
        <c:ser>
          <c:idx val="1"/>
          <c:order val="1"/>
          <c:tx>
            <c:strRef>
              <c:f>Sheet2!$Z$23</c:f>
              <c:strCache>
                <c:ptCount val="1"/>
                <c:pt idx="0">
                  <c:v>Barbati</c:v>
                </c:pt>
              </c:strCache>
            </c:strRef>
          </c:tx>
          <c:spPr>
            <a:solidFill>
              <a:schemeClr val="accent1"/>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Sheet2!$X$24:$X$26</c:f>
              <c:strCache>
                <c:ptCount val="3"/>
                <c:pt idx="0">
                  <c:v>generale (8-10 clase)</c:v>
                </c:pt>
                <c:pt idx="1">
                  <c:v>medii</c:v>
                </c:pt>
                <c:pt idx="2">
                  <c:v>superioare</c:v>
                </c:pt>
              </c:strCache>
            </c:strRef>
          </c:cat>
          <c:val>
            <c:numRef>
              <c:f>Sheet2!$Z$24:$Z$26</c:f>
              <c:numCache>
                <c:formatCode>General</c:formatCode>
                <c:ptCount val="3"/>
                <c:pt idx="0">
                  <c:v>124</c:v>
                </c:pt>
                <c:pt idx="1">
                  <c:v>928</c:v>
                </c:pt>
                <c:pt idx="2">
                  <c:v>337</c:v>
                </c:pt>
              </c:numCache>
            </c:numRef>
          </c:val>
          <c:extLst>
            <c:ext xmlns:c16="http://schemas.microsoft.com/office/drawing/2014/chart" uri="{C3380CC4-5D6E-409C-BE32-E72D297353CC}">
              <c16:uniqueId val="{00000001-D16A-4841-AB5A-5E232AB5D701}"/>
            </c:ext>
          </c:extLst>
        </c:ser>
        <c:dLbls>
          <c:dLblPos val="outEnd"/>
          <c:showLegendKey val="0"/>
          <c:showVal val="1"/>
          <c:showCatName val="0"/>
          <c:showSerName val="0"/>
          <c:showPercent val="0"/>
          <c:showBubbleSize val="0"/>
        </c:dLbls>
        <c:gapWidth val="115"/>
        <c:overlap val="-20"/>
        <c:axId val="691576416"/>
        <c:axId val="691572480"/>
      </c:barChart>
      <c:catAx>
        <c:axId val="6915764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91572480"/>
        <c:crosses val="autoZero"/>
        <c:auto val="1"/>
        <c:lblAlgn val="ctr"/>
        <c:lblOffset val="100"/>
        <c:noMultiLvlLbl val="0"/>
      </c:catAx>
      <c:valAx>
        <c:axId val="691572480"/>
        <c:scaling>
          <c:orientation val="minMax"/>
        </c:scaling>
        <c:delete val="1"/>
        <c:axPos val="b"/>
        <c:numFmt formatCode="General" sourceLinked="1"/>
        <c:majorTickMark val="none"/>
        <c:minorTickMark val="none"/>
        <c:tickLblPos val="nextTo"/>
        <c:crossAx val="691576416"/>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3658031593634438"/>
          <c:w val="0.93888888888888888"/>
          <c:h val="0.63401848003200345"/>
        </c:manualLayout>
      </c:layout>
      <c:bar3DChart>
        <c:barDir val="col"/>
        <c:grouping val="stacked"/>
        <c:varyColors val="0"/>
        <c:ser>
          <c:idx val="0"/>
          <c:order val="0"/>
          <c:tx>
            <c:strRef>
              <c:f>Sheet2!$D$143</c:f>
              <c:strCache>
                <c:ptCount val="1"/>
                <c:pt idx="0">
                  <c:v>generale (8-10 clase)</c:v>
                </c:pt>
              </c:strCache>
            </c:strRef>
          </c:tx>
          <c:spPr>
            <a:solidFill>
              <a:schemeClr val="accent1"/>
            </a:solidFill>
            <a:ln>
              <a:noFill/>
            </a:ln>
            <a:effectLst/>
            <a:sp3d/>
          </c:spPr>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7486-46C2-8ED2-A9EEC3B45706}"/>
              </c:ext>
            </c:extLst>
          </c:dPt>
          <c:dPt>
            <c:idx val="1"/>
            <c:invertIfNegative val="0"/>
            <c:bubble3D val="0"/>
            <c:spPr>
              <a:solidFill>
                <a:schemeClr val="accent1"/>
              </a:solidFill>
              <a:ln>
                <a:noFill/>
              </a:ln>
              <a:effectLst/>
              <a:sp3d/>
            </c:spPr>
            <c:extLst>
              <c:ext xmlns:c16="http://schemas.microsoft.com/office/drawing/2014/chart" uri="{C3380CC4-5D6E-409C-BE32-E72D297353CC}">
                <c16:uniqueId val="{00000003-7486-46C2-8ED2-A9EEC3B45706}"/>
              </c:ext>
            </c:extLst>
          </c:dPt>
          <c:dLbls>
            <c:dLbl>
              <c:idx val="0"/>
              <c:tx>
                <c:rich>
                  <a:bodyPr/>
                  <a:lstStyle/>
                  <a:p>
                    <a:r>
                      <a:rPr lang="en-US"/>
                      <a:t>137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86-46C2-8ED2-A9EEC3B4570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Sheet2!$E$142:$J$142</c:f>
              <c:strCache>
                <c:ptCount val="6"/>
                <c:pt idx="0">
                  <c:v>2018</c:v>
                </c:pt>
                <c:pt idx="1">
                  <c:v>2017</c:v>
                </c:pt>
                <c:pt idx="2">
                  <c:v>2018 Femei</c:v>
                </c:pt>
                <c:pt idx="3">
                  <c:v>2017 Femei</c:v>
                </c:pt>
                <c:pt idx="4">
                  <c:v>2018 Barbati</c:v>
                </c:pt>
                <c:pt idx="5">
                  <c:v>2017 Barbati</c:v>
                </c:pt>
              </c:strCache>
            </c:strRef>
          </c:cat>
          <c:val>
            <c:numRef>
              <c:f>Sheet2!$E$143:$J$143</c:f>
              <c:numCache>
                <c:formatCode>General</c:formatCode>
                <c:ptCount val="6"/>
                <c:pt idx="0">
                  <c:v>138</c:v>
                </c:pt>
                <c:pt idx="1">
                  <c:v>145</c:v>
                </c:pt>
                <c:pt idx="2">
                  <c:v>14</c:v>
                </c:pt>
                <c:pt idx="3">
                  <c:v>15</c:v>
                </c:pt>
                <c:pt idx="4">
                  <c:v>124</c:v>
                </c:pt>
                <c:pt idx="5">
                  <c:v>130</c:v>
                </c:pt>
              </c:numCache>
            </c:numRef>
          </c:val>
          <c:extLst>
            <c:ext xmlns:c16="http://schemas.microsoft.com/office/drawing/2014/chart" uri="{C3380CC4-5D6E-409C-BE32-E72D297353CC}">
              <c16:uniqueId val="{00000004-7486-46C2-8ED2-A9EEC3B45706}"/>
            </c:ext>
          </c:extLst>
        </c:ser>
        <c:ser>
          <c:idx val="1"/>
          <c:order val="1"/>
          <c:tx>
            <c:strRef>
              <c:f>Sheet2!$D$144</c:f>
              <c:strCache>
                <c:ptCount val="1"/>
                <c:pt idx="0">
                  <c:v>medii</c:v>
                </c:pt>
              </c:strCache>
            </c:strRef>
          </c:tx>
          <c:spPr>
            <a:solidFill>
              <a:schemeClr val="accent2"/>
            </a:solidFill>
            <a:ln>
              <a:noFill/>
            </a:ln>
            <a:effectLst/>
            <a:sp3d/>
          </c:spPr>
          <c:invertIfNegative val="0"/>
          <c:dPt>
            <c:idx val="0"/>
            <c:invertIfNegative val="0"/>
            <c:bubble3D val="0"/>
            <c:spPr>
              <a:solidFill>
                <a:schemeClr val="accent2"/>
              </a:solidFill>
              <a:ln>
                <a:noFill/>
              </a:ln>
              <a:effectLst/>
              <a:sp3d/>
            </c:spPr>
            <c:extLst>
              <c:ext xmlns:c16="http://schemas.microsoft.com/office/drawing/2014/chart" uri="{C3380CC4-5D6E-409C-BE32-E72D297353CC}">
                <c16:uniqueId val="{00000006-7486-46C2-8ED2-A9EEC3B45706}"/>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8-7486-46C2-8ED2-A9EEC3B45706}"/>
              </c:ext>
            </c:extLst>
          </c:dPt>
          <c:dLbls>
            <c:dLbl>
              <c:idx val="0"/>
              <c:tx>
                <c:rich>
                  <a:bodyPr/>
                  <a:lstStyle/>
                  <a:p>
                    <a:r>
                      <a:rPr lang="en-US"/>
                      <a:t>1.016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86-46C2-8ED2-A9EEC3B45706}"/>
                </c:ext>
              </c:extLst>
            </c:dLbl>
            <c:dLbl>
              <c:idx val="1"/>
              <c:tx>
                <c:rich>
                  <a:bodyPr/>
                  <a:lstStyle/>
                  <a:p>
                    <a:r>
                      <a:rPr lang="en-US"/>
                      <a:t>1.037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486-46C2-8ED2-A9EEC3B45706}"/>
                </c:ext>
              </c:extLst>
            </c:dLbl>
            <c:dLbl>
              <c:idx val="2"/>
              <c:layout>
                <c:manualLayout>
                  <c:x val="7.7777777777777779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486-46C2-8ED2-A9EEC3B45706}"/>
                </c:ext>
              </c:extLst>
            </c:dLbl>
            <c:dLbl>
              <c:idx val="3"/>
              <c:layout>
                <c:manualLayout>
                  <c:x val="8.0555555555555561E-2"/>
                  <c:y val="-4.62962962962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486-46C2-8ED2-A9EEC3B4570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Sheet2!$E$142:$J$142</c:f>
              <c:strCache>
                <c:ptCount val="6"/>
                <c:pt idx="0">
                  <c:v>2018</c:v>
                </c:pt>
                <c:pt idx="1">
                  <c:v>2017</c:v>
                </c:pt>
                <c:pt idx="2">
                  <c:v>2018 Femei</c:v>
                </c:pt>
                <c:pt idx="3">
                  <c:v>2017 Femei</c:v>
                </c:pt>
                <c:pt idx="4">
                  <c:v>2018 Barbati</c:v>
                </c:pt>
                <c:pt idx="5">
                  <c:v>2017 Barbati</c:v>
                </c:pt>
              </c:strCache>
            </c:strRef>
          </c:cat>
          <c:val>
            <c:numRef>
              <c:f>Sheet2!$E$144:$J$144</c:f>
              <c:numCache>
                <c:formatCode>General</c:formatCode>
                <c:ptCount val="6"/>
                <c:pt idx="0">
                  <c:v>1016</c:v>
                </c:pt>
                <c:pt idx="1">
                  <c:v>1037</c:v>
                </c:pt>
                <c:pt idx="2">
                  <c:v>88</c:v>
                </c:pt>
                <c:pt idx="3">
                  <c:v>90</c:v>
                </c:pt>
                <c:pt idx="4">
                  <c:v>928</c:v>
                </c:pt>
                <c:pt idx="5">
                  <c:v>947</c:v>
                </c:pt>
              </c:numCache>
            </c:numRef>
          </c:val>
          <c:extLst>
            <c:ext xmlns:c16="http://schemas.microsoft.com/office/drawing/2014/chart" uri="{C3380CC4-5D6E-409C-BE32-E72D297353CC}">
              <c16:uniqueId val="{0000000B-7486-46C2-8ED2-A9EEC3B45706}"/>
            </c:ext>
          </c:extLst>
        </c:ser>
        <c:ser>
          <c:idx val="2"/>
          <c:order val="2"/>
          <c:tx>
            <c:strRef>
              <c:f>Sheet2!$D$145</c:f>
              <c:strCache>
                <c:ptCount val="1"/>
                <c:pt idx="0">
                  <c:v>superioare</c:v>
                </c:pt>
              </c:strCache>
            </c:strRef>
          </c:tx>
          <c:spPr>
            <a:solidFill>
              <a:schemeClr val="bg2">
                <a:lumMod val="75000"/>
              </a:schemeClr>
            </a:solidFill>
            <a:ln>
              <a:noFill/>
            </a:ln>
            <a:effectLst/>
            <a:sp3d/>
          </c:spPr>
          <c:invertIfNegative val="0"/>
          <c:dPt>
            <c:idx val="0"/>
            <c:invertIfNegative val="0"/>
            <c:bubble3D val="0"/>
            <c:spPr>
              <a:solidFill>
                <a:schemeClr val="bg2">
                  <a:lumMod val="75000"/>
                </a:schemeClr>
              </a:solidFill>
              <a:ln>
                <a:noFill/>
              </a:ln>
              <a:effectLst/>
              <a:sp3d/>
            </c:spPr>
            <c:extLst>
              <c:ext xmlns:c16="http://schemas.microsoft.com/office/drawing/2014/chart" uri="{C3380CC4-5D6E-409C-BE32-E72D297353CC}">
                <c16:uniqueId val="{0000000D-7486-46C2-8ED2-A9EEC3B45706}"/>
              </c:ext>
            </c:extLst>
          </c:dPt>
          <c:dPt>
            <c:idx val="1"/>
            <c:invertIfNegative val="0"/>
            <c:bubble3D val="0"/>
            <c:spPr>
              <a:solidFill>
                <a:schemeClr val="bg2">
                  <a:lumMod val="75000"/>
                </a:schemeClr>
              </a:solidFill>
              <a:ln>
                <a:noFill/>
              </a:ln>
              <a:effectLst/>
              <a:sp3d/>
            </c:spPr>
            <c:extLst>
              <c:ext xmlns:c16="http://schemas.microsoft.com/office/drawing/2014/chart" uri="{C3380CC4-5D6E-409C-BE32-E72D297353CC}">
                <c16:uniqueId val="{0000000F-7486-46C2-8ED2-A9EEC3B45706}"/>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Sheet2!$E$142:$J$142</c:f>
              <c:strCache>
                <c:ptCount val="6"/>
                <c:pt idx="0">
                  <c:v>2018</c:v>
                </c:pt>
                <c:pt idx="1">
                  <c:v>2017</c:v>
                </c:pt>
                <c:pt idx="2">
                  <c:v>2018 Femei</c:v>
                </c:pt>
                <c:pt idx="3">
                  <c:v>2017 Femei</c:v>
                </c:pt>
                <c:pt idx="4">
                  <c:v>2018 Barbati</c:v>
                </c:pt>
                <c:pt idx="5">
                  <c:v>2017 Barbati</c:v>
                </c:pt>
              </c:strCache>
            </c:strRef>
          </c:cat>
          <c:val>
            <c:numRef>
              <c:f>Sheet2!$E$145:$J$145</c:f>
              <c:numCache>
                <c:formatCode>General</c:formatCode>
                <c:ptCount val="6"/>
                <c:pt idx="0">
                  <c:v>527</c:v>
                </c:pt>
                <c:pt idx="1">
                  <c:v>529</c:v>
                </c:pt>
                <c:pt idx="2">
                  <c:v>190</c:v>
                </c:pt>
                <c:pt idx="3">
                  <c:v>186</c:v>
                </c:pt>
                <c:pt idx="4">
                  <c:v>337</c:v>
                </c:pt>
                <c:pt idx="5">
                  <c:v>343</c:v>
                </c:pt>
              </c:numCache>
            </c:numRef>
          </c:val>
          <c:extLst>
            <c:ext xmlns:c16="http://schemas.microsoft.com/office/drawing/2014/chart" uri="{C3380CC4-5D6E-409C-BE32-E72D297353CC}">
              <c16:uniqueId val="{00000010-7486-46C2-8ED2-A9EEC3B45706}"/>
            </c:ext>
          </c:extLst>
        </c:ser>
        <c:dLbls>
          <c:showLegendKey val="0"/>
          <c:showVal val="1"/>
          <c:showCatName val="0"/>
          <c:showSerName val="0"/>
          <c:showPercent val="0"/>
          <c:showBubbleSize val="0"/>
        </c:dLbls>
        <c:gapWidth val="79"/>
        <c:shape val="box"/>
        <c:axId val="248586224"/>
        <c:axId val="248583480"/>
        <c:axId val="0"/>
      </c:bar3DChart>
      <c:catAx>
        <c:axId val="24858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8583480"/>
        <c:crosses val="autoZero"/>
        <c:auto val="1"/>
        <c:lblAlgn val="ctr"/>
        <c:lblOffset val="100"/>
        <c:noMultiLvlLbl val="0"/>
      </c:catAx>
      <c:valAx>
        <c:axId val="248583480"/>
        <c:scaling>
          <c:orientation val="minMax"/>
        </c:scaling>
        <c:delete val="1"/>
        <c:axPos val="l"/>
        <c:numFmt formatCode="General" sourceLinked="1"/>
        <c:majorTickMark val="none"/>
        <c:minorTickMark val="none"/>
        <c:tickLblPos val="nextTo"/>
        <c:crossAx val="248586224"/>
        <c:crosses val="autoZero"/>
        <c:crossBetween val="between"/>
      </c:valAx>
      <c:spPr>
        <a:noFill/>
        <a:ln>
          <a:noFill/>
        </a:ln>
        <a:effectLst/>
      </c:spPr>
    </c:plotArea>
    <c:legend>
      <c:legendPos val="r"/>
      <c:layout>
        <c:manualLayout>
          <c:xMode val="edge"/>
          <c:yMode val="edge"/>
          <c:x val="0.76874064654961594"/>
          <c:y val="1.7656919279142164E-2"/>
          <c:w val="0.22273741869222868"/>
          <c:h val="0.2324466161458418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AC4-4E46-AB5A-DABF43E9E5F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AC4-4E46-AB5A-DABF43E9E5F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AC4-4E46-AB5A-DABF43E9E5F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AC4-4E46-AB5A-DABF43E9E5F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AC4-4E46-AB5A-DABF43E9E5F4}"/>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AC4-4E46-AB5A-DABF43E9E5F4}"/>
              </c:ext>
            </c:extLst>
          </c:dPt>
          <c:dLbls>
            <c:dLbl>
              <c:idx val="1"/>
              <c:layout>
                <c:manualLayout>
                  <c:x val="2.4704429151226399E-2"/>
                  <c:y val="-6.849315068493153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AC4-4E46-AB5A-DABF43E9E5F4}"/>
                </c:ext>
              </c:extLst>
            </c:dLbl>
            <c:dLbl>
              <c:idx val="5"/>
              <c:layout>
                <c:manualLayout>
                  <c:x val="-7.0584083289218285E-3"/>
                  <c:y val="-4.358655043586550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AC4-4E46-AB5A-DABF43E9E5F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[1]Sheet1!$D$106:$D$111</c:f>
              <c:strCache>
                <c:ptCount val="6"/>
                <c:pt idx="0">
                  <c:v>categorii varsta</c:v>
                </c:pt>
                <c:pt idx="1">
                  <c:v>20-30 ani</c:v>
                </c:pt>
                <c:pt idx="2">
                  <c:v>31-40 ani</c:v>
                </c:pt>
                <c:pt idx="3">
                  <c:v>41-50 ani</c:v>
                </c:pt>
                <c:pt idx="4">
                  <c:v>51-60 ani</c:v>
                </c:pt>
                <c:pt idx="5">
                  <c:v>61-65 ani</c:v>
                </c:pt>
              </c:strCache>
            </c:strRef>
          </c:cat>
          <c:val>
            <c:numRef>
              <c:f>[1]Sheet1!$E$106:$E$111</c:f>
              <c:numCache>
                <c:formatCode>General</c:formatCode>
                <c:ptCount val="6"/>
                <c:pt idx="1">
                  <c:v>77</c:v>
                </c:pt>
                <c:pt idx="2">
                  <c:v>208</c:v>
                </c:pt>
                <c:pt idx="3">
                  <c:v>698</c:v>
                </c:pt>
                <c:pt idx="4">
                  <c:v>601</c:v>
                </c:pt>
                <c:pt idx="5">
                  <c:v>97</c:v>
                </c:pt>
              </c:numCache>
            </c:numRef>
          </c:val>
          <c:extLst>
            <c:ext xmlns:c16="http://schemas.microsoft.com/office/drawing/2014/chart" uri="{C3380CC4-5D6E-409C-BE32-E72D297353CC}">
              <c16:uniqueId val="{0000000C-9AC4-4E46-AB5A-DABF43E9E5F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902927210434575E-2"/>
          <c:y val="3.0488394059683184E-2"/>
          <c:w val="0.91969892179729151"/>
          <c:h val="0.83484489337849699"/>
        </c:manualLayout>
      </c:layout>
      <c:barChart>
        <c:barDir val="col"/>
        <c:grouping val="clustered"/>
        <c:varyColors val="0"/>
        <c:ser>
          <c:idx val="2"/>
          <c:order val="0"/>
          <c:tx>
            <c:strRef>
              <c:f>'4Ian- Decembrie 2016 (2)'!$H$1</c:f>
              <c:strCache>
                <c:ptCount val="1"/>
                <c:pt idx="0">
                  <c:v>CONPET volum tranzacționare</c:v>
                </c:pt>
              </c:strCache>
            </c:strRef>
          </c:tx>
          <c:spPr>
            <a:solidFill>
              <a:srgbClr val="002060"/>
            </a:solidFill>
            <a:ln w="9525">
              <a:noFill/>
            </a:ln>
            <a:effectLst>
              <a:glow>
                <a:schemeClr val="accent1">
                  <a:alpha val="69000"/>
                </a:schemeClr>
              </a:glow>
            </a:effectLst>
          </c:spPr>
          <c:invertIfNegative val="0"/>
          <c:cat>
            <c:strRef>
              <c:f>'COTE 1 an pentru trimestria (2'!$A$1085:$A$1205</c:f>
              <c:strCache>
                <c:ptCount val="105"/>
                <c:pt idx="1">
                  <c:v>ian. 2018</c:v>
                </c:pt>
                <c:pt idx="22">
                  <c:v>feb. 2018</c:v>
                </c:pt>
                <c:pt idx="41">
                  <c:v>mar. 2018</c:v>
                </c:pt>
                <c:pt idx="64">
                  <c:v>apr. 2018</c:v>
                </c:pt>
                <c:pt idx="84">
                  <c:v>mai 2018</c:v>
                </c:pt>
                <c:pt idx="104">
                  <c:v>iun. 2018</c:v>
                </c:pt>
              </c:strCache>
            </c:strRef>
          </c:cat>
          <c:val>
            <c:numRef>
              <c:f>'COTE 1 an pentru trimestria (2'!$G$1085:$G$1205</c:f>
              <c:numCache>
                <c:formatCode>General</c:formatCode>
                <c:ptCount val="121"/>
                <c:pt idx="0">
                  <c:v>372</c:v>
                </c:pt>
                <c:pt idx="1">
                  <c:v>705</c:v>
                </c:pt>
                <c:pt idx="2">
                  <c:v>3269</c:v>
                </c:pt>
                <c:pt idx="3">
                  <c:v>832</c:v>
                </c:pt>
                <c:pt idx="4">
                  <c:v>558</c:v>
                </c:pt>
                <c:pt idx="5">
                  <c:v>566</c:v>
                </c:pt>
                <c:pt idx="6">
                  <c:v>4694</c:v>
                </c:pt>
                <c:pt idx="7">
                  <c:v>1298</c:v>
                </c:pt>
                <c:pt idx="8">
                  <c:v>2965</c:v>
                </c:pt>
                <c:pt idx="9">
                  <c:v>650</c:v>
                </c:pt>
                <c:pt idx="10">
                  <c:v>625</c:v>
                </c:pt>
                <c:pt idx="11">
                  <c:v>1448</c:v>
                </c:pt>
                <c:pt idx="12">
                  <c:v>3751</c:v>
                </c:pt>
                <c:pt idx="13">
                  <c:v>801</c:v>
                </c:pt>
                <c:pt idx="14">
                  <c:v>3676</c:v>
                </c:pt>
                <c:pt idx="15">
                  <c:v>6799</c:v>
                </c:pt>
                <c:pt idx="16">
                  <c:v>5005</c:v>
                </c:pt>
                <c:pt idx="17">
                  <c:v>3059</c:v>
                </c:pt>
                <c:pt idx="18">
                  <c:v>3436</c:v>
                </c:pt>
                <c:pt idx="19">
                  <c:v>3214</c:v>
                </c:pt>
                <c:pt idx="20">
                  <c:v>2265</c:v>
                </c:pt>
                <c:pt idx="21">
                  <c:v>1634</c:v>
                </c:pt>
                <c:pt idx="22">
                  <c:v>4255</c:v>
                </c:pt>
                <c:pt idx="23">
                  <c:v>22993</c:v>
                </c:pt>
                <c:pt idx="24">
                  <c:v>6424</c:v>
                </c:pt>
                <c:pt idx="25">
                  <c:v>3273</c:v>
                </c:pt>
                <c:pt idx="26">
                  <c:v>3339</c:v>
                </c:pt>
                <c:pt idx="27">
                  <c:v>1358</c:v>
                </c:pt>
                <c:pt idx="28">
                  <c:v>1127</c:v>
                </c:pt>
                <c:pt idx="29">
                  <c:v>1549</c:v>
                </c:pt>
                <c:pt idx="30">
                  <c:v>1457</c:v>
                </c:pt>
                <c:pt idx="31">
                  <c:v>3446</c:v>
                </c:pt>
                <c:pt idx="32">
                  <c:v>1793</c:v>
                </c:pt>
                <c:pt idx="33">
                  <c:v>3403</c:v>
                </c:pt>
                <c:pt idx="34">
                  <c:v>1667</c:v>
                </c:pt>
                <c:pt idx="35">
                  <c:v>10192</c:v>
                </c:pt>
                <c:pt idx="36">
                  <c:v>723</c:v>
                </c:pt>
                <c:pt idx="37">
                  <c:v>2793</c:v>
                </c:pt>
                <c:pt idx="38">
                  <c:v>1345</c:v>
                </c:pt>
                <c:pt idx="39">
                  <c:v>20771</c:v>
                </c:pt>
                <c:pt idx="40">
                  <c:v>628</c:v>
                </c:pt>
                <c:pt idx="41">
                  <c:v>790</c:v>
                </c:pt>
                <c:pt idx="42">
                  <c:v>185</c:v>
                </c:pt>
                <c:pt idx="43">
                  <c:v>2620</c:v>
                </c:pt>
                <c:pt idx="44">
                  <c:v>501</c:v>
                </c:pt>
                <c:pt idx="45" formatCode="#,##0">
                  <c:v>190</c:v>
                </c:pt>
                <c:pt idx="46" formatCode="#,##0">
                  <c:v>82</c:v>
                </c:pt>
                <c:pt idx="47" formatCode="#,##0">
                  <c:v>470</c:v>
                </c:pt>
                <c:pt idx="48">
                  <c:v>2819</c:v>
                </c:pt>
                <c:pt idx="49">
                  <c:v>1146</c:v>
                </c:pt>
                <c:pt idx="50">
                  <c:v>343</c:v>
                </c:pt>
                <c:pt idx="51">
                  <c:v>3452</c:v>
                </c:pt>
                <c:pt idx="52">
                  <c:v>3715</c:v>
                </c:pt>
                <c:pt idx="53">
                  <c:v>4105</c:v>
                </c:pt>
                <c:pt idx="54">
                  <c:v>2857</c:v>
                </c:pt>
                <c:pt idx="55">
                  <c:v>3638</c:v>
                </c:pt>
                <c:pt idx="56">
                  <c:v>5249</c:v>
                </c:pt>
                <c:pt idx="57">
                  <c:v>1707</c:v>
                </c:pt>
                <c:pt idx="58">
                  <c:v>1096</c:v>
                </c:pt>
                <c:pt idx="59">
                  <c:v>3088</c:v>
                </c:pt>
                <c:pt idx="60">
                  <c:v>134</c:v>
                </c:pt>
                <c:pt idx="61">
                  <c:v>343</c:v>
                </c:pt>
                <c:pt idx="62">
                  <c:v>153</c:v>
                </c:pt>
                <c:pt idx="63">
                  <c:v>910</c:v>
                </c:pt>
                <c:pt idx="64">
                  <c:v>789</c:v>
                </c:pt>
                <c:pt idx="65">
                  <c:v>231</c:v>
                </c:pt>
                <c:pt idx="66">
                  <c:v>194</c:v>
                </c:pt>
                <c:pt idx="67">
                  <c:v>777</c:v>
                </c:pt>
                <c:pt idx="68">
                  <c:v>189</c:v>
                </c:pt>
                <c:pt idx="69">
                  <c:v>325</c:v>
                </c:pt>
                <c:pt idx="70">
                  <c:v>5041</c:v>
                </c:pt>
                <c:pt idx="71">
                  <c:v>525366</c:v>
                </c:pt>
                <c:pt idx="72">
                  <c:v>1483</c:v>
                </c:pt>
                <c:pt idx="73">
                  <c:v>468</c:v>
                </c:pt>
                <c:pt idx="74">
                  <c:v>295</c:v>
                </c:pt>
                <c:pt idx="75">
                  <c:v>1168</c:v>
                </c:pt>
                <c:pt idx="76">
                  <c:v>287</c:v>
                </c:pt>
                <c:pt idx="77">
                  <c:v>806</c:v>
                </c:pt>
                <c:pt idx="78">
                  <c:v>569</c:v>
                </c:pt>
                <c:pt idx="79">
                  <c:v>2082</c:v>
                </c:pt>
                <c:pt idx="80">
                  <c:v>271</c:v>
                </c:pt>
                <c:pt idx="81">
                  <c:v>236</c:v>
                </c:pt>
                <c:pt idx="82">
                  <c:v>799</c:v>
                </c:pt>
                <c:pt idx="83">
                  <c:v>1308</c:v>
                </c:pt>
                <c:pt idx="84">
                  <c:v>1033</c:v>
                </c:pt>
                <c:pt idx="85">
                  <c:v>83</c:v>
                </c:pt>
                <c:pt idx="86">
                  <c:v>207</c:v>
                </c:pt>
                <c:pt idx="87">
                  <c:v>119</c:v>
                </c:pt>
                <c:pt idx="88">
                  <c:v>188</c:v>
                </c:pt>
                <c:pt idx="89">
                  <c:v>959</c:v>
                </c:pt>
                <c:pt idx="90">
                  <c:v>683</c:v>
                </c:pt>
                <c:pt idx="91">
                  <c:v>7616</c:v>
                </c:pt>
                <c:pt idx="92">
                  <c:v>307</c:v>
                </c:pt>
                <c:pt idx="93">
                  <c:v>3479</c:v>
                </c:pt>
                <c:pt idx="94">
                  <c:v>14062</c:v>
                </c:pt>
                <c:pt idx="95">
                  <c:v>2158</c:v>
                </c:pt>
                <c:pt idx="96">
                  <c:v>1285</c:v>
                </c:pt>
                <c:pt idx="97">
                  <c:v>417</c:v>
                </c:pt>
                <c:pt idx="98">
                  <c:v>897</c:v>
                </c:pt>
                <c:pt idx="99">
                  <c:v>1032</c:v>
                </c:pt>
                <c:pt idx="100">
                  <c:v>2372</c:v>
                </c:pt>
                <c:pt idx="101">
                  <c:v>4355</c:v>
                </c:pt>
                <c:pt idx="102">
                  <c:v>3253</c:v>
                </c:pt>
                <c:pt idx="103">
                  <c:v>11469</c:v>
                </c:pt>
                <c:pt idx="104">
                  <c:v>3806</c:v>
                </c:pt>
                <c:pt idx="105">
                  <c:v>2742</c:v>
                </c:pt>
                <c:pt idx="106">
                  <c:v>852</c:v>
                </c:pt>
                <c:pt idx="107">
                  <c:v>762</c:v>
                </c:pt>
                <c:pt idx="108">
                  <c:v>218</c:v>
                </c:pt>
                <c:pt idx="109">
                  <c:v>1364</c:v>
                </c:pt>
                <c:pt idx="110">
                  <c:v>921</c:v>
                </c:pt>
                <c:pt idx="111">
                  <c:v>1492</c:v>
                </c:pt>
                <c:pt idx="112">
                  <c:v>420</c:v>
                </c:pt>
                <c:pt idx="113">
                  <c:v>1392</c:v>
                </c:pt>
                <c:pt idx="114">
                  <c:v>569</c:v>
                </c:pt>
                <c:pt idx="115">
                  <c:v>699</c:v>
                </c:pt>
                <c:pt idx="116">
                  <c:v>863</c:v>
                </c:pt>
                <c:pt idx="117">
                  <c:v>115</c:v>
                </c:pt>
                <c:pt idx="118">
                  <c:v>108</c:v>
                </c:pt>
                <c:pt idx="119">
                  <c:v>2401</c:v>
                </c:pt>
                <c:pt idx="120">
                  <c:v>2849</c:v>
                </c:pt>
              </c:numCache>
            </c:numRef>
          </c:val>
          <c:extLst>
            <c:ext xmlns:c16="http://schemas.microsoft.com/office/drawing/2014/chart" uri="{C3380CC4-5D6E-409C-BE32-E72D297353CC}">
              <c16:uniqueId val="{00000000-73FC-4860-9B0E-9FA04375222E}"/>
            </c:ext>
          </c:extLst>
        </c:ser>
        <c:dLbls>
          <c:showLegendKey val="0"/>
          <c:showVal val="0"/>
          <c:showCatName val="0"/>
          <c:showSerName val="0"/>
          <c:showPercent val="0"/>
          <c:showBubbleSize val="0"/>
        </c:dLbls>
        <c:gapWidth val="150"/>
        <c:axId val="248584264"/>
        <c:axId val="248590144"/>
      </c:barChart>
      <c:lineChart>
        <c:grouping val="standard"/>
        <c:varyColors val="0"/>
        <c:ser>
          <c:idx val="1"/>
          <c:order val="1"/>
          <c:tx>
            <c:strRef>
              <c:f>'COTE 1 an pentru trimestria (2'!$F$1</c:f>
              <c:strCache>
                <c:ptCount val="1"/>
                <c:pt idx="0">
                  <c:v>CONPET </c:v>
                </c:pt>
              </c:strCache>
            </c:strRef>
          </c:tx>
          <c:spPr>
            <a:ln w="53975" cap="flat" cmpd="sng">
              <a:solidFill>
                <a:srgbClr val="46D220"/>
              </a:solidFill>
              <a:bevel/>
              <a:headEnd type="none" w="med" len="lg"/>
            </a:ln>
            <a:effectLst/>
          </c:spPr>
          <c:marker>
            <c:symbol val="none"/>
          </c:marker>
          <c:cat>
            <c:strRef>
              <c:f>'COTE 1 an pentru trimestria (2'!$A$1085:$A$1205</c:f>
              <c:strCache>
                <c:ptCount val="105"/>
                <c:pt idx="1">
                  <c:v>ian. 2018</c:v>
                </c:pt>
                <c:pt idx="22">
                  <c:v>feb. 2018</c:v>
                </c:pt>
                <c:pt idx="41">
                  <c:v>mar. 2018</c:v>
                </c:pt>
                <c:pt idx="64">
                  <c:v>apr. 2018</c:v>
                </c:pt>
                <c:pt idx="84">
                  <c:v>mai 2018</c:v>
                </c:pt>
                <c:pt idx="104">
                  <c:v>iun. 2018</c:v>
                </c:pt>
              </c:strCache>
            </c:strRef>
          </c:cat>
          <c:val>
            <c:numRef>
              <c:f>'COTE 1 an pentru trimestria (2'!$F$1085:$F$1205</c:f>
              <c:numCache>
                <c:formatCode>###,000</c:formatCode>
                <c:ptCount val="121"/>
                <c:pt idx="0">
                  <c:v>99.5</c:v>
                </c:pt>
                <c:pt idx="1">
                  <c:v>100</c:v>
                </c:pt>
                <c:pt idx="2">
                  <c:v>102.4</c:v>
                </c:pt>
                <c:pt idx="3">
                  <c:v>102</c:v>
                </c:pt>
                <c:pt idx="4">
                  <c:v>102.6</c:v>
                </c:pt>
                <c:pt idx="5">
                  <c:v>103.2</c:v>
                </c:pt>
                <c:pt idx="6">
                  <c:v>105.8</c:v>
                </c:pt>
                <c:pt idx="7">
                  <c:v>106.6</c:v>
                </c:pt>
                <c:pt idx="8">
                  <c:v>106.6</c:v>
                </c:pt>
                <c:pt idx="9">
                  <c:v>106.4</c:v>
                </c:pt>
                <c:pt idx="10">
                  <c:v>106.2</c:v>
                </c:pt>
                <c:pt idx="11">
                  <c:v>107.4</c:v>
                </c:pt>
                <c:pt idx="12">
                  <c:v>109.8</c:v>
                </c:pt>
                <c:pt idx="13">
                  <c:v>114.8</c:v>
                </c:pt>
                <c:pt idx="14">
                  <c:v>117.4</c:v>
                </c:pt>
                <c:pt idx="15">
                  <c:v>119.2</c:v>
                </c:pt>
                <c:pt idx="16">
                  <c:v>119.8</c:v>
                </c:pt>
                <c:pt idx="17">
                  <c:v>119</c:v>
                </c:pt>
                <c:pt idx="18">
                  <c:v>117.8</c:v>
                </c:pt>
                <c:pt idx="19">
                  <c:v>117</c:v>
                </c:pt>
                <c:pt idx="20">
                  <c:v>117.4</c:v>
                </c:pt>
                <c:pt idx="21">
                  <c:v>117.4</c:v>
                </c:pt>
                <c:pt idx="22">
                  <c:v>116.8</c:v>
                </c:pt>
                <c:pt idx="23">
                  <c:v>113</c:v>
                </c:pt>
                <c:pt idx="24">
                  <c:v>115.8</c:v>
                </c:pt>
                <c:pt idx="25">
                  <c:v>115.4</c:v>
                </c:pt>
                <c:pt idx="26">
                  <c:v>114.4</c:v>
                </c:pt>
                <c:pt idx="27">
                  <c:v>115</c:v>
                </c:pt>
                <c:pt idx="28">
                  <c:v>116</c:v>
                </c:pt>
                <c:pt idx="29">
                  <c:v>116.4</c:v>
                </c:pt>
                <c:pt idx="30">
                  <c:v>114.8</c:v>
                </c:pt>
                <c:pt idx="31">
                  <c:v>112.8</c:v>
                </c:pt>
                <c:pt idx="32">
                  <c:v>112.6</c:v>
                </c:pt>
                <c:pt idx="33">
                  <c:v>110.2</c:v>
                </c:pt>
                <c:pt idx="34">
                  <c:v>109</c:v>
                </c:pt>
                <c:pt idx="35">
                  <c:v>111.6</c:v>
                </c:pt>
                <c:pt idx="36">
                  <c:v>111.6</c:v>
                </c:pt>
                <c:pt idx="37">
                  <c:v>113</c:v>
                </c:pt>
                <c:pt idx="38">
                  <c:v>113.4</c:v>
                </c:pt>
                <c:pt idx="39">
                  <c:v>112</c:v>
                </c:pt>
                <c:pt idx="40">
                  <c:v>111.4</c:v>
                </c:pt>
                <c:pt idx="41">
                  <c:v>111</c:v>
                </c:pt>
                <c:pt idx="42">
                  <c:v>112.4</c:v>
                </c:pt>
                <c:pt idx="43">
                  <c:v>112</c:v>
                </c:pt>
                <c:pt idx="44">
                  <c:v>112.8</c:v>
                </c:pt>
                <c:pt idx="45">
                  <c:v>112.4</c:v>
                </c:pt>
                <c:pt idx="46">
                  <c:v>112</c:v>
                </c:pt>
                <c:pt idx="47">
                  <c:v>112.6</c:v>
                </c:pt>
                <c:pt idx="48">
                  <c:v>113.8</c:v>
                </c:pt>
                <c:pt idx="49">
                  <c:v>114.6</c:v>
                </c:pt>
                <c:pt idx="50">
                  <c:v>114.8</c:v>
                </c:pt>
                <c:pt idx="51">
                  <c:v>116.2</c:v>
                </c:pt>
                <c:pt idx="52">
                  <c:v>116</c:v>
                </c:pt>
                <c:pt idx="53">
                  <c:v>115.8</c:v>
                </c:pt>
                <c:pt idx="54">
                  <c:v>114</c:v>
                </c:pt>
                <c:pt idx="55">
                  <c:v>111.8</c:v>
                </c:pt>
                <c:pt idx="56">
                  <c:v>112</c:v>
                </c:pt>
                <c:pt idx="57">
                  <c:v>112.6</c:v>
                </c:pt>
                <c:pt idx="58">
                  <c:v>114.6</c:v>
                </c:pt>
                <c:pt idx="59">
                  <c:v>112</c:v>
                </c:pt>
                <c:pt idx="60">
                  <c:v>112</c:v>
                </c:pt>
                <c:pt idx="61">
                  <c:v>111.6</c:v>
                </c:pt>
                <c:pt idx="62">
                  <c:v>111.8</c:v>
                </c:pt>
                <c:pt idx="63">
                  <c:v>111</c:v>
                </c:pt>
                <c:pt idx="64">
                  <c:v>111</c:v>
                </c:pt>
                <c:pt idx="65">
                  <c:v>112.6</c:v>
                </c:pt>
                <c:pt idx="66">
                  <c:v>111</c:v>
                </c:pt>
                <c:pt idx="67">
                  <c:v>112</c:v>
                </c:pt>
                <c:pt idx="68">
                  <c:v>112</c:v>
                </c:pt>
                <c:pt idx="69">
                  <c:v>112.8</c:v>
                </c:pt>
                <c:pt idx="70">
                  <c:v>113</c:v>
                </c:pt>
                <c:pt idx="71">
                  <c:v>101</c:v>
                </c:pt>
                <c:pt idx="72">
                  <c:v>110.4</c:v>
                </c:pt>
                <c:pt idx="73">
                  <c:v>112.4</c:v>
                </c:pt>
                <c:pt idx="74">
                  <c:v>110.8</c:v>
                </c:pt>
                <c:pt idx="75">
                  <c:v>111.2</c:v>
                </c:pt>
                <c:pt idx="76">
                  <c:v>111.8</c:v>
                </c:pt>
                <c:pt idx="77">
                  <c:v>111</c:v>
                </c:pt>
                <c:pt idx="78">
                  <c:v>110.8</c:v>
                </c:pt>
                <c:pt idx="79">
                  <c:v>109.6</c:v>
                </c:pt>
                <c:pt idx="80">
                  <c:v>109.2</c:v>
                </c:pt>
                <c:pt idx="81">
                  <c:v>109.2</c:v>
                </c:pt>
                <c:pt idx="82">
                  <c:v>106</c:v>
                </c:pt>
                <c:pt idx="83">
                  <c:v>106</c:v>
                </c:pt>
                <c:pt idx="84">
                  <c:v>106</c:v>
                </c:pt>
                <c:pt idx="85">
                  <c:v>107.2</c:v>
                </c:pt>
                <c:pt idx="86">
                  <c:v>106</c:v>
                </c:pt>
                <c:pt idx="87">
                  <c:v>106.4</c:v>
                </c:pt>
                <c:pt idx="88">
                  <c:v>107.4</c:v>
                </c:pt>
                <c:pt idx="89">
                  <c:v>107</c:v>
                </c:pt>
                <c:pt idx="90">
                  <c:v>100.4</c:v>
                </c:pt>
                <c:pt idx="91">
                  <c:v>99.4</c:v>
                </c:pt>
                <c:pt idx="92">
                  <c:v>100.6</c:v>
                </c:pt>
                <c:pt idx="93">
                  <c:v>97</c:v>
                </c:pt>
                <c:pt idx="94">
                  <c:v>93.6</c:v>
                </c:pt>
                <c:pt idx="95">
                  <c:v>96</c:v>
                </c:pt>
                <c:pt idx="96">
                  <c:v>95</c:v>
                </c:pt>
                <c:pt idx="97">
                  <c:v>97.4</c:v>
                </c:pt>
                <c:pt idx="98">
                  <c:v>98.2</c:v>
                </c:pt>
                <c:pt idx="99">
                  <c:v>99.9</c:v>
                </c:pt>
                <c:pt idx="100">
                  <c:v>98.1</c:v>
                </c:pt>
                <c:pt idx="101">
                  <c:v>100</c:v>
                </c:pt>
                <c:pt idx="102">
                  <c:v>99</c:v>
                </c:pt>
                <c:pt idx="103">
                  <c:v>98</c:v>
                </c:pt>
                <c:pt idx="104">
                  <c:v>98</c:v>
                </c:pt>
                <c:pt idx="105">
                  <c:v>98.6</c:v>
                </c:pt>
                <c:pt idx="106">
                  <c:v>98.1</c:v>
                </c:pt>
                <c:pt idx="107">
                  <c:v>92.4</c:v>
                </c:pt>
                <c:pt idx="108">
                  <c:v>92.3</c:v>
                </c:pt>
                <c:pt idx="109">
                  <c:v>92</c:v>
                </c:pt>
                <c:pt idx="110">
                  <c:v>91.5</c:v>
                </c:pt>
                <c:pt idx="111">
                  <c:v>90.1</c:v>
                </c:pt>
                <c:pt idx="112">
                  <c:v>89.6</c:v>
                </c:pt>
                <c:pt idx="113">
                  <c:v>89</c:v>
                </c:pt>
                <c:pt idx="114">
                  <c:v>89</c:v>
                </c:pt>
                <c:pt idx="115">
                  <c:v>90</c:v>
                </c:pt>
                <c:pt idx="116">
                  <c:v>90.4</c:v>
                </c:pt>
                <c:pt idx="117">
                  <c:v>90</c:v>
                </c:pt>
                <c:pt idx="118">
                  <c:v>90</c:v>
                </c:pt>
                <c:pt idx="119">
                  <c:v>90</c:v>
                </c:pt>
                <c:pt idx="120">
                  <c:v>90</c:v>
                </c:pt>
              </c:numCache>
            </c:numRef>
          </c:val>
          <c:smooth val="1"/>
          <c:extLst>
            <c:ext xmlns:c16="http://schemas.microsoft.com/office/drawing/2014/chart" uri="{C3380CC4-5D6E-409C-BE32-E72D297353CC}">
              <c16:uniqueId val="{00000001-73FC-4860-9B0E-9FA04375222E}"/>
            </c:ext>
          </c:extLst>
        </c:ser>
        <c:ser>
          <c:idx val="0"/>
          <c:order val="2"/>
          <c:tx>
            <c:strRef>
              <c:f>'COTE 1 an pentru trimestria (2'!$E$1</c:f>
              <c:strCache>
                <c:ptCount val="1"/>
                <c:pt idx="0">
                  <c:v>Bet (rebazat)</c:v>
                </c:pt>
              </c:strCache>
              <c:extLst xmlns:c15="http://schemas.microsoft.com/office/drawing/2012/chart"/>
            </c:strRef>
          </c:tx>
          <c:spPr>
            <a:ln w="15875" cap="rnd">
              <a:solidFill>
                <a:schemeClr val="tx1">
                  <a:lumMod val="50000"/>
                  <a:lumOff val="50000"/>
                </a:schemeClr>
              </a:solidFill>
              <a:round/>
            </a:ln>
            <a:effectLst/>
          </c:spPr>
          <c:marker>
            <c:symbol val="none"/>
          </c:marker>
          <c:cat>
            <c:strRef>
              <c:f>'COTE 1 an pentru trimestria (2'!$A$1085:$A$1205</c:f>
              <c:strCache>
                <c:ptCount val="105"/>
                <c:pt idx="1">
                  <c:v>ian. 2018</c:v>
                </c:pt>
                <c:pt idx="22">
                  <c:v>feb. 2018</c:v>
                </c:pt>
                <c:pt idx="41">
                  <c:v>mar. 2018</c:v>
                </c:pt>
                <c:pt idx="64">
                  <c:v>apr. 2018</c:v>
                </c:pt>
                <c:pt idx="84">
                  <c:v>mai 2018</c:v>
                </c:pt>
                <c:pt idx="104">
                  <c:v>iun. 2018</c:v>
                </c:pt>
              </c:strCache>
            </c:strRef>
          </c:cat>
          <c:val>
            <c:numRef>
              <c:f>'COTE 1 an pentru trimestria (2'!$E$1085:$E$1205</c:f>
              <c:numCache>
                <c:formatCode>#.000</c:formatCode>
                <c:ptCount val="121"/>
                <c:pt idx="0">
                  <c:v>99.5</c:v>
                </c:pt>
                <c:pt idx="1">
                  <c:v>100.19039137585152</c:v>
                </c:pt>
                <c:pt idx="2">
                  <c:v>100.44345522139957</c:v>
                </c:pt>
                <c:pt idx="3">
                  <c:v>100.40484160281943</c:v>
                </c:pt>
                <c:pt idx="4">
                  <c:v>101.05900912801597</c:v>
                </c:pt>
                <c:pt idx="5">
                  <c:v>101.06014112334894</c:v>
                </c:pt>
                <c:pt idx="6">
                  <c:v>102.73373333451315</c:v>
                </c:pt>
                <c:pt idx="7">
                  <c:v>104.00584453425122</c:v>
                </c:pt>
                <c:pt idx="8">
                  <c:v>103.82724082616066</c:v>
                </c:pt>
                <c:pt idx="9">
                  <c:v>103.55405261913759</c:v>
                </c:pt>
                <c:pt idx="10">
                  <c:v>104.603789624577</c:v>
                </c:pt>
                <c:pt idx="11">
                  <c:v>105.33430394611929</c:v>
                </c:pt>
                <c:pt idx="12">
                  <c:v>105.1743152723931</c:v>
                </c:pt>
                <c:pt idx="13">
                  <c:v>106.7914334941681</c:v>
                </c:pt>
                <c:pt idx="14">
                  <c:v>106.11085274453563</c:v>
                </c:pt>
                <c:pt idx="15">
                  <c:v>105.82219393462867</c:v>
                </c:pt>
                <c:pt idx="16">
                  <c:v>106.08607462446956</c:v>
                </c:pt>
                <c:pt idx="17">
                  <c:v>105.95363117051224</c:v>
                </c:pt>
                <c:pt idx="18">
                  <c:v>105.19217564320216</c:v>
                </c:pt>
                <c:pt idx="19">
                  <c:v>105.28135171998821</c:v>
                </c:pt>
                <c:pt idx="20">
                  <c:v>104.62919663093919</c:v>
                </c:pt>
                <c:pt idx="21">
                  <c:v>103.68133920546694</c:v>
                </c:pt>
                <c:pt idx="22">
                  <c:v>102.90692862045732</c:v>
                </c:pt>
                <c:pt idx="23">
                  <c:v>100.71500832405277</c:v>
                </c:pt>
                <c:pt idx="24">
                  <c:v>100.80154307839526</c:v>
                </c:pt>
                <c:pt idx="25">
                  <c:v>101.47155853825336</c:v>
                </c:pt>
                <c:pt idx="26">
                  <c:v>100.6538805760725</c:v>
                </c:pt>
                <c:pt idx="27">
                  <c:v>101.99894258615741</c:v>
                </c:pt>
                <c:pt idx="28">
                  <c:v>102.3584139930045</c:v>
                </c:pt>
                <c:pt idx="29">
                  <c:v>102.72430004007174</c:v>
                </c:pt>
                <c:pt idx="30">
                  <c:v>103.87906105695876</c:v>
                </c:pt>
                <c:pt idx="31">
                  <c:v>104.75359034030649</c:v>
                </c:pt>
                <c:pt idx="32">
                  <c:v>104.58416837213889</c:v>
                </c:pt>
                <c:pt idx="33">
                  <c:v>104.48367234202314</c:v>
                </c:pt>
                <c:pt idx="34">
                  <c:v>104.15967012227573</c:v>
                </c:pt>
                <c:pt idx="35">
                  <c:v>104.27852963223739</c:v>
                </c:pt>
                <c:pt idx="36">
                  <c:v>105.10111290752779</c:v>
                </c:pt>
                <c:pt idx="37">
                  <c:v>105.38889127662021</c:v>
                </c:pt>
                <c:pt idx="38">
                  <c:v>105.84445650951039</c:v>
                </c:pt>
                <c:pt idx="39">
                  <c:v>106.31209635928558</c:v>
                </c:pt>
                <c:pt idx="40">
                  <c:v>105.79980558248776</c:v>
                </c:pt>
                <c:pt idx="41">
                  <c:v>105.05193399917327</c:v>
                </c:pt>
                <c:pt idx="42">
                  <c:v>105.45177990622958</c:v>
                </c:pt>
                <c:pt idx="43">
                  <c:v>106.06595026299456</c:v>
                </c:pt>
                <c:pt idx="44">
                  <c:v>106.19575239450828</c:v>
                </c:pt>
                <c:pt idx="45">
                  <c:v>106.55409180602238</c:v>
                </c:pt>
                <c:pt idx="46">
                  <c:v>106.62364663037035</c:v>
                </c:pt>
                <c:pt idx="47">
                  <c:v>107.65464282418614</c:v>
                </c:pt>
                <c:pt idx="48">
                  <c:v>108.27283805324612</c:v>
                </c:pt>
                <c:pt idx="49">
                  <c:v>108.18743529423662</c:v>
                </c:pt>
                <c:pt idx="50">
                  <c:v>109.27314459581257</c:v>
                </c:pt>
                <c:pt idx="51">
                  <c:v>110.89730634410381</c:v>
                </c:pt>
                <c:pt idx="52">
                  <c:v>110.37432450027239</c:v>
                </c:pt>
                <c:pt idx="53">
                  <c:v>109.8285769725224</c:v>
                </c:pt>
                <c:pt idx="54">
                  <c:v>110.56563171154407</c:v>
                </c:pt>
                <c:pt idx="55">
                  <c:v>108.71997620976866</c:v>
                </c:pt>
                <c:pt idx="56">
                  <c:v>108.93555843206953</c:v>
                </c:pt>
                <c:pt idx="57">
                  <c:v>109.71349078033728</c:v>
                </c:pt>
                <c:pt idx="58">
                  <c:v>109.93724852448737</c:v>
                </c:pt>
                <c:pt idx="59">
                  <c:v>109.76430479306164</c:v>
                </c:pt>
                <c:pt idx="60">
                  <c:v>109.17818276510245</c:v>
                </c:pt>
                <c:pt idx="61">
                  <c:v>109.60444189659466</c:v>
                </c:pt>
                <c:pt idx="62">
                  <c:v>110.29734881763056</c:v>
                </c:pt>
                <c:pt idx="63">
                  <c:v>110.2398686101676</c:v>
                </c:pt>
                <c:pt idx="64">
                  <c:v>110.13283216257248</c:v>
                </c:pt>
                <c:pt idx="65">
                  <c:v>111.45261294355446</c:v>
                </c:pt>
                <c:pt idx="66">
                  <c:v>111.20898239244779</c:v>
                </c:pt>
                <c:pt idx="67">
                  <c:v>111.04044086509472</c:v>
                </c:pt>
                <c:pt idx="68">
                  <c:v>112.2943143622461</c:v>
                </c:pt>
                <c:pt idx="69">
                  <c:v>111.57750976195865</c:v>
                </c:pt>
                <c:pt idx="70">
                  <c:v>111.98704051797478</c:v>
                </c:pt>
                <c:pt idx="71">
                  <c:v>112.27695710047391</c:v>
                </c:pt>
                <c:pt idx="72">
                  <c:v>112.36261141400183</c:v>
                </c:pt>
                <c:pt idx="73">
                  <c:v>112.60171398377662</c:v>
                </c:pt>
                <c:pt idx="74">
                  <c:v>112.19947830879518</c:v>
                </c:pt>
                <c:pt idx="75">
                  <c:v>112.65906841398036</c:v>
                </c:pt>
                <c:pt idx="76">
                  <c:v>113.26506324889611</c:v>
                </c:pt>
                <c:pt idx="77">
                  <c:v>113.2762574249666</c:v>
                </c:pt>
                <c:pt idx="78">
                  <c:v>112.02250970507444</c:v>
                </c:pt>
                <c:pt idx="79">
                  <c:v>110.43520069373426</c:v>
                </c:pt>
                <c:pt idx="80">
                  <c:v>109.59148683889512</c:v>
                </c:pt>
                <c:pt idx="81">
                  <c:v>109.8163765783782</c:v>
                </c:pt>
                <c:pt idx="82">
                  <c:v>109.49036192248329</c:v>
                </c:pt>
                <c:pt idx="83">
                  <c:v>110.53708027370142</c:v>
                </c:pt>
                <c:pt idx="84">
                  <c:v>111.30469888671324</c:v>
                </c:pt>
                <c:pt idx="85">
                  <c:v>110.2176060352859</c:v>
                </c:pt>
                <c:pt idx="86">
                  <c:v>110.05849780237422</c:v>
                </c:pt>
                <c:pt idx="87">
                  <c:v>110.82511019731227</c:v>
                </c:pt>
                <c:pt idx="88">
                  <c:v>110.38099069501099</c:v>
                </c:pt>
                <c:pt idx="89">
                  <c:v>110.12528552701936</c:v>
                </c:pt>
                <c:pt idx="90">
                  <c:v>109.17906320591698</c:v>
                </c:pt>
                <c:pt idx="91">
                  <c:v>107.87286636893062</c:v>
                </c:pt>
                <c:pt idx="92">
                  <c:v>107.05518840674975</c:v>
                </c:pt>
                <c:pt idx="93">
                  <c:v>105.77490168516246</c:v>
                </c:pt>
                <c:pt idx="94">
                  <c:v>103.90283295895111</c:v>
                </c:pt>
                <c:pt idx="95">
                  <c:v>106.01865801352832</c:v>
                </c:pt>
                <c:pt idx="96">
                  <c:v>104.96929833986658</c:v>
                </c:pt>
                <c:pt idx="97">
                  <c:v>103.94786121775141</c:v>
                </c:pt>
                <c:pt idx="98">
                  <c:v>103.9310070650161</c:v>
                </c:pt>
                <c:pt idx="99">
                  <c:v>103.16200490215286</c:v>
                </c:pt>
                <c:pt idx="100">
                  <c:v>100.85650774067383</c:v>
                </c:pt>
                <c:pt idx="101">
                  <c:v>101.62928322131363</c:v>
                </c:pt>
                <c:pt idx="102">
                  <c:v>101.79468031718623</c:v>
                </c:pt>
                <c:pt idx="103">
                  <c:v>103.76837706884631</c:v>
                </c:pt>
                <c:pt idx="104">
                  <c:v>104.26066926142835</c:v>
                </c:pt>
                <c:pt idx="105">
                  <c:v>104.20117661781789</c:v>
                </c:pt>
                <c:pt idx="106">
                  <c:v>103.80548136031582</c:v>
                </c:pt>
                <c:pt idx="107">
                  <c:v>103.86069757711283</c:v>
                </c:pt>
                <c:pt idx="108">
                  <c:v>104.2946291214174</c:v>
                </c:pt>
                <c:pt idx="109">
                  <c:v>104.301295316156</c:v>
                </c:pt>
                <c:pt idx="110">
                  <c:v>102.6971321520805</c:v>
                </c:pt>
                <c:pt idx="111">
                  <c:v>103.15345204852601</c:v>
                </c:pt>
                <c:pt idx="112">
                  <c:v>102.6816615491966</c:v>
                </c:pt>
                <c:pt idx="113">
                  <c:v>101.72499971557906</c:v>
                </c:pt>
                <c:pt idx="114">
                  <c:v>102.32571190560765</c:v>
                </c:pt>
                <c:pt idx="115">
                  <c:v>102.18144538928378</c:v>
                </c:pt>
                <c:pt idx="116">
                  <c:v>101.9907670643082</c:v>
                </c:pt>
                <c:pt idx="117">
                  <c:v>100.18976248955542</c:v>
                </c:pt>
                <c:pt idx="118">
                  <c:v>100.18636650355653</c:v>
                </c:pt>
                <c:pt idx="119">
                  <c:v>99.879595768322076</c:v>
                </c:pt>
                <c:pt idx="120">
                  <c:v>100.50445719212065</c:v>
                </c:pt>
              </c:numCache>
            </c:numRef>
          </c:val>
          <c:smooth val="0"/>
          <c:extLst xmlns:c15="http://schemas.microsoft.com/office/drawing/2012/chart">
            <c:ext xmlns:c16="http://schemas.microsoft.com/office/drawing/2014/chart" uri="{C3380CC4-5D6E-409C-BE32-E72D297353CC}">
              <c16:uniqueId val="{00000002-73FC-4860-9B0E-9FA04375222E}"/>
            </c:ext>
          </c:extLst>
        </c:ser>
        <c:dLbls>
          <c:showLegendKey val="0"/>
          <c:showVal val="0"/>
          <c:showCatName val="0"/>
          <c:showSerName val="0"/>
          <c:showPercent val="0"/>
          <c:showBubbleSize val="0"/>
        </c:dLbls>
        <c:marker val="1"/>
        <c:smooth val="0"/>
        <c:axId val="248585048"/>
        <c:axId val="248590536"/>
        <c:extLst>
          <c:ext xmlns:c15="http://schemas.microsoft.com/office/drawing/2012/chart" uri="{02D57815-91ED-43cb-92C2-25804820EDAC}">
            <c15:filteredLineSeries>
              <c15:ser>
                <c:idx val="3"/>
                <c:order val="3"/>
                <c:tx>
                  <c:strRef>
                    <c:extLst>
                      <c:ext uri="{02D57815-91ED-43cb-92C2-25804820EDAC}">
                        <c15:formulaRef>
                          <c15:sqref>#REF!</c15:sqref>
                        </c15:formulaRef>
                      </c:ext>
                    </c:extLst>
                    <c:strCache>
                      <c:ptCount val="1"/>
                      <c:pt idx="0">
                        <c:v>#REF!</c:v>
                      </c:pt>
                    </c:strCache>
                  </c:strRef>
                </c:tx>
                <c:spPr>
                  <a:ln w="15875" cap="rnd">
                    <a:solidFill>
                      <a:schemeClr val="accent4"/>
                    </a:solidFill>
                    <a:round/>
                  </a:ln>
                  <a:effectLst/>
                </c:spPr>
                <c:marker>
                  <c:symbol val="none"/>
                </c:marker>
                <c:cat>
                  <c:strRef>
                    <c:extLst>
                      <c:ext uri="{02D57815-91ED-43cb-92C2-25804820EDAC}">
                        <c15:formulaRef>
                          <c15:sqref>'COTE 1 an pentru trimestria (2'!$A$1085:$A$1205</c15:sqref>
                        </c15:formulaRef>
                      </c:ext>
                    </c:extLst>
                    <c:strCache>
                      <c:ptCount val="105"/>
                      <c:pt idx="1">
                        <c:v>ian. 2018</c:v>
                      </c:pt>
                      <c:pt idx="22">
                        <c:v>feb. 2018</c:v>
                      </c:pt>
                      <c:pt idx="41">
                        <c:v>mar. 2018</c:v>
                      </c:pt>
                      <c:pt idx="64">
                        <c:v>apr. 2018</c:v>
                      </c:pt>
                      <c:pt idx="84">
                        <c:v>mai 2018</c:v>
                      </c:pt>
                      <c:pt idx="104">
                        <c:v>iun. 2018</c:v>
                      </c:pt>
                    </c:strCache>
                  </c:strRef>
                </c:cat>
                <c:val>
                  <c:numRef>
                    <c:extLst>
                      <c:ext uri="{02D57815-91ED-43cb-92C2-25804820EDAC}">
                        <c15:formulaRef>
                          <c15:sqref>#REF!</c15:sqref>
                        </c15:formulaRef>
                      </c:ext>
                    </c:extLst>
                    <c:numCache>
                      <c:formatCode>General</c:formatCode>
                      <c:ptCount val="1"/>
                      <c:pt idx="0">
                        <c:v>1</c:v>
                      </c:pt>
                    </c:numCache>
                  </c:numRef>
                </c:val>
                <c:smooth val="0"/>
                <c:extLst>
                  <c:ext xmlns:c16="http://schemas.microsoft.com/office/drawing/2014/chart" uri="{C3380CC4-5D6E-409C-BE32-E72D297353CC}">
                    <c16:uniqueId val="{00000003-73FC-4860-9B0E-9FA04375222E}"/>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#REF!</c15:sqref>
                        </c15:formulaRef>
                      </c:ext>
                    </c:extLst>
                    <c:strCache>
                      <c:ptCount val="1"/>
                      <c:pt idx="0">
                        <c:v>#REF!</c:v>
                      </c:pt>
                    </c:strCache>
                  </c:strRef>
                </c:tx>
                <c:spPr>
                  <a:ln w="158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'COTE 1 an pentru trimestria (2'!$A$1085:$A$1205</c15:sqref>
                        </c15:formulaRef>
                      </c:ext>
                    </c:extLst>
                    <c:strCache>
                      <c:ptCount val="105"/>
                      <c:pt idx="1">
                        <c:v>ian. 2018</c:v>
                      </c:pt>
                      <c:pt idx="22">
                        <c:v>feb. 2018</c:v>
                      </c:pt>
                      <c:pt idx="41">
                        <c:v>mar. 2018</c:v>
                      </c:pt>
                      <c:pt idx="64">
                        <c:v>apr. 2018</c:v>
                      </c:pt>
                      <c:pt idx="84">
                        <c:v>mai 2018</c:v>
                      </c:pt>
                      <c:pt idx="104">
                        <c:v>iun. 2018</c:v>
                      </c:pt>
                    </c:strCache>
                  </c:strRef>
                </c:cat>
                <c:val>
                  <c:numRef>
                    <c:extLst xmlns:c15="http://schemas.microsoft.com/office/drawing/2012/chart">
                      <c:ext xmlns:c15="http://schemas.microsoft.com/office/drawing/2012/chart" uri="{02D57815-91ED-43cb-92C2-25804820EDAC}">
                        <c15:formulaRef>
                          <c15:sqref>#REF!</c15:sqref>
                        </c15:formulaRef>
                      </c:ext>
                    </c:extLst>
                    <c:numCache>
                      <c:formatCode>General</c:formatCode>
                      <c:ptCount val="1"/>
                      <c:pt idx="0">
                        <c:v>1</c:v>
                      </c:pt>
                    </c:numCache>
                  </c:numRef>
                </c:val>
                <c:smooth val="0"/>
                <c:extLst xmlns:c15="http://schemas.microsoft.com/office/drawing/2012/chart">
                  <c:ext xmlns:c16="http://schemas.microsoft.com/office/drawing/2014/chart" uri="{C3380CC4-5D6E-409C-BE32-E72D297353CC}">
                    <c16:uniqueId val="{00000004-73FC-4860-9B0E-9FA04375222E}"/>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#REF!</c15:sqref>
                        </c15:formulaRef>
                      </c:ext>
                    </c:extLst>
                    <c:strCache>
                      <c:ptCount val="1"/>
                      <c:pt idx="0">
                        <c:v>#REF!</c:v>
                      </c:pt>
                    </c:strCache>
                  </c:strRef>
                </c:tx>
                <c:spPr>
                  <a:ln w="158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'COTE 1 an pentru trimestria (2'!$A$1085:$A$1205</c15:sqref>
                        </c15:formulaRef>
                      </c:ext>
                    </c:extLst>
                    <c:strCache>
                      <c:ptCount val="105"/>
                      <c:pt idx="1">
                        <c:v>ian. 2018</c:v>
                      </c:pt>
                      <c:pt idx="22">
                        <c:v>feb. 2018</c:v>
                      </c:pt>
                      <c:pt idx="41">
                        <c:v>mar. 2018</c:v>
                      </c:pt>
                      <c:pt idx="64">
                        <c:v>apr. 2018</c:v>
                      </c:pt>
                      <c:pt idx="84">
                        <c:v>mai 2018</c:v>
                      </c:pt>
                      <c:pt idx="104">
                        <c:v>iun. 2018</c:v>
                      </c:pt>
                    </c:strCache>
                  </c:strRef>
                </c:cat>
                <c:val>
                  <c:numRef>
                    <c:extLst xmlns:c15="http://schemas.microsoft.com/office/drawing/2012/chart">
                      <c:ext xmlns:c15="http://schemas.microsoft.com/office/drawing/2012/chart" uri="{02D57815-91ED-43cb-92C2-25804820EDAC}">
                        <c15:formulaRef>
                          <c15:sqref>#REF!</c15:sqref>
                        </c15:formulaRef>
                      </c:ext>
                    </c:extLst>
                    <c:numCache>
                      <c:formatCode>General</c:formatCode>
                      <c:ptCount val="1"/>
                      <c:pt idx="0">
                        <c:v>1</c:v>
                      </c:pt>
                    </c:numCache>
                  </c:numRef>
                </c:val>
                <c:smooth val="0"/>
                <c:extLst xmlns:c15="http://schemas.microsoft.com/office/drawing/2012/chart">
                  <c:ext xmlns:c16="http://schemas.microsoft.com/office/drawing/2014/chart" uri="{C3380CC4-5D6E-409C-BE32-E72D297353CC}">
                    <c16:uniqueId val="{00000005-73FC-4860-9B0E-9FA04375222E}"/>
                  </c:ext>
                </c:extLst>
              </c15:ser>
            </c15:filteredLineSeries>
          </c:ext>
        </c:extLst>
      </c:lineChart>
      <c:catAx>
        <c:axId val="2485850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1080000" spcFirstLastPara="1" vertOverflow="ellipsis" wrap="square" anchor="ctr" anchorCtr="1"/>
          <a:lstStyle/>
          <a:p>
            <a:pPr>
              <a:defRPr sz="900" b="0" i="0" u="none" strike="noStrike" kern="5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48590536"/>
        <c:crosses val="autoZero"/>
        <c:auto val="1"/>
        <c:lblAlgn val="ctr"/>
        <c:lblOffset val="100"/>
        <c:noMultiLvlLbl val="0"/>
      </c:catAx>
      <c:valAx>
        <c:axId val="248590536"/>
        <c:scaling>
          <c:orientation val="minMax"/>
          <c:max val="145"/>
          <c:min val="7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48585048"/>
        <c:crosses val="autoZero"/>
        <c:crossBetween val="between"/>
      </c:valAx>
      <c:valAx>
        <c:axId val="248590144"/>
        <c:scaling>
          <c:orientation val="minMax"/>
          <c:max val="80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48584264"/>
        <c:crosses val="max"/>
        <c:crossBetween val="between"/>
      </c:valAx>
      <c:catAx>
        <c:axId val="248584264"/>
        <c:scaling>
          <c:orientation val="minMax"/>
        </c:scaling>
        <c:delete val="1"/>
        <c:axPos val="b"/>
        <c:numFmt formatCode="General" sourceLinked="1"/>
        <c:majorTickMark val="out"/>
        <c:minorTickMark val="none"/>
        <c:tickLblPos val="nextTo"/>
        <c:crossAx val="24859014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198207265905626E-2"/>
          <c:y val="2.4330098272599646E-2"/>
          <c:w val="0.85898487569436599"/>
          <c:h val="0.84093023255813959"/>
        </c:manualLayout>
      </c:layout>
      <c:lineChart>
        <c:grouping val="standard"/>
        <c:varyColors val="0"/>
        <c:ser>
          <c:idx val="2"/>
          <c:order val="0"/>
          <c:tx>
            <c:strRef>
              <c:f>'12 luni indici pana in sept (2'!$I$1</c:f>
              <c:strCache>
                <c:ptCount val="1"/>
                <c:pt idx="0">
                  <c:v>COTE</c:v>
                </c:pt>
              </c:strCache>
            </c:strRef>
          </c:tx>
          <c:spPr>
            <a:ln w="50800" cap="rnd">
              <a:solidFill>
                <a:srgbClr val="3AEF31"/>
              </a:solidFill>
              <a:round/>
            </a:ln>
            <a:effectLst>
              <a:outerShdw blurRad="50800" dir="2760000" algn="ctr" rotWithShape="0">
                <a:schemeClr val="tx1"/>
              </a:outerShdw>
            </a:effectLst>
          </c:spPr>
          <c:marker>
            <c:symbol val="none"/>
          </c:marker>
          <c:cat>
            <c:strRef>
              <c:f>'12 luni indici pana in sept (2'!$A$552:$A$672</c:f>
              <c:strCache>
                <c:ptCount val="108"/>
                <c:pt idx="2">
                  <c:v>ian. 2018</c:v>
                </c:pt>
                <c:pt idx="22">
                  <c:v>feb. 2018</c:v>
                </c:pt>
                <c:pt idx="42">
                  <c:v>mar. 2018</c:v>
                </c:pt>
                <c:pt idx="63">
                  <c:v>apr. 2018</c:v>
                </c:pt>
                <c:pt idx="87">
                  <c:v>mai 2018</c:v>
                </c:pt>
                <c:pt idx="107">
                  <c:v>iun. 2018</c:v>
                </c:pt>
              </c:strCache>
            </c:strRef>
          </c:cat>
          <c:val>
            <c:numRef>
              <c:f>'12 luni indici pana in sept (2'!$I$552:$I$672</c:f>
              <c:numCache>
                <c:formatCode>General</c:formatCode>
                <c:ptCount val="121"/>
                <c:pt idx="0">
                  <c:v>99.5</c:v>
                </c:pt>
                <c:pt idx="1">
                  <c:v>100</c:v>
                </c:pt>
                <c:pt idx="2">
                  <c:v>102.4</c:v>
                </c:pt>
                <c:pt idx="3">
                  <c:v>102</c:v>
                </c:pt>
                <c:pt idx="4" formatCode="###,000">
                  <c:v>102.6</c:v>
                </c:pt>
                <c:pt idx="5" formatCode="###,000">
                  <c:v>103.2</c:v>
                </c:pt>
                <c:pt idx="6" formatCode="###,000">
                  <c:v>105.8</c:v>
                </c:pt>
                <c:pt idx="7" formatCode="###,000">
                  <c:v>106.6</c:v>
                </c:pt>
                <c:pt idx="8" formatCode="###,000">
                  <c:v>106.6</c:v>
                </c:pt>
                <c:pt idx="9" formatCode="###,000">
                  <c:v>106.4</c:v>
                </c:pt>
                <c:pt idx="10" formatCode="###,000">
                  <c:v>106.2</c:v>
                </c:pt>
                <c:pt idx="11" formatCode="###,000">
                  <c:v>107.4</c:v>
                </c:pt>
                <c:pt idx="12" formatCode="###,000">
                  <c:v>109.8</c:v>
                </c:pt>
                <c:pt idx="13" formatCode="###,000">
                  <c:v>114.8</c:v>
                </c:pt>
                <c:pt idx="14" formatCode="###,000">
                  <c:v>117.4</c:v>
                </c:pt>
                <c:pt idx="15" formatCode="###,000">
                  <c:v>119.2</c:v>
                </c:pt>
                <c:pt idx="16" formatCode="###,000">
                  <c:v>119.8</c:v>
                </c:pt>
                <c:pt idx="17" formatCode="###,000">
                  <c:v>119</c:v>
                </c:pt>
                <c:pt idx="18" formatCode="###,000">
                  <c:v>117.8</c:v>
                </c:pt>
                <c:pt idx="19" formatCode="###,000">
                  <c:v>117</c:v>
                </c:pt>
                <c:pt idx="20" formatCode="###,000">
                  <c:v>117.4</c:v>
                </c:pt>
                <c:pt idx="21" formatCode="###,000">
                  <c:v>117.4</c:v>
                </c:pt>
                <c:pt idx="22" formatCode="###,000">
                  <c:v>116.8</c:v>
                </c:pt>
                <c:pt idx="23" formatCode="###,000">
                  <c:v>113</c:v>
                </c:pt>
                <c:pt idx="24" formatCode="###,000">
                  <c:v>115.8</c:v>
                </c:pt>
                <c:pt idx="25" formatCode="###,000">
                  <c:v>115.4</c:v>
                </c:pt>
                <c:pt idx="26" formatCode="###,000">
                  <c:v>114.4</c:v>
                </c:pt>
                <c:pt idx="27" formatCode="###,000">
                  <c:v>115</c:v>
                </c:pt>
                <c:pt idx="28" formatCode="###,000">
                  <c:v>116</c:v>
                </c:pt>
                <c:pt idx="29" formatCode="###,000">
                  <c:v>116.4</c:v>
                </c:pt>
                <c:pt idx="30" formatCode="###,000">
                  <c:v>114.8</c:v>
                </c:pt>
                <c:pt idx="31" formatCode="###,000">
                  <c:v>112.8</c:v>
                </c:pt>
                <c:pt idx="32" formatCode="###,000">
                  <c:v>112.6</c:v>
                </c:pt>
                <c:pt idx="33" formatCode="###,000">
                  <c:v>110.2</c:v>
                </c:pt>
                <c:pt idx="34" formatCode="###,000">
                  <c:v>109</c:v>
                </c:pt>
                <c:pt idx="35" formatCode="###,000">
                  <c:v>111.6</c:v>
                </c:pt>
                <c:pt idx="36" formatCode="###,000">
                  <c:v>111.6</c:v>
                </c:pt>
                <c:pt idx="37" formatCode="###,000">
                  <c:v>113</c:v>
                </c:pt>
                <c:pt idx="38" formatCode="###,000">
                  <c:v>113.4</c:v>
                </c:pt>
                <c:pt idx="39" formatCode="###,000">
                  <c:v>112</c:v>
                </c:pt>
                <c:pt idx="40" formatCode="###,000">
                  <c:v>111.4</c:v>
                </c:pt>
                <c:pt idx="41" formatCode="###,000">
                  <c:v>111</c:v>
                </c:pt>
                <c:pt idx="42" formatCode="###,000">
                  <c:v>112.4</c:v>
                </c:pt>
                <c:pt idx="43" formatCode="###,000">
                  <c:v>112</c:v>
                </c:pt>
                <c:pt idx="44" formatCode="###,000">
                  <c:v>112.8</c:v>
                </c:pt>
                <c:pt idx="45" formatCode="###,000">
                  <c:v>112.4</c:v>
                </c:pt>
                <c:pt idx="46" formatCode="###,000">
                  <c:v>112</c:v>
                </c:pt>
                <c:pt idx="47" formatCode="###,000">
                  <c:v>112.6</c:v>
                </c:pt>
                <c:pt idx="48" formatCode="###,000">
                  <c:v>113.8</c:v>
                </c:pt>
                <c:pt idx="49">
                  <c:v>114.6</c:v>
                </c:pt>
                <c:pt idx="50">
                  <c:v>114.8</c:v>
                </c:pt>
                <c:pt idx="51">
                  <c:v>116.2</c:v>
                </c:pt>
                <c:pt idx="52">
                  <c:v>116</c:v>
                </c:pt>
                <c:pt idx="53">
                  <c:v>115.8</c:v>
                </c:pt>
                <c:pt idx="54">
                  <c:v>114</c:v>
                </c:pt>
                <c:pt idx="55">
                  <c:v>111.8</c:v>
                </c:pt>
                <c:pt idx="56">
                  <c:v>112</c:v>
                </c:pt>
                <c:pt idx="57">
                  <c:v>112.6</c:v>
                </c:pt>
                <c:pt idx="58">
                  <c:v>114.6</c:v>
                </c:pt>
                <c:pt idx="59">
                  <c:v>112</c:v>
                </c:pt>
                <c:pt idx="60">
                  <c:v>112</c:v>
                </c:pt>
                <c:pt idx="61">
                  <c:v>111.6</c:v>
                </c:pt>
                <c:pt idx="62">
                  <c:v>111.8</c:v>
                </c:pt>
                <c:pt idx="63">
                  <c:v>111</c:v>
                </c:pt>
                <c:pt idx="64">
                  <c:v>111</c:v>
                </c:pt>
                <c:pt idx="65">
                  <c:v>112.6</c:v>
                </c:pt>
                <c:pt idx="66">
                  <c:v>111</c:v>
                </c:pt>
                <c:pt idx="67">
                  <c:v>112</c:v>
                </c:pt>
                <c:pt idx="68">
                  <c:v>112</c:v>
                </c:pt>
                <c:pt idx="69">
                  <c:v>112.8</c:v>
                </c:pt>
                <c:pt idx="70">
                  <c:v>113</c:v>
                </c:pt>
                <c:pt idx="71">
                  <c:v>112.8</c:v>
                </c:pt>
                <c:pt idx="72">
                  <c:v>110.4</c:v>
                </c:pt>
                <c:pt idx="73">
                  <c:v>112.4</c:v>
                </c:pt>
                <c:pt idx="74">
                  <c:v>110.8</c:v>
                </c:pt>
                <c:pt idx="75">
                  <c:v>111.2</c:v>
                </c:pt>
                <c:pt idx="76" formatCode="###,000">
                  <c:v>111.8</c:v>
                </c:pt>
                <c:pt idx="77" formatCode="###,000">
                  <c:v>111</c:v>
                </c:pt>
                <c:pt idx="78" formatCode="###,000">
                  <c:v>110.8</c:v>
                </c:pt>
                <c:pt idx="79" formatCode="###,000">
                  <c:v>109.6</c:v>
                </c:pt>
                <c:pt idx="80" formatCode="###,000">
                  <c:v>109.2</c:v>
                </c:pt>
                <c:pt idx="81" formatCode="###,000">
                  <c:v>109.2</c:v>
                </c:pt>
                <c:pt idx="82" formatCode="###,000">
                  <c:v>106</c:v>
                </c:pt>
                <c:pt idx="83" formatCode="###,000">
                  <c:v>106</c:v>
                </c:pt>
                <c:pt idx="84" formatCode="###,000">
                  <c:v>106</c:v>
                </c:pt>
                <c:pt idx="85" formatCode="###,000">
                  <c:v>107.2</c:v>
                </c:pt>
                <c:pt idx="86" formatCode="###,000">
                  <c:v>106</c:v>
                </c:pt>
                <c:pt idx="87" formatCode="###,000">
                  <c:v>106.4</c:v>
                </c:pt>
                <c:pt idx="88" formatCode="###,000">
                  <c:v>107.4</c:v>
                </c:pt>
                <c:pt idx="89" formatCode="###,000">
                  <c:v>107</c:v>
                </c:pt>
                <c:pt idx="90" formatCode="###,000">
                  <c:v>100.4</c:v>
                </c:pt>
                <c:pt idx="91" formatCode="###,000">
                  <c:v>99.4</c:v>
                </c:pt>
                <c:pt idx="92" formatCode="###,000">
                  <c:v>100.6</c:v>
                </c:pt>
                <c:pt idx="93" formatCode="###,000">
                  <c:v>97</c:v>
                </c:pt>
                <c:pt idx="94" formatCode="###,000">
                  <c:v>93.6</c:v>
                </c:pt>
                <c:pt idx="95" formatCode="###,000">
                  <c:v>96</c:v>
                </c:pt>
                <c:pt idx="96" formatCode="###,000">
                  <c:v>95</c:v>
                </c:pt>
                <c:pt idx="97" formatCode="###,000">
                  <c:v>97.4</c:v>
                </c:pt>
                <c:pt idx="98" formatCode="###,000">
                  <c:v>98.2</c:v>
                </c:pt>
                <c:pt idx="99" formatCode="###,000">
                  <c:v>99.9</c:v>
                </c:pt>
                <c:pt idx="100" formatCode="###,000">
                  <c:v>98.1</c:v>
                </c:pt>
                <c:pt idx="101" formatCode="###,000">
                  <c:v>100</c:v>
                </c:pt>
                <c:pt idx="102" formatCode="###,000">
                  <c:v>99</c:v>
                </c:pt>
                <c:pt idx="103" formatCode="###,000">
                  <c:v>98</c:v>
                </c:pt>
                <c:pt idx="104" formatCode="###,000">
                  <c:v>98</c:v>
                </c:pt>
                <c:pt idx="105" formatCode="###,000">
                  <c:v>98.6</c:v>
                </c:pt>
                <c:pt idx="106" formatCode="###,000">
                  <c:v>98.1</c:v>
                </c:pt>
                <c:pt idx="107" formatCode="###,000">
                  <c:v>92.4</c:v>
                </c:pt>
                <c:pt idx="108" formatCode="###,000">
                  <c:v>92.3</c:v>
                </c:pt>
                <c:pt idx="109" formatCode="###,000">
                  <c:v>92</c:v>
                </c:pt>
                <c:pt idx="110" formatCode="###,000">
                  <c:v>91.5</c:v>
                </c:pt>
                <c:pt idx="111" formatCode="###,000">
                  <c:v>90.1</c:v>
                </c:pt>
                <c:pt idx="112" formatCode="###,000">
                  <c:v>89.6</c:v>
                </c:pt>
                <c:pt idx="113" formatCode="###,000">
                  <c:v>89</c:v>
                </c:pt>
                <c:pt idx="114" formatCode="###,000">
                  <c:v>89</c:v>
                </c:pt>
                <c:pt idx="115" formatCode="###,000">
                  <c:v>90</c:v>
                </c:pt>
                <c:pt idx="116" formatCode="###,000">
                  <c:v>90.4</c:v>
                </c:pt>
                <c:pt idx="117" formatCode="###,000">
                  <c:v>90</c:v>
                </c:pt>
                <c:pt idx="118" formatCode="###,000">
                  <c:v>90</c:v>
                </c:pt>
                <c:pt idx="119" formatCode="###,000">
                  <c:v>90</c:v>
                </c:pt>
                <c:pt idx="120" formatCode="###,000">
                  <c:v>90</c:v>
                </c:pt>
              </c:numCache>
            </c:numRef>
          </c:val>
          <c:smooth val="0"/>
          <c:extLst>
            <c:ext xmlns:c16="http://schemas.microsoft.com/office/drawing/2014/chart" uri="{C3380CC4-5D6E-409C-BE32-E72D297353CC}">
              <c16:uniqueId val="{00000000-D1C5-4EE6-A4E6-43199C045214}"/>
            </c:ext>
          </c:extLst>
        </c:ser>
        <c:ser>
          <c:idx val="0"/>
          <c:order val="1"/>
          <c:tx>
            <c:strRef>
              <c:f>'12 luni indici pana in sept (2'!$L$1</c:f>
              <c:strCache>
                <c:ptCount val="1"/>
                <c:pt idx="0">
                  <c:v>BET-BK (rebazat)</c:v>
                </c:pt>
              </c:strCache>
            </c:strRef>
          </c:tx>
          <c:spPr>
            <a:ln w="28575" cap="rnd" cmpd="dbl">
              <a:solidFill>
                <a:srgbClr val="C00000">
                  <a:alpha val="68000"/>
                </a:srgbClr>
              </a:solidFill>
              <a:round/>
            </a:ln>
            <a:effectLst/>
          </c:spPr>
          <c:marker>
            <c:symbol val="none"/>
          </c:marker>
          <c:cat>
            <c:strRef>
              <c:f>'12 luni indici pana in sept (2'!$A$552:$A$672</c:f>
              <c:strCache>
                <c:ptCount val="108"/>
                <c:pt idx="2">
                  <c:v>ian. 2018</c:v>
                </c:pt>
                <c:pt idx="22">
                  <c:v>feb. 2018</c:v>
                </c:pt>
                <c:pt idx="42">
                  <c:v>mar. 2018</c:v>
                </c:pt>
                <c:pt idx="63">
                  <c:v>apr. 2018</c:v>
                </c:pt>
                <c:pt idx="87">
                  <c:v>mai 2018</c:v>
                </c:pt>
                <c:pt idx="107">
                  <c:v>iun. 2018</c:v>
                </c:pt>
              </c:strCache>
            </c:strRef>
          </c:cat>
          <c:val>
            <c:numRef>
              <c:f>'12 luni indici pana in sept (2'!$L$552:$L$672</c:f>
              <c:numCache>
                <c:formatCode>#.000</c:formatCode>
                <c:ptCount val="121"/>
                <c:pt idx="0">
                  <c:v>99.5</c:v>
                </c:pt>
                <c:pt idx="1">
                  <c:v>100.21481421763589</c:v>
                </c:pt>
                <c:pt idx="2">
                  <c:v>100.53033071768965</c:v>
                </c:pt>
                <c:pt idx="3">
                  <c:v>100.92606327707908</c:v>
                </c:pt>
                <c:pt idx="4">
                  <c:v>101.56719755873254</c:v>
                </c:pt>
                <c:pt idx="5">
                  <c:v>101.88568502394688</c:v>
                </c:pt>
                <c:pt idx="6">
                  <c:v>102.92136347892556</c:v>
                </c:pt>
                <c:pt idx="7">
                  <c:v>103.61240997527679</c:v>
                </c:pt>
                <c:pt idx="8">
                  <c:v>103.50010749220681</c:v>
                </c:pt>
                <c:pt idx="9">
                  <c:v>103.59398999128119</c:v>
                </c:pt>
                <c:pt idx="10">
                  <c:v>104.12044501773622</c:v>
                </c:pt>
                <c:pt idx="11">
                  <c:v>104.66056648392993</c:v>
                </c:pt>
                <c:pt idx="12">
                  <c:v>105.24049888327542</c:v>
                </c:pt>
                <c:pt idx="13">
                  <c:v>106.73608274511209</c:v>
                </c:pt>
                <c:pt idx="14">
                  <c:v>106.78540076677776</c:v>
                </c:pt>
                <c:pt idx="15">
                  <c:v>106.77054594097484</c:v>
                </c:pt>
                <c:pt idx="16">
                  <c:v>107.01654185627098</c:v>
                </c:pt>
                <c:pt idx="17">
                  <c:v>107.07714954554683</c:v>
                </c:pt>
                <c:pt idx="18">
                  <c:v>106.22745350962056</c:v>
                </c:pt>
                <c:pt idx="19">
                  <c:v>106.04206528360028</c:v>
                </c:pt>
                <c:pt idx="20">
                  <c:v>105.70159267619765</c:v>
                </c:pt>
                <c:pt idx="21">
                  <c:v>104.61006007620003</c:v>
                </c:pt>
                <c:pt idx="22">
                  <c:v>103.82691365987077</c:v>
                </c:pt>
                <c:pt idx="23">
                  <c:v>101.16908822721464</c:v>
                </c:pt>
                <c:pt idx="24">
                  <c:v>101.7038619561193</c:v>
                </c:pt>
                <c:pt idx="25">
                  <c:v>101.90291662187825</c:v>
                </c:pt>
                <c:pt idx="26">
                  <c:v>101.06094509536948</c:v>
                </c:pt>
                <c:pt idx="27">
                  <c:v>102.32004013042388</c:v>
                </c:pt>
                <c:pt idx="28">
                  <c:v>102.66764305421191</c:v>
                </c:pt>
                <c:pt idx="29">
                  <c:v>103.17033035938228</c:v>
                </c:pt>
                <c:pt idx="30">
                  <c:v>103.56368614664326</c:v>
                </c:pt>
                <c:pt idx="31">
                  <c:v>103.80552271071458</c:v>
                </c:pt>
                <c:pt idx="32">
                  <c:v>103.62964157320816</c:v>
                </c:pt>
                <c:pt idx="33">
                  <c:v>103.57438162122135</c:v>
                </c:pt>
                <c:pt idx="34">
                  <c:v>103.07644786030791</c:v>
                </c:pt>
                <c:pt idx="35">
                  <c:v>103.21192387163042</c:v>
                </c:pt>
                <c:pt idx="36">
                  <c:v>103.18875034337788</c:v>
                </c:pt>
                <c:pt idx="37">
                  <c:v>103.56903388393231</c:v>
                </c:pt>
                <c:pt idx="38">
                  <c:v>104.32900677200902</c:v>
                </c:pt>
                <c:pt idx="39">
                  <c:v>104.97964814217636</c:v>
                </c:pt>
                <c:pt idx="40">
                  <c:v>104.6777980818613</c:v>
                </c:pt>
                <c:pt idx="41">
                  <c:v>103.75204533782411</c:v>
                </c:pt>
                <c:pt idx="42">
                  <c:v>104.4555698878498</c:v>
                </c:pt>
                <c:pt idx="43">
                  <c:v>105.00698102165371</c:v>
                </c:pt>
                <c:pt idx="44">
                  <c:v>104.82099860260131</c:v>
                </c:pt>
                <c:pt idx="45">
                  <c:v>105.00163328436467</c:v>
                </c:pt>
                <c:pt idx="46">
                  <c:v>104.78415863461011</c:v>
                </c:pt>
                <c:pt idx="47">
                  <c:v>105.1121531883383</c:v>
                </c:pt>
                <c:pt idx="48">
                  <c:v>105.51917541533794</c:v>
                </c:pt>
                <c:pt idx="49">
                  <c:v>105.10977641620983</c:v>
                </c:pt>
                <c:pt idx="50">
                  <c:v>105.63147789840792</c:v>
                </c:pt>
                <c:pt idx="51">
                  <c:v>106.54712936089912</c:v>
                </c:pt>
                <c:pt idx="52">
                  <c:v>105.91371958866316</c:v>
                </c:pt>
                <c:pt idx="53">
                  <c:v>105.84835835513037</c:v>
                </c:pt>
                <c:pt idx="54">
                  <c:v>106.16030969699142</c:v>
                </c:pt>
                <c:pt idx="55">
                  <c:v>104.29632615524264</c:v>
                </c:pt>
                <c:pt idx="56">
                  <c:v>104.2909784179536</c:v>
                </c:pt>
                <c:pt idx="57">
                  <c:v>105.0355022871953</c:v>
                </c:pt>
                <c:pt idx="58">
                  <c:v>105.46035030515843</c:v>
                </c:pt>
                <c:pt idx="59">
                  <c:v>104.9481559114742</c:v>
                </c:pt>
                <c:pt idx="60">
                  <c:v>104.38604930309219</c:v>
                </c:pt>
                <c:pt idx="61">
                  <c:v>104.44012086901478</c:v>
                </c:pt>
                <c:pt idx="62">
                  <c:v>105.05927000847994</c:v>
                </c:pt>
                <c:pt idx="63">
                  <c:v>104.47101890668483</c:v>
                </c:pt>
                <c:pt idx="64">
                  <c:v>104.29989131343532</c:v>
                </c:pt>
                <c:pt idx="65">
                  <c:v>105.37062715730887</c:v>
                </c:pt>
                <c:pt idx="66">
                  <c:v>104.9701410536625</c:v>
                </c:pt>
                <c:pt idx="67">
                  <c:v>104.66532002818685</c:v>
                </c:pt>
                <c:pt idx="68">
                  <c:v>105.21732535502288</c:v>
                </c:pt>
                <c:pt idx="69">
                  <c:v>104.78712959977068</c:v>
                </c:pt>
                <c:pt idx="70">
                  <c:v>105.02064746139239</c:v>
                </c:pt>
                <c:pt idx="71">
                  <c:v>105.3498304011848</c:v>
                </c:pt>
                <c:pt idx="72">
                  <c:v>105.61662307260502</c:v>
                </c:pt>
                <c:pt idx="73">
                  <c:v>105.58394245583862</c:v>
                </c:pt>
                <c:pt idx="74">
                  <c:v>105.37062715730887</c:v>
                </c:pt>
                <c:pt idx="75">
                  <c:v>105.44608967238764</c:v>
                </c:pt>
                <c:pt idx="76">
                  <c:v>105.72120104625749</c:v>
                </c:pt>
                <c:pt idx="77">
                  <c:v>105.17810861490319</c:v>
                </c:pt>
                <c:pt idx="78">
                  <c:v>104.63561037658104</c:v>
                </c:pt>
                <c:pt idx="79">
                  <c:v>103.2879805797413</c:v>
                </c:pt>
                <c:pt idx="80">
                  <c:v>103.04911498083055</c:v>
                </c:pt>
                <c:pt idx="81">
                  <c:v>102.79182939792422</c:v>
                </c:pt>
                <c:pt idx="82">
                  <c:v>101.78764317364769</c:v>
                </c:pt>
                <c:pt idx="83">
                  <c:v>102.00868298159494</c:v>
                </c:pt>
                <c:pt idx="84">
                  <c:v>102.63317985834917</c:v>
                </c:pt>
                <c:pt idx="85">
                  <c:v>102.13227513227513</c:v>
                </c:pt>
                <c:pt idx="86">
                  <c:v>102.1453473789817</c:v>
                </c:pt>
                <c:pt idx="87">
                  <c:v>102.5832676436514</c:v>
                </c:pt>
                <c:pt idx="88">
                  <c:v>102.54405090353171</c:v>
                </c:pt>
                <c:pt idx="89">
                  <c:v>101.88806179607535</c:v>
                </c:pt>
                <c:pt idx="90">
                  <c:v>100.83752851529376</c:v>
                </c:pt>
                <c:pt idx="91">
                  <c:v>100.15480072139215</c:v>
                </c:pt>
                <c:pt idx="92">
                  <c:v>99.705590789112236</c:v>
                </c:pt>
                <c:pt idx="93">
                  <c:v>98.274773967776227</c:v>
                </c:pt>
                <c:pt idx="94">
                  <c:v>96.533788383675514</c:v>
                </c:pt>
                <c:pt idx="95">
                  <c:v>97.867157547744455</c:v>
                </c:pt>
                <c:pt idx="96">
                  <c:v>97.292572885688017</c:v>
                </c:pt>
                <c:pt idx="97">
                  <c:v>96.563498035281327</c:v>
                </c:pt>
                <c:pt idx="98">
                  <c:v>96.192721583240782</c:v>
                </c:pt>
                <c:pt idx="99">
                  <c:v>95.486820261086635</c:v>
                </c:pt>
                <c:pt idx="100">
                  <c:v>93.539649694841572</c:v>
                </c:pt>
                <c:pt idx="101">
                  <c:v>93.654923143072139</c:v>
                </c:pt>
                <c:pt idx="102">
                  <c:v>94.094031793806067</c:v>
                </c:pt>
                <c:pt idx="103">
                  <c:v>95.217056624505844</c:v>
                </c:pt>
                <c:pt idx="104">
                  <c:v>95.540891827009219</c:v>
                </c:pt>
                <c:pt idx="105">
                  <c:v>95.517718298756677</c:v>
                </c:pt>
                <c:pt idx="106">
                  <c:v>96.201634478722511</c:v>
                </c:pt>
                <c:pt idx="107">
                  <c:v>96.110722944808728</c:v>
                </c:pt>
                <c:pt idx="108">
                  <c:v>96.42564525183036</c:v>
                </c:pt>
                <c:pt idx="109">
                  <c:v>97.875476250194083</c:v>
                </c:pt>
                <c:pt idx="110">
                  <c:v>96.77443656168262</c:v>
                </c:pt>
                <c:pt idx="111">
                  <c:v>96.928332557000729</c:v>
                </c:pt>
                <c:pt idx="112">
                  <c:v>96.742350137948335</c:v>
                </c:pt>
                <c:pt idx="113">
                  <c:v>95.533761510623819</c:v>
                </c:pt>
                <c:pt idx="114">
                  <c:v>95.748859388249912</c:v>
                </c:pt>
                <c:pt idx="115">
                  <c:v>95.704294910841199</c:v>
                </c:pt>
                <c:pt idx="116">
                  <c:v>95.596745972028131</c:v>
                </c:pt>
                <c:pt idx="117">
                  <c:v>94.716746091463932</c:v>
                </c:pt>
                <c:pt idx="118">
                  <c:v>95.051276768545392</c:v>
                </c:pt>
                <c:pt idx="119">
                  <c:v>95.104754141435862</c:v>
                </c:pt>
                <c:pt idx="120">
                  <c:v>95.516529912692448</c:v>
                </c:pt>
              </c:numCache>
            </c:numRef>
          </c:val>
          <c:smooth val="0"/>
          <c:extLst>
            <c:ext xmlns:c16="http://schemas.microsoft.com/office/drawing/2014/chart" uri="{C3380CC4-5D6E-409C-BE32-E72D297353CC}">
              <c16:uniqueId val="{00000001-D1C5-4EE6-A4E6-43199C045214}"/>
            </c:ext>
          </c:extLst>
        </c:ser>
        <c:ser>
          <c:idx val="1"/>
          <c:order val="2"/>
          <c:tx>
            <c:strRef>
              <c:f>'12 luni indici pana in sept (2'!$N$1</c:f>
              <c:strCache>
                <c:ptCount val="1"/>
                <c:pt idx="0">
                  <c:v>BET-NG (rebazat)</c:v>
                </c:pt>
              </c:strCache>
            </c:strRef>
          </c:tx>
          <c:spPr>
            <a:ln w="12700" cap="rnd" cmpd="dbl">
              <a:solidFill>
                <a:schemeClr val="accent2">
                  <a:lumMod val="60000"/>
                  <a:lumOff val="40000"/>
                </a:schemeClr>
              </a:solidFill>
              <a:round/>
            </a:ln>
            <a:effectLst>
              <a:outerShdw blurRad="50800" dist="25400" dir="2520000" algn="ctr" rotWithShape="0">
                <a:srgbClr val="169A42"/>
              </a:outerShdw>
            </a:effectLst>
          </c:spPr>
          <c:marker>
            <c:symbol val="none"/>
          </c:marker>
          <c:cat>
            <c:strRef>
              <c:f>'12 luni indici pana in sept (2'!$A$552:$A$672</c:f>
              <c:strCache>
                <c:ptCount val="108"/>
                <c:pt idx="2">
                  <c:v>ian. 2018</c:v>
                </c:pt>
                <c:pt idx="22">
                  <c:v>feb. 2018</c:v>
                </c:pt>
                <c:pt idx="42">
                  <c:v>mar. 2018</c:v>
                </c:pt>
                <c:pt idx="63">
                  <c:v>apr. 2018</c:v>
                </c:pt>
                <c:pt idx="87">
                  <c:v>mai 2018</c:v>
                </c:pt>
                <c:pt idx="107">
                  <c:v>iun. 2018</c:v>
                </c:pt>
              </c:strCache>
            </c:strRef>
          </c:cat>
          <c:val>
            <c:numRef>
              <c:f>'12 luni indici pana in sept (2'!$N$552:$N$672</c:f>
              <c:numCache>
                <c:formatCode>#.000</c:formatCode>
                <c:ptCount val="121"/>
                <c:pt idx="0">
                  <c:v>99.499999999999986</c:v>
                </c:pt>
                <c:pt idx="1">
                  <c:v>101.13146564656464</c:v>
                </c:pt>
                <c:pt idx="2">
                  <c:v>101.55388538853884</c:v>
                </c:pt>
                <c:pt idx="3">
                  <c:v>100.9374212421242</c:v>
                </c:pt>
                <c:pt idx="4">
                  <c:v>101.70315031503149</c:v>
                </c:pt>
                <c:pt idx="5">
                  <c:v>101.92256975697569</c:v>
                </c:pt>
                <c:pt idx="6">
                  <c:v>103.46746174617459</c:v>
                </c:pt>
                <c:pt idx="7">
                  <c:v>104.56306630663065</c:v>
                </c:pt>
                <c:pt idx="8">
                  <c:v>104.08243324332432</c:v>
                </c:pt>
                <c:pt idx="9">
                  <c:v>104.10183768376835</c:v>
                </c:pt>
                <c:pt idx="10">
                  <c:v>105.67956795679567</c:v>
                </c:pt>
                <c:pt idx="11">
                  <c:v>106.71695919591959</c:v>
                </c:pt>
                <c:pt idx="12">
                  <c:v>106.5318706870687</c:v>
                </c:pt>
                <c:pt idx="13">
                  <c:v>107.78271077107711</c:v>
                </c:pt>
                <c:pt idx="14">
                  <c:v>107.22595259525951</c:v>
                </c:pt>
                <c:pt idx="15">
                  <c:v>107.31103360336031</c:v>
                </c:pt>
                <c:pt idx="16">
                  <c:v>107.42148964896488</c:v>
                </c:pt>
                <c:pt idx="17">
                  <c:v>107.34834983498348</c:v>
                </c:pt>
                <c:pt idx="18">
                  <c:v>106.27065706570656</c:v>
                </c:pt>
                <c:pt idx="19">
                  <c:v>105.67210471047105</c:v>
                </c:pt>
                <c:pt idx="20">
                  <c:v>105.8900315031503</c:v>
                </c:pt>
                <c:pt idx="21">
                  <c:v>104.40484548454845</c:v>
                </c:pt>
                <c:pt idx="22">
                  <c:v>103.62269726972697</c:v>
                </c:pt>
                <c:pt idx="23">
                  <c:v>101.47626762676266</c:v>
                </c:pt>
                <c:pt idx="24">
                  <c:v>101.45835583558355</c:v>
                </c:pt>
                <c:pt idx="25">
                  <c:v>101.84196669666964</c:v>
                </c:pt>
                <c:pt idx="26">
                  <c:v>101.00309780978095</c:v>
                </c:pt>
                <c:pt idx="27">
                  <c:v>102.23453345334532</c:v>
                </c:pt>
                <c:pt idx="28">
                  <c:v>102.46738673867385</c:v>
                </c:pt>
                <c:pt idx="29">
                  <c:v>103.38835133513349</c:v>
                </c:pt>
                <c:pt idx="30">
                  <c:v>104.50783828382836</c:v>
                </c:pt>
                <c:pt idx="31">
                  <c:v>105.74972247224721</c:v>
                </c:pt>
                <c:pt idx="32">
                  <c:v>105.47955295529552</c:v>
                </c:pt>
                <c:pt idx="33">
                  <c:v>105.15714071407139</c:v>
                </c:pt>
                <c:pt idx="34">
                  <c:v>104.86159615961594</c:v>
                </c:pt>
                <c:pt idx="35">
                  <c:v>104.86010351035102</c:v>
                </c:pt>
                <c:pt idx="36">
                  <c:v>105.27207470747074</c:v>
                </c:pt>
                <c:pt idx="37">
                  <c:v>105.46611911191118</c:v>
                </c:pt>
                <c:pt idx="38">
                  <c:v>105.7825607560756</c:v>
                </c:pt>
                <c:pt idx="39">
                  <c:v>106.44380438043804</c:v>
                </c:pt>
                <c:pt idx="40">
                  <c:v>105.67359735973596</c:v>
                </c:pt>
                <c:pt idx="41">
                  <c:v>104.83771377137712</c:v>
                </c:pt>
                <c:pt idx="42">
                  <c:v>104.79442694269426</c:v>
                </c:pt>
                <c:pt idx="43">
                  <c:v>105.61986198619861</c:v>
                </c:pt>
                <c:pt idx="44">
                  <c:v>105.97511251125111</c:v>
                </c:pt>
                <c:pt idx="45">
                  <c:v>106.41544404440442</c:v>
                </c:pt>
                <c:pt idx="46">
                  <c:v>106.54231923192317</c:v>
                </c:pt>
                <c:pt idx="47">
                  <c:v>107.236401140114</c:v>
                </c:pt>
                <c:pt idx="48">
                  <c:v>107.62001200120011</c:v>
                </c:pt>
                <c:pt idx="49">
                  <c:v>107.34984248424843</c:v>
                </c:pt>
                <c:pt idx="50">
                  <c:v>107.72599009900989</c:v>
                </c:pt>
                <c:pt idx="51">
                  <c:v>108.42454995499548</c:v>
                </c:pt>
                <c:pt idx="52">
                  <c:v>107.95138013801379</c:v>
                </c:pt>
                <c:pt idx="53">
                  <c:v>107.61851935193518</c:v>
                </c:pt>
                <c:pt idx="54">
                  <c:v>108.73800630063005</c:v>
                </c:pt>
                <c:pt idx="55">
                  <c:v>106.830400540054</c:v>
                </c:pt>
                <c:pt idx="56">
                  <c:v>107.2140114011401</c:v>
                </c:pt>
                <c:pt idx="57">
                  <c:v>107.93048304830482</c:v>
                </c:pt>
                <c:pt idx="58">
                  <c:v>108.91413891389136</c:v>
                </c:pt>
                <c:pt idx="59">
                  <c:v>108.41410141014101</c:v>
                </c:pt>
                <c:pt idx="60">
                  <c:v>107.25282028202818</c:v>
                </c:pt>
                <c:pt idx="61">
                  <c:v>108.08422592259225</c:v>
                </c:pt>
                <c:pt idx="62">
                  <c:v>108.78726372637263</c:v>
                </c:pt>
                <c:pt idx="63">
                  <c:v>108.23050555055505</c:v>
                </c:pt>
                <c:pt idx="64">
                  <c:v>108.55291779177917</c:v>
                </c:pt>
                <c:pt idx="65">
                  <c:v>109.44850735073506</c:v>
                </c:pt>
                <c:pt idx="66">
                  <c:v>109.38581608160816</c:v>
                </c:pt>
                <c:pt idx="67">
                  <c:v>109.60523552355234</c:v>
                </c:pt>
                <c:pt idx="68">
                  <c:v>110.71128862886287</c:v>
                </c:pt>
                <c:pt idx="69">
                  <c:v>109.37686018601859</c:v>
                </c:pt>
                <c:pt idx="70">
                  <c:v>110.03511851185117</c:v>
                </c:pt>
                <c:pt idx="71">
                  <c:v>110.20826582658265</c:v>
                </c:pt>
                <c:pt idx="72">
                  <c:v>110.94712721272126</c:v>
                </c:pt>
                <c:pt idx="73">
                  <c:v>111.33521602160215</c:v>
                </c:pt>
                <c:pt idx="74">
                  <c:v>110.95608310831082</c:v>
                </c:pt>
                <c:pt idx="75">
                  <c:v>111.22177467746774</c:v>
                </c:pt>
                <c:pt idx="76">
                  <c:v>111.80987848784878</c:v>
                </c:pt>
                <c:pt idx="77">
                  <c:v>111.32327482748272</c:v>
                </c:pt>
                <c:pt idx="78">
                  <c:v>109.92167716771675</c:v>
                </c:pt>
                <c:pt idx="79">
                  <c:v>108.50515301530152</c:v>
                </c:pt>
                <c:pt idx="80">
                  <c:v>108.17975547554754</c:v>
                </c:pt>
                <c:pt idx="81">
                  <c:v>108.77233723372336</c:v>
                </c:pt>
                <c:pt idx="82">
                  <c:v>108.25438793879387</c:v>
                </c:pt>
                <c:pt idx="83">
                  <c:v>108.33797629762974</c:v>
                </c:pt>
                <c:pt idx="84">
                  <c:v>109.25446294629462</c:v>
                </c:pt>
                <c:pt idx="85">
                  <c:v>109.01713171317131</c:v>
                </c:pt>
                <c:pt idx="86">
                  <c:v>109.26491149114909</c:v>
                </c:pt>
                <c:pt idx="87">
                  <c:v>109.99332433243323</c:v>
                </c:pt>
                <c:pt idx="88">
                  <c:v>109.69180918091807</c:v>
                </c:pt>
                <c:pt idx="89">
                  <c:v>109.87839033903388</c:v>
                </c:pt>
                <c:pt idx="90">
                  <c:v>108.85294029402939</c:v>
                </c:pt>
                <c:pt idx="91">
                  <c:v>106.99160666066605</c:v>
                </c:pt>
                <c:pt idx="92">
                  <c:v>106.7244224422442</c:v>
                </c:pt>
                <c:pt idx="93">
                  <c:v>105.28401590159015</c:v>
                </c:pt>
                <c:pt idx="94">
                  <c:v>103.24207170717069</c:v>
                </c:pt>
                <c:pt idx="95">
                  <c:v>105.76315631563155</c:v>
                </c:pt>
                <c:pt idx="96">
                  <c:v>104.75114011401138</c:v>
                </c:pt>
                <c:pt idx="97">
                  <c:v>102.77188718871885</c:v>
                </c:pt>
                <c:pt idx="98">
                  <c:v>102.29722472247224</c:v>
                </c:pt>
                <c:pt idx="99">
                  <c:v>101.05832583258324</c:v>
                </c:pt>
                <c:pt idx="100">
                  <c:v>99.19699219921992</c:v>
                </c:pt>
                <c:pt idx="101">
                  <c:v>99.862713771377116</c:v>
                </c:pt>
                <c:pt idx="102">
                  <c:v>101.01802430243023</c:v>
                </c:pt>
                <c:pt idx="103">
                  <c:v>104.1600510051005</c:v>
                </c:pt>
                <c:pt idx="104">
                  <c:v>105.05414791479146</c:v>
                </c:pt>
                <c:pt idx="105">
                  <c:v>104.17647014701468</c:v>
                </c:pt>
                <c:pt idx="106">
                  <c:v>104.77054455445543</c:v>
                </c:pt>
                <c:pt idx="107">
                  <c:v>104.32274977497748</c:v>
                </c:pt>
                <c:pt idx="108">
                  <c:v>104.31528652865285</c:v>
                </c:pt>
                <c:pt idx="109">
                  <c:v>104.40633813381338</c:v>
                </c:pt>
                <c:pt idx="110">
                  <c:v>102.58978397839782</c:v>
                </c:pt>
                <c:pt idx="111">
                  <c:v>102.74949744974496</c:v>
                </c:pt>
                <c:pt idx="112">
                  <c:v>102.60471047104708</c:v>
                </c:pt>
                <c:pt idx="113">
                  <c:v>101.90615061506149</c:v>
                </c:pt>
                <c:pt idx="114">
                  <c:v>102.7793504350435</c:v>
                </c:pt>
                <c:pt idx="115">
                  <c:v>102.54649714971495</c:v>
                </c:pt>
                <c:pt idx="116">
                  <c:v>102.15990099009899</c:v>
                </c:pt>
                <c:pt idx="117">
                  <c:v>98.92682268226821</c:v>
                </c:pt>
                <c:pt idx="118">
                  <c:v>99.208933393339322</c:v>
                </c:pt>
                <c:pt idx="119">
                  <c:v>99.114896489648956</c:v>
                </c:pt>
                <c:pt idx="120">
                  <c:v>99.473132313231304</c:v>
                </c:pt>
              </c:numCache>
            </c:numRef>
          </c:val>
          <c:smooth val="0"/>
          <c:extLst>
            <c:ext xmlns:c16="http://schemas.microsoft.com/office/drawing/2014/chart" uri="{C3380CC4-5D6E-409C-BE32-E72D297353CC}">
              <c16:uniqueId val="{00000002-D1C5-4EE6-A4E6-43199C045214}"/>
            </c:ext>
          </c:extLst>
        </c:ser>
        <c:ser>
          <c:idx val="3"/>
          <c:order val="3"/>
          <c:tx>
            <c:strRef>
              <c:f>'12 luni indici pana in sept (2'!$P$1</c:f>
              <c:strCache>
                <c:ptCount val="1"/>
                <c:pt idx="0">
                  <c:v>BETPlus (rebazat)</c:v>
                </c:pt>
              </c:strCache>
            </c:strRef>
          </c:tx>
          <c:spPr>
            <a:ln w="28575" cap="rnd" cmpd="dbl">
              <a:solidFill>
                <a:schemeClr val="accent4"/>
              </a:solidFill>
              <a:round/>
            </a:ln>
            <a:effectLst/>
          </c:spPr>
          <c:marker>
            <c:symbol val="none"/>
          </c:marker>
          <c:cat>
            <c:strRef>
              <c:f>'12 luni indici pana in sept (2'!$A$552:$A$672</c:f>
              <c:strCache>
                <c:ptCount val="108"/>
                <c:pt idx="2">
                  <c:v>ian. 2018</c:v>
                </c:pt>
                <c:pt idx="22">
                  <c:v>feb. 2018</c:v>
                </c:pt>
                <c:pt idx="42">
                  <c:v>mar. 2018</c:v>
                </c:pt>
                <c:pt idx="63">
                  <c:v>apr. 2018</c:v>
                </c:pt>
                <c:pt idx="87">
                  <c:v>mai 2018</c:v>
                </c:pt>
                <c:pt idx="107">
                  <c:v>iun. 2018</c:v>
                </c:pt>
              </c:strCache>
            </c:strRef>
          </c:cat>
          <c:val>
            <c:numRef>
              <c:f>'12 luni indici pana in sept (2'!$P$552:$P$672</c:f>
              <c:numCache>
                <c:formatCode>#.000</c:formatCode>
                <c:ptCount val="121"/>
                <c:pt idx="0">
                  <c:v>99.5</c:v>
                </c:pt>
                <c:pt idx="1">
                  <c:v>100.07007824331147</c:v>
                </c:pt>
                <c:pt idx="2">
                  <c:v>100.28019518761569</c:v>
                </c:pt>
                <c:pt idx="3">
                  <c:v>100.30279740871615</c:v>
                </c:pt>
                <c:pt idx="4">
                  <c:v>100.89296651522801</c:v>
                </c:pt>
                <c:pt idx="5">
                  <c:v>100.9323111223288</c:v>
                </c:pt>
                <c:pt idx="6">
                  <c:v>102.54627713276123</c:v>
                </c:pt>
                <c:pt idx="7">
                  <c:v>103.76763419148578</c:v>
                </c:pt>
                <c:pt idx="8">
                  <c:v>103.62197543328286</c:v>
                </c:pt>
                <c:pt idx="9">
                  <c:v>103.3507487800774</c:v>
                </c:pt>
                <c:pt idx="10">
                  <c:v>104.28162544169612</c:v>
                </c:pt>
                <c:pt idx="11">
                  <c:v>104.99066548881038</c:v>
                </c:pt>
                <c:pt idx="12">
                  <c:v>104.87849150260811</c:v>
                </c:pt>
                <c:pt idx="13">
                  <c:v>106.5301278815413</c:v>
                </c:pt>
                <c:pt idx="14">
                  <c:v>105.87466346962815</c:v>
                </c:pt>
                <c:pt idx="15">
                  <c:v>105.5892057883224</c:v>
                </c:pt>
                <c:pt idx="16">
                  <c:v>105.81522799932695</c:v>
                </c:pt>
                <c:pt idx="17">
                  <c:v>105.6938457008245</c:v>
                </c:pt>
                <c:pt idx="18">
                  <c:v>104.98815413091033</c:v>
                </c:pt>
                <c:pt idx="19">
                  <c:v>105.11707050311291</c:v>
                </c:pt>
                <c:pt idx="20">
                  <c:v>104.45658337539963</c:v>
                </c:pt>
                <c:pt idx="21">
                  <c:v>103.53240366818106</c:v>
                </c:pt>
                <c:pt idx="22">
                  <c:v>102.73714033316507</c:v>
                </c:pt>
                <c:pt idx="23">
                  <c:v>100.53216809692076</c:v>
                </c:pt>
                <c:pt idx="24">
                  <c:v>100.62090274272254</c:v>
                </c:pt>
                <c:pt idx="25">
                  <c:v>101.23367407033486</c:v>
                </c:pt>
                <c:pt idx="26">
                  <c:v>100.46519855291942</c:v>
                </c:pt>
                <c:pt idx="27">
                  <c:v>101.8179833417466</c:v>
                </c:pt>
                <c:pt idx="28">
                  <c:v>102.1963612653542</c:v>
                </c:pt>
                <c:pt idx="29">
                  <c:v>102.4993984519603</c:v>
                </c:pt>
                <c:pt idx="30">
                  <c:v>103.6387178192832</c:v>
                </c:pt>
                <c:pt idx="31">
                  <c:v>104.49257950530036</c:v>
                </c:pt>
                <c:pt idx="32">
                  <c:v>104.28413679959617</c:v>
                </c:pt>
                <c:pt idx="33">
                  <c:v>104.26655729429581</c:v>
                </c:pt>
                <c:pt idx="34">
                  <c:v>103.91915278478885</c:v>
                </c:pt>
                <c:pt idx="35">
                  <c:v>104.00788743059063</c:v>
                </c:pt>
                <c:pt idx="36">
                  <c:v>104.79729093050649</c:v>
                </c:pt>
                <c:pt idx="37">
                  <c:v>105.10367659431265</c:v>
                </c:pt>
                <c:pt idx="38">
                  <c:v>105.5933913848225</c:v>
                </c:pt>
                <c:pt idx="39">
                  <c:v>106.0412502103315</c:v>
                </c:pt>
                <c:pt idx="40">
                  <c:v>105.56660356722195</c:v>
                </c:pt>
                <c:pt idx="41">
                  <c:v>104.83663553760726</c:v>
                </c:pt>
                <c:pt idx="42">
                  <c:v>105.2258960121151</c:v>
                </c:pt>
                <c:pt idx="43">
                  <c:v>105.81857647652701</c:v>
                </c:pt>
                <c:pt idx="44">
                  <c:v>105.93158758202929</c:v>
                </c:pt>
                <c:pt idx="45">
                  <c:v>106.24299596163556</c:v>
                </c:pt>
                <c:pt idx="46">
                  <c:v>106.32587077233723</c:v>
                </c:pt>
                <c:pt idx="47">
                  <c:v>107.28520949015649</c:v>
                </c:pt>
                <c:pt idx="48">
                  <c:v>107.9021664142689</c:v>
                </c:pt>
                <c:pt idx="49">
                  <c:v>107.7925037859667</c:v>
                </c:pt>
                <c:pt idx="50">
                  <c:v>108.86150513208818</c:v>
                </c:pt>
                <c:pt idx="51">
                  <c:v>110.39510768971901</c:v>
                </c:pt>
                <c:pt idx="52">
                  <c:v>109.86521117280836</c:v>
                </c:pt>
                <c:pt idx="53">
                  <c:v>109.36293959279827</c:v>
                </c:pt>
                <c:pt idx="54">
                  <c:v>110.01589264681138</c:v>
                </c:pt>
                <c:pt idx="55">
                  <c:v>108.23868837287566</c:v>
                </c:pt>
                <c:pt idx="56">
                  <c:v>108.44880531717989</c:v>
                </c:pt>
                <c:pt idx="57">
                  <c:v>109.36879942789838</c:v>
                </c:pt>
                <c:pt idx="58">
                  <c:v>109.59482163890293</c:v>
                </c:pt>
                <c:pt idx="59">
                  <c:v>109.39056452969881</c:v>
                </c:pt>
                <c:pt idx="60">
                  <c:v>108.83806579168771</c:v>
                </c:pt>
                <c:pt idx="61">
                  <c:v>109.23988305569578</c:v>
                </c:pt>
                <c:pt idx="62">
                  <c:v>109.88111643950866</c:v>
                </c:pt>
                <c:pt idx="63">
                  <c:v>109.83340063940771</c:v>
                </c:pt>
                <c:pt idx="64">
                  <c:v>109.69443883560493</c:v>
                </c:pt>
                <c:pt idx="65">
                  <c:v>110.96518593303045</c:v>
                </c:pt>
                <c:pt idx="66">
                  <c:v>110.76009170452633</c:v>
                </c:pt>
                <c:pt idx="67">
                  <c:v>110.61108446912334</c:v>
                </c:pt>
                <c:pt idx="68">
                  <c:v>111.78723708564699</c:v>
                </c:pt>
                <c:pt idx="69">
                  <c:v>111.20376493353527</c:v>
                </c:pt>
                <c:pt idx="70">
                  <c:v>111.53610129564196</c:v>
                </c:pt>
                <c:pt idx="71">
                  <c:v>111.78974844354704</c:v>
                </c:pt>
                <c:pt idx="72">
                  <c:v>111.9521495877503</c:v>
                </c:pt>
                <c:pt idx="73">
                  <c:v>112.13213023725392</c:v>
                </c:pt>
                <c:pt idx="74">
                  <c:v>111.86341494194852</c:v>
                </c:pt>
                <c:pt idx="75">
                  <c:v>112.28699730775702</c:v>
                </c:pt>
                <c:pt idx="76">
                  <c:v>112.78424617196703</c:v>
                </c:pt>
                <c:pt idx="77">
                  <c:v>112.77085226316677</c:v>
                </c:pt>
                <c:pt idx="78">
                  <c:v>111.66669190644457</c:v>
                </c:pt>
                <c:pt idx="79">
                  <c:v>110.10211593471311</c:v>
                </c:pt>
                <c:pt idx="80">
                  <c:v>109.36126535419824</c:v>
                </c:pt>
                <c:pt idx="81">
                  <c:v>109.46339390880027</c:v>
                </c:pt>
                <c:pt idx="82">
                  <c:v>109.19300437489485</c:v>
                </c:pt>
                <c:pt idx="83">
                  <c:v>110.16406276291436</c:v>
                </c:pt>
                <c:pt idx="84">
                  <c:v>110.85970890122834</c:v>
                </c:pt>
                <c:pt idx="85">
                  <c:v>109.93050647820967</c:v>
                </c:pt>
                <c:pt idx="86">
                  <c:v>109.8024272253071</c:v>
                </c:pt>
                <c:pt idx="87">
                  <c:v>110.5491376409221</c:v>
                </c:pt>
                <c:pt idx="88">
                  <c:v>110.15485445061418</c:v>
                </c:pt>
                <c:pt idx="89">
                  <c:v>109.78568483930675</c:v>
                </c:pt>
                <c:pt idx="90">
                  <c:v>108.84559986538785</c:v>
                </c:pt>
                <c:pt idx="91">
                  <c:v>107.62759128386338</c:v>
                </c:pt>
                <c:pt idx="92">
                  <c:v>106.79549469964665</c:v>
                </c:pt>
                <c:pt idx="93">
                  <c:v>105.51051657412083</c:v>
                </c:pt>
                <c:pt idx="94">
                  <c:v>103.58849066128219</c:v>
                </c:pt>
                <c:pt idx="95">
                  <c:v>105.55237253912168</c:v>
                </c:pt>
                <c:pt idx="96">
                  <c:v>104.52857563520109</c:v>
                </c:pt>
                <c:pt idx="97">
                  <c:v>103.64122917718325</c:v>
                </c:pt>
                <c:pt idx="98">
                  <c:v>103.63955493858322</c:v>
                </c:pt>
                <c:pt idx="99">
                  <c:v>102.97990493016997</c:v>
                </c:pt>
                <c:pt idx="100">
                  <c:v>100.75400471142521</c:v>
                </c:pt>
                <c:pt idx="101">
                  <c:v>101.49987800774021</c:v>
                </c:pt>
                <c:pt idx="102">
                  <c:v>101.62460878344271</c:v>
                </c:pt>
                <c:pt idx="103">
                  <c:v>103.49557041898032</c:v>
                </c:pt>
                <c:pt idx="104">
                  <c:v>103.90408463738854</c:v>
                </c:pt>
                <c:pt idx="105">
                  <c:v>103.90324751808852</c:v>
                </c:pt>
                <c:pt idx="106">
                  <c:v>103.47966515228001</c:v>
                </c:pt>
                <c:pt idx="107">
                  <c:v>103.58430506478211</c:v>
                </c:pt>
                <c:pt idx="108">
                  <c:v>103.97189130068989</c:v>
                </c:pt>
                <c:pt idx="109">
                  <c:v>103.94845196028942</c:v>
                </c:pt>
                <c:pt idx="110">
                  <c:v>102.44665993605923</c:v>
                </c:pt>
                <c:pt idx="111">
                  <c:v>102.8677309439677</c:v>
                </c:pt>
                <c:pt idx="112">
                  <c:v>102.44749705535925</c:v>
                </c:pt>
                <c:pt idx="113">
                  <c:v>101.51076055864041</c:v>
                </c:pt>
                <c:pt idx="114">
                  <c:v>102.00549806495037</c:v>
                </c:pt>
                <c:pt idx="115">
                  <c:v>101.93015732794886</c:v>
                </c:pt>
                <c:pt idx="116">
                  <c:v>101.67567306074373</c:v>
                </c:pt>
                <c:pt idx="117">
                  <c:v>100.07258960121152</c:v>
                </c:pt>
                <c:pt idx="118">
                  <c:v>100.05752145381122</c:v>
                </c:pt>
                <c:pt idx="119">
                  <c:v>99.99390038700993</c:v>
                </c:pt>
                <c:pt idx="120">
                  <c:v>100.64099360592294</c:v>
                </c:pt>
              </c:numCache>
            </c:numRef>
          </c:val>
          <c:smooth val="0"/>
          <c:extLst>
            <c:ext xmlns:c16="http://schemas.microsoft.com/office/drawing/2014/chart" uri="{C3380CC4-5D6E-409C-BE32-E72D297353CC}">
              <c16:uniqueId val="{00000003-D1C5-4EE6-A4E6-43199C045214}"/>
            </c:ext>
          </c:extLst>
        </c:ser>
        <c:ser>
          <c:idx val="4"/>
          <c:order val="4"/>
          <c:tx>
            <c:strRef>
              <c:f>'12 luni indici pana in sept (2'!$R$1</c:f>
              <c:strCache>
                <c:ptCount val="1"/>
                <c:pt idx="0">
                  <c:v>BET-TR (rebazat)</c:v>
                </c:pt>
              </c:strCache>
            </c:strRef>
          </c:tx>
          <c:spPr>
            <a:ln w="28575" cap="rnd" cmpd="dbl">
              <a:solidFill>
                <a:schemeClr val="tx1">
                  <a:lumMod val="50000"/>
                  <a:lumOff val="50000"/>
                </a:schemeClr>
              </a:solidFill>
              <a:round/>
            </a:ln>
            <a:effectLst/>
          </c:spPr>
          <c:marker>
            <c:symbol val="none"/>
          </c:marker>
          <c:cat>
            <c:strRef>
              <c:f>'12 luni indici pana in sept (2'!$A$552:$A$672</c:f>
              <c:strCache>
                <c:ptCount val="108"/>
                <c:pt idx="2">
                  <c:v>ian. 2018</c:v>
                </c:pt>
                <c:pt idx="22">
                  <c:v>feb. 2018</c:v>
                </c:pt>
                <c:pt idx="42">
                  <c:v>mar. 2018</c:v>
                </c:pt>
                <c:pt idx="63">
                  <c:v>apr. 2018</c:v>
                </c:pt>
                <c:pt idx="87">
                  <c:v>mai 2018</c:v>
                </c:pt>
                <c:pt idx="107">
                  <c:v>iun. 2018</c:v>
                </c:pt>
              </c:strCache>
            </c:strRef>
          </c:cat>
          <c:val>
            <c:numRef>
              <c:f>'12 luni indici pana in sept (2'!$R$552:$R$672</c:f>
              <c:numCache>
                <c:formatCode>#.000</c:formatCode>
                <c:ptCount val="121"/>
                <c:pt idx="0">
                  <c:v>99.5</c:v>
                </c:pt>
                <c:pt idx="1">
                  <c:v>100.19792813743956</c:v>
                </c:pt>
                <c:pt idx="2">
                  <c:v>100.44738200718268</c:v>
                </c:pt>
                <c:pt idx="3">
                  <c:v>100.39994273037857</c:v>
                </c:pt>
                <c:pt idx="4">
                  <c:v>101.05641998098535</c:v>
                </c:pt>
                <c:pt idx="5">
                  <c:v>101.05978845034423</c:v>
                </c:pt>
                <c:pt idx="6">
                  <c:v>102.73812830840207</c:v>
                </c:pt>
                <c:pt idx="7">
                  <c:v>104.01421678385466</c:v>
                </c:pt>
                <c:pt idx="8">
                  <c:v>103.837091436734</c:v>
                </c:pt>
                <c:pt idx="9">
                  <c:v>103.56826886817737</c:v>
                </c:pt>
                <c:pt idx="10">
                  <c:v>104.62306762047074</c:v>
                </c:pt>
                <c:pt idx="11">
                  <c:v>105.35075057058035</c:v>
                </c:pt>
                <c:pt idx="12">
                  <c:v>105.20992983766084</c:v>
                </c:pt>
                <c:pt idx="13">
                  <c:v>106.83774265533562</c:v>
                </c:pt>
                <c:pt idx="14">
                  <c:v>106.16395521496797</c:v>
                </c:pt>
                <c:pt idx="15">
                  <c:v>105.86930771466</c:v>
                </c:pt>
                <c:pt idx="16">
                  <c:v>106.13803671462331</c:v>
                </c:pt>
                <c:pt idx="17">
                  <c:v>106.00554358650768</c:v>
                </c:pt>
                <c:pt idx="18">
                  <c:v>105.23874896439784</c:v>
                </c:pt>
                <c:pt idx="19">
                  <c:v>105.32492563882899</c:v>
                </c:pt>
                <c:pt idx="20">
                  <c:v>104.68407434330364</c:v>
                </c:pt>
                <c:pt idx="21">
                  <c:v>103.72630622226443</c:v>
                </c:pt>
                <c:pt idx="22">
                  <c:v>102.94500846819278</c:v>
                </c:pt>
                <c:pt idx="23">
                  <c:v>100.7534448758735</c:v>
                </c:pt>
                <c:pt idx="24">
                  <c:v>100.84860413526164</c:v>
                </c:pt>
                <c:pt idx="25">
                  <c:v>101.50788844366747</c:v>
                </c:pt>
                <c:pt idx="26">
                  <c:v>100.69365454475351</c:v>
                </c:pt>
                <c:pt idx="27">
                  <c:v>102.04151013126874</c:v>
                </c:pt>
                <c:pt idx="28">
                  <c:v>102.39257949333781</c:v>
                </c:pt>
                <c:pt idx="29">
                  <c:v>102.76357896578023</c:v>
                </c:pt>
                <c:pt idx="30">
                  <c:v>103.93880049765325</c:v>
                </c:pt>
                <c:pt idx="31">
                  <c:v>104.79701163541914</c:v>
                </c:pt>
                <c:pt idx="32">
                  <c:v>104.62989812778177</c:v>
                </c:pt>
                <c:pt idx="33">
                  <c:v>104.52641126358978</c:v>
                </c:pt>
                <c:pt idx="34">
                  <c:v>104.21426643633433</c:v>
                </c:pt>
                <c:pt idx="35">
                  <c:v>104.32954294328238</c:v>
                </c:pt>
                <c:pt idx="36">
                  <c:v>105.14480609672265</c:v>
                </c:pt>
                <c:pt idx="37">
                  <c:v>105.43458803017892</c:v>
                </c:pt>
                <c:pt idx="38">
                  <c:v>105.89691044968407</c:v>
                </c:pt>
                <c:pt idx="39">
                  <c:v>106.36756047399311</c:v>
                </c:pt>
                <c:pt idx="40">
                  <c:v>105.84993901584646</c:v>
                </c:pt>
                <c:pt idx="41">
                  <c:v>105.095027605086</c:v>
                </c:pt>
                <c:pt idx="42">
                  <c:v>105.49250698943285</c:v>
                </c:pt>
                <c:pt idx="43">
                  <c:v>106.11239892005857</c:v>
                </c:pt>
                <c:pt idx="44">
                  <c:v>106.24695055722682</c:v>
                </c:pt>
                <c:pt idx="45">
                  <c:v>106.6020433688079</c:v>
                </c:pt>
                <c:pt idx="46">
                  <c:v>106.67184553941118</c:v>
                </c:pt>
                <c:pt idx="47">
                  <c:v>107.69801230215414</c:v>
                </c:pt>
                <c:pt idx="48">
                  <c:v>108.32220838807174</c:v>
                </c:pt>
                <c:pt idx="49">
                  <c:v>108.24099084908561</c:v>
                </c:pt>
                <c:pt idx="50">
                  <c:v>109.32301806202986</c:v>
                </c:pt>
                <c:pt idx="51">
                  <c:v>110.94081904022131</c:v>
                </c:pt>
                <c:pt idx="52">
                  <c:v>110.4144957028976</c:v>
                </c:pt>
                <c:pt idx="53">
                  <c:v>109.86609017755464</c:v>
                </c:pt>
                <c:pt idx="54">
                  <c:v>110.59152748142498</c:v>
                </c:pt>
                <c:pt idx="55">
                  <c:v>108.75178179992119</c:v>
                </c:pt>
                <c:pt idx="56">
                  <c:v>108.97821779571201</c:v>
                </c:pt>
                <c:pt idx="57">
                  <c:v>109.7571763349511</c:v>
                </c:pt>
                <c:pt idx="58">
                  <c:v>109.98052456716296</c:v>
                </c:pt>
                <c:pt idx="59">
                  <c:v>109.80555129768823</c:v>
                </c:pt>
                <c:pt idx="60">
                  <c:v>109.21026790710096</c:v>
                </c:pt>
                <c:pt idx="61">
                  <c:v>109.64077700488343</c:v>
                </c:pt>
                <c:pt idx="62">
                  <c:v>110.32663479378704</c:v>
                </c:pt>
                <c:pt idx="63">
                  <c:v>110.26740587422688</c:v>
                </c:pt>
                <c:pt idx="64">
                  <c:v>110.15802418865684</c:v>
                </c:pt>
                <c:pt idx="65">
                  <c:v>111.46704880895174</c:v>
                </c:pt>
                <c:pt idx="66">
                  <c:v>111.21796921358182</c:v>
                </c:pt>
                <c:pt idx="67">
                  <c:v>111.03719469132238</c:v>
                </c:pt>
                <c:pt idx="68">
                  <c:v>112.28867462673654</c:v>
                </c:pt>
                <c:pt idx="69">
                  <c:v>111.5782082977945</c:v>
                </c:pt>
                <c:pt idx="70">
                  <c:v>111.98102109195958</c:v>
                </c:pt>
                <c:pt idx="71">
                  <c:v>112.27127086838236</c:v>
                </c:pt>
                <c:pt idx="72">
                  <c:v>112.352956250335</c:v>
                </c:pt>
                <c:pt idx="73">
                  <c:v>112.59174330044169</c:v>
                </c:pt>
                <c:pt idx="74">
                  <c:v>112.18500062535793</c:v>
                </c:pt>
                <c:pt idx="75">
                  <c:v>112.64526453581044</c:v>
                </c:pt>
                <c:pt idx="76">
                  <c:v>113.24812698245518</c:v>
                </c:pt>
                <c:pt idx="77">
                  <c:v>113.26431434909642</c:v>
                </c:pt>
                <c:pt idx="78">
                  <c:v>112.01320868805547</c:v>
                </c:pt>
                <c:pt idx="79">
                  <c:v>110.4275953059599</c:v>
                </c:pt>
                <c:pt idx="80">
                  <c:v>109.59464768838555</c:v>
                </c:pt>
                <c:pt idx="81">
                  <c:v>109.80302494566909</c:v>
                </c:pt>
                <c:pt idx="82">
                  <c:v>109.47038859648049</c:v>
                </c:pt>
                <c:pt idx="83">
                  <c:v>110.5124620200848</c:v>
                </c:pt>
                <c:pt idx="84">
                  <c:v>111.26381782429981</c:v>
                </c:pt>
                <c:pt idx="85">
                  <c:v>111.56791575253128</c:v>
                </c:pt>
                <c:pt idx="86">
                  <c:v>111.40594851752553</c:v>
                </c:pt>
                <c:pt idx="87">
                  <c:v>112.15926926219989</c:v>
                </c:pt>
                <c:pt idx="88">
                  <c:v>111.7005024492402</c:v>
                </c:pt>
                <c:pt idx="89">
                  <c:v>111.43205415505678</c:v>
                </c:pt>
                <c:pt idx="90">
                  <c:v>110.45847294174955</c:v>
                </c:pt>
                <c:pt idx="91">
                  <c:v>109.15347177096665</c:v>
                </c:pt>
                <c:pt idx="92">
                  <c:v>108.33016171850241</c:v>
                </c:pt>
                <c:pt idx="93">
                  <c:v>107.0299325459779</c:v>
                </c:pt>
                <c:pt idx="94">
                  <c:v>105.21666677637859</c:v>
                </c:pt>
                <c:pt idx="95">
                  <c:v>107.36537595296555</c:v>
                </c:pt>
                <c:pt idx="96">
                  <c:v>106.2881207382797</c:v>
                </c:pt>
                <c:pt idx="97">
                  <c:v>106.28063525081555</c:v>
                </c:pt>
                <c:pt idx="98">
                  <c:v>106.26547713870062</c:v>
                </c:pt>
                <c:pt idx="99">
                  <c:v>105.46396856847574</c:v>
                </c:pt>
                <c:pt idx="100">
                  <c:v>103.10604001726551</c:v>
                </c:pt>
                <c:pt idx="101">
                  <c:v>103.89575894473434</c:v>
                </c:pt>
                <c:pt idx="102">
                  <c:v>105.36431801660912</c:v>
                </c:pt>
                <c:pt idx="103">
                  <c:v>107.41178597524333</c:v>
                </c:pt>
                <c:pt idx="104">
                  <c:v>107.9164949675143</c:v>
                </c:pt>
                <c:pt idx="105">
                  <c:v>108.33250093333497</c:v>
                </c:pt>
                <c:pt idx="106">
                  <c:v>109.5407521786436</c:v>
                </c:pt>
                <c:pt idx="107">
                  <c:v>109.71825180013747</c:v>
                </c:pt>
                <c:pt idx="108">
                  <c:v>110.17823500481008</c:v>
                </c:pt>
                <c:pt idx="109">
                  <c:v>110.18085492542254</c:v>
                </c:pt>
                <c:pt idx="110">
                  <c:v>108.48670197509665</c:v>
                </c:pt>
                <c:pt idx="111">
                  <c:v>108.97382007182682</c:v>
                </c:pt>
                <c:pt idx="112">
                  <c:v>108.46536833582378</c:v>
                </c:pt>
                <c:pt idx="113">
                  <c:v>107.45202047036321</c:v>
                </c:pt>
                <c:pt idx="114">
                  <c:v>108.0812692603191</c:v>
                </c:pt>
                <c:pt idx="115">
                  <c:v>107.93389872586847</c:v>
                </c:pt>
                <c:pt idx="116">
                  <c:v>107.74273808975249</c:v>
                </c:pt>
                <c:pt idx="117">
                  <c:v>106.6917756497845</c:v>
                </c:pt>
                <c:pt idx="118">
                  <c:v>106.68765863167921</c:v>
                </c:pt>
                <c:pt idx="119">
                  <c:v>106.35492871389734</c:v>
                </c:pt>
                <c:pt idx="120">
                  <c:v>107.01496157104958</c:v>
                </c:pt>
              </c:numCache>
            </c:numRef>
          </c:val>
          <c:smooth val="0"/>
          <c:extLst>
            <c:ext xmlns:c16="http://schemas.microsoft.com/office/drawing/2014/chart" uri="{C3380CC4-5D6E-409C-BE32-E72D297353CC}">
              <c16:uniqueId val="{00000004-D1C5-4EE6-A4E6-43199C045214}"/>
            </c:ext>
          </c:extLst>
        </c:ser>
        <c:ser>
          <c:idx val="5"/>
          <c:order val="5"/>
          <c:tx>
            <c:strRef>
              <c:f>'12 luni indici pana in sept (2'!$T$1</c:f>
              <c:strCache>
                <c:ptCount val="1"/>
                <c:pt idx="0">
                  <c:v>BET-XT (rebazat)</c:v>
                </c:pt>
              </c:strCache>
            </c:strRef>
          </c:tx>
          <c:spPr>
            <a:ln w="28575" cap="rnd" cmpd="dbl">
              <a:solidFill>
                <a:schemeClr val="accent6"/>
              </a:solidFill>
              <a:round/>
            </a:ln>
            <a:effectLst/>
          </c:spPr>
          <c:marker>
            <c:symbol val="none"/>
          </c:marker>
          <c:cat>
            <c:strRef>
              <c:f>'12 luni indici pana in sept (2'!$A$552:$A$672</c:f>
              <c:strCache>
                <c:ptCount val="108"/>
                <c:pt idx="2">
                  <c:v>ian. 2018</c:v>
                </c:pt>
                <c:pt idx="22">
                  <c:v>feb. 2018</c:v>
                </c:pt>
                <c:pt idx="42">
                  <c:v>mar. 2018</c:v>
                </c:pt>
                <c:pt idx="63">
                  <c:v>apr. 2018</c:v>
                </c:pt>
                <c:pt idx="87">
                  <c:v>mai 2018</c:v>
                </c:pt>
                <c:pt idx="107">
                  <c:v>iun. 2018</c:v>
                </c:pt>
              </c:strCache>
            </c:strRef>
          </c:cat>
          <c:val>
            <c:numRef>
              <c:f>'12 luni indici pana in sept (2'!$T$552:$T$672</c:f>
              <c:numCache>
                <c:formatCode>#.000</c:formatCode>
                <c:ptCount val="121"/>
                <c:pt idx="0">
                  <c:v>99.5</c:v>
                </c:pt>
                <c:pt idx="1">
                  <c:v>100.10618159519018</c:v>
                </c:pt>
                <c:pt idx="2">
                  <c:v>100.42452641542133</c:v>
                </c:pt>
                <c:pt idx="3">
                  <c:v>100.56247583752149</c:v>
                </c:pt>
                <c:pt idx="4">
                  <c:v>101.29599536080413</c:v>
                </c:pt>
                <c:pt idx="5">
                  <c:v>101.48169650593897</c:v>
                </c:pt>
                <c:pt idx="6">
                  <c:v>102.89435164571475</c:v>
                </c:pt>
                <c:pt idx="7">
                  <c:v>103.89183208243904</c:v>
                </c:pt>
                <c:pt idx="8">
                  <c:v>103.76714702784849</c:v>
                </c:pt>
                <c:pt idx="9">
                  <c:v>103.65970565102049</c:v>
                </c:pt>
                <c:pt idx="10">
                  <c:v>104.54709183741484</c:v>
                </c:pt>
                <c:pt idx="11">
                  <c:v>105.23816538466666</c:v>
                </c:pt>
                <c:pt idx="12">
                  <c:v>105.24479756842148</c:v>
                </c:pt>
                <c:pt idx="13">
                  <c:v>106.69459293722421</c:v>
                </c:pt>
                <c:pt idx="14">
                  <c:v>106.31257915294682</c:v>
                </c:pt>
                <c:pt idx="15">
                  <c:v>106.09239065228694</c:v>
                </c:pt>
                <c:pt idx="16">
                  <c:v>106.28737685467851</c:v>
                </c:pt>
                <c:pt idx="17">
                  <c:v>106.48368949382106</c:v>
                </c:pt>
                <c:pt idx="18">
                  <c:v>105.55651020489782</c:v>
                </c:pt>
                <c:pt idx="19">
                  <c:v>105.57375388266033</c:v>
                </c:pt>
                <c:pt idx="20">
                  <c:v>104.80309413035074</c:v>
                </c:pt>
                <c:pt idx="21">
                  <c:v>103.86265047391785</c:v>
                </c:pt>
                <c:pt idx="22">
                  <c:v>103.11984589337848</c:v>
                </c:pt>
                <c:pt idx="23">
                  <c:v>100.72032181088612</c:v>
                </c:pt>
                <c:pt idx="24">
                  <c:v>100.72032181088612</c:v>
                </c:pt>
                <c:pt idx="25">
                  <c:v>101.29466892405316</c:v>
                </c:pt>
                <c:pt idx="26">
                  <c:v>100.5943103195446</c:v>
                </c:pt>
                <c:pt idx="27">
                  <c:v>101.91676776025488</c:v>
                </c:pt>
                <c:pt idx="28">
                  <c:v>102.30541372828709</c:v>
                </c:pt>
                <c:pt idx="29">
                  <c:v>102.75109647661071</c:v>
                </c:pt>
                <c:pt idx="30">
                  <c:v>103.58277231946462</c:v>
                </c:pt>
                <c:pt idx="31">
                  <c:v>104.44760908109261</c:v>
                </c:pt>
                <c:pt idx="32">
                  <c:v>104.31761827949822</c:v>
                </c:pt>
                <c:pt idx="33">
                  <c:v>104.28711023422608</c:v>
                </c:pt>
                <c:pt idx="34">
                  <c:v>103.79500219961874</c:v>
                </c:pt>
                <c:pt idx="35">
                  <c:v>103.8679562209217</c:v>
                </c:pt>
                <c:pt idx="36">
                  <c:v>104.42108034607335</c:v>
                </c:pt>
                <c:pt idx="37">
                  <c:v>104.76064815431991</c:v>
                </c:pt>
                <c:pt idx="38">
                  <c:v>105.32571021023023</c:v>
                </c:pt>
                <c:pt idx="39">
                  <c:v>105.75016997053844</c:v>
                </c:pt>
                <c:pt idx="40">
                  <c:v>105.35356538200045</c:v>
                </c:pt>
                <c:pt idx="41">
                  <c:v>104.47015850585899</c:v>
                </c:pt>
                <c:pt idx="42">
                  <c:v>105.01399757375388</c:v>
                </c:pt>
                <c:pt idx="43">
                  <c:v>105.55385733139589</c:v>
                </c:pt>
                <c:pt idx="44">
                  <c:v>105.57640675616227</c:v>
                </c:pt>
                <c:pt idx="45">
                  <c:v>105.81383893458468</c:v>
                </c:pt>
                <c:pt idx="46">
                  <c:v>105.83240904909816</c:v>
                </c:pt>
                <c:pt idx="47">
                  <c:v>106.61102742191353</c:v>
                </c:pt>
                <c:pt idx="48">
                  <c:v>107.07660672150161</c:v>
                </c:pt>
                <c:pt idx="49">
                  <c:v>106.97049178142456</c:v>
                </c:pt>
                <c:pt idx="50">
                  <c:v>107.88440670283818</c:v>
                </c:pt>
                <c:pt idx="51">
                  <c:v>109.19757908629171</c:v>
                </c:pt>
                <c:pt idx="52">
                  <c:v>108.66833082265741</c:v>
                </c:pt>
                <c:pt idx="53">
                  <c:v>108.28896991188194</c:v>
                </c:pt>
                <c:pt idx="54">
                  <c:v>108.92300667884233</c:v>
                </c:pt>
                <c:pt idx="55">
                  <c:v>107.14027568554783</c:v>
                </c:pt>
                <c:pt idx="56">
                  <c:v>107.32332395718076</c:v>
                </c:pt>
                <c:pt idx="57">
                  <c:v>108.07541359497687</c:v>
                </c:pt>
                <c:pt idx="58">
                  <c:v>108.31284577339929</c:v>
                </c:pt>
                <c:pt idx="59">
                  <c:v>108.01041819417966</c:v>
                </c:pt>
                <c:pt idx="60">
                  <c:v>107.40688947249143</c:v>
                </c:pt>
                <c:pt idx="61">
                  <c:v>107.80747337128231</c:v>
                </c:pt>
                <c:pt idx="62">
                  <c:v>108.35263887592818</c:v>
                </c:pt>
                <c:pt idx="63">
                  <c:v>108.23591244184341</c:v>
                </c:pt>
                <c:pt idx="64">
                  <c:v>108.07674003172782</c:v>
                </c:pt>
                <c:pt idx="65">
                  <c:v>109.27583885459855</c:v>
                </c:pt>
                <c:pt idx="66">
                  <c:v>109.06360897444443</c:v>
                </c:pt>
                <c:pt idx="67">
                  <c:v>108.89647794382307</c:v>
                </c:pt>
                <c:pt idx="68">
                  <c:v>109.79447562422513</c:v>
                </c:pt>
                <c:pt idx="69">
                  <c:v>109.12993081199259</c:v>
                </c:pt>
                <c:pt idx="70">
                  <c:v>109.42042046045351</c:v>
                </c:pt>
                <c:pt idx="71">
                  <c:v>109.6949928679029</c:v>
                </c:pt>
                <c:pt idx="72">
                  <c:v>109.90456987455508</c:v>
                </c:pt>
                <c:pt idx="73">
                  <c:v>109.91916067881566</c:v>
                </c:pt>
                <c:pt idx="74">
                  <c:v>109.7414181541866</c:v>
                </c:pt>
                <c:pt idx="75">
                  <c:v>109.99874688387345</c:v>
                </c:pt>
                <c:pt idx="76">
                  <c:v>110.40861583992108</c:v>
                </c:pt>
                <c:pt idx="77">
                  <c:v>110.26536067081706</c:v>
                </c:pt>
                <c:pt idx="78">
                  <c:v>109.27981816485142</c:v>
                </c:pt>
                <c:pt idx="79">
                  <c:v>107.83930785330543</c:v>
                </c:pt>
                <c:pt idx="80">
                  <c:v>107.10976764027569</c:v>
                </c:pt>
                <c:pt idx="81">
                  <c:v>107.15354005305747</c:v>
                </c:pt>
                <c:pt idx="82">
                  <c:v>106.57919293989042</c:v>
                </c:pt>
                <c:pt idx="83">
                  <c:v>107.50769866556463</c:v>
                </c:pt>
                <c:pt idx="84">
                  <c:v>108.1894871555597</c:v>
                </c:pt>
                <c:pt idx="85">
                  <c:v>107.29546878541052</c:v>
                </c:pt>
                <c:pt idx="86">
                  <c:v>107.25169637262876</c:v>
                </c:pt>
                <c:pt idx="87">
                  <c:v>107.87379520883047</c:v>
                </c:pt>
                <c:pt idx="88">
                  <c:v>107.49841360830789</c:v>
                </c:pt>
                <c:pt idx="89">
                  <c:v>106.94131017290337</c:v>
                </c:pt>
                <c:pt idx="90">
                  <c:v>105.96107341394159</c:v>
                </c:pt>
                <c:pt idx="91">
                  <c:v>104.9052297601749</c:v>
                </c:pt>
                <c:pt idx="92">
                  <c:v>104.24333782144429</c:v>
                </c:pt>
                <c:pt idx="93">
                  <c:v>102.90496313972244</c:v>
                </c:pt>
                <c:pt idx="94">
                  <c:v>101.07845973364617</c:v>
                </c:pt>
                <c:pt idx="95">
                  <c:v>102.88639302520896</c:v>
                </c:pt>
                <c:pt idx="96">
                  <c:v>102.00165971231654</c:v>
                </c:pt>
                <c:pt idx="97">
                  <c:v>100.99622065508645</c:v>
                </c:pt>
                <c:pt idx="98">
                  <c:v>100.8901057150094</c:v>
                </c:pt>
                <c:pt idx="99">
                  <c:v>100.09822297468439</c:v>
                </c:pt>
                <c:pt idx="100">
                  <c:v>97.867156359564348</c:v>
                </c:pt>
                <c:pt idx="101">
                  <c:v>98.446809219735258</c:v>
                </c:pt>
                <c:pt idx="102">
                  <c:v>98.896471278311765</c:v>
                </c:pt>
                <c:pt idx="103">
                  <c:v>100.65002066308506</c:v>
                </c:pt>
                <c:pt idx="104">
                  <c:v>101.03734019436631</c:v>
                </c:pt>
                <c:pt idx="105">
                  <c:v>100.93520456454215</c:v>
                </c:pt>
                <c:pt idx="106">
                  <c:v>100.94581605854985</c:v>
                </c:pt>
                <c:pt idx="107">
                  <c:v>100.92061376028155</c:v>
                </c:pt>
                <c:pt idx="108">
                  <c:v>101.29599536080413</c:v>
                </c:pt>
                <c:pt idx="109">
                  <c:v>102.30674016503805</c:v>
                </c:pt>
                <c:pt idx="110">
                  <c:v>100.7097103168784</c:v>
                </c:pt>
                <c:pt idx="111">
                  <c:v>101.17263674296456</c:v>
                </c:pt>
                <c:pt idx="112">
                  <c:v>100.70042525962165</c:v>
                </c:pt>
                <c:pt idx="113">
                  <c:v>99.708250569901224</c:v>
                </c:pt>
                <c:pt idx="114">
                  <c:v>100.12475170970366</c:v>
                </c:pt>
                <c:pt idx="115">
                  <c:v>100.08363217042378</c:v>
                </c:pt>
                <c:pt idx="116">
                  <c:v>99.819671256982119</c:v>
                </c:pt>
                <c:pt idx="117">
                  <c:v>98.460073587244878</c:v>
                </c:pt>
                <c:pt idx="118">
                  <c:v>98.534354045298812</c:v>
                </c:pt>
                <c:pt idx="119">
                  <c:v>98.462726460746794</c:v>
                </c:pt>
                <c:pt idx="120">
                  <c:v>99.027788516657125</c:v>
                </c:pt>
              </c:numCache>
            </c:numRef>
          </c:val>
          <c:smooth val="0"/>
          <c:extLst>
            <c:ext xmlns:c16="http://schemas.microsoft.com/office/drawing/2014/chart" uri="{C3380CC4-5D6E-409C-BE32-E72D297353CC}">
              <c16:uniqueId val="{00000005-D1C5-4EE6-A4E6-43199C045214}"/>
            </c:ext>
          </c:extLst>
        </c:ser>
        <c:ser>
          <c:idx val="6"/>
          <c:order val="6"/>
          <c:tx>
            <c:strRef>
              <c:f>'12 luni indici pana in sept (2'!$V$1</c:f>
              <c:strCache>
                <c:ptCount val="1"/>
                <c:pt idx="0">
                  <c:v>BET-XT-TR (rebazat)</c:v>
                </c:pt>
              </c:strCache>
            </c:strRef>
          </c:tx>
          <c:spPr>
            <a:ln w="28575" cap="rnd" cmpd="dbl">
              <a:solidFill>
                <a:schemeClr val="accent1">
                  <a:lumMod val="60000"/>
                </a:schemeClr>
              </a:solidFill>
              <a:round/>
            </a:ln>
            <a:effectLst/>
          </c:spPr>
          <c:marker>
            <c:symbol val="none"/>
          </c:marker>
          <c:cat>
            <c:strRef>
              <c:f>'12 luni indici pana in sept (2'!$A$552:$A$672</c:f>
              <c:strCache>
                <c:ptCount val="108"/>
                <c:pt idx="2">
                  <c:v>ian. 2018</c:v>
                </c:pt>
                <c:pt idx="22">
                  <c:v>feb. 2018</c:v>
                </c:pt>
                <c:pt idx="42">
                  <c:v>mar. 2018</c:v>
                </c:pt>
                <c:pt idx="63">
                  <c:v>apr. 2018</c:v>
                </c:pt>
                <c:pt idx="87">
                  <c:v>mai 2018</c:v>
                </c:pt>
                <c:pt idx="107">
                  <c:v>iun. 2018</c:v>
                </c:pt>
              </c:strCache>
            </c:strRef>
          </c:cat>
          <c:val>
            <c:numRef>
              <c:f>'12 luni indici pana in sept (2'!$V$552:$V$672</c:f>
              <c:numCache>
                <c:formatCode>#.000</c:formatCode>
                <c:ptCount val="121"/>
                <c:pt idx="0">
                  <c:v>99.5</c:v>
                </c:pt>
                <c:pt idx="1">
                  <c:v>100.11076846628279</c:v>
                </c:pt>
                <c:pt idx="2">
                  <c:v>100.42584743698421</c:v>
                </c:pt>
                <c:pt idx="3">
                  <c:v>100.55963481531282</c:v>
                </c:pt>
                <c:pt idx="4">
                  <c:v>101.29643486987615</c:v>
                </c:pt>
                <c:pt idx="5">
                  <c:v>101.48645172605302</c:v>
                </c:pt>
                <c:pt idx="6">
                  <c:v>102.90188340981946</c:v>
                </c:pt>
                <c:pt idx="7">
                  <c:v>103.900441378504</c:v>
                </c:pt>
                <c:pt idx="8">
                  <c:v>103.77731821149143</c:v>
                </c:pt>
                <c:pt idx="9">
                  <c:v>103.67455399335498</c:v>
                </c:pt>
                <c:pt idx="10">
                  <c:v>104.56743932263501</c:v>
                </c:pt>
                <c:pt idx="11">
                  <c:v>105.25479621564214</c:v>
                </c:pt>
                <c:pt idx="12">
                  <c:v>105.28097200705427</c:v>
                </c:pt>
                <c:pt idx="13">
                  <c:v>106.73615211481687</c:v>
                </c:pt>
                <c:pt idx="14">
                  <c:v>106.35902682373116</c:v>
                </c:pt>
                <c:pt idx="15">
                  <c:v>106.13313943858213</c:v>
                </c:pt>
                <c:pt idx="16">
                  <c:v>106.33285103231904</c:v>
                </c:pt>
                <c:pt idx="17">
                  <c:v>106.53062367854393</c:v>
                </c:pt>
                <c:pt idx="18">
                  <c:v>105.59702045151171</c:v>
                </c:pt>
                <c:pt idx="19">
                  <c:v>105.61059308409575</c:v>
                </c:pt>
                <c:pt idx="20">
                  <c:v>104.84664776436429</c:v>
                </c:pt>
                <c:pt idx="21">
                  <c:v>103.89753295723598</c:v>
                </c:pt>
                <c:pt idx="22">
                  <c:v>103.1510381651126</c:v>
                </c:pt>
                <c:pt idx="23">
                  <c:v>100.75256009275769</c:v>
                </c:pt>
                <c:pt idx="24">
                  <c:v>100.76031588280573</c:v>
                </c:pt>
                <c:pt idx="25">
                  <c:v>101.3235801350443</c:v>
                </c:pt>
                <c:pt idx="26">
                  <c:v>100.62555903072112</c:v>
                </c:pt>
                <c:pt idx="27">
                  <c:v>101.94598228639911</c:v>
                </c:pt>
                <c:pt idx="28">
                  <c:v>102.32213810372883</c:v>
                </c:pt>
                <c:pt idx="29">
                  <c:v>102.77488234778288</c:v>
                </c:pt>
                <c:pt idx="30">
                  <c:v>103.62317188428672</c:v>
                </c:pt>
                <c:pt idx="31">
                  <c:v>104.47436984205861</c:v>
                </c:pt>
                <c:pt idx="32">
                  <c:v>104.34736878002202</c:v>
                </c:pt>
                <c:pt idx="33">
                  <c:v>104.31828456734189</c:v>
                </c:pt>
                <c:pt idx="34">
                  <c:v>103.8374255843637</c:v>
                </c:pt>
                <c:pt idx="35">
                  <c:v>103.90819716855202</c:v>
                </c:pt>
                <c:pt idx="36">
                  <c:v>104.45594984069452</c:v>
                </c:pt>
                <c:pt idx="37">
                  <c:v>104.79429618154006</c:v>
                </c:pt>
                <c:pt idx="38">
                  <c:v>105.36531622382664</c:v>
                </c:pt>
                <c:pt idx="39">
                  <c:v>105.79091520271258</c:v>
                </c:pt>
                <c:pt idx="40">
                  <c:v>105.39149201523875</c:v>
                </c:pt>
                <c:pt idx="41">
                  <c:v>104.50248458098274</c:v>
                </c:pt>
                <c:pt idx="42">
                  <c:v>105.0453898843452</c:v>
                </c:pt>
                <c:pt idx="43">
                  <c:v>105.59023413521967</c:v>
                </c:pt>
                <c:pt idx="44">
                  <c:v>105.61544045287579</c:v>
                </c:pt>
                <c:pt idx="45">
                  <c:v>105.85199204934085</c:v>
                </c:pt>
                <c:pt idx="46">
                  <c:v>105.86847310319293</c:v>
                </c:pt>
                <c:pt idx="47">
                  <c:v>106.63920473921644</c:v>
                </c:pt>
                <c:pt idx="48">
                  <c:v>107.10843003712256</c:v>
                </c:pt>
                <c:pt idx="49">
                  <c:v>107.0046963452301</c:v>
                </c:pt>
                <c:pt idx="50">
                  <c:v>107.91600167587424</c:v>
                </c:pt>
                <c:pt idx="51">
                  <c:v>109.22188282521216</c:v>
                </c:pt>
                <c:pt idx="52">
                  <c:v>108.68964173316574</c:v>
                </c:pt>
                <c:pt idx="53">
                  <c:v>108.30573012578802</c:v>
                </c:pt>
                <c:pt idx="54">
                  <c:v>108.92813227714282</c:v>
                </c:pt>
                <c:pt idx="55">
                  <c:v>107.15205635614277</c:v>
                </c:pt>
                <c:pt idx="56">
                  <c:v>107.34207321231963</c:v>
                </c:pt>
                <c:pt idx="57">
                  <c:v>108.08953747819903</c:v>
                </c:pt>
                <c:pt idx="58">
                  <c:v>108.32511960090808</c:v>
                </c:pt>
                <c:pt idx="59">
                  <c:v>108.02167431527872</c:v>
                </c:pt>
                <c:pt idx="60">
                  <c:v>107.41187532275195</c:v>
                </c:pt>
                <c:pt idx="61">
                  <c:v>107.81420693149377</c:v>
                </c:pt>
                <c:pt idx="62">
                  <c:v>108.35226486607623</c:v>
                </c:pt>
                <c:pt idx="63">
                  <c:v>108.2349585415997</c:v>
                </c:pt>
                <c:pt idx="64">
                  <c:v>108.07499537185896</c:v>
                </c:pt>
                <c:pt idx="65">
                  <c:v>109.26357019672035</c:v>
                </c:pt>
                <c:pt idx="66">
                  <c:v>109.04446912786337</c:v>
                </c:pt>
                <c:pt idx="67">
                  <c:v>108.86511648300255</c:v>
                </c:pt>
                <c:pt idx="68">
                  <c:v>109.75897128603862</c:v>
                </c:pt>
                <c:pt idx="69">
                  <c:v>109.0997291319556</c:v>
                </c:pt>
                <c:pt idx="70">
                  <c:v>109.3837849424649</c:v>
                </c:pt>
                <c:pt idx="71">
                  <c:v>109.66105443668218</c:v>
                </c:pt>
                <c:pt idx="72">
                  <c:v>109.86561339919909</c:v>
                </c:pt>
                <c:pt idx="73">
                  <c:v>109.87724708427113</c:v>
                </c:pt>
                <c:pt idx="74">
                  <c:v>109.69692496565432</c:v>
                </c:pt>
                <c:pt idx="75">
                  <c:v>109.95577445850751</c:v>
                </c:pt>
                <c:pt idx="76">
                  <c:v>110.36489238354137</c:v>
                </c:pt>
                <c:pt idx="77">
                  <c:v>110.22819658394474</c:v>
                </c:pt>
                <c:pt idx="78">
                  <c:v>109.24418072160026</c:v>
                </c:pt>
                <c:pt idx="79">
                  <c:v>107.80257324642173</c:v>
                </c:pt>
                <c:pt idx="80">
                  <c:v>107.08225424571044</c:v>
                </c:pt>
                <c:pt idx="81">
                  <c:v>107.10649108961056</c:v>
                </c:pt>
                <c:pt idx="82">
                  <c:v>106.52189841473991</c:v>
                </c:pt>
                <c:pt idx="83">
                  <c:v>107.44871532548011</c:v>
                </c:pt>
                <c:pt idx="84">
                  <c:v>108.11668274336715</c:v>
                </c:pt>
                <c:pt idx="85">
                  <c:v>108.43757855660461</c:v>
                </c:pt>
                <c:pt idx="86">
                  <c:v>108.38813539504838</c:v>
                </c:pt>
                <c:pt idx="87">
                  <c:v>108.99987333508716</c:v>
                </c:pt>
                <c:pt idx="88">
                  <c:v>108.61208383268539</c:v>
                </c:pt>
                <c:pt idx="89">
                  <c:v>108.25434801671979</c:v>
                </c:pt>
                <c:pt idx="90">
                  <c:v>107.24318688920718</c:v>
                </c:pt>
                <c:pt idx="91">
                  <c:v>106.19421628521043</c:v>
                </c:pt>
                <c:pt idx="92">
                  <c:v>105.52527939356737</c:v>
                </c:pt>
                <c:pt idx="93">
                  <c:v>104.16898560891721</c:v>
                </c:pt>
                <c:pt idx="94">
                  <c:v>102.38127600284508</c:v>
                </c:pt>
                <c:pt idx="95">
                  <c:v>104.21067298042541</c:v>
                </c:pt>
                <c:pt idx="96">
                  <c:v>103.30130659729326</c:v>
                </c:pt>
                <c:pt idx="97">
                  <c:v>103.18012237779271</c:v>
                </c:pt>
                <c:pt idx="98">
                  <c:v>103.06960236960823</c:v>
                </c:pt>
                <c:pt idx="99">
                  <c:v>102.25427494080851</c:v>
                </c:pt>
                <c:pt idx="100">
                  <c:v>99.974072666686155</c:v>
                </c:pt>
                <c:pt idx="101">
                  <c:v>100.57320744789689</c:v>
                </c:pt>
                <c:pt idx="102">
                  <c:v>102.00221176424738</c:v>
                </c:pt>
                <c:pt idx="103">
                  <c:v>103.81028031919558</c:v>
                </c:pt>
                <c:pt idx="104">
                  <c:v>104.21067298042541</c:v>
                </c:pt>
                <c:pt idx="105">
                  <c:v>104.53350774117487</c:v>
                </c:pt>
                <c:pt idx="106">
                  <c:v>105.74922783120439</c:v>
                </c:pt>
                <c:pt idx="107">
                  <c:v>105.83163310046477</c:v>
                </c:pt>
                <c:pt idx="108">
                  <c:v>106.23493418296259</c:v>
                </c:pt>
                <c:pt idx="109">
                  <c:v>107.2451258367192</c:v>
                </c:pt>
                <c:pt idx="110">
                  <c:v>105.5747225551236</c:v>
                </c:pt>
                <c:pt idx="111">
                  <c:v>106.06139838063781</c:v>
                </c:pt>
                <c:pt idx="112">
                  <c:v>105.56405834380756</c:v>
                </c:pt>
                <c:pt idx="113">
                  <c:v>104.52187405610283</c:v>
                </c:pt>
                <c:pt idx="114">
                  <c:v>104.96880145762084</c:v>
                </c:pt>
                <c:pt idx="115">
                  <c:v>104.92808355986865</c:v>
                </c:pt>
                <c:pt idx="116">
                  <c:v>104.66050880321144</c:v>
                </c:pt>
                <c:pt idx="117">
                  <c:v>103.97218243644832</c:v>
                </c:pt>
                <c:pt idx="118">
                  <c:v>104.04683191566066</c:v>
                </c:pt>
                <c:pt idx="119">
                  <c:v>103.97896875274034</c:v>
                </c:pt>
                <c:pt idx="120">
                  <c:v>104.57616458643906</c:v>
                </c:pt>
              </c:numCache>
            </c:numRef>
          </c:val>
          <c:smooth val="0"/>
          <c:extLst>
            <c:ext xmlns:c16="http://schemas.microsoft.com/office/drawing/2014/chart" uri="{C3380CC4-5D6E-409C-BE32-E72D297353CC}">
              <c16:uniqueId val="{00000006-D1C5-4EE6-A4E6-43199C045214}"/>
            </c:ext>
          </c:extLst>
        </c:ser>
        <c:dLbls>
          <c:showLegendKey val="0"/>
          <c:showVal val="0"/>
          <c:showCatName val="0"/>
          <c:showSerName val="0"/>
          <c:showPercent val="0"/>
          <c:showBubbleSize val="0"/>
        </c:dLbls>
        <c:smooth val="0"/>
        <c:axId val="248583872"/>
        <c:axId val="248585440"/>
      </c:lineChart>
      <c:catAx>
        <c:axId val="24858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780000" spcFirstLastPara="1" vertOverflow="ellipsis" wrap="square" anchor="ctr" anchorCtr="1"/>
          <a:lstStyle/>
          <a:p>
            <a:pPr>
              <a:defRPr sz="800" b="0" i="0" u="none" strike="noStrike" kern="5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crossAx val="248585440"/>
        <c:crosses val="autoZero"/>
        <c:auto val="1"/>
        <c:lblAlgn val="ctr"/>
        <c:lblOffset val="100"/>
        <c:noMultiLvlLbl val="0"/>
      </c:catAx>
      <c:valAx>
        <c:axId val="248585440"/>
        <c:scaling>
          <c:orientation val="minMax"/>
          <c:max val="130"/>
          <c:min val="7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8583872"/>
        <c:crosses val="autoZero"/>
        <c:crossBetween val="between"/>
      </c:valAx>
      <c:spPr>
        <a:noFill/>
        <a:ln>
          <a:noFill/>
        </a:ln>
        <a:effectLst/>
      </c:spPr>
    </c:plotArea>
    <c:legend>
      <c:legendPos val="b"/>
      <c:layout>
        <c:manualLayout>
          <c:xMode val="edge"/>
          <c:yMode val="edge"/>
          <c:x val="7.6885725822733703E-2"/>
          <c:y val="0.69079828499056894"/>
          <c:w val="0.87395600058322642"/>
          <c:h val="0.1463059903605144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ysClr val="window" lastClr="FFFFFF"/>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'SI 2018 vs. SI 2017'!$B$28</c:f>
              <c:strCache>
                <c:ptCount val="1"/>
                <c:pt idx="0">
                  <c:v>Preţ mediu (lei/acțiune) S1 2018</c:v>
                </c:pt>
              </c:strCache>
            </c:strRef>
          </c:tx>
          <c:spPr>
            <a:ln w="28575" cap="rnd">
              <a:solidFill>
                <a:schemeClr val="tx2">
                  <a:lumMod val="75000"/>
                </a:schemeClr>
              </a:solidFill>
              <a:round/>
            </a:ln>
            <a:effectLst/>
          </c:spPr>
          <c:marker>
            <c:symbol val="circle"/>
            <c:size val="5"/>
            <c:spPr>
              <a:solidFill>
                <a:schemeClr val="tx2">
                  <a:lumMod val="75000"/>
                </a:schemeClr>
              </a:solidFill>
              <a:ln w="9525">
                <a:solidFill>
                  <a:schemeClr val="tx2">
                    <a:lumMod val="75000"/>
                  </a:schemeClr>
                </a:solidFill>
              </a:ln>
              <a:effectLst/>
            </c:spPr>
          </c:marker>
          <c:cat>
            <c:strRef>
              <c:f>'SI 2018 vs. SI 2017'!$A$29:$A$34</c:f>
              <c:strCache>
                <c:ptCount val="6"/>
                <c:pt idx="0">
                  <c:v>ianuarie</c:v>
                </c:pt>
                <c:pt idx="1">
                  <c:v>februarie</c:v>
                </c:pt>
                <c:pt idx="2">
                  <c:v>martie</c:v>
                </c:pt>
                <c:pt idx="3">
                  <c:v>aprilie</c:v>
                </c:pt>
                <c:pt idx="4">
                  <c:v>mai</c:v>
                </c:pt>
                <c:pt idx="5">
                  <c:v>iunie</c:v>
                </c:pt>
              </c:strCache>
            </c:strRef>
          </c:cat>
          <c:val>
            <c:numRef>
              <c:f>'SI 2018 vs. SI 2017'!$B$29:$B$34</c:f>
              <c:numCache>
                <c:formatCode>#.000</c:formatCode>
                <c:ptCount val="6"/>
                <c:pt idx="0">
                  <c:v>112.38691473094008</c:v>
                </c:pt>
                <c:pt idx="1">
                  <c:v>102.53338231553961</c:v>
                </c:pt>
                <c:pt idx="2">
                  <c:v>113.36117779253281</c:v>
                </c:pt>
                <c:pt idx="3">
                  <c:v>101.33550884649144</c:v>
                </c:pt>
                <c:pt idx="4">
                  <c:v>97.943006710881079</c:v>
                </c:pt>
                <c:pt idx="5">
                  <c:v>94.610460622922943</c:v>
                </c:pt>
              </c:numCache>
            </c:numRef>
          </c:val>
          <c:smooth val="0"/>
          <c:extLst>
            <c:ext xmlns:c16="http://schemas.microsoft.com/office/drawing/2014/chart" uri="{C3380CC4-5D6E-409C-BE32-E72D297353CC}">
              <c16:uniqueId val="{00000000-BC6D-4CE4-B9CC-6491C2B04C5D}"/>
            </c:ext>
          </c:extLst>
        </c:ser>
        <c:ser>
          <c:idx val="1"/>
          <c:order val="1"/>
          <c:tx>
            <c:strRef>
              <c:f>'SI 2018 vs. SI 2017'!$C$28</c:f>
              <c:strCache>
                <c:ptCount val="1"/>
                <c:pt idx="0">
                  <c:v>Preţ mediu (lei/acțiune) S1 2017</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'SI 2018 vs. SI 2017'!$A$29:$A$34</c:f>
              <c:strCache>
                <c:ptCount val="6"/>
                <c:pt idx="0">
                  <c:v>ianuarie</c:v>
                </c:pt>
                <c:pt idx="1">
                  <c:v>februarie</c:v>
                </c:pt>
                <c:pt idx="2">
                  <c:v>martie</c:v>
                </c:pt>
                <c:pt idx="3">
                  <c:v>aprilie</c:v>
                </c:pt>
                <c:pt idx="4">
                  <c:v>mai</c:v>
                </c:pt>
                <c:pt idx="5">
                  <c:v>iunie</c:v>
                </c:pt>
              </c:strCache>
            </c:strRef>
          </c:cat>
          <c:val>
            <c:numRef>
              <c:f>'SI 2018 vs. SI 2017'!$C$29:$C$34</c:f>
              <c:numCache>
                <c:formatCode>#.000</c:formatCode>
                <c:ptCount val="6"/>
                <c:pt idx="0">
                  <c:v>85.096640766828855</c:v>
                </c:pt>
                <c:pt idx="1">
                  <c:v>96.38739157970096</c:v>
                </c:pt>
                <c:pt idx="2">
                  <c:v>108.05877290340167</c:v>
                </c:pt>
                <c:pt idx="3">
                  <c:v>117.16053542953956</c:v>
                </c:pt>
                <c:pt idx="4">
                  <c:v>130.34603203261941</c:v>
                </c:pt>
                <c:pt idx="5">
                  <c:v>125.4626811464771</c:v>
                </c:pt>
              </c:numCache>
            </c:numRef>
          </c:val>
          <c:smooth val="0"/>
          <c:extLst>
            <c:ext xmlns:c16="http://schemas.microsoft.com/office/drawing/2014/chart" uri="{C3380CC4-5D6E-409C-BE32-E72D297353CC}">
              <c16:uniqueId val="{00000001-BC6D-4CE4-B9CC-6491C2B04C5D}"/>
            </c:ext>
          </c:extLst>
        </c:ser>
        <c:dLbls>
          <c:showLegendKey val="0"/>
          <c:showVal val="0"/>
          <c:showCatName val="0"/>
          <c:showSerName val="0"/>
          <c:showPercent val="0"/>
          <c:showBubbleSize val="0"/>
        </c:dLbls>
        <c:marker val="1"/>
        <c:smooth val="0"/>
        <c:axId val="248587792"/>
        <c:axId val="248588968"/>
      </c:lineChart>
      <c:catAx>
        <c:axId val="24858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8588968"/>
        <c:crosses val="autoZero"/>
        <c:auto val="1"/>
        <c:lblAlgn val="ctr"/>
        <c:lblOffset val="100"/>
        <c:noMultiLvlLbl val="0"/>
      </c:catAx>
      <c:valAx>
        <c:axId val="248588968"/>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858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0.0702</cdr:x>
      <cdr:y>0.02175</cdr:y>
    </cdr:from>
    <cdr:to>
      <cdr:x>0.50551</cdr:x>
      <cdr:y>0.20446</cdr:y>
    </cdr:to>
    <cdr:sp macro="" textlink="">
      <cdr:nvSpPr>
        <cdr:cNvPr id="2" name="Rectangle 1"/>
        <cdr:cNvSpPr/>
      </cdr:nvSpPr>
      <cdr:spPr>
        <a:xfrm xmlns:a="http://schemas.openxmlformats.org/drawingml/2006/main">
          <a:off x="410554" y="65672"/>
          <a:ext cx="2545845" cy="551689"/>
        </a:xfrm>
        <a:prstGeom xmlns:a="http://schemas.openxmlformats.org/drawingml/2006/main" prst="rect">
          <a:avLst/>
        </a:prstGeom>
      </cdr:spPr>
      <cdr:txBody>
        <a:bodyPr xmlns:a="http://schemas.openxmlformats.org/drawingml/2006/main" wrap="square">
          <a:spAutoFit/>
        </a:bodyPr>
        <a:lstStyle xmlns:a="http://schemas.openxmlformats.org/drawingml/2006/main"/>
        <a:p xmlns:a="http://schemas.openxmlformats.org/drawingml/2006/main">
          <a:pPr>
            <a:spcAft>
              <a:spcPts val="0"/>
            </a:spcAft>
          </a:pPr>
          <a:r>
            <a:rPr lang="ro-RO" sz="1000" kern="1200">
              <a:solidFill>
                <a:srgbClr val="000000"/>
              </a:solidFill>
              <a:effectLst/>
              <a:latin typeface="Arial" panose="020B0604020202020204" pitchFamily="34" charset="0"/>
              <a:ea typeface="Calibri" panose="020F0502020204030204" pitchFamily="34" charset="0"/>
              <a:cs typeface="Arial" panose="020B0604020202020204" pitchFamily="34" charset="0"/>
            </a:rPr>
            <a:t>Performanţa acţiunii în ultimele 6 luni:</a:t>
          </a:r>
          <a:endParaRPr lang="ro-RO" sz="1000">
            <a:effectLst/>
            <a:latin typeface="Arial" panose="020B0604020202020204" pitchFamily="34" charset="0"/>
            <a:ea typeface="Calibri" panose="020F0502020204030204" pitchFamily="34" charset="0"/>
            <a:cs typeface="Arial" panose="020B0604020202020204" pitchFamily="34" charset="0"/>
          </a:endParaRPr>
        </a:p>
        <a:p xmlns:a="http://schemas.openxmlformats.org/drawingml/2006/main">
          <a:pPr>
            <a:spcAft>
              <a:spcPts val="0"/>
            </a:spcAft>
          </a:pPr>
          <a:r>
            <a:rPr lang="ro-RO" sz="1000" kern="1200">
              <a:solidFill>
                <a:srgbClr val="000000"/>
              </a:solidFill>
              <a:effectLst/>
              <a:latin typeface="Arial" panose="020B0604020202020204" pitchFamily="34" charset="0"/>
              <a:ea typeface="Calibri" panose="020F0502020204030204" pitchFamily="34" charset="0"/>
              <a:cs typeface="Arial" panose="020B0604020202020204" pitchFamily="34" charset="0"/>
            </a:rPr>
            <a:t>CONPET: -9</a:t>
          </a:r>
          <a:r>
            <a:rPr lang="en-US" sz="1000" kern="1200">
              <a:solidFill>
                <a:srgbClr val="000000"/>
              </a:solidFill>
              <a:effectLst/>
              <a:latin typeface="Arial" panose="020B0604020202020204" pitchFamily="34" charset="0"/>
              <a:ea typeface="Calibri" panose="020F0502020204030204" pitchFamily="34" charset="0"/>
              <a:cs typeface="Arial" panose="020B0604020202020204" pitchFamily="34" charset="0"/>
            </a:rPr>
            <a:t>,</a:t>
          </a:r>
          <a:r>
            <a:rPr lang="ro-RO" sz="1000" kern="1200">
              <a:solidFill>
                <a:srgbClr val="000000"/>
              </a:solidFill>
              <a:effectLst/>
              <a:latin typeface="Arial" panose="020B0604020202020204" pitchFamily="34" charset="0"/>
              <a:ea typeface="Calibri" panose="020F0502020204030204" pitchFamily="34" charset="0"/>
              <a:cs typeface="Arial" panose="020B0604020202020204" pitchFamily="34" charset="0"/>
            </a:rPr>
            <a:t>55%	</a:t>
          </a:r>
          <a:endParaRPr lang="ro-RO" sz="1000">
            <a:effectLst/>
            <a:latin typeface="Arial" panose="020B0604020202020204" pitchFamily="34" charset="0"/>
            <a:ea typeface="Calibri" panose="020F0502020204030204" pitchFamily="34" charset="0"/>
            <a:cs typeface="Arial" panose="020B0604020202020204" pitchFamily="34" charset="0"/>
          </a:endParaRPr>
        </a:p>
        <a:p xmlns:a="http://schemas.openxmlformats.org/drawingml/2006/main">
          <a:pPr>
            <a:spcAft>
              <a:spcPts val="0"/>
            </a:spcAft>
          </a:pPr>
          <a:r>
            <a:rPr lang="ro-RO" sz="1000" kern="1200">
              <a:solidFill>
                <a:srgbClr val="000000"/>
              </a:solidFill>
              <a:effectLst/>
              <a:latin typeface="Arial" panose="020B0604020202020204" pitchFamily="34" charset="0"/>
              <a:ea typeface="Calibri" panose="020F0502020204030204" pitchFamily="34" charset="0"/>
              <a:cs typeface="Arial" panose="020B0604020202020204" pitchFamily="34" charset="0"/>
            </a:rPr>
            <a:t>BET index: 1</a:t>
          </a:r>
          <a:r>
            <a:rPr lang="en-US" sz="1000" kern="1200">
              <a:solidFill>
                <a:srgbClr val="000000"/>
              </a:solidFill>
              <a:effectLst/>
              <a:latin typeface="Arial" panose="020B0604020202020204" pitchFamily="34" charset="0"/>
              <a:ea typeface="Calibri" panose="020F0502020204030204" pitchFamily="34" charset="0"/>
              <a:cs typeface="Arial" panose="020B0604020202020204" pitchFamily="34" charset="0"/>
            </a:rPr>
            <a:t>,</a:t>
          </a:r>
          <a:r>
            <a:rPr lang="ro-RO" sz="1000" kern="1200">
              <a:solidFill>
                <a:srgbClr val="000000"/>
              </a:solidFill>
              <a:effectLst/>
              <a:latin typeface="Arial" panose="020B0604020202020204" pitchFamily="34" charset="0"/>
              <a:ea typeface="Calibri" panose="020F0502020204030204" pitchFamily="34" charset="0"/>
              <a:cs typeface="Arial" panose="020B0604020202020204" pitchFamily="34" charset="0"/>
            </a:rPr>
            <a:t>01%</a:t>
          </a:r>
          <a:r>
            <a:rPr lang="ro-RO" sz="1050" kern="1200">
              <a:solidFill>
                <a:srgbClr val="000000"/>
              </a:solidFill>
              <a:effectLst/>
              <a:latin typeface="Calibri" panose="020F0502020204030204" pitchFamily="34" charset="0"/>
              <a:ea typeface="Calibri" panose="020F0502020204030204" pitchFamily="34" charset="0"/>
              <a:cs typeface="Times New Roman" panose="02020603050405020304" pitchFamily="18" charset="0"/>
            </a:rPr>
            <a:t>	</a:t>
          </a:r>
          <a:endParaRPr lang="ro-RO" sz="1200">
            <a:effectLst/>
            <a:latin typeface="Times New Roman" panose="02020603050405020304" pitchFamily="18" charset="0"/>
            <a:ea typeface="Calibri" panose="020F050202020403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7F1CF7-91F4-4301-82C5-5B361907A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89</Pages>
  <Words>37115</Words>
  <Characters>211562</Characters>
  <Application>Microsoft Office Word</Application>
  <DocSecurity>0</DocSecurity>
  <Lines>1763</Lines>
  <Paragraphs>496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CPT</Company>
  <LinksUpToDate>false</LinksUpToDate>
  <CharactersWithSpaces>248181</CharactersWithSpaces>
  <SharedDoc>false</SharedDoc>
  <HLinks>
    <vt:vector size="96" baseType="variant">
      <vt:variant>
        <vt:i4>131145</vt:i4>
      </vt:variant>
      <vt:variant>
        <vt:i4>48</vt:i4>
      </vt:variant>
      <vt:variant>
        <vt:i4>0</vt:i4>
      </vt:variant>
      <vt:variant>
        <vt:i4>5</vt:i4>
      </vt:variant>
      <vt:variant>
        <vt:lpwstr>http://www.conpet.ro/</vt:lpwstr>
      </vt:variant>
      <vt:variant>
        <vt:lpwstr/>
      </vt:variant>
      <vt:variant>
        <vt:i4>35</vt:i4>
      </vt:variant>
      <vt:variant>
        <vt:i4>45</vt:i4>
      </vt:variant>
      <vt:variant>
        <vt:i4>0</vt:i4>
      </vt:variant>
      <vt:variant>
        <vt:i4>5</vt:i4>
      </vt:variant>
      <vt:variant>
        <vt:lpwstr/>
      </vt:variant>
      <vt:variant>
        <vt:lpwstr>#</vt:lpwstr>
      </vt:variant>
      <vt:variant>
        <vt:i4>131145</vt:i4>
      </vt:variant>
      <vt:variant>
        <vt:i4>42</vt:i4>
      </vt:variant>
      <vt:variant>
        <vt:i4>0</vt:i4>
      </vt:variant>
      <vt:variant>
        <vt:i4>5</vt:i4>
      </vt:variant>
      <vt:variant>
        <vt:lpwstr>http://www.conpet.ro/</vt:lpwstr>
      </vt:variant>
      <vt:variant>
        <vt:lpwstr/>
      </vt:variant>
      <vt:variant>
        <vt:i4>2752554</vt:i4>
      </vt:variant>
      <vt:variant>
        <vt:i4>39</vt:i4>
      </vt:variant>
      <vt:variant>
        <vt:i4>0</vt:i4>
      </vt:variant>
      <vt:variant>
        <vt:i4>5</vt:i4>
      </vt:variant>
      <vt:variant>
        <vt:lpwstr>http://www.conpet.ro/wp-content/uploads/2015/11/Certificat-siguranta-partea-B-Suplacu-de-Barcau.pdf</vt:lpwstr>
      </vt:variant>
      <vt:variant>
        <vt:lpwstr/>
      </vt:variant>
      <vt:variant>
        <vt:i4>1245203</vt:i4>
      </vt:variant>
      <vt:variant>
        <vt:i4>36</vt:i4>
      </vt:variant>
      <vt:variant>
        <vt:i4>0</vt:i4>
      </vt:variant>
      <vt:variant>
        <vt:i4>5</vt:i4>
      </vt:variant>
      <vt:variant>
        <vt:lpwstr>http://www.conpet.ro/wp-content/uploads/2015/11/Certificat-siguranta-partea-B-Salonta.pdf</vt:lpwstr>
      </vt:variant>
      <vt:variant>
        <vt:lpwstr/>
      </vt:variant>
      <vt:variant>
        <vt:i4>4456448</vt:i4>
      </vt:variant>
      <vt:variant>
        <vt:i4>33</vt:i4>
      </vt:variant>
      <vt:variant>
        <vt:i4>0</vt:i4>
      </vt:variant>
      <vt:variant>
        <vt:i4>5</vt:i4>
      </vt:variant>
      <vt:variant>
        <vt:lpwstr>http://www.conpet.ro/wp-content/uploads/2015/11/Certificat-siguranta-partea-A.pdf</vt:lpwstr>
      </vt:variant>
      <vt:variant>
        <vt:lpwstr/>
      </vt:variant>
      <vt:variant>
        <vt:i4>2818106</vt:i4>
      </vt:variant>
      <vt:variant>
        <vt:i4>30</vt:i4>
      </vt:variant>
      <vt:variant>
        <vt:i4>0</vt:i4>
      </vt:variant>
      <vt:variant>
        <vt:i4>5</vt:i4>
      </vt:variant>
      <vt:variant>
        <vt:lpwstr>http://www.conpet.ro/wp-content/uploads/2015/11/Licenta-pentru-efectuarea-serviciilor-de-transport-feroviar.pdf</vt:lpwstr>
      </vt:variant>
      <vt:variant>
        <vt:lpwstr/>
      </vt:variant>
      <vt:variant>
        <vt:i4>6029347</vt:i4>
      </vt:variant>
      <vt:variant>
        <vt:i4>27</vt:i4>
      </vt:variant>
      <vt:variant>
        <vt:i4>0</vt:i4>
      </vt:variant>
      <vt:variant>
        <vt:i4>5</vt:i4>
      </vt:variant>
      <vt:variant>
        <vt:lpwstr>http://www.conpet.ro/wp-content/uploads/2015/10/Politica-referitoare-la-siguranta-feroviara_iunie-2015.pdf</vt:lpwstr>
      </vt:variant>
      <vt:variant>
        <vt:lpwstr/>
      </vt:variant>
      <vt:variant>
        <vt:i4>2359389</vt:i4>
      </vt:variant>
      <vt:variant>
        <vt:i4>24</vt:i4>
      </vt:variant>
      <vt:variant>
        <vt:i4>0</vt:i4>
      </vt:variant>
      <vt:variant>
        <vt:i4>5</vt:i4>
      </vt:variant>
      <vt:variant>
        <vt:lpwstr>http://www.conpet.ro/wp-content/uploads/2015/11/Management-System-Certificate-ISO-18001_2007.pdf</vt:lpwstr>
      </vt:variant>
      <vt:variant>
        <vt:lpwstr/>
      </vt:variant>
      <vt:variant>
        <vt:i4>6684744</vt:i4>
      </vt:variant>
      <vt:variant>
        <vt:i4>21</vt:i4>
      </vt:variant>
      <vt:variant>
        <vt:i4>0</vt:i4>
      </vt:variant>
      <vt:variant>
        <vt:i4>5</vt:i4>
      </vt:variant>
      <vt:variant>
        <vt:lpwstr>http://www.conpet.ro/wp-content/uploads/2015/11/Management-System-ISO-14001_2004.pdf</vt:lpwstr>
      </vt:variant>
      <vt:variant>
        <vt:lpwstr/>
      </vt:variant>
      <vt:variant>
        <vt:i4>2818059</vt:i4>
      </vt:variant>
      <vt:variant>
        <vt:i4>18</vt:i4>
      </vt:variant>
      <vt:variant>
        <vt:i4>0</vt:i4>
      </vt:variant>
      <vt:variant>
        <vt:i4>5</vt:i4>
      </vt:variant>
      <vt:variant>
        <vt:lpwstr>http://www.conpet.ro/wp-content/uploads/2015/11/Management-System-Certificate-ISO-9001_2008.pdf</vt:lpwstr>
      </vt:variant>
      <vt:variant>
        <vt:lpwstr/>
      </vt:variant>
      <vt:variant>
        <vt:i4>3539006</vt:i4>
      </vt:variant>
      <vt:variant>
        <vt:i4>15</vt:i4>
      </vt:variant>
      <vt:variant>
        <vt:i4>0</vt:i4>
      </vt:variant>
      <vt:variant>
        <vt:i4>5</vt:i4>
      </vt:variant>
      <vt:variant>
        <vt:lpwstr>http://www.conpet.ro/wp-content/uploads/2015/10/Politica_referitoare_la_sanatate_si_securitate_ocupationala_ianuarie_2013.pdf</vt:lpwstr>
      </vt:variant>
      <vt:variant>
        <vt:lpwstr/>
      </vt:variant>
      <vt:variant>
        <vt:i4>8323164</vt:i4>
      </vt:variant>
      <vt:variant>
        <vt:i4>12</vt:i4>
      </vt:variant>
      <vt:variant>
        <vt:i4>0</vt:i4>
      </vt:variant>
      <vt:variant>
        <vt:i4>5</vt:i4>
      </vt:variant>
      <vt:variant>
        <vt:lpwstr>http://www.conpet.ro/wp-content/uploads/2015/10/Politica_referitoare_la_mediu_ianuarie_2013.pdf</vt:lpwstr>
      </vt:variant>
      <vt:variant>
        <vt:lpwstr/>
      </vt:variant>
      <vt:variant>
        <vt:i4>3080217</vt:i4>
      </vt:variant>
      <vt:variant>
        <vt:i4>9</vt:i4>
      </vt:variant>
      <vt:variant>
        <vt:i4>0</vt:i4>
      </vt:variant>
      <vt:variant>
        <vt:i4>5</vt:i4>
      </vt:variant>
      <vt:variant>
        <vt:lpwstr>http://www.conpet.ro/wp-content/uploads/2015/10/Politica_referitoare_la_calitate_ianuarie_2013.pdf</vt:lpwstr>
      </vt:variant>
      <vt:variant>
        <vt:lpwstr/>
      </vt:variant>
      <vt:variant>
        <vt:i4>131145</vt:i4>
      </vt:variant>
      <vt:variant>
        <vt:i4>3</vt:i4>
      </vt:variant>
      <vt:variant>
        <vt:i4>0</vt:i4>
      </vt:variant>
      <vt:variant>
        <vt:i4>5</vt:i4>
      </vt:variant>
      <vt:variant>
        <vt:lpwstr>http://www.conpet.ro/</vt:lpwstr>
      </vt:variant>
      <vt:variant>
        <vt:lpwstr/>
      </vt:variant>
      <vt:variant>
        <vt:i4>5439591</vt:i4>
      </vt:variant>
      <vt:variant>
        <vt:i4>0</vt:i4>
      </vt:variant>
      <vt:variant>
        <vt:i4>0</vt:i4>
      </vt:variant>
      <vt:variant>
        <vt:i4>5</vt:i4>
      </vt:variant>
      <vt:variant>
        <vt:lpwstr>mailto:conpet@conpet.ro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Dragos Jianu</dc:creator>
  <cp:lastModifiedBy>Rodica Burlacu</cp:lastModifiedBy>
  <cp:revision>380</cp:revision>
  <cp:lastPrinted>2018-08-02T16:23:00Z</cp:lastPrinted>
  <dcterms:created xsi:type="dcterms:W3CDTF">2018-08-01T17:00:00Z</dcterms:created>
  <dcterms:modified xsi:type="dcterms:W3CDTF">2018-08-08T08:40:00Z</dcterms:modified>
</cp:coreProperties>
</file>